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On the method used here it is 35.79%. The June 2026 edition of this study used 18%, which is below the Egyptian government's own ten-year borrowing cost of 23.00% and therefore cannot be a rate for a company that pays tax to that government. Almost the whole difference between the two editions is this one input, and section 1.9 prices it end to end.</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51.40 and EGP 82.83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at book value and proportionally. The cases are not averaged, because averaging two answers to a question nobody has settled produces a number that was true in neither.</w:t>
      </w:r>
    </w:p>
    <w:p>
      <w:pPr>
        <w:spacing w:after="140"/>
      </w:pPr>
      <w:r>
        <w:rPr>
          <w:b w:val="0"/>
          <w:i w:val="0"/>
          <w:color w:val="1A1D21"/>
          <w:sz w:val="20"/>
        </w:rPr>
        <w:t>Run the same model backwards and ask what discount rate would reproduce the traded price, and the answer is 23.6% to 16.5%. That is close to what the Egyptian government itself pays to borrow for ten years, and it is well below the 35.79% this study uses. The gap is the disagreement, and it is reported rather than resolved.</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155"/>
        <w:gridCol w:w="1077"/>
        <w:gridCol w:w="1418"/>
        <w:gridCol w:w="1304"/>
        <w:gridCol w:w="1644"/>
        <w:gridCol w:w="1588"/>
      </w:tblGrid>
      <w:tr>
        <w:trPr>
          <w:tblHeader w:val="true"/>
        </w:trPr>
        <w:tc>
          <w:tcPr>
            <w:tcW w:type="dxa" w:w="2154"/>
          </w:tcPr>
          <w:p>
            <w:r/>
            <w:r>
              <w:rPr>
                <w:b/>
                <w:color w:val="5B6570"/>
                <w:sz w:val="17"/>
              </w:rPr>
              <w:t>Case</w:t>
            </w:r>
          </w:p>
        </w:tc>
        <w:tc>
          <w:tcPr>
            <w:tcW w:type="dxa" w:w="1077"/>
          </w:tcPr>
          <w:p>
            <w:r/>
            <w:r>
              <w:rPr>
                <w:b/>
                <w:color w:val="5B6570"/>
                <w:sz w:val="17"/>
              </w:rPr>
              <w:t>Discount rate</w:t>
            </w:r>
          </w:p>
        </w:tc>
        <w:tc>
          <w:tcPr>
            <w:tcW w:type="dxa" w:w="1417"/>
          </w:tcPr>
          <w:p>
            <w:r/>
            <w:r>
              <w:rPr>
                <w:b/>
                <w:color w:val="5B6570"/>
                <w:sz w:val="17"/>
              </w:rPr>
              <w:t>Enterprise value</w:t>
            </w:r>
          </w:p>
        </w:tc>
        <w:tc>
          <w:tcPr>
            <w:tcW w:type="dxa" w:w="1304"/>
          </w:tcPr>
          <w:p>
            <w:r/>
            <w:r>
              <w:rPr>
                <w:b/>
                <w:color w:val="5B6570"/>
                <w:sz w:val="17"/>
              </w:rPr>
              <w:t>Equity value</w:t>
            </w:r>
          </w:p>
        </w:tc>
        <w:tc>
          <w:tcPr>
            <w:tcW w:type="dxa" w:w="1644"/>
          </w:tcPr>
          <w:p>
            <w:r/>
            <w:r>
              <w:rPr>
                <w:b/>
                <w:color w:val="5B6570"/>
                <w:sz w:val="17"/>
              </w:rPr>
              <w:t>Per share, minority at book</w:t>
            </w:r>
          </w:p>
        </w:tc>
        <w:tc>
          <w:tcPr>
            <w:tcW w:type="dxa" w:w="1587"/>
          </w:tcPr>
          <w:p>
            <w:r/>
            <w:r>
              <w:rPr>
                <w:b/>
                <w:color w:val="5B6570"/>
                <w:sz w:val="17"/>
              </w:rPr>
              <w:t>Per share, minority pro rata</w:t>
            </w:r>
          </w:p>
        </w:tc>
      </w:tr>
      <w:tr>
        <w:trPr>
          <w:cantSplit/>
        </w:trPr>
        <w:tc>
          <w:tcPr>
            <w:tcW w:type="dxa" w:w="2154"/>
          </w:tcPr>
          <w:p>
            <w:r/>
            <w:r>
              <w:rPr>
                <w:color w:val="1A1D21"/>
                <w:sz w:val="17"/>
              </w:rPr>
              <w:t>Rating-based premium, slower conversion</w:t>
            </w:r>
          </w:p>
        </w:tc>
        <w:tc>
          <w:tcPr>
            <w:tcW w:type="dxa" w:w="1077"/>
          </w:tcPr>
          <w:p>
            <w:pPr>
              <w:jc w:val="right"/>
            </w:pPr>
            <w:r/>
            <w:r>
              <w:rPr>
                <w:color w:val="1A1D21"/>
                <w:sz w:val="17"/>
              </w:rPr>
              <w:t>31.57%</w:t>
            </w:r>
          </w:p>
        </w:tc>
        <w:tc>
          <w:tcPr>
            <w:tcW w:type="dxa" w:w="1417"/>
          </w:tcPr>
          <w:p>
            <w:pPr>
              <w:jc w:val="right"/>
            </w:pPr>
            <w:r/>
            <w:r>
              <w:rPr>
                <w:color w:val="1A1D21"/>
                <w:sz w:val="17"/>
              </w:rPr>
              <w:t>106,031</w:t>
            </w:r>
          </w:p>
        </w:tc>
        <w:tc>
          <w:tcPr>
            <w:tcW w:type="dxa" w:w="1304"/>
          </w:tcPr>
          <w:p>
            <w:pPr>
              <w:jc w:val="right"/>
            </w:pPr>
            <w:r/>
            <w:r>
              <w:rPr>
                <w:color w:val="1A1D21"/>
                <w:sz w:val="17"/>
              </w:rPr>
              <w:t>117,672</w:t>
            </w:r>
          </w:p>
        </w:tc>
        <w:tc>
          <w:tcPr>
            <w:tcW w:type="dxa" w:w="1644"/>
          </w:tcPr>
          <w:p>
            <w:pPr>
              <w:jc w:val="right"/>
            </w:pPr>
            <w:r/>
            <w:r>
              <w:rPr>
                <w:color w:val="1A1D21"/>
                <w:sz w:val="17"/>
              </w:rPr>
              <w:t>57.10</w:t>
            </w:r>
          </w:p>
        </w:tc>
        <w:tc>
          <w:tcPr>
            <w:tcW w:type="dxa" w:w="1587"/>
          </w:tcPr>
          <w:p>
            <w:pPr>
              <w:jc w:val="right"/>
            </w:pPr>
            <w:r/>
            <w:r>
              <w:rPr>
                <w:color w:val="1A1D21"/>
                <w:sz w:val="17"/>
              </w:rPr>
              <w:t>51.40</w:t>
            </w:r>
          </w:p>
        </w:tc>
      </w:tr>
      <w:tr>
        <w:trPr>
          <w:cantSplit/>
        </w:trPr>
        <w:tc>
          <w:tcPr>
            <w:tcW w:type="dxa" w:w="2154"/>
          </w:tcPr>
          <w:p>
            <w:r/>
            <w:r>
              <w:rPr>
                <w:color w:val="1A1D21"/>
                <w:sz w:val="17"/>
              </w:rPr>
              <w:t>Rating-based premium, faster conversion</w:t>
            </w:r>
          </w:p>
        </w:tc>
        <w:tc>
          <w:tcPr>
            <w:tcW w:type="dxa" w:w="1077"/>
          </w:tcPr>
          <w:p>
            <w:pPr>
              <w:jc w:val="right"/>
            </w:pPr>
            <w:r/>
            <w:r>
              <w:rPr>
                <w:color w:val="1A1D21"/>
                <w:sz w:val="17"/>
              </w:rPr>
              <w:t>31.57%</w:t>
            </w:r>
          </w:p>
        </w:tc>
        <w:tc>
          <w:tcPr>
            <w:tcW w:type="dxa" w:w="1417"/>
          </w:tcPr>
          <w:p>
            <w:pPr>
              <w:jc w:val="right"/>
            </w:pPr>
            <w:r/>
            <w:r>
              <w:rPr>
                <w:color w:val="1A1D21"/>
                <w:sz w:val="17"/>
              </w:rPr>
              <w:t>142,686</w:t>
            </w:r>
          </w:p>
        </w:tc>
        <w:tc>
          <w:tcPr>
            <w:tcW w:type="dxa" w:w="1304"/>
          </w:tcPr>
          <w:p>
            <w:pPr>
              <w:jc w:val="right"/>
            </w:pPr>
            <w:r/>
            <w:r>
              <w:rPr>
                <w:color w:val="1A1D21"/>
                <w:sz w:val="17"/>
              </w:rPr>
              <w:t>154,328</w:t>
            </w:r>
          </w:p>
        </w:tc>
        <w:tc>
          <w:tcPr>
            <w:tcW w:type="dxa" w:w="1644"/>
          </w:tcPr>
          <w:p>
            <w:pPr>
              <w:jc w:val="right"/>
            </w:pPr>
            <w:r/>
            <w:r>
              <w:rPr>
                <w:color w:val="1A1D21"/>
                <w:sz w:val="17"/>
              </w:rPr>
              <w:t>74.89</w:t>
            </w:r>
          </w:p>
        </w:tc>
        <w:tc>
          <w:tcPr>
            <w:tcW w:type="dxa" w:w="1587"/>
          </w:tcPr>
          <w:p>
            <w:pPr>
              <w:jc w:val="right"/>
            </w:pPr>
            <w:r/>
            <w:r>
              <w:rPr>
                <w:color w:val="1A1D21"/>
                <w:sz w:val="17"/>
              </w:rPr>
              <w:t>61.14</w:t>
            </w:r>
          </w:p>
        </w:tc>
      </w:tr>
      <w:tr>
        <w:trPr>
          <w:cantSplit/>
        </w:trPr>
        <w:tc>
          <w:tcPr>
            <w:tcW w:type="dxa" w:w="2154"/>
          </w:tcPr>
          <w:p>
            <w:r/>
            <w:r>
              <w:rPr>
                <w:color w:val="1A1D21"/>
                <w:sz w:val="17"/>
              </w:rPr>
              <w:t>Credit-default-swap premium, slower conversion</w:t>
            </w:r>
          </w:p>
        </w:tc>
        <w:tc>
          <w:tcPr>
            <w:tcW w:type="dxa" w:w="1077"/>
          </w:tcPr>
          <w:p>
            <w:pPr>
              <w:jc w:val="right"/>
            </w:pPr>
            <w:r/>
            <w:r>
              <w:rPr>
                <w:color w:val="1A1D21"/>
                <w:sz w:val="17"/>
              </w:rPr>
              <w:t>28.49%</w:t>
            </w:r>
          </w:p>
        </w:tc>
        <w:tc>
          <w:tcPr>
            <w:tcW w:type="dxa" w:w="1417"/>
          </w:tcPr>
          <w:p>
            <w:pPr>
              <w:jc w:val="right"/>
            </w:pPr>
            <w:r/>
            <w:r>
              <w:rPr>
                <w:color w:val="1A1D21"/>
                <w:sz w:val="17"/>
              </w:rPr>
              <w:t>117,304</w:t>
            </w:r>
          </w:p>
        </w:tc>
        <w:tc>
          <w:tcPr>
            <w:tcW w:type="dxa" w:w="1304"/>
          </w:tcPr>
          <w:p>
            <w:pPr>
              <w:jc w:val="right"/>
            </w:pPr>
            <w:r/>
            <w:r>
              <w:rPr>
                <w:color w:val="1A1D21"/>
                <w:sz w:val="17"/>
              </w:rPr>
              <w:t>128,945</w:t>
            </w:r>
          </w:p>
        </w:tc>
        <w:tc>
          <w:tcPr>
            <w:tcW w:type="dxa" w:w="1644"/>
          </w:tcPr>
          <w:p>
            <w:pPr>
              <w:jc w:val="right"/>
            </w:pPr>
            <w:r/>
            <w:r>
              <w:rPr>
                <w:color w:val="1A1D21"/>
                <w:sz w:val="17"/>
              </w:rPr>
              <w:t>62.57</w:t>
            </w:r>
          </w:p>
        </w:tc>
        <w:tc>
          <w:tcPr>
            <w:tcW w:type="dxa" w:w="1587"/>
          </w:tcPr>
          <w:p>
            <w:pPr>
              <w:jc w:val="right"/>
            </w:pPr>
            <w:r/>
            <w:r>
              <w:rPr>
                <w:color w:val="1A1D21"/>
                <w:sz w:val="17"/>
              </w:rPr>
              <w:t>54.40</w:t>
            </w:r>
          </w:p>
        </w:tc>
      </w:tr>
      <w:tr>
        <w:trPr>
          <w:cantSplit/>
        </w:trPr>
        <w:tc>
          <w:tcPr>
            <w:tcW w:type="dxa" w:w="2154"/>
          </w:tcPr>
          <w:p>
            <w:r/>
            <w:r>
              <w:rPr>
                <w:color w:val="1A1D21"/>
                <w:sz w:val="17"/>
              </w:rPr>
              <w:t>Credit-default-swap premium, faster conversion</w:t>
            </w:r>
          </w:p>
        </w:tc>
        <w:tc>
          <w:tcPr>
            <w:tcW w:type="dxa" w:w="1077"/>
          </w:tcPr>
          <w:p>
            <w:pPr>
              <w:jc w:val="right"/>
            </w:pPr>
            <w:r/>
            <w:r>
              <w:rPr>
                <w:color w:val="1A1D21"/>
                <w:sz w:val="17"/>
              </w:rPr>
              <w:t>28.49%</w:t>
            </w:r>
          </w:p>
        </w:tc>
        <w:tc>
          <w:tcPr>
            <w:tcW w:type="dxa" w:w="1417"/>
          </w:tcPr>
          <w:p>
            <w:pPr>
              <w:jc w:val="right"/>
            </w:pPr>
            <w:r/>
            <w:r>
              <w:rPr>
                <w:color w:val="1A1D21"/>
                <w:sz w:val="17"/>
              </w:rPr>
              <w:t>159,042</w:t>
            </w:r>
          </w:p>
        </w:tc>
        <w:tc>
          <w:tcPr>
            <w:tcW w:type="dxa" w:w="1304"/>
          </w:tcPr>
          <w:p>
            <w:pPr>
              <w:jc w:val="right"/>
            </w:pPr>
            <w:r/>
            <w:r>
              <w:rPr>
                <w:color w:val="1A1D21"/>
                <w:sz w:val="17"/>
              </w:rPr>
              <w:t>170,684</w:t>
            </w:r>
          </w:p>
        </w:tc>
        <w:tc>
          <w:tcPr>
            <w:tcW w:type="dxa" w:w="1644"/>
          </w:tcPr>
          <w:p>
            <w:pPr>
              <w:jc w:val="right"/>
            </w:pPr>
            <w:r/>
            <w:r>
              <w:rPr>
                <w:color w:val="1A1D21"/>
                <w:sz w:val="17"/>
              </w:rPr>
              <w:t>82.83</w:t>
            </w:r>
          </w:p>
        </w:tc>
        <w:tc>
          <w:tcPr>
            <w:tcW w:type="dxa" w:w="1587"/>
          </w:tcPr>
          <w:p>
            <w:pPr>
              <w:jc w:val="right"/>
            </w:pPr>
            <w:r/>
            <w:r>
              <w:rPr>
                <w:color w:val="1A1D21"/>
                <w:sz w:val="17"/>
              </w:rPr>
              <w:t>65.49</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80,546</w:t>
            </w:r>
          </w:p>
        </w:tc>
        <w:tc>
          <w:tcPr>
            <w:tcW w:type="dxa" w:w="1134"/>
          </w:tcPr>
          <w:p>
            <w:pPr>
              <w:jc w:val="right"/>
            </w:pPr>
            <w:r/>
            <w:r>
              <w:rPr>
                <w:color w:val="1A1D21"/>
                <w:sz w:val="17"/>
              </w:rPr>
              <w:t>100,216</w:t>
            </w:r>
          </w:p>
        </w:tc>
        <w:tc>
          <w:tcPr>
            <w:tcW w:type="dxa" w:w="1134"/>
          </w:tcPr>
          <w:p>
            <w:pPr>
              <w:jc w:val="right"/>
            </w:pPr>
            <w:r/>
            <w:r>
              <w:rPr>
                <w:color w:val="1A1D21"/>
                <w:sz w:val="17"/>
              </w:rPr>
              <w:t>122,723</w:t>
            </w:r>
          </w:p>
        </w:tc>
        <w:tc>
          <w:tcPr>
            <w:tcW w:type="dxa" w:w="1134"/>
          </w:tcPr>
          <w:p>
            <w:pPr>
              <w:jc w:val="right"/>
            </w:pPr>
            <w:r/>
            <w:r>
              <w:rPr>
                <w:color w:val="1A1D21"/>
                <w:sz w:val="17"/>
              </w:rPr>
              <w:t>141,819</w:t>
            </w:r>
          </w:p>
        </w:tc>
        <w:tc>
          <w:tcPr>
            <w:tcW w:type="dxa" w:w="1134"/>
          </w:tcPr>
          <w:p>
            <w:pPr>
              <w:jc w:val="right"/>
            </w:pPr>
            <w:r/>
            <w:r>
              <w:rPr>
                <w:color w:val="1A1D21"/>
                <w:sz w:val="17"/>
              </w:rPr>
              <w:t>161,619</w:t>
            </w:r>
          </w:p>
        </w:tc>
      </w:tr>
      <w:tr>
        <w:trPr>
          <w:cantSplit/>
        </w:trPr>
        <w:tc>
          <w:tcPr>
            <w:tcW w:type="dxa" w:w="3515"/>
          </w:tcPr>
          <w:p>
            <w:r/>
            <w:r>
              <w:rPr>
                <w:color w:val="1A1D21"/>
                <w:sz w:val="17"/>
              </w:rPr>
              <w:t>Cost of revenue</w:t>
            </w:r>
          </w:p>
        </w:tc>
        <w:tc>
          <w:tcPr>
            <w:tcW w:type="dxa" w:w="1134"/>
          </w:tcPr>
          <w:p>
            <w:pPr>
              <w:jc w:val="right"/>
            </w:pPr>
            <w:r/>
            <w:r>
              <w:rPr>
                <w:color w:val="1A1D21"/>
                <w:sz w:val="17"/>
              </w:rPr>
              <w:t>-55,069</w:t>
            </w:r>
          </w:p>
        </w:tc>
        <w:tc>
          <w:tcPr>
            <w:tcW w:type="dxa" w:w="1134"/>
          </w:tcPr>
          <w:p>
            <w:pPr>
              <w:jc w:val="right"/>
            </w:pPr>
            <w:r/>
            <w:r>
              <w:rPr>
                <w:color w:val="1A1D21"/>
                <w:sz w:val="17"/>
              </w:rPr>
              <w:t>-67,893</w:t>
            </w:r>
          </w:p>
        </w:tc>
        <w:tc>
          <w:tcPr>
            <w:tcW w:type="dxa" w:w="1134"/>
          </w:tcPr>
          <w:p>
            <w:pPr>
              <w:jc w:val="right"/>
            </w:pPr>
            <w:r/>
            <w:r>
              <w:rPr>
                <w:color w:val="1A1D21"/>
                <w:sz w:val="17"/>
              </w:rPr>
              <w:t>-82,448</w:t>
            </w:r>
          </w:p>
        </w:tc>
        <w:tc>
          <w:tcPr>
            <w:tcW w:type="dxa" w:w="1134"/>
          </w:tcPr>
          <w:p>
            <w:pPr>
              <w:jc w:val="right"/>
            </w:pPr>
            <w:r/>
            <w:r>
              <w:rPr>
                <w:color w:val="1A1D21"/>
                <w:sz w:val="17"/>
              </w:rPr>
              <w:t>-95,281</w:t>
            </w:r>
          </w:p>
        </w:tc>
        <w:tc>
          <w:tcPr>
            <w:tcW w:type="dxa" w:w="1134"/>
          </w:tcPr>
          <w:p>
            <w:pPr>
              <w:jc w:val="right"/>
            </w:pPr>
            <w:r/>
            <w:r>
              <w:rPr>
                <w:color w:val="1A1D21"/>
                <w:sz w:val="17"/>
              </w:rPr>
              <w:t>-108,588</w:t>
            </w:r>
          </w:p>
        </w:tc>
      </w:tr>
      <w:tr>
        <w:trPr>
          <w:cantSplit/>
        </w:trPr>
        <w:tc>
          <w:tcPr>
            <w:tcW w:type="dxa" w:w="3515"/>
          </w:tcPr>
          <w:p>
            <w:r/>
            <w:r>
              <w:rPr>
                <w:color w:val="1A1D21"/>
                <w:sz w:val="17"/>
              </w:rPr>
              <w:t>Gross profit</w:t>
            </w:r>
          </w:p>
        </w:tc>
        <w:tc>
          <w:tcPr>
            <w:tcW w:type="dxa" w:w="1134"/>
          </w:tcPr>
          <w:p>
            <w:pPr>
              <w:jc w:val="right"/>
            </w:pPr>
            <w:r/>
            <w:r>
              <w:rPr>
                <w:color w:val="1A1D21"/>
                <w:sz w:val="17"/>
              </w:rPr>
              <w:t>25,477</w:t>
            </w:r>
          </w:p>
        </w:tc>
        <w:tc>
          <w:tcPr>
            <w:tcW w:type="dxa" w:w="1134"/>
          </w:tcPr>
          <w:p>
            <w:pPr>
              <w:jc w:val="right"/>
            </w:pPr>
            <w:r/>
            <w:r>
              <w:rPr>
                <w:color w:val="1A1D21"/>
                <w:sz w:val="17"/>
              </w:rPr>
              <w:t>32,323</w:t>
            </w:r>
          </w:p>
        </w:tc>
        <w:tc>
          <w:tcPr>
            <w:tcW w:type="dxa" w:w="1134"/>
          </w:tcPr>
          <w:p>
            <w:pPr>
              <w:jc w:val="right"/>
            </w:pPr>
            <w:r/>
            <w:r>
              <w:rPr>
                <w:color w:val="1A1D21"/>
                <w:sz w:val="17"/>
              </w:rPr>
              <w:t>40,275</w:t>
            </w:r>
          </w:p>
        </w:tc>
        <w:tc>
          <w:tcPr>
            <w:tcW w:type="dxa" w:w="1134"/>
          </w:tcPr>
          <w:p>
            <w:pPr>
              <w:jc w:val="right"/>
            </w:pPr>
            <w:r/>
            <w:r>
              <w:rPr>
                <w:color w:val="1A1D21"/>
                <w:sz w:val="17"/>
              </w:rPr>
              <w:t>46,538</w:t>
            </w:r>
          </w:p>
        </w:tc>
        <w:tc>
          <w:tcPr>
            <w:tcW w:type="dxa" w:w="1134"/>
          </w:tcPr>
          <w:p>
            <w:pPr>
              <w:jc w:val="right"/>
            </w:pPr>
            <w:r/>
            <w:r>
              <w:rPr>
                <w:color w:val="1A1D21"/>
                <w:sz w:val="17"/>
              </w:rPr>
              <w:t>53,031</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32.3%</w:t>
            </w:r>
          </w:p>
        </w:tc>
        <w:tc>
          <w:tcPr>
            <w:tcW w:type="dxa" w:w="1134"/>
          </w:tcPr>
          <w:p>
            <w:pPr>
              <w:jc w:val="right"/>
            </w:pPr>
            <w:r/>
            <w:r>
              <w:rPr>
                <w:color w:val="1A1D21"/>
                <w:sz w:val="17"/>
              </w:rPr>
              <w:t>32.8%</w:t>
            </w:r>
          </w:p>
        </w:tc>
        <w:tc>
          <w:tcPr>
            <w:tcW w:type="dxa" w:w="1134"/>
          </w:tcPr>
          <w:p>
            <w:pPr>
              <w:jc w:val="right"/>
            </w:pPr>
            <w:r/>
            <w:r>
              <w:rPr>
                <w:color w:val="1A1D21"/>
                <w:sz w:val="17"/>
              </w:rPr>
              <w:t>32.8%</w:t>
            </w:r>
          </w:p>
        </w:tc>
        <w:tc>
          <w:tcPr>
            <w:tcW w:type="dxa" w:w="1134"/>
          </w:tcPr>
          <w:p>
            <w:pPr>
              <w:jc w:val="right"/>
            </w:pPr>
            <w:r/>
            <w:r>
              <w:rPr>
                <w:color w:val="1A1D21"/>
                <w:sz w:val="17"/>
              </w:rPr>
              <w:t>32.8%</w:t>
            </w:r>
          </w:p>
        </w:tc>
      </w:tr>
      <w:tr>
        <w:trPr>
          <w:cantSplit/>
        </w:trPr>
        <w:tc>
          <w:tcPr>
            <w:tcW w:type="dxa" w:w="3515"/>
          </w:tcPr>
          <w:p>
            <w:r/>
            <w:r>
              <w:rPr>
                <w:color w:val="1A1D21"/>
                <w:sz w:val="17"/>
              </w:rPr>
              <w:t>Overheads</w:t>
            </w:r>
          </w:p>
        </w:tc>
        <w:tc>
          <w:tcPr>
            <w:tcW w:type="dxa" w:w="1134"/>
          </w:tcPr>
          <w:p>
            <w:pPr>
              <w:jc w:val="right"/>
            </w:pPr>
            <w:r/>
            <w:r>
              <w:rPr>
                <w:color w:val="1A1D21"/>
                <w:sz w:val="17"/>
              </w:rPr>
              <w:t>-5,438</w:t>
            </w:r>
          </w:p>
        </w:tc>
        <w:tc>
          <w:tcPr>
            <w:tcW w:type="dxa" w:w="1134"/>
          </w:tcPr>
          <w:p>
            <w:pPr>
              <w:jc w:val="right"/>
            </w:pPr>
            <w:r/>
            <w:r>
              <w:rPr>
                <w:color w:val="1A1D21"/>
                <w:sz w:val="17"/>
              </w:rPr>
              <w:t>-6,766</w:t>
            </w:r>
          </w:p>
        </w:tc>
        <w:tc>
          <w:tcPr>
            <w:tcW w:type="dxa" w:w="1134"/>
          </w:tcPr>
          <w:p>
            <w:pPr>
              <w:jc w:val="right"/>
            </w:pPr>
            <w:r/>
            <w:r>
              <w:rPr>
                <w:color w:val="1A1D21"/>
                <w:sz w:val="17"/>
              </w:rPr>
              <w:t>-8,285</w:t>
            </w:r>
          </w:p>
        </w:tc>
        <w:tc>
          <w:tcPr>
            <w:tcW w:type="dxa" w:w="1134"/>
          </w:tcPr>
          <w:p>
            <w:pPr>
              <w:jc w:val="right"/>
            </w:pPr>
            <w:r/>
            <w:r>
              <w:rPr>
                <w:color w:val="1A1D21"/>
                <w:sz w:val="17"/>
              </w:rPr>
              <w:t>-9,574</w:t>
            </w:r>
          </w:p>
        </w:tc>
        <w:tc>
          <w:tcPr>
            <w:tcW w:type="dxa" w:w="1134"/>
          </w:tcPr>
          <w:p>
            <w:pPr>
              <w:jc w:val="right"/>
            </w:pPr>
            <w:r/>
            <w:r>
              <w:rPr>
                <w:color w:val="1A1D21"/>
                <w:sz w:val="17"/>
              </w:rPr>
              <w:t>-10,911</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-1,182</w:t>
            </w:r>
          </w:p>
        </w:tc>
        <w:tc>
          <w:tcPr>
            <w:tcW w:type="dxa" w:w="1134"/>
          </w:tcPr>
          <w:p>
            <w:pPr>
              <w:jc w:val="right"/>
            </w:pPr>
            <w:r/>
            <w:r>
              <w:rPr>
                <w:color w:val="1A1D21"/>
                <w:sz w:val="17"/>
              </w:rPr>
              <w:t>-1,219</w:t>
            </w:r>
          </w:p>
        </w:tc>
        <w:tc>
          <w:tcPr>
            <w:tcW w:type="dxa" w:w="1134"/>
          </w:tcPr>
          <w:p>
            <w:pPr>
              <w:jc w:val="right"/>
            </w:pPr>
            <w:r/>
            <w:r>
              <w:rPr>
                <w:color w:val="1A1D21"/>
                <w:sz w:val="17"/>
              </w:rPr>
              <w:t>-1,264</w:t>
            </w:r>
          </w:p>
        </w:tc>
      </w:tr>
      <w:tr>
        <w:trPr>
          <w:cantSplit/>
        </w:trPr>
        <w:tc>
          <w:tcPr>
            <w:tcW w:type="dxa" w:w="3515"/>
          </w:tcPr>
          <w:p>
            <w:r/>
            <w:r>
              <w:rPr>
                <w:color w:val="1A1D21"/>
                <w:sz w:val="17"/>
              </w:rPr>
              <w:t>Operating profit</w:t>
            </w:r>
          </w:p>
        </w:tc>
        <w:tc>
          <w:tcPr>
            <w:tcW w:type="dxa" w:w="1134"/>
          </w:tcPr>
          <w:p>
            <w:pPr>
              <w:jc w:val="right"/>
            </w:pPr>
            <w:r/>
            <w:r>
              <w:rPr>
                <w:color w:val="1A1D21"/>
                <w:sz w:val="17"/>
              </w:rPr>
              <w:t>18,897</w:t>
            </w:r>
          </w:p>
        </w:tc>
        <w:tc>
          <w:tcPr>
            <w:tcW w:type="dxa" w:w="1134"/>
          </w:tcPr>
          <w:p>
            <w:pPr>
              <w:jc w:val="right"/>
            </w:pPr>
            <w:r/>
            <w:r>
              <w:rPr>
                <w:color w:val="1A1D21"/>
                <w:sz w:val="17"/>
              </w:rPr>
              <w:t>24,400</w:t>
            </w:r>
          </w:p>
        </w:tc>
        <w:tc>
          <w:tcPr>
            <w:tcW w:type="dxa" w:w="1134"/>
          </w:tcPr>
          <w:p>
            <w:pPr>
              <w:jc w:val="right"/>
            </w:pPr>
            <w:r/>
            <w:r>
              <w:rPr>
                <w:color w:val="1A1D21"/>
                <w:sz w:val="17"/>
              </w:rPr>
              <w:t>30,809</w:t>
            </w:r>
          </w:p>
        </w:tc>
        <w:tc>
          <w:tcPr>
            <w:tcW w:type="dxa" w:w="1134"/>
          </w:tcPr>
          <w:p>
            <w:pPr>
              <w:jc w:val="right"/>
            </w:pPr>
            <w:r/>
            <w:r>
              <w:rPr>
                <w:color w:val="1A1D21"/>
                <w:sz w:val="17"/>
              </w:rPr>
              <w:t>35,745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-4,252</w:t>
            </w:r>
          </w:p>
        </w:tc>
        <w:tc>
          <w:tcPr>
            <w:tcW w:type="dxa" w:w="1134"/>
          </w:tcPr>
          <w:p>
            <w:pPr>
              <w:jc w:val="right"/>
            </w:pPr>
            <w:r/>
            <w:r>
              <w:rPr>
                <w:color w:val="1A1D21"/>
                <w:sz w:val="17"/>
              </w:rPr>
              <w:t>-5,490</w:t>
            </w:r>
          </w:p>
        </w:tc>
        <w:tc>
          <w:tcPr>
            <w:tcW w:type="dxa" w:w="1134"/>
          </w:tcPr>
          <w:p>
            <w:pPr>
              <w:jc w:val="right"/>
            </w:pPr>
            <w:r/>
            <w:r>
              <w:rPr>
                <w:color w:val="1A1D21"/>
                <w:sz w:val="17"/>
              </w:rPr>
              <w:t>-6,932</w:t>
            </w:r>
          </w:p>
        </w:tc>
        <w:tc>
          <w:tcPr>
            <w:tcW w:type="dxa" w:w="1134"/>
          </w:tcPr>
          <w:p>
            <w:pPr>
              <w:jc w:val="right"/>
            </w:pPr>
            <w:r/>
            <w:r>
              <w:rPr>
                <w:color w:val="1A1D21"/>
                <w:sz w:val="17"/>
              </w:rPr>
              <w:t>-8,043</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14,645</w:t>
            </w:r>
          </w:p>
        </w:tc>
        <w:tc>
          <w:tcPr>
            <w:tcW w:type="dxa" w:w="1134"/>
          </w:tcPr>
          <w:p>
            <w:pPr>
              <w:jc w:val="right"/>
            </w:pPr>
            <w:r/>
            <w:r>
              <w:rPr>
                <w:color w:val="1A1D21"/>
                <w:sz w:val="17"/>
              </w:rPr>
              <w:t>18,910</w:t>
            </w:r>
          </w:p>
        </w:tc>
        <w:tc>
          <w:tcPr>
            <w:tcW w:type="dxa" w:w="1134"/>
          </w:tcPr>
          <w:p>
            <w:pPr>
              <w:jc w:val="right"/>
            </w:pPr>
            <w:r/>
            <w:r>
              <w:rPr>
                <w:color w:val="1A1D21"/>
                <w:sz w:val="17"/>
              </w:rPr>
              <w:t>23,877</w:t>
            </w:r>
          </w:p>
        </w:tc>
        <w:tc>
          <w:tcPr>
            <w:tcW w:type="dxa" w:w="1134"/>
          </w:tcPr>
          <w:p>
            <w:pPr>
              <w:jc w:val="right"/>
            </w:pPr>
            <w:r/>
            <w:r>
              <w:rPr>
                <w:color w:val="1A1D21"/>
                <w:sz w:val="17"/>
              </w:rPr>
              <w:t>27,703</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1,182</w:t>
            </w:r>
          </w:p>
        </w:tc>
        <w:tc>
          <w:tcPr>
            <w:tcW w:type="dxa" w:w="1134"/>
          </w:tcPr>
          <w:p>
            <w:pPr>
              <w:jc w:val="right"/>
            </w:pPr>
            <w:r/>
            <w:r>
              <w:rPr>
                <w:color w:val="1A1D21"/>
                <w:sz w:val="17"/>
              </w:rPr>
              <w:t>1,219</w:t>
            </w:r>
          </w:p>
        </w:tc>
        <w:tc>
          <w:tcPr>
            <w:tcW w:type="dxa" w:w="1134"/>
          </w:tcPr>
          <w:p>
            <w:pPr>
              <w:jc w:val="right"/>
            </w:pPr>
            <w:r/>
            <w:r>
              <w:rPr>
                <w:color w:val="1A1D21"/>
                <w:sz w:val="17"/>
              </w:rPr>
              <w:t>1,264</w:t>
            </w:r>
          </w:p>
        </w:tc>
      </w:tr>
      <w:tr>
        <w:trPr>
          <w:cantSplit/>
        </w:trPr>
        <w:tc>
          <w:tcPr>
            <w:tcW w:type="dxa" w:w="3515"/>
          </w:tcPr>
          <w:p>
            <w:r/>
            <w:r>
              <w:rPr>
                <w:color w:val="1A1D21"/>
                <w:sz w:val="17"/>
              </w:rPr>
              <w:t>less capital spend</w:t>
            </w:r>
          </w:p>
        </w:tc>
        <w:tc>
          <w:tcPr>
            <w:tcW w:type="dxa" w:w="1134"/>
          </w:tcPr>
          <w:p>
            <w:pPr>
              <w:jc w:val="right"/>
            </w:pPr>
            <w:r/>
            <w:r>
              <w:rPr>
                <w:color w:val="1A1D21"/>
                <w:sz w:val="17"/>
              </w:rPr>
              <w:t>-2,320</w:t>
            </w:r>
          </w:p>
        </w:tc>
        <w:tc>
          <w:tcPr>
            <w:tcW w:type="dxa" w:w="1134"/>
          </w:tcPr>
          <w:p>
            <w:pPr>
              <w:jc w:val="right"/>
            </w:pPr>
            <w:r/>
            <w:r>
              <w:rPr>
                <w:color w:val="1A1D21"/>
                <w:sz w:val="17"/>
              </w:rPr>
              <w:t>-3,213</w:t>
            </w:r>
          </w:p>
        </w:tc>
        <w:tc>
          <w:tcPr>
            <w:tcW w:type="dxa" w:w="1134"/>
          </w:tcPr>
          <w:p>
            <w:pPr>
              <w:jc w:val="right"/>
            </w:pPr>
            <w:r/>
            <w:r>
              <w:rPr>
                <w:color w:val="1A1D21"/>
                <w:sz w:val="17"/>
              </w:rPr>
              <w:t>-4,298</w:t>
            </w:r>
          </w:p>
        </w:tc>
        <w:tc>
          <w:tcPr>
            <w:tcW w:type="dxa" w:w="1134"/>
          </w:tcPr>
          <w:p>
            <w:pPr>
              <w:jc w:val="right"/>
            </w:pPr>
            <w:r/>
            <w:r>
              <w:rPr>
                <w:color w:val="1A1D21"/>
                <w:sz w:val="17"/>
              </w:rPr>
              <w:t>-4,969</w:t>
            </w:r>
          </w:p>
        </w:tc>
        <w:tc>
          <w:tcPr>
            <w:tcW w:type="dxa" w:w="1134"/>
          </w:tcPr>
          <w:p>
            <w:pPr>
              <w:jc w:val="right"/>
            </w:pPr>
            <w:r/>
            <w:r>
              <w:rPr>
                <w:color w:val="1A1D21"/>
                <w:sz w:val="17"/>
              </w:rPr>
              <w:t>-5,665</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-6,024</w:t>
            </w:r>
          </w:p>
        </w:tc>
        <w:tc>
          <w:tcPr>
            <w:tcW w:type="dxa" w:w="1134"/>
          </w:tcPr>
          <w:p>
            <w:pPr>
              <w:jc w:val="right"/>
            </w:pPr>
            <w:r/>
            <w:r>
              <w:rPr>
                <w:color w:val="1A1D21"/>
                <w:sz w:val="17"/>
              </w:rPr>
              <w:t>-11,723</w:t>
            </w:r>
          </w:p>
        </w:tc>
        <w:tc>
          <w:tcPr>
            <w:tcW w:type="dxa" w:w="1134"/>
          </w:tcPr>
          <w:p>
            <w:pPr>
              <w:jc w:val="right"/>
            </w:pPr>
            <w:r/>
            <w:r>
              <w:rPr>
                <w:color w:val="1A1D21"/>
                <w:sz w:val="17"/>
              </w:rPr>
              <w:t>-16,407</w:t>
            </w:r>
          </w:p>
        </w:tc>
        <w:tc>
          <w:tcPr>
            <w:tcW w:type="dxa" w:w="1134"/>
          </w:tcPr>
          <w:p>
            <w:pPr>
              <w:jc w:val="right"/>
            </w:pPr>
            <w:r/>
            <w:r>
              <w:rPr>
                <w:color w:val="1A1D21"/>
                <w:sz w:val="17"/>
              </w:rPr>
              <w:t>-20,154</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-772</w:t>
            </w:r>
          </w:p>
        </w:tc>
        <w:tc>
          <w:tcPr>
            <w:tcW w:type="dxa" w:w="1134"/>
          </w:tcPr>
          <w:p>
            <w:pPr>
              <w:jc w:val="right"/>
            </w:pPr>
            <w:r/>
            <w:r>
              <w:rPr>
                <w:color w:val="1A1D21"/>
                <w:sz w:val="17"/>
              </w:rPr>
              <w:t>5,442</w:t>
            </w:r>
          </w:p>
        </w:tc>
        <w:tc>
          <w:tcPr>
            <w:tcW w:type="dxa" w:w="1134"/>
          </w:tcPr>
          <w:p>
            <w:pPr>
              <w:jc w:val="right"/>
            </w:pPr>
            <w:r/>
            <w:r>
              <w:rPr>
                <w:color w:val="1A1D21"/>
                <w:sz w:val="17"/>
              </w:rPr>
              <w:t>10,591</w:t>
            </w:r>
          </w:p>
        </w:tc>
        <w:tc>
          <w:tcPr>
            <w:tcW w:type="dxa" w:w="1134"/>
          </w:tcPr>
          <w:p>
            <w:pPr>
              <w:jc w:val="right"/>
            </w:pPr>
            <w:r/>
            <w:r>
              <w:rPr>
                <w:color w:val="1A1D21"/>
                <w:sz w:val="17"/>
              </w:rPr>
              <w:t>14,823</w:t>
            </w:r>
          </w:p>
        </w:tc>
        <w:tc>
          <w:tcPr>
            <w:tcW w:type="dxa" w:w="1134"/>
          </w:tcPr>
          <w:p>
            <w:pPr>
              <w:jc w:val="right"/>
            </w:pPr>
            <w:r/>
            <w:r>
              <w:rPr>
                <w:color w:val="1A1D21"/>
                <w:sz w:val="17"/>
              </w:rPr>
              <w:t>18,207</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13,550</w:t>
            </w:r>
          </w:p>
        </w:tc>
        <w:tc>
          <w:tcPr>
            <w:tcW w:type="dxa" w:w="1134"/>
          </w:tcPr>
          <w:p>
            <w:pPr>
              <w:jc w:val="right"/>
            </w:pPr>
            <w:r/>
            <w:r>
              <w:rPr>
                <w:color w:val="1A1D21"/>
                <w:sz w:val="17"/>
              </w:rPr>
              <w:t>16,272</w:t>
            </w:r>
          </w:p>
        </w:tc>
        <w:tc>
          <w:tcPr>
            <w:tcW w:type="dxa" w:w="1134"/>
          </w:tcPr>
          <w:p>
            <w:pPr>
              <w:jc w:val="right"/>
            </w:pPr>
            <w:r/>
            <w:r>
              <w:rPr>
                <w:color w:val="1A1D21"/>
                <w:sz w:val="17"/>
              </w:rPr>
              <w:t>19,629</w:t>
            </w:r>
          </w:p>
        </w:tc>
        <w:tc>
          <w:tcPr>
            <w:tcW w:type="dxa" w:w="1134"/>
          </w:tcPr>
          <w:p>
            <w:pPr>
              <w:jc w:val="right"/>
            </w:pPr>
            <w:r/>
            <w:r>
              <w:rPr>
                <w:color w:val="1A1D21"/>
                <w:sz w:val="17"/>
              </w:rPr>
              <w:t>22,368</w:t>
            </w:r>
          </w:p>
        </w:tc>
        <w:tc>
          <w:tcPr>
            <w:tcW w:type="dxa" w:w="1134"/>
          </w:tcPr>
          <w:p>
            <w:pPr>
              <w:jc w:val="right"/>
            </w:pPr>
            <w:r/>
            <w:r>
              <w:rPr>
                <w:color w:val="1A1D21"/>
                <w:sz w:val="17"/>
              </w:rPr>
              <w:t>25,316</w:t>
            </w:r>
          </w:p>
        </w:tc>
      </w:tr>
      <w:tr>
        <w:trPr>
          <w:cantSplit/>
        </w:trPr>
        <w:tc>
          <w:tcPr>
            <w:tcW w:type="dxa" w:w="3515"/>
          </w:tcPr>
          <w:p>
            <w:r/>
            <w:r>
              <w:rPr>
                <w:color w:val="1A1D21"/>
                <w:sz w:val="17"/>
              </w:rPr>
              <w:t>Discount factor</w:t>
            </w:r>
          </w:p>
        </w:tc>
        <w:tc>
          <w:tcPr>
            <w:tcW w:type="dxa" w:w="1134"/>
          </w:tcPr>
          <w:p>
            <w:pPr>
              <w:jc w:val="right"/>
            </w:pPr>
            <w:r/>
            <w:r>
              <w:rPr>
                <w:color w:val="1A1D21"/>
                <w:sz w:val="17"/>
              </w:rPr>
              <w:t>0.7601</w:t>
            </w:r>
          </w:p>
        </w:tc>
        <w:tc>
          <w:tcPr>
            <w:tcW w:type="dxa" w:w="1134"/>
          </w:tcPr>
          <w:p>
            <w:pPr>
              <w:jc w:val="right"/>
            </w:pPr>
            <w:r/>
            <w:r>
              <w:rPr>
                <w:color w:val="1A1D21"/>
                <w:sz w:val="17"/>
              </w:rPr>
              <w:t>0.5839</w:t>
            </w:r>
          </w:p>
        </w:tc>
        <w:tc>
          <w:tcPr>
            <w:tcW w:type="dxa" w:w="1134"/>
          </w:tcPr>
          <w:p>
            <w:pPr>
              <w:jc w:val="right"/>
            </w:pPr>
            <w:r/>
            <w:r>
              <w:rPr>
                <w:color w:val="1A1D21"/>
                <w:sz w:val="17"/>
              </w:rPr>
              <w:t>0.4535</w:t>
            </w:r>
          </w:p>
        </w:tc>
        <w:tc>
          <w:tcPr>
            <w:tcW w:type="dxa" w:w="1134"/>
          </w:tcPr>
          <w:p>
            <w:pPr>
              <w:jc w:val="right"/>
            </w:pPr>
            <w:r/>
            <w:r>
              <w:rPr>
                <w:color w:val="1A1D21"/>
                <w:sz w:val="17"/>
              </w:rPr>
              <w:t>0.3561</w:t>
            </w:r>
          </w:p>
        </w:tc>
        <w:tc>
          <w:tcPr>
            <w:tcW w:type="dxa" w:w="1134"/>
          </w:tcPr>
          <w:p>
            <w:pPr>
              <w:jc w:val="right"/>
            </w:pPr>
            <w:r/>
            <w:r>
              <w:rPr>
                <w:color w:val="1A1D21"/>
                <w:sz w:val="17"/>
              </w:rPr>
              <w:t>0.2827</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10,299</w:t>
            </w:r>
          </w:p>
        </w:tc>
        <w:tc>
          <w:tcPr>
            <w:tcW w:type="dxa" w:w="1134"/>
          </w:tcPr>
          <w:p>
            <w:pPr>
              <w:jc w:val="right"/>
            </w:pPr>
            <w:r/>
            <w:r>
              <w:rPr>
                <w:color w:val="1A1D21"/>
                <w:sz w:val="17"/>
              </w:rPr>
              <w:t>9,502</w:t>
            </w:r>
          </w:p>
        </w:tc>
        <w:tc>
          <w:tcPr>
            <w:tcW w:type="dxa" w:w="1134"/>
          </w:tcPr>
          <w:p>
            <w:pPr>
              <w:jc w:val="right"/>
            </w:pPr>
            <w:r/>
            <w:r>
              <w:rPr>
                <w:color w:val="1A1D21"/>
                <w:sz w:val="17"/>
              </w:rPr>
              <w:t>8,902</w:t>
            </w:r>
          </w:p>
        </w:tc>
        <w:tc>
          <w:tcPr>
            <w:tcW w:type="dxa" w:w="1134"/>
          </w:tcPr>
          <w:p>
            <w:pPr>
              <w:jc w:val="right"/>
            </w:pPr>
            <w:r/>
            <w:r>
              <w:rPr>
                <w:color w:val="1A1D21"/>
                <w:sz w:val="17"/>
              </w:rPr>
              <w:t>7,966</w:t>
            </w:r>
          </w:p>
        </w:tc>
        <w:tc>
          <w:tcPr>
            <w:tcW w:type="dxa" w:w="1134"/>
          </w:tcPr>
          <w:p>
            <w:pPr>
              <w:jc w:val="right"/>
            </w:pPr>
            <w:r/>
            <w:r>
              <w:rPr>
                <w:color w:val="1A1D21"/>
                <w:sz w:val="17"/>
              </w:rPr>
              <w:t>7,158</w:t>
            </w:r>
          </w:p>
        </w:tc>
      </w:tr>
    </w:tbl>
    <w:p>
      <w:pPr>
        <w:spacing w:after="200"/>
      </w:pPr>
      <w:r>
        <w:rPr>
          <w:b w:val="0"/>
          <w:i/>
          <w:color w:val="5B6570"/>
          <w:sz w:val="16"/>
        </w:rPr>
        <w:t>The first five of the ten explicit years, on the slower-conversion case; the full waterfall is in the workbook.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93,795</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0</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12,236</w:t>
            </w:r>
          </w:p>
        </w:tc>
      </w:tr>
      <w:tr>
        <w:trPr>
          <w:cantSplit/>
        </w:trPr>
        <w:tc>
          <w:tcPr>
            <w:tcW w:type="dxa" w:w="6236"/>
          </w:tcPr>
          <w:p>
            <w:r/>
            <w:r>
              <w:rPr>
                <w:color w:val="1A1D21"/>
                <w:sz w:val="17"/>
              </w:rPr>
              <w:t>Enterprise value</w:t>
            </w:r>
          </w:p>
        </w:tc>
        <w:tc>
          <w:tcPr>
            <w:tcW w:type="dxa" w:w="2948"/>
          </w:tcPr>
          <w:p>
            <w:pPr>
              <w:jc w:val="right"/>
            </w:pPr>
            <w:r/>
            <w:r>
              <w:rPr>
                <w:color w:val="1A1D21"/>
                <w:sz w:val="17"/>
              </w:rPr>
              <w:t>106,031</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193,325</w:t>
            </w:r>
          </w:p>
        </w:tc>
      </w:tr>
      <w:tr>
        <w:trPr>
          <w:cantSplit/>
        </w:trPr>
        <w:tc>
          <w:tcPr>
            <w:tcW w:type="dxa" w:w="6236"/>
          </w:tcPr>
          <w:p>
            <w:r/>
            <w:r>
              <w:rPr>
                <w:color w:val="1A1D21"/>
                <w:sz w:val="17"/>
              </w:rPr>
              <w:t>Non-controlling interests, at book</w:t>
            </w:r>
          </w:p>
        </w:tc>
        <w:tc>
          <w:tcPr>
            <w:tcW w:type="dxa" w:w="2948"/>
          </w:tcPr>
          <w:p>
            <w:pPr>
              <w:jc w:val="right"/>
            </w:pPr>
            <w:r/>
            <w:r>
              <w:rPr>
                <w:color w:val="1A1D21"/>
                <w:sz w:val="17"/>
              </w:rPr>
              <w:t>(75,653)</w:t>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117,672</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57.10</w:t>
            </w:r>
          </w:p>
        </w:tc>
      </w:tr>
    </w:tbl>
    <w:p>
      <w:pPr>
        <w:spacing w:after="200"/>
      </w:pPr>
      <w:r>
        <w:rPr>
          <w:b w:val="0"/>
          <w:i/>
          <w:color w:val="5B6570"/>
          <w:sz w:val="16"/>
        </w:rPr>
        <w:t>The slower-conversion case on the rating-based premium. The other three cases run the same bridge on their own numbers.</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1021"/>
        <w:gridCol w:w="2608"/>
        <w:gridCol w:w="2495"/>
        <w:gridCol w:w="2495"/>
      </w:tblGrid>
      <w:tr>
        <w:trPr>
          <w:tblHeader w:val="true"/>
        </w:trPr>
        <w:tc>
          <w:tcPr>
            <w:tcW w:type="dxa" w:w="1020"/>
          </w:tcPr>
          <w:p>
            <w:r/>
            <w:r>
              <w:rPr>
                <w:b/>
                <w:color w:val="5B6570"/>
                <w:sz w:val="17"/>
              </w:rPr>
              <w:t>Year</w:t>
            </w:r>
          </w:p>
        </w:tc>
        <w:tc>
          <w:tcPr>
            <w:tcW w:type="dxa" w:w="2608"/>
          </w:tcPr>
          <w:p>
            <w:r/>
            <w:r>
              <w:rPr>
                <w:b/>
                <w:color w:val="5B6570"/>
                <w:sz w:val="17"/>
              </w:rPr>
              <w:t>Attributable profit as reported</w:t>
            </w:r>
          </w:p>
        </w:tc>
        <w:tc>
          <w:tcPr>
            <w:tcW w:type="dxa" w:w="2494"/>
          </w:tcPr>
          <w:p>
            <w:r/>
            <w:r>
              <w:rPr>
                <w:b/>
                <w:color w:val="5B6570"/>
                <w:sz w:val="17"/>
              </w:rPr>
              <w:t>Revaluation gain at group level</w:t>
            </w:r>
          </w:p>
        </w:tc>
        <w:tc>
          <w:tcPr>
            <w:tcW w:type="dxa" w:w="2494"/>
          </w:tcPr>
          <w:p>
            <w:r/>
            <w:r>
              <w:rPr>
                <w:b/>
                <w:color w:val="5B6570"/>
                <w:sz w:val="17"/>
              </w:rPr>
              <w:t>Cleaned attributable profit</w:t>
            </w:r>
          </w:p>
        </w:tc>
      </w:tr>
      <w:tr>
        <w:trPr>
          <w:cantSplit/>
        </w:trPr>
        <w:tc>
          <w:tcPr>
            <w:tcW w:type="dxa" w:w="1020"/>
          </w:tcPr>
          <w:p>
            <w:r/>
            <w:r>
              <w:rPr>
                <w:color w:val="1A1D21"/>
                <w:sz w:val="17"/>
              </w:rPr>
              <w:t>2023</w:t>
            </w:r>
          </w:p>
        </w:tc>
        <w:tc>
          <w:tcPr>
            <w:tcW w:type="dxa" w:w="2608"/>
          </w:tcPr>
          <w:p>
            <w:pPr>
              <w:jc w:val="right"/>
            </w:pPr>
            <w:r/>
            <w:r>
              <w:rPr>
                <w:color w:val="1A1D21"/>
                <w:sz w:val="17"/>
              </w:rPr>
              <w:t>3,313</w:t>
            </w:r>
          </w:p>
        </w:tc>
        <w:tc>
          <w:tcPr>
            <w:tcW w:type="dxa" w:w="2494"/>
          </w:tcPr>
          <w:p>
            <w:pPr>
              <w:jc w:val="right"/>
            </w:pPr>
            <w:r/>
            <w:r>
              <w:rPr>
                <w:color w:val="1A1D21"/>
                <w:sz w:val="17"/>
              </w:rPr>
              <w:t>0</w:t>
            </w:r>
          </w:p>
        </w:tc>
        <w:tc>
          <w:tcPr>
            <w:tcW w:type="dxa" w:w="2494"/>
          </w:tcPr>
          <w:p>
            <w:pPr>
              <w:jc w:val="right"/>
            </w:pPr>
            <w:r/>
            <w:r>
              <w:rPr>
                <w:color w:val="1A1D21"/>
                <w:sz w:val="17"/>
              </w:rPr>
              <w:t>3,313</w:t>
            </w:r>
          </w:p>
        </w:tc>
      </w:tr>
      <w:tr>
        <w:trPr>
          <w:cantSplit/>
        </w:trPr>
        <w:tc>
          <w:tcPr>
            <w:tcW w:type="dxa" w:w="1020"/>
          </w:tcPr>
          <w:p>
            <w:r/>
            <w:r>
              <w:rPr>
                <w:color w:val="1A1D21"/>
                <w:sz w:val="17"/>
              </w:rPr>
              <w:t>2024</w:t>
            </w:r>
          </w:p>
        </w:tc>
        <w:tc>
          <w:tcPr>
            <w:tcW w:type="dxa" w:w="2608"/>
          </w:tcPr>
          <w:p>
            <w:pPr>
              <w:jc w:val="right"/>
            </w:pPr>
            <w:r/>
            <w:r>
              <w:rPr>
                <w:color w:val="1A1D21"/>
                <w:sz w:val="17"/>
              </w:rPr>
              <w:t>10,723</w:t>
            </w:r>
          </w:p>
        </w:tc>
        <w:tc>
          <w:tcPr>
            <w:tcW w:type="dxa" w:w="2494"/>
          </w:tcPr>
          <w:p>
            <w:pPr>
              <w:jc w:val="right"/>
            </w:pPr>
            <w:r/>
            <w:r>
              <w:rPr>
                <w:color w:val="1A1D21"/>
                <w:sz w:val="17"/>
              </w:rPr>
              <w:t>4,924</w:t>
            </w:r>
          </w:p>
        </w:tc>
        <w:tc>
          <w:tcPr>
            <w:tcW w:type="dxa" w:w="2494"/>
          </w:tcPr>
          <w:p>
            <w:pPr>
              <w:jc w:val="right"/>
            </w:pPr>
            <w:r/>
            <w:r>
              <w:rPr>
                <w:color w:val="1A1D21"/>
                <w:sz w:val="17"/>
              </w:rPr>
              <w:t>8,025</w:t>
            </w:r>
          </w:p>
        </w:tc>
      </w:tr>
      <w:tr>
        <w:trPr>
          <w:cantSplit/>
        </w:trPr>
        <w:tc>
          <w:tcPr>
            <w:tcW w:type="dxa" w:w="1020"/>
          </w:tcPr>
          <w:p>
            <w:r/>
            <w:r>
              <w:rPr>
                <w:color w:val="1A1D21"/>
                <w:sz w:val="17"/>
              </w:rPr>
              <w:t>2025</w:t>
            </w:r>
          </w:p>
        </w:tc>
        <w:tc>
          <w:tcPr>
            <w:tcW w:type="dxa" w:w="2608"/>
          </w:tcPr>
          <w:p>
            <w:pPr>
              <w:jc w:val="right"/>
            </w:pPr>
            <w:r/>
            <w:r>
              <w:rPr>
                <w:color w:val="1A1D21"/>
                <w:sz w:val="17"/>
              </w:rPr>
              <w:t>14,384</w:t>
            </w:r>
          </w:p>
        </w:tc>
        <w:tc>
          <w:tcPr>
            <w:tcW w:type="dxa" w:w="2494"/>
          </w:tcPr>
          <w:p>
            <w:pPr>
              <w:jc w:val="right"/>
            </w:pPr>
            <w:r/>
            <w:r>
              <w:rPr>
                <w:color w:val="1A1D21"/>
                <w:sz w:val="17"/>
              </w:rPr>
              <w:t>3,952</w:t>
            </w:r>
          </w:p>
        </w:tc>
        <w:tc>
          <w:tcPr>
            <w:tcW w:type="dxa" w:w="2494"/>
          </w:tcPr>
          <w:p>
            <w:pPr>
              <w:jc w:val="right"/>
            </w:pPr>
            <w:r/>
            <w:r>
              <w:rPr>
                <w:color w:val="1A1D21"/>
                <w:sz w:val="17"/>
              </w:rPr>
              <w:t>12,218</w:t>
            </w:r>
          </w:p>
        </w:tc>
      </w:tr>
    </w:tbl>
    <w:p>
      <w:pPr>
        <w:spacing w:after="200"/>
      </w:pPr>
      <w:r>
        <w:rPr>
          <w:b w:val="0"/>
          <w:i/>
          <w:color w:val="5B6570"/>
          <w:sz w:val="16"/>
        </w:rPr>
        <w:t>EGP million.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2268"/>
        <w:gridCol w:w="1361"/>
        <w:gridCol w:w="1474"/>
        <w:gridCol w:w="1814"/>
        <w:gridCol w:w="2268"/>
      </w:tblGrid>
      <w:tr>
        <w:trPr>
          <w:tblHeader w:val="true"/>
        </w:trPr>
        <w:tc>
          <w:tcPr>
            <w:tcW w:type="dxa" w:w="2268"/>
          </w:tcPr>
          <w:p>
            <w:r/>
            <w:r>
              <w:rPr>
                <w:b/>
                <w:color w:val="5B6570"/>
                <w:sz w:val="17"/>
              </w:rPr>
              <w:t>Driver</w:t>
            </w:r>
          </w:p>
        </w:tc>
        <w:tc>
          <w:tcPr>
            <w:tcW w:type="dxa" w:w="1361"/>
          </w:tcPr>
          <w:p>
            <w:r/>
            <w:r>
              <w:rPr>
                <w:b/>
                <w:color w:val="5B6570"/>
                <w:sz w:val="17"/>
              </w:rPr>
              <w:t>Observations</w:t>
            </w:r>
          </w:p>
        </w:tc>
        <w:tc>
          <w:tcPr>
            <w:tcW w:type="dxa" w:w="1474"/>
          </w:tcPr>
          <w:p>
            <w:r/>
            <w:r>
              <w:rPr>
                <w:b/>
                <w:color w:val="5B6570"/>
                <w:sz w:val="17"/>
              </w:rPr>
              <w:t>Average error</w:t>
            </w:r>
          </w:p>
        </w:tc>
        <w:tc>
          <w:tcPr>
            <w:tcW w:type="dxa" w:w="1814"/>
          </w:tcPr>
          <w:p>
            <w:r/>
            <w:r>
              <w:rPr>
                <w:b/>
                <w:color w:val="5B6570"/>
                <w:sz w:val="17"/>
              </w:rPr>
              <w:t>Average size of error</w:t>
            </w:r>
          </w:p>
        </w:tc>
        <w:tc>
          <w:tcPr>
            <w:tcW w:type="dxa" w:w="2268"/>
          </w:tcPr>
          <w:p>
            <w:r/>
            <w:r>
              <w:rPr>
                <w:b/>
                <w:color w:val="5B6570"/>
                <w:sz w:val="17"/>
              </w:rPr>
              <w:t>Consistent across the record</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6% low and a typical error of 28%,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against borrowings of EGP 16,493 million implies a rate of about 44%, against an Egyptian policy rate that peaked near 27.25%.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50.68</w:t>
            </w:r>
          </w:p>
        </w:tc>
      </w:tr>
      <w:tr>
        <w:trPr>
          <w:cantSplit/>
        </w:trPr>
        <w:tc>
          <w:tcPr>
            <w:tcW w:type="dxa" w:w="3969"/>
          </w:tcPr>
          <w:p>
            <w:r/>
            <w:r>
              <w:rPr>
                <w:color w:val="1A1D21"/>
                <w:sz w:val="17"/>
              </w:rPr>
              <w:t>10</w:t>
            </w:r>
          </w:p>
        </w:tc>
        <w:tc>
          <w:tcPr>
            <w:tcW w:type="dxa" w:w="2268"/>
          </w:tcPr>
          <w:p>
            <w:pPr>
              <w:jc w:val="right"/>
            </w:pPr>
            <w:r/>
            <w:r>
              <w:rPr>
                <w:color w:val="1A1D21"/>
                <w:sz w:val="17"/>
              </w:rPr>
              <w:t>50.68</w:t>
            </w:r>
          </w:p>
        </w:tc>
      </w:tr>
      <w:tr>
        <w:trPr>
          <w:cantSplit/>
        </w:trPr>
        <w:tc>
          <w:tcPr>
            <w:tcW w:type="dxa" w:w="3969"/>
          </w:tcPr>
          <w:p>
            <w:r/>
            <w:r>
              <w:rPr>
                <w:color w:val="1A1D21"/>
                <w:sz w:val="17"/>
              </w:rPr>
              <w:t>12</w:t>
            </w:r>
          </w:p>
        </w:tc>
        <w:tc>
          <w:tcPr>
            <w:tcW w:type="dxa" w:w="2268"/>
          </w:tcPr>
          <w:p>
            <w:pPr>
              <w:jc w:val="right"/>
            </w:pPr>
            <w:r/>
            <w:r>
              <w:rPr>
                <w:color w:val="1A1D21"/>
                <w:sz w:val="17"/>
              </w:rPr>
              <w:t>50.68</w:t>
            </w:r>
          </w:p>
        </w:tc>
      </w:tr>
      <w:tr>
        <w:trPr>
          <w:cantSplit/>
        </w:trPr>
        <w:tc>
          <w:tcPr>
            <w:tcW w:type="dxa" w:w="3969"/>
          </w:tcPr>
          <w:p>
            <w:r/>
            <w:r>
              <w:rPr>
                <w:color w:val="1A1D21"/>
                <w:sz w:val="17"/>
              </w:rPr>
              <w:t>14</w:t>
            </w:r>
          </w:p>
        </w:tc>
        <w:tc>
          <w:tcPr>
            <w:tcW w:type="dxa" w:w="2268"/>
          </w:tcPr>
          <w:p>
            <w:pPr>
              <w:jc w:val="right"/>
            </w:pPr>
            <w:r/>
            <w:r>
              <w:rPr>
                <w:color w:val="1A1D21"/>
                <w:sz w:val="17"/>
              </w:rPr>
              <w:t>50.68</w:t>
            </w:r>
          </w:p>
        </w:tc>
      </w:tr>
      <w:tr>
        <w:trPr>
          <w:cantSplit/>
        </w:trPr>
        <w:tc>
          <w:tcPr>
            <w:tcW w:type="dxa" w:w="3969"/>
          </w:tcPr>
          <w:p>
            <w:r/>
            <w:r>
              <w:rPr>
                <w:color w:val="1A1D21"/>
                <w:sz w:val="17"/>
              </w:rPr>
              <w:t>16</w:t>
            </w:r>
          </w:p>
        </w:tc>
        <w:tc>
          <w:tcPr>
            <w:tcW w:type="dxa" w:w="2268"/>
          </w:tcPr>
          <w:p>
            <w:pPr>
              <w:jc w:val="right"/>
            </w:pPr>
            <w:r/>
            <w:r>
              <w:rPr>
                <w:color w:val="1A1D21"/>
                <w:sz w:val="17"/>
              </w:rPr>
              <w:t>50.68</w:t>
            </w:r>
          </w:p>
        </w:tc>
      </w:tr>
      <w:tr>
        <w:trPr>
          <w:cantSplit/>
        </w:trPr>
        <w:tc>
          <w:tcPr>
            <w:tcW w:type="dxa" w:w="3969"/>
          </w:tcPr>
          <w:p>
            <w:r/>
            <w:r>
              <w:rPr>
                <w:color w:val="1A1D21"/>
                <w:sz w:val="17"/>
              </w:rPr>
              <w:t>20</w:t>
            </w:r>
          </w:p>
        </w:tc>
        <w:tc>
          <w:tcPr>
            <w:tcW w:type="dxa" w:w="2268"/>
          </w:tcPr>
          <w:p>
            <w:pPr>
              <w:jc w:val="right"/>
            </w:pPr>
            <w:r/>
            <w:r>
              <w:rPr>
                <w:color w:val="1A1D21"/>
                <w:sz w:val="17"/>
              </w:rPr>
              <w:t>50.68</w:t>
            </w:r>
          </w:p>
        </w:tc>
      </w:tr>
    </w:tbl>
    <w:p>
      <w:pPr>
        <w:spacing w:after="200"/>
      </w:pPr>
      <w:r>
        <w:rPr>
          <w:b w:val="0"/>
          <w:i/>
          <w:color w:val="5B6570"/>
          <w:sz w:val="16"/>
        </w:rPr>
        <w:t>At this study's discount rate, with the minority deducted at book.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a discount rate near 36% that investment does not pay back inside the window. The slower reading is worth EGP 57.10 a share and the faster one EGP 74.89. Both are published, and a reader who believes in the build-out should note that believing in it does not make the shares cheaper.</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Discount rate</w:t>
            </w:r>
          </w:p>
        </w:tc>
        <w:tc>
          <w:tcPr>
            <w:tcW w:type="dxa" w:w="1474"/>
          </w:tcPr>
          <w:p>
            <w:r/>
            <w:r>
              <w:rPr>
                <w:color w:val="1A1D21"/>
                <w:sz w:val="17"/>
              </w:rPr>
              <w:t>35.79% / 32.37%</w:t>
            </w:r>
          </w:p>
        </w:tc>
        <w:tc>
          <w:tcPr>
            <w:tcW w:type="dxa" w:w="5216"/>
          </w:tcPr>
          <w:p>
            <w:r/>
            <w:r>
              <w:rPr>
                <w:color w:val="1A1D21"/>
                <w:sz w:val="17"/>
              </w:rPr>
              <w:t>both bases published, neither averaged</w:t>
            </w:r>
          </w:p>
        </w:tc>
      </w:tr>
    </w:tbl>
    <w:p>
      <w:pPr>
        <w:spacing w:after="80"/>
      </w:pPr>
      <w:r>
        <w:rPr>
          <w:b w:val="0"/>
          <w:i w:val="0"/>
          <w:color w:val="1A1D21"/>
          <w:sz w:val="8"/>
        </w:rPr>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22.00%</w:t>
            </w:r>
          </w:p>
        </w:tc>
        <w:tc>
          <w:tcPr>
            <w:tcW w:type="dxa" w:w="2494"/>
          </w:tcPr>
          <w:p>
            <w:pPr>
              <w:jc w:val="right"/>
            </w:pPr>
            <w:r/>
            <w:r>
              <w:rPr>
                <w:color w:val="1A1D21"/>
                <w:sz w:val="17"/>
              </w:rPr>
              <w:t>76.87</w:t>
            </w:r>
          </w:p>
        </w:tc>
        <w:tc>
          <w:tcPr>
            <w:tcW w:type="dxa" w:w="2494"/>
          </w:tcPr>
          <w:p>
            <w:pPr>
              <w:jc w:val="right"/>
            </w:pPr>
            <w:r/>
            <w:r>
              <w:rPr>
                <w:color w:val="1A1D21"/>
                <w:sz w:val="17"/>
              </w:rPr>
              <w:t>103.71</w:t>
            </w:r>
          </w:p>
        </w:tc>
        <w:tc>
          <w:tcPr>
            <w:tcW w:type="dxa" w:w="2381"/>
          </w:tcPr>
          <w:p>
            <w:pPr>
              <w:jc w:val="right"/>
            </w:pPr>
            <w:r/>
            <w:r>
              <w:rPr>
                <w:color w:val="1A1D21"/>
                <w:sz w:val="17"/>
              </w:rPr>
              <w:t>-21%</w:t>
            </w:r>
          </w:p>
        </w:tc>
      </w:tr>
      <w:tr>
        <w:trPr>
          <w:cantSplit/>
        </w:trPr>
        <w:tc>
          <w:tcPr>
            <w:tcW w:type="dxa" w:w="1814"/>
          </w:tcPr>
          <w:p>
            <w:r/>
            <w:r>
              <w:rPr>
                <w:color w:val="1A1D21"/>
                <w:sz w:val="17"/>
              </w:rPr>
              <w:t>25.00%</w:t>
            </w:r>
          </w:p>
        </w:tc>
        <w:tc>
          <w:tcPr>
            <w:tcW w:type="dxa" w:w="2494"/>
          </w:tcPr>
          <w:p>
            <w:pPr>
              <w:jc w:val="right"/>
            </w:pPr>
            <w:r/>
            <w:r>
              <w:rPr>
                <w:color w:val="1A1D21"/>
                <w:sz w:val="17"/>
              </w:rPr>
              <w:t>69.74</w:t>
            </w:r>
          </w:p>
        </w:tc>
        <w:tc>
          <w:tcPr>
            <w:tcW w:type="dxa" w:w="2494"/>
          </w:tcPr>
          <w:p>
            <w:pPr>
              <w:jc w:val="right"/>
            </w:pPr>
            <w:r/>
            <w:r>
              <w:rPr>
                <w:color w:val="1A1D21"/>
                <w:sz w:val="17"/>
              </w:rPr>
              <w:t>93.27</w:t>
            </w:r>
          </w:p>
        </w:tc>
        <w:tc>
          <w:tcPr>
            <w:tcW w:type="dxa" w:w="2381"/>
          </w:tcPr>
          <w:p>
            <w:pPr>
              <w:jc w:val="right"/>
            </w:pPr>
            <w:r/>
            <w:r>
              <w:rPr>
                <w:color w:val="1A1D21"/>
                <w:sz w:val="17"/>
              </w:rPr>
              <w:t>-29%</w:t>
            </w:r>
          </w:p>
        </w:tc>
      </w:tr>
      <w:tr>
        <w:trPr>
          <w:cantSplit/>
        </w:trPr>
        <w:tc>
          <w:tcPr>
            <w:tcW w:type="dxa" w:w="1814"/>
          </w:tcPr>
          <w:p>
            <w:r/>
            <w:r>
              <w:rPr>
                <w:color w:val="1A1D21"/>
                <w:sz w:val="17"/>
              </w:rPr>
              <w:t>28.49%</w:t>
            </w:r>
          </w:p>
        </w:tc>
        <w:tc>
          <w:tcPr>
            <w:tcW w:type="dxa" w:w="2494"/>
          </w:tcPr>
          <w:p>
            <w:pPr>
              <w:jc w:val="right"/>
            </w:pPr>
            <w:r/>
            <w:r>
              <w:rPr>
                <w:color w:val="1A1D21"/>
                <w:sz w:val="17"/>
              </w:rPr>
              <w:t>62.57</w:t>
            </w:r>
          </w:p>
        </w:tc>
        <w:tc>
          <w:tcPr>
            <w:tcW w:type="dxa" w:w="2494"/>
          </w:tcPr>
          <w:p>
            <w:pPr>
              <w:jc w:val="right"/>
            </w:pPr>
            <w:r/>
            <w:r>
              <w:rPr>
                <w:color w:val="1A1D21"/>
                <w:sz w:val="17"/>
              </w:rPr>
              <w:t>82.83</w:t>
            </w:r>
          </w:p>
        </w:tc>
        <w:tc>
          <w:tcPr>
            <w:tcW w:type="dxa" w:w="2381"/>
          </w:tcPr>
          <w:p>
            <w:pPr>
              <w:jc w:val="right"/>
            </w:pPr>
            <w:r/>
            <w:r>
              <w:rPr>
                <w:color w:val="1A1D21"/>
                <w:sz w:val="17"/>
              </w:rPr>
              <w:t>-36%</w:t>
            </w:r>
          </w:p>
        </w:tc>
      </w:tr>
      <w:tr>
        <w:trPr>
          <w:cantSplit/>
        </w:trPr>
        <w:tc>
          <w:tcPr>
            <w:tcW w:type="dxa" w:w="1814"/>
          </w:tcPr>
          <w:p>
            <w:r/>
            <w:r>
              <w:rPr>
                <w:color w:val="1A1D21"/>
                <w:sz w:val="17"/>
              </w:rPr>
              <w:t>31.57%</w:t>
            </w:r>
          </w:p>
        </w:tc>
        <w:tc>
          <w:tcPr>
            <w:tcW w:type="dxa" w:w="2494"/>
          </w:tcPr>
          <w:p>
            <w:pPr>
              <w:jc w:val="right"/>
            </w:pPr>
            <w:r/>
            <w:r>
              <w:rPr>
                <w:color w:val="1A1D21"/>
                <w:sz w:val="17"/>
              </w:rPr>
              <w:t>57.10</w:t>
            </w:r>
          </w:p>
        </w:tc>
        <w:tc>
          <w:tcPr>
            <w:tcW w:type="dxa" w:w="2494"/>
          </w:tcPr>
          <w:p>
            <w:pPr>
              <w:jc w:val="right"/>
            </w:pPr>
            <w:r/>
            <w:r>
              <w:rPr>
                <w:color w:val="1A1D21"/>
                <w:sz w:val="17"/>
              </w:rPr>
              <w:t>74.89</w:t>
            </w:r>
          </w:p>
        </w:tc>
        <w:tc>
          <w:tcPr>
            <w:tcW w:type="dxa" w:w="2381"/>
          </w:tcPr>
          <w:p>
            <w:pPr>
              <w:jc w:val="right"/>
            </w:pPr>
            <w:r/>
            <w:r>
              <w:rPr>
                <w:color w:val="1A1D21"/>
                <w:sz w:val="17"/>
              </w:rPr>
              <w:t>-42%</w:t>
            </w:r>
          </w:p>
        </w:tc>
      </w:tr>
      <w:tr>
        <w:trPr>
          <w:cantSplit/>
        </w:trPr>
        <w:tc>
          <w:tcPr>
            <w:tcW w:type="dxa" w:w="1814"/>
          </w:tcPr>
          <w:p>
            <w:r/>
            <w:r>
              <w:rPr>
                <w:color w:val="1A1D21"/>
                <w:sz w:val="17"/>
              </w:rPr>
              <w:t>32.37%</w:t>
            </w:r>
          </w:p>
        </w:tc>
        <w:tc>
          <w:tcPr>
            <w:tcW w:type="dxa" w:w="2494"/>
          </w:tcPr>
          <w:p>
            <w:pPr>
              <w:jc w:val="right"/>
            </w:pPr>
            <w:r/>
            <w:r>
              <w:rPr>
                <w:color w:val="1A1D21"/>
                <w:sz w:val="17"/>
              </w:rPr>
              <w:t>55.80</w:t>
            </w:r>
          </w:p>
        </w:tc>
        <w:tc>
          <w:tcPr>
            <w:tcW w:type="dxa" w:w="2494"/>
          </w:tcPr>
          <w:p>
            <w:pPr>
              <w:jc w:val="right"/>
            </w:pPr>
            <w:r/>
            <w:r>
              <w:rPr>
                <w:color w:val="1A1D21"/>
                <w:sz w:val="17"/>
              </w:rPr>
              <w:t>73.00</w:t>
            </w:r>
          </w:p>
        </w:tc>
        <w:tc>
          <w:tcPr>
            <w:tcW w:type="dxa" w:w="2381"/>
          </w:tcPr>
          <w:p>
            <w:pPr>
              <w:jc w:val="right"/>
            </w:pPr>
            <w:r/>
            <w:r>
              <w:rPr>
                <w:color w:val="1A1D21"/>
                <w:sz w:val="17"/>
              </w:rPr>
              <w:t>-43%</w:t>
            </w:r>
          </w:p>
        </w:tc>
      </w:tr>
      <w:tr>
        <w:trPr>
          <w:cantSplit/>
        </w:trPr>
        <w:tc>
          <w:tcPr>
            <w:tcW w:type="dxa" w:w="1814"/>
          </w:tcPr>
          <w:p>
            <w:r/>
            <w:r>
              <w:rPr>
                <w:color w:val="1A1D21"/>
                <w:sz w:val="17"/>
              </w:rPr>
              <w:t>35.79%</w:t>
            </w:r>
          </w:p>
        </w:tc>
        <w:tc>
          <w:tcPr>
            <w:tcW w:type="dxa" w:w="2494"/>
          </w:tcPr>
          <w:p>
            <w:pPr>
              <w:jc w:val="right"/>
            </w:pPr>
            <w:r/>
            <w:r>
              <w:rPr>
                <w:color w:val="1A1D21"/>
                <w:sz w:val="17"/>
              </w:rPr>
              <w:t>50.69</w:t>
            </w:r>
          </w:p>
        </w:tc>
        <w:tc>
          <w:tcPr>
            <w:tcW w:type="dxa" w:w="2494"/>
          </w:tcPr>
          <w:p>
            <w:pPr>
              <w:jc w:val="right"/>
            </w:pPr>
            <w:r/>
            <w:r>
              <w:rPr>
                <w:color w:val="1A1D21"/>
                <w:sz w:val="17"/>
              </w:rPr>
              <w:t>65.63</w:t>
            </w:r>
          </w:p>
        </w:tc>
        <w:tc>
          <w:tcPr>
            <w:tcW w:type="dxa" w:w="2381"/>
          </w:tcPr>
          <w:p>
            <w:pPr>
              <w:jc w:val="right"/>
            </w:pPr>
            <w:r/>
            <w:r>
              <w:rPr>
                <w:color w:val="1A1D21"/>
                <w:sz w:val="17"/>
              </w:rPr>
              <w:t>-48%</w:t>
            </w:r>
          </w:p>
        </w:tc>
      </w:tr>
      <w:tr>
        <w:trPr>
          <w:cantSplit/>
        </w:trPr>
        <w:tc>
          <w:tcPr>
            <w:tcW w:type="dxa" w:w="1814"/>
          </w:tcPr>
          <w:p>
            <w:r/>
            <w:r>
              <w:rPr>
                <w:color w:val="1A1D21"/>
                <w:sz w:val="17"/>
              </w:rPr>
              <w:t>40.00%</w:t>
            </w:r>
          </w:p>
        </w:tc>
        <w:tc>
          <w:tcPr>
            <w:tcW w:type="dxa" w:w="2494"/>
          </w:tcPr>
          <w:p>
            <w:pPr>
              <w:jc w:val="right"/>
            </w:pPr>
            <w:r/>
            <w:r>
              <w:rPr>
                <w:color w:val="1A1D21"/>
                <w:sz w:val="17"/>
              </w:rPr>
              <w:t>45.32</w:t>
            </w:r>
          </w:p>
        </w:tc>
        <w:tc>
          <w:tcPr>
            <w:tcW w:type="dxa" w:w="2494"/>
          </w:tcPr>
          <w:p>
            <w:pPr>
              <w:jc w:val="right"/>
            </w:pPr>
            <w:r/>
            <w:r>
              <w:rPr>
                <w:color w:val="1A1D21"/>
                <w:sz w:val="17"/>
              </w:rPr>
              <w:t>57.94</w:t>
            </w:r>
          </w:p>
        </w:tc>
        <w:tc>
          <w:tcPr>
            <w:tcW w:type="dxa" w:w="2381"/>
          </w:tcPr>
          <w:p>
            <w:pPr>
              <w:jc w:val="right"/>
            </w:pPr>
            <w:r/>
            <w:r>
              <w:rPr>
                <w:color w:val="1A1D21"/>
                <w:sz w:val="17"/>
              </w:rPr>
              <w:t>-54%</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57.10 – 82.83</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At the rate the market appears to be using, the same model gives a value close to the traded price. This study does not claim the market is wrong; it says what the house method produces and shows the difference.</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near 44% on borrowings against a policy rate that peaked near 27.25%;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2495"/>
        <w:gridCol w:w="879"/>
        <w:gridCol w:w="879"/>
        <w:gridCol w:w="879"/>
        <w:gridCol w:w="879"/>
        <w:gridCol w:w="879"/>
        <w:gridCol w:w="879"/>
        <w:gridCol w:w="879"/>
        <w:gridCol w:w="879"/>
      </w:tblGrid>
      <w:tr>
        <w:trPr>
          <w:tblHeader w:val="true"/>
        </w:trPr>
        <w:tc>
          <w:tcPr>
            <w:tcW w:type="dxa" w:w="2494"/>
          </w:tcPr>
          <w:p>
            <w:r/>
            <w:r>
              <w:rPr>
                <w:b/>
                <w:color w:val="5B6570"/>
                <w:sz w:val="17"/>
              </w:rPr>
              <w:t>EGP million</w:t>
            </w:r>
          </w:p>
        </w:tc>
        <w:tc>
          <w:tcPr>
            <w:tcW w:type="dxa" w:w="879"/>
          </w:tcPr>
          <w:p>
            <w:r/>
            <w:r>
              <w:rPr>
                <w:b/>
                <w:color w:val="5B6570"/>
                <w:sz w:val="17"/>
              </w:rPr>
              <w:t>2023</w:t>
            </w:r>
          </w:p>
        </w:tc>
        <w:tc>
          <w:tcPr>
            <w:tcW w:type="dxa" w:w="879"/>
          </w:tcPr>
          <w:p>
            <w:r/>
            <w:r>
              <w:rPr>
                <w:b/>
                <w:color w:val="5B6570"/>
                <w:sz w:val="17"/>
              </w:rPr>
              <w:t>2024</w:t>
            </w:r>
          </w:p>
        </w:tc>
        <w:tc>
          <w:tcPr>
            <w:tcW w:type="dxa" w:w="879"/>
          </w:tcPr>
          <w:p>
            <w:r/>
            <w:r>
              <w:rPr>
                <w:b/>
                <w:color w:val="5B6570"/>
                <w:sz w:val="17"/>
              </w:rPr>
              <w:t>2025</w:t>
            </w:r>
          </w:p>
        </w:tc>
        <w:tc>
          <w:tcPr>
            <w:tcW w:type="dxa" w:w="879"/>
          </w:tcPr>
          <w:p>
            <w:r/>
            <w:r>
              <w:rPr>
                <w:b/>
                <w:color w:val="5B6570"/>
                <w:sz w:val="17"/>
              </w:rPr>
              <w:t>2026</w:t>
            </w:r>
          </w:p>
        </w:tc>
        <w:tc>
          <w:tcPr>
            <w:tcW w:type="dxa" w:w="879"/>
          </w:tcPr>
          <w:p>
            <w:r/>
            <w:r>
              <w:rPr>
                <w:b/>
                <w:color w:val="5B6570"/>
                <w:sz w:val="17"/>
              </w:rPr>
              <w:t>2027</w:t>
            </w:r>
          </w:p>
        </w:tc>
        <w:tc>
          <w:tcPr>
            <w:tcW w:type="dxa" w:w="879"/>
          </w:tcPr>
          <w:p>
            <w:r/>
            <w:r>
              <w:rPr>
                <w:b/>
                <w:color w:val="5B6570"/>
                <w:sz w:val="17"/>
              </w:rPr>
              <w:t>2028</w:t>
            </w:r>
          </w:p>
        </w:tc>
        <w:tc>
          <w:tcPr>
            <w:tcW w:type="dxa" w:w="879"/>
          </w:tcPr>
          <w:p>
            <w:r/>
            <w:r>
              <w:rPr>
                <w:b/>
                <w:color w:val="5B6570"/>
                <w:sz w:val="17"/>
              </w:rPr>
              <w:t>2029</w:t>
            </w:r>
          </w:p>
        </w:tc>
        <w:tc>
          <w:tcPr>
            <w:tcW w:type="dxa" w:w="879"/>
          </w:tcPr>
          <w:p>
            <w:r/>
            <w:r>
              <w:rPr>
                <w:b/>
                <w:color w:val="5B6570"/>
                <w:sz w:val="17"/>
              </w:rPr>
              <w:t>2030</w:t>
            </w:r>
          </w:p>
        </w:tc>
      </w:tr>
      <w:tr>
        <w:trPr>
          <w:cantSplit/>
        </w:trPr>
        <w:tc>
          <w:tcPr>
            <w:tcW w:type="dxa" w:w="2494"/>
          </w:tcPr>
          <w:p>
            <w:r/>
            <w:r>
              <w:rPr>
                <w:color w:val="1A1D21"/>
                <w:sz w:val="17"/>
              </w:rPr>
              <w:t>Development revenue</w:t>
            </w:r>
          </w:p>
        </w:tc>
        <w:tc>
          <w:tcPr>
            <w:tcW w:type="dxa" w:w="879"/>
          </w:tcPr>
          <w:p>
            <w:pPr>
              <w:jc w:val="right"/>
            </w:pPr>
            <w:r/>
            <w:r>
              <w:rPr>
                <w:color w:val="1A1D21"/>
                <w:sz w:val="17"/>
              </w:rPr>
              <w:t>21,579</w:t>
            </w:r>
          </w:p>
        </w:tc>
        <w:tc>
          <w:tcPr>
            <w:tcW w:type="dxa" w:w="879"/>
          </w:tcPr>
          <w:p>
            <w:pPr>
              <w:jc w:val="right"/>
            </w:pPr>
            <w:r/>
            <w:r>
              <w:rPr>
                <w:color w:val="1A1D21"/>
                <w:sz w:val="17"/>
              </w:rPr>
              <w:t>24,518</w:t>
            </w:r>
          </w:p>
        </w:tc>
        <w:tc>
          <w:tcPr>
            <w:tcW w:type="dxa" w:w="879"/>
          </w:tcPr>
          <w:p>
            <w:pPr>
              <w:jc w:val="right"/>
            </w:pPr>
            <w:r/>
            <w:r>
              <w:rPr>
                <w:color w:val="1A1D21"/>
                <w:sz w:val="17"/>
              </w:rPr>
              <w:t>36,706</w:t>
            </w:r>
          </w:p>
        </w:tc>
        <w:tc>
          <w:tcPr>
            <w:tcW w:type="dxa" w:w="879"/>
          </w:tcPr>
          <w:p>
            <w:pPr>
              <w:jc w:val="right"/>
            </w:pPr>
            <w:r/>
            <w:r>
              <w:rPr>
                <w:color w:val="1A1D21"/>
                <w:sz w:val="17"/>
              </w:rPr>
              <w:t>49,337</w:t>
            </w:r>
          </w:p>
        </w:tc>
        <w:tc>
          <w:tcPr>
            <w:tcW w:type="dxa" w:w="879"/>
          </w:tcPr>
          <w:p>
            <w:pPr>
              <w:jc w:val="right"/>
            </w:pPr>
            <w:r/>
            <w:r>
              <w:rPr>
                <w:color w:val="1A1D21"/>
                <w:sz w:val="17"/>
              </w:rPr>
              <w:t>58,415</w:t>
            </w:r>
          </w:p>
        </w:tc>
        <w:tc>
          <w:tcPr>
            <w:tcW w:type="dxa" w:w="879"/>
          </w:tcPr>
          <w:p>
            <w:pPr>
              <w:jc w:val="right"/>
            </w:pPr>
            <w:r/>
            <w:r>
              <w:rPr>
                <w:color w:val="1A1D21"/>
                <w:sz w:val="17"/>
              </w:rPr>
              <w:t>68,229</w:t>
            </w:r>
          </w:p>
        </w:tc>
        <w:tc>
          <w:tcPr>
            <w:tcW w:type="dxa" w:w="879"/>
          </w:tcPr>
          <w:p>
            <w:pPr>
              <w:jc w:val="right"/>
            </w:pPr>
            <w:r/>
            <w:r>
              <w:rPr>
                <w:color w:val="1A1D21"/>
                <w:sz w:val="17"/>
              </w:rPr>
              <w:t>78,600</w:t>
            </w:r>
          </w:p>
        </w:tc>
        <w:tc>
          <w:tcPr>
            <w:tcW w:type="dxa" w:w="879"/>
          </w:tcPr>
          <w:p>
            <w:pPr>
              <w:jc w:val="right"/>
            </w:pPr>
            <w:r/>
            <w:r>
              <w:rPr>
                <w:color w:val="1A1D21"/>
                <w:sz w:val="17"/>
              </w:rPr>
              <w:t>89,289</w:t>
            </w:r>
          </w:p>
        </w:tc>
      </w:tr>
      <w:tr>
        <w:trPr>
          <w:cantSplit/>
        </w:trPr>
        <w:tc>
          <w:tcPr>
            <w:tcW w:type="dxa" w:w="2494"/>
          </w:tcPr>
          <w:p>
            <w:r/>
            <w:r>
              <w:rPr>
                <w:color w:val="1A1D21"/>
                <w:sz w:val="17"/>
              </w:rPr>
              <w:t>Hospitality revenue</w:t>
            </w:r>
          </w:p>
        </w:tc>
        <w:tc>
          <w:tcPr>
            <w:tcW w:type="dxa" w:w="879"/>
          </w:tcPr>
          <w:p>
            <w:pPr>
              <w:jc w:val="right"/>
            </w:pPr>
            <w:r/>
            <w:r>
              <w:rPr>
                <w:color w:val="1A1D21"/>
                <w:sz w:val="17"/>
              </w:rPr>
              <w:t>3,541</w:t>
            </w:r>
          </w:p>
        </w:tc>
        <w:tc>
          <w:tcPr>
            <w:tcW w:type="dxa" w:w="879"/>
          </w:tcPr>
          <w:p>
            <w:pPr>
              <w:jc w:val="right"/>
            </w:pPr>
            <w:r/>
            <w:r>
              <w:rPr>
                <w:color w:val="1A1D21"/>
                <w:sz w:val="17"/>
              </w:rPr>
              <w:t>11,496</w:t>
            </w:r>
          </w:p>
        </w:tc>
        <w:tc>
          <w:tcPr>
            <w:tcW w:type="dxa" w:w="879"/>
          </w:tcPr>
          <w:p>
            <w:pPr>
              <w:jc w:val="right"/>
            </w:pPr>
            <w:r/>
            <w:r>
              <w:rPr>
                <w:color w:val="1A1D21"/>
                <w:sz w:val="17"/>
              </w:rPr>
              <w:t>14,890</w:t>
            </w:r>
          </w:p>
        </w:tc>
        <w:tc>
          <w:tcPr>
            <w:tcW w:type="dxa" w:w="879"/>
          </w:tcPr>
          <w:p>
            <w:pPr>
              <w:jc w:val="right"/>
            </w:pPr>
            <w:r/>
            <w:r>
              <w:rPr>
                <w:color w:val="1A1D21"/>
                <w:sz w:val="17"/>
              </w:rPr>
              <w:t>17,868</w:t>
            </w:r>
          </w:p>
        </w:tc>
        <w:tc>
          <w:tcPr>
            <w:tcW w:type="dxa" w:w="879"/>
          </w:tcPr>
          <w:p>
            <w:pPr>
              <w:jc w:val="right"/>
            </w:pPr>
            <w:r/>
            <w:r>
              <w:rPr>
                <w:color w:val="1A1D21"/>
                <w:sz w:val="17"/>
              </w:rPr>
              <w:t>25,689</w:t>
            </w:r>
          </w:p>
        </w:tc>
        <w:tc>
          <w:tcPr>
            <w:tcW w:type="dxa" w:w="879"/>
          </w:tcPr>
          <w:p>
            <w:pPr>
              <w:jc w:val="right"/>
            </w:pPr>
            <w:r/>
            <w:r>
              <w:rPr>
                <w:color w:val="1A1D21"/>
                <w:sz w:val="17"/>
              </w:rPr>
              <w:t>35,299</w:t>
            </w:r>
          </w:p>
        </w:tc>
        <w:tc>
          <w:tcPr>
            <w:tcW w:type="dxa" w:w="879"/>
          </w:tcPr>
          <w:p>
            <w:pPr>
              <w:jc w:val="right"/>
            </w:pPr>
            <w:r/>
            <w:r>
              <w:rPr>
                <w:color w:val="1A1D21"/>
                <w:sz w:val="17"/>
              </w:rPr>
              <w:t>40,665</w:t>
            </w:r>
          </w:p>
        </w:tc>
        <w:tc>
          <w:tcPr>
            <w:tcW w:type="dxa" w:w="879"/>
          </w:tcPr>
          <w:p>
            <w:pPr>
              <w:jc w:val="right"/>
            </w:pPr>
            <w:r/>
            <w:r>
              <w:rPr>
                <w:color w:val="1A1D21"/>
                <w:sz w:val="17"/>
              </w:rPr>
              <w:t>46,195</w:t>
            </w:r>
          </w:p>
        </w:tc>
      </w:tr>
      <w:tr>
        <w:trPr>
          <w:cantSplit/>
        </w:trPr>
        <w:tc>
          <w:tcPr>
            <w:tcW w:type="dxa" w:w="2494"/>
          </w:tcPr>
          <w:p>
            <w:r/>
            <w:r>
              <w:rPr>
                <w:color w:val="1A1D21"/>
                <w:sz w:val="17"/>
              </w:rPr>
              <w:t>Other recurring revenue</w:t>
            </w:r>
          </w:p>
        </w:tc>
        <w:tc>
          <w:tcPr>
            <w:tcW w:type="dxa" w:w="879"/>
          </w:tcPr>
          <w:p>
            <w:pPr>
              <w:jc w:val="right"/>
            </w:pPr>
            <w:r/>
            <w:r>
              <w:rPr>
                <w:color w:val="1A1D21"/>
                <w:sz w:val="17"/>
              </w:rPr>
              <w:t>3,312</w:t>
            </w:r>
          </w:p>
        </w:tc>
        <w:tc>
          <w:tcPr>
            <w:tcW w:type="dxa" w:w="879"/>
          </w:tcPr>
          <w:p>
            <w:pPr>
              <w:jc w:val="right"/>
            </w:pPr>
            <w:r/>
            <w:r>
              <w:rPr>
                <w:color w:val="1A1D21"/>
                <w:sz w:val="17"/>
              </w:rPr>
              <w:t>6,656</w:t>
            </w:r>
          </w:p>
        </w:tc>
        <w:tc>
          <w:tcPr>
            <w:tcW w:type="dxa" w:w="879"/>
          </w:tcPr>
          <w:p>
            <w:pPr>
              <w:jc w:val="right"/>
            </w:pPr>
            <w:r/>
            <w:r>
              <w:rPr>
                <w:color w:val="1A1D21"/>
                <w:sz w:val="17"/>
              </w:rPr>
              <w:t>10,900</w:t>
            </w:r>
          </w:p>
        </w:tc>
        <w:tc>
          <w:tcPr>
            <w:tcW w:type="dxa" w:w="879"/>
          </w:tcPr>
          <w:p>
            <w:pPr>
              <w:jc w:val="right"/>
            </w:pPr>
            <w:r/>
            <w:r>
              <w:rPr>
                <w:color w:val="1A1D21"/>
                <w:sz w:val="17"/>
              </w:rPr>
              <w:t>13,341</w:t>
            </w:r>
          </w:p>
        </w:tc>
        <w:tc>
          <w:tcPr>
            <w:tcW w:type="dxa" w:w="879"/>
          </w:tcPr>
          <w:p>
            <w:pPr>
              <w:jc w:val="right"/>
            </w:pPr>
            <w:r/>
            <w:r>
              <w:rPr>
                <w:color w:val="1A1D21"/>
                <w:sz w:val="17"/>
              </w:rPr>
              <w:t>16,112</w:t>
            </w:r>
          </w:p>
        </w:tc>
        <w:tc>
          <w:tcPr>
            <w:tcW w:type="dxa" w:w="879"/>
          </w:tcPr>
          <w:p>
            <w:pPr>
              <w:jc w:val="right"/>
            </w:pPr>
            <w:r/>
            <w:r>
              <w:rPr>
                <w:color w:val="1A1D21"/>
                <w:sz w:val="17"/>
              </w:rPr>
              <w:t>19,195</w:t>
            </w:r>
          </w:p>
        </w:tc>
        <w:tc>
          <w:tcPr>
            <w:tcW w:type="dxa" w:w="879"/>
          </w:tcPr>
          <w:p>
            <w:pPr>
              <w:jc w:val="right"/>
            </w:pPr>
            <w:r/>
            <w:r>
              <w:rPr>
                <w:color w:val="1A1D21"/>
                <w:sz w:val="17"/>
              </w:rPr>
              <w:t>22,555</w:t>
            </w:r>
          </w:p>
        </w:tc>
        <w:tc>
          <w:tcPr>
            <w:tcW w:type="dxa" w:w="879"/>
          </w:tcPr>
          <w:p>
            <w:pPr>
              <w:jc w:val="right"/>
            </w:pPr>
            <w:r/>
            <w:r>
              <w:rPr>
                <w:color w:val="1A1D21"/>
                <w:sz w:val="17"/>
              </w:rPr>
              <w:t>26,135</w:t>
            </w:r>
          </w:p>
        </w:tc>
      </w:tr>
      <w:tr>
        <w:trPr>
          <w:cantSplit/>
        </w:trPr>
        <w:tc>
          <w:tcPr>
            <w:tcW w:type="dxa" w:w="2494"/>
          </w:tcPr>
          <w:p>
            <w:r/>
            <w:r>
              <w:rPr>
                <w:color w:val="1A1D21"/>
                <w:sz w:val="17"/>
              </w:rPr>
              <w:t>Gross profit</w:t>
            </w:r>
          </w:p>
        </w:tc>
        <w:tc>
          <w:tcPr>
            <w:tcW w:type="dxa" w:w="879"/>
          </w:tcPr>
          <w:p>
            <w:pPr>
              <w:jc w:val="right"/>
            </w:pPr>
            <w:r/>
            <w:r>
              <w:rPr>
                <w:color w:val="1A1D21"/>
                <w:sz w:val="17"/>
              </w:rPr>
              <w:t>8,637</w:t>
            </w:r>
          </w:p>
        </w:tc>
        <w:tc>
          <w:tcPr>
            <w:tcW w:type="dxa" w:w="879"/>
          </w:tcPr>
          <w:p>
            <w:pPr>
              <w:jc w:val="right"/>
            </w:pPr>
            <w:r/>
            <w:r>
              <w:rPr>
                <w:color w:val="1A1D21"/>
                <w:sz w:val="17"/>
              </w:rPr>
              <w:t>15,300</w:t>
            </w:r>
          </w:p>
        </w:tc>
        <w:tc>
          <w:tcPr>
            <w:tcW w:type="dxa" w:w="879"/>
          </w:tcPr>
          <w:p>
            <w:pPr>
              <w:jc w:val="right"/>
            </w:pPr>
            <w:r/>
            <w:r>
              <w:rPr>
                <w:color w:val="1A1D21"/>
                <w:sz w:val="17"/>
              </w:rPr>
              <w:t>20,855</w:t>
            </w:r>
          </w:p>
        </w:tc>
        <w:tc>
          <w:tcPr>
            <w:tcW w:type="dxa" w:w="879"/>
          </w:tcPr>
          <w:p>
            <w:pPr>
              <w:jc w:val="right"/>
            </w:pPr>
            <w:r/>
            <w:r>
              <w:rPr>
                <w:color w:val="1A1D21"/>
                <w:sz w:val="17"/>
              </w:rPr>
              <w:t>25,477</w:t>
            </w:r>
          </w:p>
        </w:tc>
        <w:tc>
          <w:tcPr>
            <w:tcW w:type="dxa" w:w="879"/>
          </w:tcPr>
          <w:p>
            <w:pPr>
              <w:jc w:val="right"/>
            </w:pPr>
            <w:r/>
            <w:r>
              <w:rPr>
                <w:color w:val="1A1D21"/>
                <w:sz w:val="17"/>
              </w:rPr>
              <w:t>32,323</w:t>
            </w:r>
          </w:p>
        </w:tc>
        <w:tc>
          <w:tcPr>
            <w:tcW w:type="dxa" w:w="879"/>
          </w:tcPr>
          <w:p>
            <w:pPr>
              <w:jc w:val="right"/>
            </w:pPr>
            <w:r/>
            <w:r>
              <w:rPr>
                <w:color w:val="1A1D21"/>
                <w:sz w:val="17"/>
              </w:rPr>
              <w:t>40,275</w:t>
            </w:r>
          </w:p>
        </w:tc>
        <w:tc>
          <w:tcPr>
            <w:tcW w:type="dxa" w:w="879"/>
          </w:tcPr>
          <w:p>
            <w:pPr>
              <w:jc w:val="right"/>
            </w:pPr>
            <w:r/>
            <w:r>
              <w:rPr>
                <w:color w:val="1A1D21"/>
                <w:sz w:val="17"/>
              </w:rPr>
              <w:t>46,538</w:t>
            </w:r>
          </w:p>
        </w:tc>
        <w:tc>
          <w:tcPr>
            <w:tcW w:type="dxa" w:w="879"/>
          </w:tcPr>
          <w:p>
            <w:pPr>
              <w:jc w:val="right"/>
            </w:pPr>
            <w:r/>
            <w:r>
              <w:rPr>
                <w:color w:val="1A1D21"/>
                <w:sz w:val="17"/>
              </w:rPr>
              <w:t>53,031</w:t>
            </w:r>
          </w:p>
        </w:tc>
      </w:tr>
      <w:tr>
        <w:trPr>
          <w:cantSplit/>
        </w:trPr>
        <w:tc>
          <w:tcPr>
            <w:tcW w:type="dxa" w:w="2494"/>
          </w:tcPr>
          <w:p>
            <w:r/>
            <w:r>
              <w:rPr>
                <w:color w:val="1A1D21"/>
                <w:sz w:val="17"/>
              </w:rPr>
              <w:t>Net profit</w:t>
            </w:r>
          </w:p>
        </w:tc>
        <w:tc>
          <w:tcPr>
            <w:tcW w:type="dxa" w:w="879"/>
          </w:tcPr>
          <w:p>
            <w:pPr>
              <w:jc w:val="right"/>
            </w:pPr>
            <w:r/>
            <w:r>
              <w:rPr>
                <w:color w:val="1A1D21"/>
                <w:sz w:val="17"/>
              </w:rPr>
              <w:t>3,347</w:t>
            </w:r>
          </w:p>
        </w:tc>
        <w:tc>
          <w:tcPr>
            <w:tcW w:type="dxa" w:w="879"/>
          </w:tcPr>
          <w:p>
            <w:pPr>
              <w:jc w:val="right"/>
            </w:pPr>
            <w:r/>
            <w:r>
              <w:rPr>
                <w:color w:val="1A1D21"/>
                <w:sz w:val="17"/>
              </w:rPr>
              <w:t>14,468</w:t>
            </w:r>
          </w:p>
        </w:tc>
        <w:tc>
          <w:tcPr>
            <w:tcW w:type="dxa" w:w="879"/>
          </w:tcPr>
          <w:p>
            <w:pPr>
              <w:jc w:val="right"/>
            </w:pPr>
            <w:r/>
            <w:r>
              <w:rPr>
                <w:color w:val="1A1D21"/>
                <w:sz w:val="17"/>
              </w:rPr>
              <w:t>18,202</w:t>
            </w:r>
          </w:p>
        </w:tc>
        <w:tc>
          <w:tcPr>
            <w:tcW w:type="dxa" w:w="879"/>
          </w:tcPr>
          <w:p>
            <w:pPr>
              <w:jc w:val="right"/>
            </w:pPr>
            <w:r/>
            <w:r>
              <w:rPr>
                <w:color w:val="1A1D21"/>
                <w:sz w:val="17"/>
              </w:rPr>
              <w:t>23,131</w:t>
            </w:r>
          </w:p>
        </w:tc>
        <w:tc>
          <w:tcPr>
            <w:tcW w:type="dxa" w:w="879"/>
          </w:tcPr>
          <w:p>
            <w:pPr>
              <w:jc w:val="right"/>
            </w:pPr>
            <w:r/>
            <w:r>
              <w:rPr>
                <w:color w:val="1A1D21"/>
                <w:sz w:val="17"/>
              </w:rPr>
              <w:t>30,222</w:t>
            </w:r>
          </w:p>
        </w:tc>
        <w:tc>
          <w:tcPr>
            <w:tcW w:type="dxa" w:w="879"/>
          </w:tcPr>
          <w:p>
            <w:pPr>
              <w:jc w:val="right"/>
            </w:pPr>
            <w:r/>
            <w:r>
              <w:rPr>
                <w:color w:val="1A1D21"/>
                <w:sz w:val="17"/>
              </w:rPr>
              <w:t>38,694</w:t>
            </w:r>
          </w:p>
        </w:tc>
        <w:tc>
          <w:tcPr>
            <w:tcW w:type="dxa" w:w="879"/>
          </w:tcPr>
          <w:p>
            <w:pPr>
              <w:jc w:val="right"/>
            </w:pPr>
            <w:r/>
            <w:r>
              <w:rPr>
                <w:color w:val="1A1D21"/>
                <w:sz w:val="17"/>
              </w:rPr>
              <w:t>46,873</w:t>
            </w:r>
          </w:p>
        </w:tc>
        <w:tc>
          <w:tcPr>
            <w:tcW w:type="dxa" w:w="879"/>
          </w:tcPr>
          <w:p>
            <w:pPr>
              <w:jc w:val="right"/>
            </w:pPr>
            <w:r/>
            <w:r>
              <w:rPr>
                <w:color w:val="1A1D21"/>
                <w:sz w:val="17"/>
              </w:rPr>
              <w:t>56,079</w:t>
            </w:r>
          </w:p>
        </w:tc>
      </w:tr>
      <w:tr>
        <w:trPr>
          <w:cantSplit/>
        </w:trPr>
        <w:tc>
          <w:tcPr>
            <w:tcW w:type="dxa" w:w="2494"/>
          </w:tcPr>
          <w:p>
            <w:r/>
            <w:r>
              <w:rPr>
                <w:color w:val="1A1D21"/>
                <w:sz w:val="17"/>
              </w:rPr>
              <w:t>Profit attributable to TMG's shareholders</w:t>
            </w:r>
          </w:p>
        </w:tc>
        <w:tc>
          <w:tcPr>
            <w:tcW w:type="dxa" w:w="879"/>
          </w:tcPr>
          <w:p>
            <w:pPr>
              <w:jc w:val="right"/>
            </w:pPr>
            <w:r/>
            <w:r>
              <w:rPr>
                <w:color w:val="1A1D21"/>
                <w:sz w:val="17"/>
              </w:rPr>
              <w:t>3,313</w:t>
            </w:r>
          </w:p>
        </w:tc>
        <w:tc>
          <w:tcPr>
            <w:tcW w:type="dxa" w:w="879"/>
          </w:tcPr>
          <w:p>
            <w:pPr>
              <w:jc w:val="right"/>
            </w:pPr>
            <w:r/>
            <w:r>
              <w:rPr>
                <w:color w:val="1A1D21"/>
                <w:sz w:val="17"/>
              </w:rPr>
              <w:t>10,723</w:t>
            </w:r>
          </w:p>
        </w:tc>
        <w:tc>
          <w:tcPr>
            <w:tcW w:type="dxa" w:w="879"/>
          </w:tcPr>
          <w:p>
            <w:pPr>
              <w:jc w:val="right"/>
            </w:pPr>
            <w:r/>
            <w:r>
              <w:rPr>
                <w:color w:val="1A1D21"/>
                <w:sz w:val="17"/>
              </w:rPr>
              <w:t>14,384</w:t>
            </w:r>
          </w:p>
        </w:tc>
        <w:tc>
          <w:tcPr>
            <w:tcW w:type="dxa" w:w="879"/>
          </w:tcPr>
          <w:p>
            <w:pPr>
              <w:jc w:val="right"/>
            </w:pPr>
            <w:r/>
            <w:r>
              <w:rPr>
                <w:color w:val="1A1D21"/>
                <w:sz w:val="17"/>
              </w:rPr>
              <w:t>12,672</w:t>
            </w:r>
          </w:p>
        </w:tc>
        <w:tc>
          <w:tcPr>
            <w:tcW w:type="dxa" w:w="879"/>
          </w:tcPr>
          <w:p>
            <w:pPr>
              <w:jc w:val="right"/>
            </w:pPr>
            <w:r/>
            <w:r>
              <w:rPr>
                <w:color w:val="1A1D21"/>
                <w:sz w:val="17"/>
              </w:rPr>
              <w:t>16,558</w:t>
            </w:r>
          </w:p>
        </w:tc>
        <w:tc>
          <w:tcPr>
            <w:tcW w:type="dxa" w:w="879"/>
          </w:tcPr>
          <w:p>
            <w:pPr>
              <w:jc w:val="right"/>
            </w:pPr>
            <w:r/>
            <w:r>
              <w:rPr>
                <w:color w:val="1A1D21"/>
                <w:sz w:val="17"/>
              </w:rPr>
              <w:t>21,199</w:t>
            </w:r>
          </w:p>
        </w:tc>
        <w:tc>
          <w:tcPr>
            <w:tcW w:type="dxa" w:w="879"/>
          </w:tcPr>
          <w:p>
            <w:pPr>
              <w:jc w:val="right"/>
            </w:pPr>
            <w:r/>
            <w:r>
              <w:rPr>
                <w:color w:val="1A1D21"/>
                <w:sz w:val="17"/>
              </w:rPr>
              <w:t>25,680</w:t>
            </w:r>
          </w:p>
        </w:tc>
        <w:tc>
          <w:tcPr>
            <w:tcW w:type="dxa" w:w="879"/>
          </w:tcPr>
          <w:p>
            <w:pPr>
              <w:jc w:val="right"/>
            </w:pPr>
            <w:r/>
            <w:r>
              <w:rPr>
                <w:color w:val="1A1D21"/>
                <w:sz w:val="17"/>
              </w:rPr>
              <w:t>30,724</w:t>
            </w:r>
          </w:p>
        </w:tc>
      </w:tr>
      <w:tr>
        <w:trPr>
          <w:cantSplit/>
        </w:trPr>
        <w:tc>
          <w:tcPr>
            <w:tcW w:type="dxa" w:w="2494"/>
          </w:tcPr>
          <w:p>
            <w:r/>
            <w:r>
              <w:rPr>
                <w:color w:val="1A1D21"/>
                <w:sz w:val="17"/>
              </w:rPr>
              <w:t>Earnings per share, EGP</w:t>
            </w:r>
          </w:p>
        </w:tc>
        <w:tc>
          <w:tcPr>
            <w:tcW w:type="dxa" w:w="879"/>
          </w:tcPr>
          <w:p>
            <w:pPr>
              <w:jc w:val="right"/>
            </w:pPr>
            <w:r/>
            <w:r>
              <w:rPr>
                <w:color w:val="1A1D21"/>
                <w:sz w:val="17"/>
              </w:rPr>
              <w:t>1.61</w:t>
            </w:r>
          </w:p>
        </w:tc>
        <w:tc>
          <w:tcPr>
            <w:tcW w:type="dxa" w:w="879"/>
          </w:tcPr>
          <w:p>
            <w:pPr>
              <w:jc w:val="right"/>
            </w:pPr>
            <w:r/>
            <w:r>
              <w:rPr>
                <w:color w:val="1A1D21"/>
                <w:sz w:val="17"/>
              </w:rPr>
              <w:t>5.20</w:t>
            </w:r>
          </w:p>
        </w:tc>
        <w:tc>
          <w:tcPr>
            <w:tcW w:type="dxa" w:w="879"/>
          </w:tcPr>
          <w:p>
            <w:pPr>
              <w:jc w:val="right"/>
            </w:pPr>
            <w:r/>
            <w:r>
              <w:rPr>
                <w:color w:val="1A1D21"/>
                <w:sz w:val="17"/>
              </w:rPr>
              <w:t>6.98</w:t>
            </w:r>
          </w:p>
        </w:tc>
        <w:tc>
          <w:tcPr>
            <w:tcW w:type="dxa" w:w="879"/>
          </w:tcPr>
          <w:p>
            <w:pPr>
              <w:jc w:val="right"/>
            </w:pPr>
            <w:r/>
            <w:r>
              <w:rPr>
                <w:color w:val="1A1D21"/>
                <w:sz w:val="17"/>
              </w:rPr>
              <w:t>6.15</w:t>
            </w:r>
          </w:p>
        </w:tc>
        <w:tc>
          <w:tcPr>
            <w:tcW w:type="dxa" w:w="879"/>
          </w:tcPr>
          <w:p>
            <w:pPr>
              <w:jc w:val="right"/>
            </w:pPr>
            <w:r/>
            <w:r>
              <w:rPr>
                <w:color w:val="1A1D21"/>
                <w:sz w:val="17"/>
              </w:rPr>
              <w:t>8.04</w:t>
            </w:r>
          </w:p>
        </w:tc>
        <w:tc>
          <w:tcPr>
            <w:tcW w:type="dxa" w:w="879"/>
          </w:tcPr>
          <w:p>
            <w:pPr>
              <w:jc w:val="right"/>
            </w:pPr>
            <w:r/>
            <w:r>
              <w:rPr>
                <w:color w:val="1A1D21"/>
                <w:sz w:val="17"/>
              </w:rPr>
              <w:t>10.29</w:t>
            </w:r>
          </w:p>
        </w:tc>
        <w:tc>
          <w:tcPr>
            <w:tcW w:type="dxa" w:w="879"/>
          </w:tcPr>
          <w:p>
            <w:pPr>
              <w:jc w:val="right"/>
            </w:pPr>
            <w:r/>
            <w:r>
              <w:rPr>
                <w:color w:val="1A1D21"/>
                <w:sz w:val="17"/>
              </w:rPr>
              <w:t>12.46</w:t>
            </w:r>
          </w:p>
        </w:tc>
        <w:tc>
          <w:tcPr>
            <w:tcW w:type="dxa" w:w="879"/>
          </w:tcPr>
          <w:p>
            <w:pPr>
              <w:jc w:val="right"/>
            </w:pPr>
            <w:r/>
            <w:r>
              <w:rPr>
                <w:color w:val="1A1D21"/>
                <w:sz w:val="17"/>
              </w:rPr>
              <w:t>14.91</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122,723</w:t>
            </w:r>
          </w:p>
        </w:tc>
        <w:tc>
          <w:tcPr>
            <w:tcW w:type="dxa" w:w="2041"/>
          </w:tcPr>
          <w:p>
            <w:r/>
            <w:r>
              <w:rPr>
                <w:color w:val="1A1D21"/>
                <w:sz w:val="17"/>
              </w:rPr>
              <w:t>91,538 – 209,446</w:t>
            </w:r>
          </w:p>
        </w:tc>
        <w:tc>
          <w:tcPr>
            <w:tcW w:type="dxa" w:w="1531"/>
          </w:tcPr>
          <w:p>
            <w:pPr>
              <w:jc w:val="right"/>
            </w:pPr>
            <w:r/>
            <w:r>
              <w:rPr>
                <w:color w:val="1A1D21"/>
                <w:sz w:val="17"/>
              </w:rPr>
              <w:t>38,694</w:t>
            </w:r>
          </w:p>
        </w:tc>
        <w:tc>
          <w:tcPr>
            <w:tcW w:type="dxa" w:w="2041"/>
          </w:tcPr>
          <w:p>
            <w:r/>
            <w:r>
              <w:rPr>
                <w:color w:val="1A1D21"/>
                <w:sz w:val="17"/>
              </w:rPr>
              <w:t>13,022 – 100,052</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141,819</w:t>
            </w:r>
          </w:p>
        </w:tc>
        <w:tc>
          <w:tcPr>
            <w:tcW w:type="dxa" w:w="2041"/>
          </w:tcPr>
          <w:p>
            <w:r/>
            <w:r>
              <w:rPr>
                <w:color w:val="1A1D21"/>
                <w:sz w:val="17"/>
              </w:rPr>
              <w:t>115,467 – 323,173</w:t>
            </w:r>
          </w:p>
        </w:tc>
        <w:tc>
          <w:tcPr>
            <w:tcW w:type="dxa" w:w="1531"/>
          </w:tcPr>
          <w:p>
            <w:pPr>
              <w:jc w:val="right"/>
            </w:pPr>
            <w:r/>
            <w:r>
              <w:rPr>
                <w:color w:val="1A1D21"/>
                <w:sz w:val="17"/>
              </w:rPr>
              <w:t>46,873</w:t>
            </w:r>
          </w:p>
        </w:tc>
        <w:tc>
          <w:tcPr>
            <w:tcW w:type="dxa" w:w="2041"/>
          </w:tcPr>
          <w:p>
            <w:r/>
            <w:r>
              <w:rPr>
                <w:color w:val="1A1D21"/>
                <w:sz w:val="17"/>
              </w:rPr>
              <w:t>18,094 – 155,470</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161,619</w:t>
            </w:r>
          </w:p>
        </w:tc>
        <w:tc>
          <w:tcPr>
            <w:tcW w:type="dxa" w:w="2041"/>
          </w:tcPr>
          <w:p>
            <w:r/>
            <w:r>
              <w:rPr>
                <w:color w:val="1A1D21"/>
                <w:sz w:val="17"/>
              </w:rPr>
              <w:t>86,226 – 481,272</w:t>
            </w:r>
          </w:p>
        </w:tc>
        <w:tc>
          <w:tcPr>
            <w:tcW w:type="dxa" w:w="1531"/>
          </w:tcPr>
          <w:p>
            <w:pPr>
              <w:jc w:val="right"/>
            </w:pPr>
            <w:r/>
            <w:r>
              <w:rPr>
                <w:color w:val="1A1D21"/>
                <w:sz w:val="17"/>
              </w:rPr>
              <w:t>56,079</w:t>
            </w:r>
          </w:p>
        </w:tc>
        <w:tc>
          <w:tcPr>
            <w:tcW w:type="dxa" w:w="2041"/>
          </w:tcPr>
          <w:p>
            <w:r/>
            <w:r>
              <w:rPr>
                <w:color w:val="1A1D21"/>
                <w:sz w:val="17"/>
              </w:rPr>
              <w:t>12,260 – 206,507</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24,356</w:t>
            </w:r>
          </w:p>
        </w:tc>
        <w:tc>
          <w:tcPr>
            <w:tcW w:type="dxa" w:w="1134"/>
          </w:tcPr>
          <w:p>
            <w:pPr>
              <w:jc w:val="right"/>
            </w:pPr>
            <w:r/>
            <w:r>
              <w:rPr>
                <w:color w:val="1A1D21"/>
                <w:sz w:val="17"/>
              </w:rPr>
              <w:t>30,797</w:t>
            </w:r>
          </w:p>
        </w:tc>
        <w:tc>
          <w:tcPr>
            <w:tcW w:type="dxa" w:w="1134"/>
          </w:tcPr>
          <w:p>
            <w:pPr>
              <w:jc w:val="right"/>
            </w:pPr>
            <w:r/>
            <w:r>
              <w:rPr>
                <w:color w:val="1A1D21"/>
                <w:sz w:val="17"/>
              </w:rPr>
              <w:t>38,743</w:t>
            </w:r>
          </w:p>
        </w:tc>
        <w:tc>
          <w:tcPr>
            <w:tcW w:type="dxa" w:w="1134"/>
          </w:tcPr>
          <w:p>
            <w:pPr>
              <w:jc w:val="right"/>
            </w:pPr>
            <w:r/>
            <w:r>
              <w:rPr>
                <w:color w:val="1A1D21"/>
                <w:sz w:val="17"/>
              </w:rPr>
              <w:t>46,508</w:t>
            </w:r>
          </w:p>
        </w:tc>
        <w:tc>
          <w:tcPr>
            <w:tcW w:type="dxa" w:w="1134"/>
          </w:tcPr>
          <w:p>
            <w:pPr>
              <w:jc w:val="right"/>
            </w:pPr>
            <w:r/>
            <w:r>
              <w:rPr>
                <w:color w:val="1A1D21"/>
                <w:sz w:val="17"/>
              </w:rPr>
              <w:t>55,396</w:t>
            </w:r>
          </w:p>
        </w:tc>
      </w:tr>
      <w:tr>
        <w:trPr>
          <w:cantSplit/>
        </w:trPr>
        <w:tc>
          <w:tcPr>
            <w:tcW w:type="dxa" w:w="3061"/>
          </w:tcPr>
          <w:p>
            <w:r/>
            <w:r>
              <w:rPr>
                <w:color w:val="1A1D21"/>
                <w:sz w:val="17"/>
              </w:rPr>
              <w:t>Capital spend</w:t>
            </w:r>
          </w:p>
        </w:tc>
        <w:tc>
          <w:tcPr>
            <w:tcW w:type="dxa" w:w="1134"/>
          </w:tcPr>
          <w:p>
            <w:pPr>
              <w:jc w:val="right"/>
            </w:pPr>
            <w:r/>
            <w:r>
              <w:rPr>
                <w:color w:val="1A1D21"/>
                <w:sz w:val="17"/>
              </w:rPr>
              <w:t>-2,320</w:t>
            </w:r>
          </w:p>
        </w:tc>
        <w:tc>
          <w:tcPr>
            <w:tcW w:type="dxa" w:w="1134"/>
          </w:tcPr>
          <w:p>
            <w:pPr>
              <w:jc w:val="right"/>
            </w:pPr>
            <w:r/>
            <w:r>
              <w:rPr>
                <w:color w:val="1A1D21"/>
                <w:sz w:val="17"/>
              </w:rPr>
              <w:t>-3,213</w:t>
            </w:r>
          </w:p>
        </w:tc>
        <w:tc>
          <w:tcPr>
            <w:tcW w:type="dxa" w:w="1134"/>
          </w:tcPr>
          <w:p>
            <w:pPr>
              <w:jc w:val="right"/>
            </w:pPr>
            <w:r/>
            <w:r>
              <w:rPr>
                <w:color w:val="1A1D21"/>
                <w:sz w:val="17"/>
              </w:rPr>
              <w:t>-4,298</w:t>
            </w:r>
          </w:p>
        </w:tc>
        <w:tc>
          <w:tcPr>
            <w:tcW w:type="dxa" w:w="1134"/>
          </w:tcPr>
          <w:p>
            <w:pPr>
              <w:jc w:val="right"/>
            </w:pPr>
            <w:r/>
            <w:r>
              <w:rPr>
                <w:color w:val="1A1D21"/>
                <w:sz w:val="17"/>
              </w:rPr>
              <w:t>-4,969</w:t>
            </w:r>
          </w:p>
        </w:tc>
        <w:tc>
          <w:tcPr>
            <w:tcW w:type="dxa" w:w="1134"/>
          </w:tcPr>
          <w:p>
            <w:pPr>
              <w:jc w:val="right"/>
            </w:pPr>
            <w:r/>
            <w:r>
              <w:rPr>
                <w:color w:val="1A1D21"/>
                <w:sz w:val="17"/>
              </w:rPr>
              <w:t>-5,665</w:t>
            </w:r>
          </w:p>
        </w:tc>
      </w:tr>
      <w:tr>
        <w:trPr>
          <w:cantSplit/>
        </w:trPr>
        <w:tc>
          <w:tcPr>
            <w:tcW w:type="dxa" w:w="3061"/>
          </w:tcPr>
          <w:p>
            <w:r/>
            <w:r>
              <w:rPr>
                <w:color w:val="1A1D21"/>
                <w:sz w:val="17"/>
              </w:rPr>
              <w:t>Dividends</w:t>
            </w:r>
          </w:p>
        </w:tc>
        <w:tc>
          <w:tcPr>
            <w:tcW w:type="dxa" w:w="1134"/>
          </w:tcPr>
          <w:p>
            <w:pPr>
              <w:jc w:val="right"/>
            </w:pPr>
            <w:r/>
            <w:r>
              <w:rPr>
                <w:color w:val="1A1D21"/>
                <w:sz w:val="17"/>
              </w:rPr>
              <w:t>-3,802</w:t>
            </w:r>
          </w:p>
        </w:tc>
        <w:tc>
          <w:tcPr>
            <w:tcW w:type="dxa" w:w="1134"/>
          </w:tcPr>
          <w:p>
            <w:pPr>
              <w:jc w:val="right"/>
            </w:pPr>
            <w:r/>
            <w:r>
              <w:rPr>
                <w:color w:val="1A1D21"/>
                <w:sz w:val="17"/>
              </w:rPr>
              <w:t>-4,967</w:t>
            </w:r>
          </w:p>
        </w:tc>
        <w:tc>
          <w:tcPr>
            <w:tcW w:type="dxa" w:w="1134"/>
          </w:tcPr>
          <w:p>
            <w:pPr>
              <w:jc w:val="right"/>
            </w:pPr>
            <w:r/>
            <w:r>
              <w:rPr>
                <w:color w:val="1A1D21"/>
                <w:sz w:val="17"/>
              </w:rPr>
              <w:t>-6,360</w:t>
            </w:r>
          </w:p>
        </w:tc>
        <w:tc>
          <w:tcPr>
            <w:tcW w:type="dxa" w:w="1134"/>
          </w:tcPr>
          <w:p>
            <w:pPr>
              <w:jc w:val="right"/>
            </w:pPr>
            <w:r/>
            <w:r>
              <w:rPr>
                <w:color w:val="1A1D21"/>
                <w:sz w:val="17"/>
              </w:rPr>
              <w:t>-7,704</w:t>
            </w:r>
          </w:p>
        </w:tc>
        <w:tc>
          <w:tcPr>
            <w:tcW w:type="dxa" w:w="1134"/>
          </w:tcPr>
          <w:p>
            <w:pPr>
              <w:jc w:val="right"/>
            </w:pPr>
            <w:r/>
            <w:r>
              <w:rPr>
                <w:color w:val="1A1D21"/>
                <w:sz w:val="17"/>
              </w:rPr>
              <w:t>-9,217</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-772</w:t>
            </w:r>
          </w:p>
        </w:tc>
        <w:tc>
          <w:tcPr>
            <w:tcW w:type="dxa" w:w="1134"/>
          </w:tcPr>
          <w:p>
            <w:pPr>
              <w:jc w:val="right"/>
            </w:pPr>
            <w:r/>
            <w:r>
              <w:rPr>
                <w:color w:val="1A1D21"/>
                <w:sz w:val="17"/>
              </w:rPr>
              <w:t>5,442</w:t>
            </w:r>
          </w:p>
        </w:tc>
        <w:tc>
          <w:tcPr>
            <w:tcW w:type="dxa" w:w="1134"/>
          </w:tcPr>
          <w:p>
            <w:pPr>
              <w:jc w:val="right"/>
            </w:pPr>
            <w:r/>
            <w:r>
              <w:rPr>
                <w:color w:val="1A1D21"/>
                <w:sz w:val="17"/>
              </w:rPr>
              <w:t>10,591</w:t>
            </w:r>
          </w:p>
        </w:tc>
        <w:tc>
          <w:tcPr>
            <w:tcW w:type="dxa" w:w="1134"/>
          </w:tcPr>
          <w:p>
            <w:pPr>
              <w:jc w:val="right"/>
            </w:pPr>
            <w:r/>
            <w:r>
              <w:rPr>
                <w:color w:val="1A1D21"/>
                <w:sz w:val="17"/>
              </w:rPr>
              <w:t>14,823</w:t>
            </w:r>
          </w:p>
        </w:tc>
        <w:tc>
          <w:tcPr>
            <w:tcW w:type="dxa" w:w="1134"/>
          </w:tcPr>
          <w:p>
            <w:pPr>
              <w:jc w:val="right"/>
            </w:pPr>
            <w:r/>
            <w:r>
              <w:rPr>
                <w:color w:val="1A1D21"/>
                <w:sz w:val="17"/>
              </w:rPr>
              <w:t>18,207</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-6,024</w:t>
            </w:r>
          </w:p>
        </w:tc>
        <w:tc>
          <w:tcPr>
            <w:tcW w:type="dxa" w:w="1134"/>
          </w:tcPr>
          <w:p>
            <w:pPr>
              <w:jc w:val="right"/>
            </w:pPr>
            <w:r/>
            <w:r>
              <w:rPr>
                <w:color w:val="1A1D21"/>
                <w:sz w:val="17"/>
              </w:rPr>
              <w:t>-11,723</w:t>
            </w:r>
          </w:p>
        </w:tc>
        <w:tc>
          <w:tcPr>
            <w:tcW w:type="dxa" w:w="1134"/>
          </w:tcPr>
          <w:p>
            <w:pPr>
              <w:jc w:val="right"/>
            </w:pPr>
            <w:r/>
            <w:r>
              <w:rPr>
                <w:color w:val="1A1D21"/>
                <w:sz w:val="17"/>
              </w:rPr>
              <w:t>-16,407</w:t>
            </w:r>
          </w:p>
        </w:tc>
        <w:tc>
          <w:tcPr>
            <w:tcW w:type="dxa" w:w="1134"/>
          </w:tcPr>
          <w:p>
            <w:pPr>
              <w:jc w:val="right"/>
            </w:pPr>
            <w:r/>
            <w:r>
              <w:rPr>
                <w:color w:val="1A1D21"/>
                <w:sz w:val="17"/>
              </w:rPr>
              <w:t>-20,154</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13,550</w:t>
            </w:r>
          </w:p>
        </w:tc>
        <w:tc>
          <w:tcPr>
            <w:tcW w:type="dxa" w:w="1134"/>
          </w:tcPr>
          <w:p>
            <w:pPr>
              <w:jc w:val="right"/>
            </w:pPr>
            <w:r/>
            <w:r>
              <w:rPr>
                <w:color w:val="1A1D21"/>
                <w:sz w:val="17"/>
              </w:rPr>
              <w:t>16,272</w:t>
            </w:r>
          </w:p>
        </w:tc>
        <w:tc>
          <w:tcPr>
            <w:tcW w:type="dxa" w:w="1134"/>
          </w:tcPr>
          <w:p>
            <w:pPr>
              <w:jc w:val="right"/>
            </w:pPr>
            <w:r/>
            <w:r>
              <w:rPr>
                <w:color w:val="1A1D21"/>
                <w:sz w:val="17"/>
              </w:rPr>
              <w:t>19,629</w:t>
            </w:r>
          </w:p>
        </w:tc>
        <w:tc>
          <w:tcPr>
            <w:tcW w:type="dxa" w:w="1134"/>
          </w:tcPr>
          <w:p>
            <w:pPr>
              <w:jc w:val="right"/>
            </w:pPr>
            <w:r/>
            <w:r>
              <w:rPr>
                <w:color w:val="1A1D21"/>
                <w:sz w:val="17"/>
              </w:rPr>
              <w:t>22,368</w:t>
            </w:r>
          </w:p>
        </w:tc>
        <w:tc>
          <w:tcPr>
            <w:tcW w:type="dxa" w:w="1134"/>
          </w:tcPr>
          <w:p>
            <w:pPr>
              <w:jc w:val="right"/>
            </w:pPr>
            <w:r/>
            <w:r>
              <w:rPr>
                <w:color w:val="1A1D21"/>
                <w:sz w:val="17"/>
              </w:rPr>
              <w:t>25,316</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94,007</w:t>
            </w:r>
          </w:p>
        </w:tc>
        <w:tc>
          <w:tcPr>
            <w:tcW w:type="dxa" w:w="1134"/>
          </w:tcPr>
          <w:p>
            <w:pPr>
              <w:jc w:val="right"/>
            </w:pPr>
            <w:r/>
            <w:r>
              <w:rPr>
                <w:color w:val="1A1D21"/>
                <w:sz w:val="17"/>
              </w:rPr>
              <w:t>116,623</w:t>
            </w:r>
          </w:p>
        </w:tc>
        <w:tc>
          <w:tcPr>
            <w:tcW w:type="dxa" w:w="1134"/>
          </w:tcPr>
          <w:p>
            <w:pPr>
              <w:jc w:val="right"/>
            </w:pPr>
            <w:r/>
            <w:r>
              <w:rPr>
                <w:color w:val="1A1D21"/>
                <w:sz w:val="17"/>
              </w:rPr>
              <w:t>144,709</w:t>
            </w:r>
          </w:p>
        </w:tc>
        <w:tc>
          <w:tcPr>
            <w:tcW w:type="dxa" w:w="1134"/>
          </w:tcPr>
          <w:p>
            <w:pPr>
              <w:jc w:val="right"/>
            </w:pPr>
            <w:r/>
            <w:r>
              <w:rPr>
                <w:color w:val="1A1D21"/>
                <w:sz w:val="17"/>
              </w:rPr>
              <w:t>178,544</w:t>
            </w:r>
          </w:p>
        </w:tc>
        <w:tc>
          <w:tcPr>
            <w:tcW w:type="dxa" w:w="1134"/>
          </w:tcPr>
          <w:p>
            <w:pPr>
              <w:jc w:val="right"/>
            </w:pPr>
            <w:r/>
            <w:r>
              <w:rPr>
                <w:color w:val="1A1D21"/>
                <w:sz w:val="17"/>
              </w:rPr>
              <w:t>219,059</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153,484</w:t>
            </w:r>
          </w:p>
        </w:tc>
        <w:tc>
          <w:tcPr>
            <w:tcW w:type="dxa" w:w="1134"/>
          </w:tcPr>
          <w:p>
            <w:pPr>
              <w:jc w:val="right"/>
            </w:pPr>
            <w:r/>
            <w:r>
              <w:rPr>
                <w:color w:val="1A1D21"/>
                <w:sz w:val="17"/>
              </w:rPr>
              <w:t>165,208</w:t>
            </w:r>
          </w:p>
        </w:tc>
        <w:tc>
          <w:tcPr>
            <w:tcW w:type="dxa" w:w="1134"/>
          </w:tcPr>
          <w:p>
            <w:pPr>
              <w:jc w:val="right"/>
            </w:pPr>
            <w:r/>
            <w:r>
              <w:rPr>
                <w:color w:val="1A1D21"/>
                <w:sz w:val="17"/>
              </w:rPr>
              <w:t>181,615</w:t>
            </w:r>
          </w:p>
        </w:tc>
        <w:tc>
          <w:tcPr>
            <w:tcW w:type="dxa" w:w="1134"/>
          </w:tcPr>
          <w:p>
            <w:pPr>
              <w:jc w:val="right"/>
            </w:pPr>
            <w:r/>
            <w:r>
              <w:rPr>
                <w:color w:val="1A1D21"/>
                <w:sz w:val="17"/>
              </w:rPr>
              <w:t>201,768</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133,221</w:t>
            </w:r>
          </w:p>
        </w:tc>
        <w:tc>
          <w:tcPr>
            <w:tcW w:type="dxa" w:w="1134"/>
          </w:tcPr>
          <w:p>
            <w:pPr>
              <w:jc w:val="right"/>
            </w:pPr>
            <w:r/>
            <w:r>
              <w:rPr>
                <w:color w:val="1A1D21"/>
                <w:sz w:val="17"/>
              </w:rPr>
              <w:t>138,663</w:t>
            </w:r>
          </w:p>
        </w:tc>
        <w:tc>
          <w:tcPr>
            <w:tcW w:type="dxa" w:w="1134"/>
          </w:tcPr>
          <w:p>
            <w:pPr>
              <w:jc w:val="right"/>
            </w:pPr>
            <w:r/>
            <w:r>
              <w:rPr>
                <w:color w:val="1A1D21"/>
                <w:sz w:val="17"/>
              </w:rPr>
              <w:t>149,254</w:t>
            </w:r>
          </w:p>
        </w:tc>
        <w:tc>
          <w:tcPr>
            <w:tcW w:type="dxa" w:w="1134"/>
          </w:tcPr>
          <w:p>
            <w:pPr>
              <w:jc w:val="right"/>
            </w:pPr>
            <w:r/>
            <w:r>
              <w:rPr>
                <w:color w:val="1A1D21"/>
                <w:sz w:val="17"/>
              </w:rPr>
              <w:t>164,077</w:t>
            </w:r>
          </w:p>
        </w:tc>
        <w:tc>
          <w:tcPr>
            <w:tcW w:type="dxa" w:w="1134"/>
          </w:tcPr>
          <w:p>
            <w:pPr>
              <w:jc w:val="right"/>
            </w:pPr>
            <w:r/>
            <w:r>
              <w:rPr>
                <w:color w:val="1A1D21"/>
                <w:sz w:val="17"/>
              </w:rPr>
              <w:t>182,284</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100,542</w:t>
            </w:r>
          </w:p>
        </w:tc>
        <w:tc>
          <w:tcPr>
            <w:tcW w:type="dxa" w:w="1134"/>
          </w:tcPr>
          <w:p>
            <w:pPr>
              <w:jc w:val="right"/>
            </w:pPr>
            <w:r/>
            <w:r>
              <w:rPr>
                <w:color w:val="1A1D21"/>
                <w:sz w:val="17"/>
              </w:rPr>
              <w:t>112,132</w:t>
            </w:r>
          </w:p>
        </w:tc>
        <w:tc>
          <w:tcPr>
            <w:tcW w:type="dxa" w:w="1134"/>
          </w:tcPr>
          <w:p>
            <w:pPr>
              <w:jc w:val="right"/>
            </w:pPr>
            <w:r/>
            <w:r>
              <w:rPr>
                <w:color w:val="1A1D21"/>
                <w:sz w:val="17"/>
              </w:rPr>
              <w:t>126,971</w:t>
            </w:r>
          </w:p>
        </w:tc>
        <w:tc>
          <w:tcPr>
            <w:tcW w:type="dxa" w:w="1134"/>
          </w:tcPr>
          <w:p>
            <w:pPr>
              <w:jc w:val="right"/>
            </w:pPr>
            <w:r/>
            <w:r>
              <w:rPr>
                <w:color w:val="1A1D21"/>
                <w:sz w:val="17"/>
              </w:rPr>
              <w:t>144,947</w:t>
            </w:r>
          </w:p>
        </w:tc>
        <w:tc>
          <w:tcPr>
            <w:tcW w:type="dxa" w:w="1134"/>
          </w:tcPr>
          <w:p>
            <w:pPr>
              <w:jc w:val="right"/>
            </w:pPr>
            <w:r/>
            <w:r>
              <w:rPr>
                <w:color w:val="1A1D21"/>
                <w:sz w:val="17"/>
              </w:rPr>
              <w:t>166,454</w:t>
            </w:r>
          </w:p>
        </w:tc>
      </w:tr>
      <w:tr>
        <w:trPr>
          <w:cantSplit/>
        </w:trPr>
        <w:tc>
          <w:tcPr>
            <w:tcW w:type="dxa" w:w="3061"/>
          </w:tcPr>
          <w:p>
            <w:r/>
            <w:r>
              <w:rPr>
                <w:color w:val="1A1D21"/>
                <w:sz w:val="17"/>
              </w:rPr>
              <w:t>Total assets</w:t>
            </w:r>
          </w:p>
        </w:tc>
        <w:tc>
          <w:tcPr>
            <w:tcW w:type="dxa" w:w="1134"/>
          </w:tcPr>
          <w:p>
            <w:pPr>
              <w:jc w:val="right"/>
            </w:pPr>
            <w:r/>
            <w:r>
              <w:rPr>
                <w:color w:val="1A1D21"/>
                <w:sz w:val="17"/>
              </w:rPr>
              <w:t>496,454</w:t>
            </w:r>
          </w:p>
        </w:tc>
        <w:tc>
          <w:tcPr>
            <w:tcW w:type="dxa" w:w="1134"/>
          </w:tcPr>
          <w:p>
            <w:pPr>
              <w:jc w:val="right"/>
            </w:pPr>
            <w:r/>
            <w:r>
              <w:rPr>
                <w:color w:val="1A1D21"/>
                <w:sz w:val="17"/>
              </w:rPr>
              <w:t>527,151</w:t>
            </w:r>
          </w:p>
        </w:tc>
        <w:tc>
          <w:tcPr>
            <w:tcW w:type="dxa" w:w="1134"/>
          </w:tcPr>
          <w:p>
            <w:pPr>
              <w:jc w:val="right"/>
            </w:pPr>
            <w:r/>
            <w:r>
              <w:rPr>
                <w:color w:val="1A1D21"/>
                <w:sz w:val="17"/>
              </w:rPr>
              <w:t>570,077</w:t>
            </w:r>
          </w:p>
        </w:tc>
        <w:tc>
          <w:tcPr>
            <w:tcW w:type="dxa" w:w="1134"/>
          </w:tcPr>
          <w:p>
            <w:pPr>
              <w:jc w:val="right"/>
            </w:pPr>
            <w:r/>
            <w:r>
              <w:rPr>
                <w:color w:val="1A1D21"/>
                <w:sz w:val="17"/>
              </w:rPr>
              <w:t>624,068</w:t>
            </w:r>
          </w:p>
        </w:tc>
        <w:tc>
          <w:tcPr>
            <w:tcW w:type="dxa" w:w="1134"/>
          </w:tcPr>
          <w:p>
            <w:pPr>
              <w:jc w:val="right"/>
            </w:pPr>
            <w:r/>
            <w:r>
              <w:rPr>
                <w:color w:val="1A1D21"/>
                <w:sz w:val="17"/>
              </w:rPr>
              <w:t>689,137</w:t>
            </w:r>
          </w:p>
        </w:tc>
      </w:tr>
      <w:tr>
        <w:trPr>
          <w:cantSplit/>
        </w:trPr>
        <w:tc>
          <w:tcPr>
            <w:tcW w:type="dxa" w:w="3061"/>
          </w:tcPr>
          <w:p>
            <w:r/>
            <w:r>
              <w:rPr>
                <w:color w:val="1A1D21"/>
                <w:sz w:val="17"/>
              </w:rPr>
              <w:t>Total liabilities</w:t>
            </w:r>
          </w:p>
        </w:tc>
        <w:tc>
          <w:tcPr>
            <w:tcW w:type="dxa" w:w="1134"/>
          </w:tcPr>
          <w:p>
            <w:pPr>
              <w:jc w:val="right"/>
            </w:pPr>
            <w:r/>
            <w:r>
              <w:rPr>
                <w:color w:val="1A1D21"/>
                <w:sz w:val="17"/>
              </w:rPr>
              <w:t>309,802</w:t>
            </w:r>
          </w:p>
        </w:tc>
        <w:tc>
          <w:tcPr>
            <w:tcW w:type="dxa" w:w="1134"/>
          </w:tcPr>
          <w:p>
            <w:pPr>
              <w:jc w:val="right"/>
            </w:pPr>
            <w:r/>
            <w:r>
              <w:rPr>
                <w:color w:val="1A1D21"/>
                <w:sz w:val="17"/>
              </w:rPr>
              <w:t>315,244</w:t>
            </w:r>
          </w:p>
        </w:tc>
        <w:tc>
          <w:tcPr>
            <w:tcW w:type="dxa" w:w="1134"/>
          </w:tcPr>
          <w:p>
            <w:pPr>
              <w:jc w:val="right"/>
            </w:pPr>
            <w:r/>
            <w:r>
              <w:rPr>
                <w:color w:val="1A1D21"/>
                <w:sz w:val="17"/>
              </w:rPr>
              <w:t>325,835</w:t>
            </w:r>
          </w:p>
        </w:tc>
        <w:tc>
          <w:tcPr>
            <w:tcW w:type="dxa" w:w="1134"/>
          </w:tcPr>
          <w:p>
            <w:pPr>
              <w:jc w:val="right"/>
            </w:pPr>
            <w:r/>
            <w:r>
              <w:rPr>
                <w:color w:val="1A1D21"/>
                <w:sz w:val="17"/>
              </w:rPr>
              <w:t>340,658</w:t>
            </w:r>
          </w:p>
        </w:tc>
        <w:tc>
          <w:tcPr>
            <w:tcW w:type="dxa" w:w="1134"/>
          </w:tcPr>
          <w:p>
            <w:pPr>
              <w:jc w:val="right"/>
            </w:pPr>
            <w:r/>
            <w:r>
              <w:rPr>
                <w:color w:val="1A1D21"/>
                <w:sz w:val="17"/>
              </w:rPr>
              <w:t>358,865</w:t>
            </w:r>
          </w:p>
        </w:tc>
      </w:tr>
      <w:tr>
        <w:trPr>
          <w:cantSplit/>
        </w:trPr>
        <w:tc>
          <w:tcPr>
            <w:tcW w:type="dxa" w:w="3061"/>
          </w:tcPr>
          <w:p>
            <w:r/>
            <w:r>
              <w:rPr>
                <w:color w:val="1A1D21"/>
                <w:sz w:val="17"/>
              </w:rPr>
              <w:t>Total equity</w:t>
            </w:r>
          </w:p>
        </w:tc>
        <w:tc>
          <w:tcPr>
            <w:tcW w:type="dxa" w:w="1134"/>
          </w:tcPr>
          <w:p>
            <w:pPr>
              <w:jc w:val="right"/>
            </w:pPr>
            <w:r/>
            <w:r>
              <w:rPr>
                <w:color w:val="1A1D21"/>
                <w:sz w:val="17"/>
              </w:rPr>
              <w:t>186,653</w:t>
            </w:r>
          </w:p>
        </w:tc>
        <w:tc>
          <w:tcPr>
            <w:tcW w:type="dxa" w:w="1134"/>
          </w:tcPr>
          <w:p>
            <w:pPr>
              <w:jc w:val="right"/>
            </w:pPr>
            <w:r/>
            <w:r>
              <w:rPr>
                <w:color w:val="1A1D21"/>
                <w:sz w:val="17"/>
              </w:rPr>
              <w:t>211,907</w:t>
            </w:r>
          </w:p>
        </w:tc>
        <w:tc>
          <w:tcPr>
            <w:tcW w:type="dxa" w:w="1134"/>
          </w:tcPr>
          <w:p>
            <w:pPr>
              <w:jc w:val="right"/>
            </w:pPr>
            <w:r/>
            <w:r>
              <w:rPr>
                <w:color w:val="1A1D21"/>
                <w:sz w:val="17"/>
              </w:rPr>
              <w:t>244,241</w:t>
            </w:r>
          </w:p>
        </w:tc>
        <w:tc>
          <w:tcPr>
            <w:tcW w:type="dxa" w:w="1134"/>
          </w:tcPr>
          <w:p>
            <w:pPr>
              <w:jc w:val="right"/>
            </w:pPr>
            <w:r/>
            <w:r>
              <w:rPr>
                <w:color w:val="1A1D21"/>
                <w:sz w:val="17"/>
              </w:rPr>
              <w:t>283,411</w:t>
            </w:r>
          </w:p>
        </w:tc>
        <w:tc>
          <w:tcPr>
            <w:tcW w:type="dxa" w:w="1134"/>
          </w:tcPr>
          <w:p>
            <w:pPr>
              <w:jc w:val="right"/>
            </w:pPr>
            <w:r/>
            <w:r>
              <w:rPr>
                <w:color w:val="1A1D21"/>
                <w:sz w:val="17"/>
              </w:rPr>
              <w:t>330,272</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2030,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2608"/>
        <w:gridCol w:w="1247"/>
        <w:gridCol w:w="1134"/>
        <w:gridCol w:w="3969"/>
      </w:tblGrid>
      <w:tr>
        <w:trPr>
          <w:tblHeader w:val="true"/>
        </w:trPr>
        <w:tc>
          <w:tcPr>
            <w:tcW w:type="dxa" w:w="2608"/>
          </w:tcPr>
          <w:p>
            <w:r/>
            <w:r>
              <w:rPr>
                <w:b/>
                <w:color w:val="5B6570"/>
                <w:sz w:val="17"/>
              </w:rPr>
              <w:t>Company</w:t>
            </w:r>
          </w:p>
        </w:tc>
        <w:tc>
          <w:tcPr>
            <w:tcW w:type="dxa" w:w="1247"/>
          </w:tcPr>
          <w:p>
            <w:r/>
            <w:r>
              <w:rPr>
                <w:b/>
                <w:color w:val="5B6570"/>
                <w:sz w:val="17"/>
              </w:rPr>
              <w:t>Last close, EGP</w:t>
            </w:r>
          </w:p>
        </w:tc>
        <w:tc>
          <w:tcPr>
            <w:tcW w:type="dxa" w:w="1134"/>
          </w:tcPr>
          <w:p>
            <w:r/>
            <w:r>
              <w:rPr>
                <w:b/>
                <w:color w:val="5B6570"/>
                <w:sz w:val="17"/>
              </w:rPr>
              <w:t>As at</w:t>
            </w:r>
          </w:p>
        </w:tc>
        <w:tc>
          <w:tcPr>
            <w:tcW w:type="dxa" w:w="3969"/>
          </w:tcPr>
          <w:p>
            <w:r/>
            <w:r>
              <w:rPr>
                <w:b/>
                <w:color w:val="5B6570"/>
                <w:sz w:val="17"/>
              </w:rPr>
              <w:t>Why it is a comparator</w:t>
            </w:r>
          </w:p>
        </w:tc>
      </w:tr>
      <w:tr>
        <w:trPr>
          <w:cantSplit/>
        </w:trPr>
        <w:tc>
          <w:tcPr>
            <w:tcW w:type="dxa" w:w="2608"/>
          </w:tcPr>
          <w:p>
            <w:r/>
            <w:r>
              <w:rPr>
                <w:color w:val="1A1D21"/>
                <w:sz w:val="17"/>
              </w:rPr>
              <w:t>Emaar Misr for Development</w:t>
            </w:r>
          </w:p>
        </w:tc>
        <w:tc>
          <w:tcPr>
            <w:tcW w:type="dxa" w:w="1247"/>
          </w:tcPr>
          <w:p>
            <w:pPr>
              <w:jc w:val="right"/>
            </w:pPr>
            <w:r/>
            <w:r>
              <w:rPr>
                <w:color w:val="1A1D21"/>
                <w:sz w:val="17"/>
              </w:rPr>
              <w:t>11.53</w:t>
            </w:r>
          </w:p>
        </w:tc>
        <w:tc>
          <w:tcPr>
            <w:tcW w:type="dxa" w:w="1134"/>
          </w:tcPr>
          <w:p>
            <w:pPr>
              <w:jc w:val="right"/>
            </w:pPr>
            <w:r/>
            <w:r>
              <w:rPr>
                <w:color w:val="1A1D21"/>
                <w:sz w:val="17"/>
              </w:rPr>
              <w:t>2026-07-28</w:t>
            </w:r>
          </w:p>
        </w:tc>
        <w:tc>
          <w:tcPr>
            <w:tcW w:type="dxa" w:w="3969"/>
          </w:tcPr>
          <w:p>
            <w:r/>
            <w:r>
              <w:rPr>
                <w:color w:val="1A1D21"/>
                <w:sz w:val="17"/>
              </w:rPr>
              <w:t>off-plan developer, comparable payment plans and handover clock</w:t>
            </w:r>
          </w:p>
        </w:tc>
      </w:tr>
      <w:tr>
        <w:trPr>
          <w:cantSplit/>
        </w:trPr>
        <w:tc>
          <w:tcPr>
            <w:tcW w:type="dxa" w:w="2608"/>
          </w:tcPr>
          <w:p>
            <w:r/>
            <w:r>
              <w:rPr>
                <w:color w:val="1A1D21"/>
                <w:sz w:val="17"/>
              </w:rPr>
              <w:t>Sixth of October Development &amp; Investment (SODIC)</w:t>
            </w:r>
          </w:p>
        </w:tc>
        <w:tc>
          <w:tcPr>
            <w:tcW w:type="dxa" w:w="1247"/>
          </w:tcPr>
          <w:p>
            <w:pPr>
              <w:jc w:val="right"/>
            </w:pPr>
            <w:r/>
            <w:r>
              <w:rPr>
                <w:color w:val="1A1D21"/>
                <w:sz w:val="17"/>
              </w:rPr>
              <w:t>27.48</w:t>
            </w:r>
          </w:p>
        </w:tc>
        <w:tc>
          <w:tcPr>
            <w:tcW w:type="dxa" w:w="1134"/>
          </w:tcPr>
          <w:p>
            <w:pPr>
              <w:jc w:val="right"/>
            </w:pPr>
            <w:r/>
            <w:r>
              <w:rPr>
                <w:color w:val="1A1D21"/>
                <w:sz w:val="17"/>
              </w:rPr>
              <w:t>2026-07-27</w:t>
            </w:r>
          </w:p>
        </w:tc>
        <w:tc>
          <w:tcPr>
            <w:tcW w:type="dxa" w:w="3969"/>
          </w:tcPr>
          <w:p>
            <w:r/>
            <w:r>
              <w:rPr>
                <w:color w:val="1A1D21"/>
                <w:sz w:val="17"/>
              </w:rPr>
              <w:t>integrated-community developer, similar product mix</w:t>
            </w:r>
          </w:p>
        </w:tc>
      </w:tr>
      <w:tr>
        <w:trPr>
          <w:cantSplit/>
        </w:trPr>
        <w:tc>
          <w:tcPr>
            <w:tcW w:type="dxa" w:w="2608"/>
          </w:tcPr>
          <w:p>
            <w:r/>
            <w:r>
              <w:rPr>
                <w:color w:val="1A1D21"/>
                <w:sz w:val="17"/>
              </w:rPr>
              <w:t>Palm Hills Developments</w:t>
            </w:r>
          </w:p>
        </w:tc>
        <w:tc>
          <w:tcPr>
            <w:tcW w:type="dxa" w:w="1247"/>
          </w:tcPr>
          <w:p>
            <w:pPr>
              <w:jc w:val="right"/>
            </w:pPr>
            <w:r/>
            <w:r>
              <w:rPr>
                <w:color w:val="1A1D21"/>
                <w:sz w:val="17"/>
              </w:rPr>
              <w:t>15.20</w:t>
            </w:r>
          </w:p>
        </w:tc>
        <w:tc>
          <w:tcPr>
            <w:tcW w:type="dxa" w:w="1134"/>
          </w:tcPr>
          <w:p>
            <w:pPr>
              <w:jc w:val="right"/>
            </w:pPr>
            <w:r/>
            <w:r>
              <w:rPr>
                <w:color w:val="1A1D21"/>
                <w:sz w:val="17"/>
              </w:rPr>
              <w:t>2026-08-23</w:t>
            </w:r>
          </w:p>
        </w:tc>
        <w:tc>
          <w:tcPr>
            <w:tcW w:type="dxa" w:w="3969"/>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2608"/>
          </w:tcPr>
          <w:p>
            <w:r/>
            <w:r>
              <w:rPr>
                <w:color w:val="1A1D21"/>
                <w:sz w:val="17"/>
              </w:rPr>
              <w:t>Heliopolis Housing &amp; Development</w:t>
            </w:r>
          </w:p>
        </w:tc>
        <w:tc>
          <w:tcPr>
            <w:tcW w:type="dxa" w:w="1247"/>
          </w:tcPr>
          <w:p>
            <w:pPr>
              <w:jc w:val="right"/>
            </w:pPr>
            <w:r/>
            <w:r>
              <w:rPr>
                <w:color w:val="1A1D21"/>
                <w:sz w:val="17"/>
              </w:rPr>
              <w:t>7.75</w:t>
            </w:r>
          </w:p>
        </w:tc>
        <w:tc>
          <w:tcPr>
            <w:tcW w:type="dxa" w:w="1134"/>
          </w:tcPr>
          <w:p>
            <w:pPr>
              <w:jc w:val="right"/>
            </w:pPr>
            <w:r/>
            <w:r>
              <w:rPr>
                <w:color w:val="1A1D21"/>
                <w:sz w:val="17"/>
              </w:rPr>
              <w:t>2026-08-23</w:t>
            </w:r>
          </w:p>
        </w:tc>
        <w:tc>
          <w:tcPr>
            <w:tcW w:type="dxa" w:w="3969"/>
          </w:tcPr>
          <w:p>
            <w:r/>
            <w:r>
              <w:rPr>
                <w:color w:val="1A1D21"/>
                <w:sz w:val="17"/>
              </w:rPr>
              <w:t>land-rich developer with a comparable legacy landbank</w:t>
            </w:r>
          </w:p>
        </w:tc>
      </w:tr>
      <w:tr>
        <w:trPr>
          <w:cantSplit/>
        </w:trPr>
        <w:tc>
          <w:tcPr>
            <w:tcW w:type="dxa" w:w="2608"/>
          </w:tcPr>
          <w:p>
            <w:r/>
            <w:r>
              <w:rPr>
                <w:color w:val="1A1D21"/>
                <w:sz w:val="17"/>
              </w:rPr>
              <w:t>Orascom Development Egypt</w:t>
            </w:r>
          </w:p>
        </w:tc>
        <w:tc>
          <w:tcPr>
            <w:tcW w:type="dxa" w:w="1247"/>
          </w:tcPr>
          <w:p>
            <w:pPr>
              <w:jc w:val="right"/>
            </w:pPr>
            <w:r/>
            <w:r>
              <w:rPr>
                <w:color w:val="1A1D21"/>
                <w:sz w:val="17"/>
              </w:rPr>
              <w:t>40.16</w:t>
            </w:r>
          </w:p>
        </w:tc>
        <w:tc>
          <w:tcPr>
            <w:tcW w:type="dxa" w:w="1134"/>
          </w:tcPr>
          <w:p>
            <w:pPr>
              <w:jc w:val="right"/>
            </w:pPr>
            <w:r/>
            <w:r>
              <w:rPr>
                <w:color w:val="1A1D21"/>
                <w:sz w:val="17"/>
              </w:rPr>
              <w:t>2026-07-27</w:t>
            </w:r>
          </w:p>
        </w:tc>
        <w:tc>
          <w:tcPr>
            <w:tcW w:type="dxa" w:w="3969"/>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