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9 August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last updated 5 January 2026, read live on 9 August 2026</w:t>
            </w:r>
          </w:p>
        </w:tc>
        <w:tc>
          <w:tcPr>
            <w:tcW w:type="dxa" w:w="4392"/>
          </w:tcPr>
          <w:p>
            <w:pPr>
              <w:spacing w:after="20"/>
              <w:jc w:val="right"/>
            </w:pPr>
            <w:r>
              <w:rPr>
                <w:color w:val="1C3A36"/>
                <w:sz w:val="15"/>
              </w:rPr>
              <w:t>Egypt row: Moody's Caa1; adjusted default spread 6.37%; country risk premium 9.71%; total equity risk premium 13.94% on the rating basis; corporate tax rate 22.50%; sovereign credit-default-swap spread 3.41%; equity risk premium on the swap basis 9.41%</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FY2022, FY2023, FY2024 and FY2025, each with the auditor's report and full notes.</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(172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151.585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general and administrative note</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147.112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(33): Batterjee Pharma (Saudi Arabia) 190.022, Medical Professions Company (38.441), less withholding tax on distributions (4.469)</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495.499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Medical Professions Company 84.179, less withholding tax on distributions (16.585)</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Capital note (13): nominal value per share</w:t>
            </w:r>
          </w:p>
        </w:tc>
      </w:tr>
    </w:tbl>
    <w:p>
      <w:pPr>
        <w:spacing w:after="40"/>
      </w:pPr>
    </w:p>
    <w:p>
      <w:pPr>
        <w:spacing w:after="80" w:before="200"/>
      </w:pPr>
      <w:r>
        <w:rPr>
          <w:b/>
          <w:i w:val="0"/>
          <w:color w:val="1C3A36"/>
          <w:sz w:val="24"/>
        </w:rPr>
        <w:t>Research layer: Country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0.2231</w:t>
            </w:r>
          </w:p>
        </w:tc>
        <w:tc>
          <w:tcPr>
            <w:tcW w:type="dxa" w:w="950"/>
          </w:tcPr>
          <w:p>
            <w:pPr>
              <w:spacing w:after="20"/>
              <w:jc w:val="right"/>
            </w:pPr>
            <w:r>
              <w:rPr>
                <w:color w:val="1C3A36"/>
                <w:sz w:val="14"/>
              </w:rPr>
              <w:t>2026-07-21</w:t>
            </w:r>
          </w:p>
        </w:tc>
        <w:tc>
          <w:tcPr>
            <w:tcW w:type="dxa" w:w="4810"/>
          </w:tcPr>
          <w:p>
            <w:pPr>
              <w:spacing w:after="20"/>
              <w:jc w:val="right"/>
            </w:pPr>
            <w:r>
              <w:rPr>
                <w:color w:val="1C3A36"/>
                <w:sz w:val="14"/>
              </w:rPr>
              <w:t>Egypt ten-year local-currency government bond yield, 22.31% (house cost-of-capital reference, 21-Jul-2026 print). A live re-read of the central bank's own fixed-coupon treasury bond auction page was attempted on 09-Aug-2026 and rejected by that site's web application firewall; the cached print is used and the rate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0.0341</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 sovereign credit-default-swap spread, 3.41%, read live on 09-Aug-2026 from the original country default-spread and risk-premium file (last updated 5 January 2026), Egypt row, sovereign CDS column. Netted out of the local-currency risk-free rate so that sovereign default risk is charged once, inside the equity risk premium, and not twice</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0.0637</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 adjusted default spread on the rating basis (Moody's Caa1), 6.37%, same file and same live read — the alternative construction, published for the audit trail</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0.0941</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 total equity risk premium on the sovereign-CDS basis, 9.41%, same file and same live read</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0.1394</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 total equity risk premium on the rating basis, 13.94%, same file and same live read (country risk premium 9.71% over a 4.23% mature-market premium)</w:t>
            </w:r>
          </w:p>
        </w:tc>
      </w:tr>
    </w:tbl>
    <w:p>
      <w:pPr>
        <w:spacing w:after="40"/>
      </w:pPr>
    </w:p>
    <w:p>
      <w:pPr>
        <w:spacing w:after="80" w:before="200"/>
      </w:pPr>
      <w:r>
        <w:rPr>
          <w:b/>
          <w:i w:val="0"/>
          <w:color w:val="1C3A36"/>
          <w:sz w:val="24"/>
        </w:rPr>
        <w:t>Research layer: Market   (4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130.05</w:t>
            </w:r>
          </w:p>
        </w:tc>
        <w:tc>
          <w:tcPr>
            <w:tcW w:type="dxa" w:w="950"/>
          </w:tcPr>
          <w:p>
            <w:pPr>
              <w:spacing w:after="20"/>
              <w:jc w:val="right"/>
            </w:pPr>
            <w:r>
              <w:rPr>
                <w:color w:val="1C3A36"/>
                <w:sz w:val="14"/>
              </w:rPr>
              <w:t>2026-08-06</w:t>
            </w:r>
          </w:p>
        </w:tc>
        <w:tc>
          <w:tcPr>
            <w:tcW w:type="dxa" w:w="4810"/>
          </w:tcPr>
          <w:p>
            <w:pPr>
              <w:spacing w:after="20"/>
              <w:jc w:val="right"/>
            </w:pPr>
            <w:r>
              <w:rPr>
                <w:color w:val="1C3A36"/>
                <w:sz w:val="14"/>
              </w:rPr>
              <w:t>Last close of the uploaded EGX daily price history for the company's listed ordinary shares</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19.5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Median trailing price-earnings multiple of listed Gulf and emerging-market generic pharmaceutical manufacturers used as the relative anchor. MARKET DATA, cross-check layer — not a company historical. Sourced range: a listed Saudi Arabian generics manufacturer at 26.7 times, larger and more liquid regional and international generic manufacturers in the mid-teens. The median is struck at 19.5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(38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50.5, 52.5, 54.3, 56, 57.7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pound per US dollar, FY2026E-FY2030E period averages. Built from the inflation differential rather than asserted: the pound averaged 47.74 in 2024 and 49.48 in 2025 (a 3.6% move) while consumer inflation ran far above the United States', so the real exchange rate appreciated. The path assumes that reverses only partially, at roughly 4% a year narrowing to 3% as domestic inflation converges on the central bank's stated 5% medium-term target</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0.1, 0.085, 0.075, 0.065, 0.055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0.09, 0.09, 0.085, 0.08, 0.07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0.09, 0.085, 0.075, 0.065, 0.055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Domestic realised price per pack, annual growth. Egyptian medicine prices are set administratively by the Egyptian Drug Authority and move in periodic approved adjustments rather than continuously; realised price per pack rose 12.6% in FY2025 after a much larger devaluation-driven step in FY2024. The path assumes price growth tracks domestic inflation as it converges on the central bank's target, with no real price gain</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0.12, 0.1, 0.085, 0.07, 0.06</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consumer price inflation path, applied only to genuinely domestic service and consumable lines. Converges on the central bank's stated 5-7% medium-term target band</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Credit losses, inventory write-downs and other provisions as a permanent share of revenue — the FRAME A reading. Three-year average of the disclosed charge: 5.07% (FY2023), 9.24% (FY2024), 5.23% (FY2025); the average of the two years either side of the FY2024 spike is 5.15%, and 5.25% is struck marginally above it</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0.075, 0.045, 0.035, 0.032, 0.03</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3,200, 1,200, 400, 200, 200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0.629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Own-stock first-tier regression: weekly logarithmic returns of the company's own shares against an equal-weighted composite of 36 Egyptian listed names built from the full covered price library, five-year window. R-squared 0.235, n = 257, standard error 0.071, 90% confidence interval [0.51, 0.75]. Clears every usability test on every limb and is not weak-instrument flagged. A beta well below one is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0.2481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cost of local-currency debt: the ten-year sovereign yield of 22.31% plus a 250 basis-point corporate credit spread. A same-currency corporate cannot borrow below its own sovereign, so this is floored at the sovereign yield by construction</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Forward blended cost of debt FY2026E-FY2030E in local-equivalent terms, continuing the central bank's easing cycle. The discount-rate glide takes its shape from this path by construction rather than being invented separately</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risk-free rate, built from norms rather than extrapolated: the central bank's stated medium-term inflation target of 5% plus the standard 5.5-point emerging-market real-rate convention</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hard-currency coupon</w:t>
            </w:r>
          </w:p>
        </w:tc>
      </w:tr>
      <w:tr>
        <w:tc>
          <w:tcPr>
            <w:tcW w:type="dxa" w:w="2232"/>
          </w:tcPr>
          <w:p>
            <w:pPr>
              <w:spacing w:after="20"/>
            </w:pPr>
            <w:r>
              <w:rPr>
                <w:color w:val="1C3A36"/>
                <w:sz w:val="14"/>
              </w:rPr>
              <w:t>wd term</w:t>
            </w:r>
          </w:p>
        </w:tc>
        <w:tc>
          <w:tcPr>
            <w:tcW w:type="dxa" w:w="1512"/>
          </w:tcPr>
          <w:p>
            <w:pPr>
              <w:spacing w:after="20"/>
              <w:jc w:val="right"/>
            </w:pPr>
            <w:r>
              <w:rPr>
                <w:color w:val="1C3A36"/>
                <w:sz w:val="14"/>
              </w:rPr>
              <w:t>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debt weight on a net basis, NORMALISED but reconciled to the model's own forecast balance sheet rather than asserted. Today's net weight is 25.1%; at a 40% payout the forecast deleverages through the window, so a terminal weight at today's level would contradict the model's own trajectory. 20% acknowledges that an inventory-heavy manufacturer retains structural gross leverage</w:t>
            </w:r>
          </w:p>
        </w:tc>
      </w:tr>
      <w:tr>
        <w:tc>
          <w:tcPr>
            <w:tcW w:type="dxa" w:w="2232"/>
          </w:tcPr>
          <w:p>
            <w:pPr>
              <w:spacing w:after="20"/>
            </w:pPr>
            <w:r>
              <w:rPr>
                <w:color w:val="1C3A36"/>
                <w:sz w:val="14"/>
              </w:rPr>
              <w:t>g term</w:t>
            </w:r>
          </w:p>
        </w:tc>
        <w:tc>
          <w:tcPr>
            <w:tcW w:type="dxa" w:w="1512"/>
          </w:tcPr>
          <w:p>
            <w:pPr>
              <w:spacing w:after="20"/>
              <w:jc w:val="right"/>
            </w:pPr>
            <w:r>
              <w:rPr>
                <w:color w:val="1C3A36"/>
                <w:sz w:val="14"/>
              </w:rPr>
              <w:t>0.05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growth, 5% — an Egyptian-pound NOMINAL rate struck against a terminal risk-free rate that itself embeds 5% inflation, so the base case assumes approximately zero real terminal growth. Deliberately conservative for a company with a third of its revenue in hard currency and a biosimilars plant just entering service. Sensitised 3-7%</w:t>
            </w:r>
          </w:p>
        </w:tc>
      </w:tr>
      <w:tr>
        <w:tc>
          <w:tcPr>
            <w:tcW w:type="dxa" w:w="2232"/>
          </w:tcPr>
          <w:p>
            <w:pPr>
              <w:spacing w:after="20"/>
            </w:pPr>
            <w:r>
              <w:rPr>
                <w:color w:val="1C3A36"/>
                <w:sz w:val="14"/>
              </w:rPr>
              <w:t>roic term</w:t>
            </w:r>
          </w:p>
        </w:tc>
        <w:tc>
          <w:tcPr>
            <w:tcW w:type="dxa" w:w="1512"/>
          </w:tcPr>
          <w:p>
            <w:pPr>
              <w:spacing w:after="20"/>
              <w:jc w:val="right"/>
            </w:pPr>
            <w:r>
              <w:rPr>
                <w:color w:val="1C3A36"/>
                <w:sz w:val="14"/>
              </w:rPr>
              <w:t>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return on invested capital, used to set terminal reinvestment as growth divided by return. The model's own FY2030E return on invested capital is computed below and this input is asserted against it</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Earnings multiple applied to the equity-accounted associate stream in the enterprise-to-equity bridge. The associates contributed EGP 495.5 million in FY2025 — 34%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320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Normalised annual associate contribution used with the multiple above, EGP million. The disclosed stream is volatile — 74.5 (FY2023), 147.1 (FY2024), 495.5 (FY2025) — and the FY2025 print is more than three times the FY2024 one. The three-year average is 239.0; 320 sits between that average and the latest year, recognising a genuine step-up at the Saudi associate without capitalising one exceptional year</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220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The study is built on full years to FY2025 with no FY2026 actuals. Secondary reporting of that filing exists and is recorded in section 5 below as a labelled cross-check; it is NOT in the build path and no figure in the study rests on it.</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888"/>
        <w:gridCol w:w="3672"/>
      </w:tblGrid>
      <w:tr>
        <w:tc>
          <w:tcPr>
            <w:tcW w:type="dxa" w:w="1944"/>
            <w:shd w:val="clear" w:color="auto" w:fill="EAF0EE"/>
          </w:tcPr>
          <w:p>
            <w:pPr>
              <w:spacing w:after="20"/>
            </w:pPr>
            <w:r>
              <w:rPr>
                <w:b/>
                <w:color w:val="1C3A36"/>
                <w:sz w:val="15"/>
              </w:rPr>
              <w:t>Item</w:t>
            </w:r>
          </w:p>
        </w:tc>
        <w:tc>
          <w:tcPr>
            <w:tcW w:type="dxa" w:w="3888"/>
            <w:shd w:val="clear" w:color="auto" w:fill="EAF0EE"/>
          </w:tcPr>
          <w:p>
            <w:pPr>
              <w:spacing w:after="20"/>
            </w:pPr>
            <w:r>
              <w:rPr>
                <w:b/>
                <w:color w:val="1C3A36"/>
                <w:sz w:val="15"/>
              </w:rPr>
              <w:t>What the secondary source says</w:t>
            </w:r>
          </w:p>
        </w:tc>
        <w:tc>
          <w:tcPr>
            <w:tcW w:type="dxa" w:w="3672"/>
            <w:shd w:val="clear" w:color="auto" w:fill="EAF0EE"/>
          </w:tcPr>
          <w:p>
            <w:pPr>
              <w:spacing w:after="20"/>
            </w:pPr>
            <w:r>
              <w:rPr>
                <w:b/>
                <w:color w:val="1C3A36"/>
                <w:sz w:val="15"/>
              </w:rPr>
              <w:t>What this study does</w:t>
            </w:r>
          </w:p>
        </w:tc>
      </w:tr>
      <w:tr>
        <w:tc>
          <w:tcPr>
            <w:tcW w:type="dxa" w:w="1944"/>
          </w:tcPr>
          <w:p>
            <w:pPr>
              <w:spacing w:after="20"/>
            </w:pPr>
            <w:r>
              <w:rPr>
                <w:color w:val="1C3A36"/>
                <w:sz w:val="15"/>
              </w:rPr>
              <w:t>FY2026 first-quarter results</w:t>
            </w:r>
          </w:p>
        </w:tc>
        <w:tc>
          <w:tcPr>
            <w:tcW w:type="dxa" w:w="3888"/>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672"/>
          </w:tcPr>
          <w:p>
            <w:pPr>
              <w:spacing w:after="20"/>
              <w:jc w:val="right"/>
            </w:pPr>
            <w:r>
              <w:rPr>
                <w:color w:val="1C3A36"/>
                <w:sz w:val="15"/>
              </w:rPr>
              <w:t>NOT USED. The filing itself could not be obtained from an official source (see table B4). Recorded here as a cross-check only. It is directionally consistent with the study's central mechanism — that costs, depreciation and interest are rising faster than revenue as the new plant comes into service — but no figure in the study rests on it.</w:t>
            </w:r>
          </w:p>
        </w:tc>
      </w:tr>
      <w:tr>
        <w:tc>
          <w:tcPr>
            <w:tcW w:type="dxa" w:w="1944"/>
          </w:tcPr>
          <w:p>
            <w:pPr>
              <w:spacing w:after="20"/>
            </w:pPr>
            <w:r>
              <w:rPr>
                <w:color w:val="1C3A36"/>
                <w:sz w:val="15"/>
              </w:rPr>
              <w:t>FY2024 tablet production volume</w:t>
            </w:r>
          </w:p>
        </w:tc>
        <w:tc>
          <w:tcPr>
            <w:tcW w:type="dxa" w:w="3888"/>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672"/>
          </w:tcPr>
          <w:p>
            <w:pPr>
              <w:spacing w:after="20"/>
              <w:jc w:val="right"/>
            </w:pPr>
            <w:r>
              <w:rPr>
                <w:color w:val="1C3A36"/>
                <w:sz w:val="15"/>
              </w:rPr>
              <w:t>The later filing is used and the restatement is disclosed. It affects a capacity-utilisation statistic, not a valuation input.</w:t>
            </w:r>
          </w:p>
        </w:tc>
      </w:tr>
      <w:tr>
        <w:tc>
          <w:tcPr>
            <w:tcW w:type="dxa" w:w="1944"/>
          </w:tcPr>
          <w:p>
            <w:pPr>
              <w:spacing w:after="20"/>
            </w:pPr>
            <w:r>
              <w:rPr>
                <w:color w:val="1C3A36"/>
                <w:sz w:val="15"/>
              </w:rPr>
              <w:t>Peer valuation multiples</w:t>
            </w:r>
          </w:p>
        </w:tc>
        <w:tc>
          <w:tcPr>
            <w:tcW w:type="dxa" w:w="3888"/>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672"/>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1944"/>
          </w:tcPr>
          <w:p>
            <w:pPr>
              <w:spacing w:after="20"/>
            </w:pPr>
            <w:r>
              <w:rPr>
                <w:color w:val="1C3A36"/>
                <w:sz w:val="15"/>
              </w:rPr>
              <w:t>Exports in US dollars</w:t>
            </w:r>
          </w:p>
        </w:tc>
        <w:tc>
          <w:tcPr>
            <w:tcW w:type="dxa" w:w="3888"/>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672"/>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