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F2430" w:color="auto" w:val="clear"/>
            <w:tcMar>
              <w:top w:type="dxa" w:w="110"/>
              <w:left w:type="dxa" w:w="160"/>
              <w:bottom w:type="dxa" w:w="110"/>
              <w:right w:type="dxa" w:w="160"/>
            </w:tcMar>
          </w:tcPr>
          <w:p>
            <w:r>
              <w:rPr>
                <w:rFonts w:ascii="Georgia" w:cs="Georgia" w:eastAsia="Georgia" w:hAnsi="Georgia"/>
                <w:b/>
                <w:bCs/>
                <w:color w:val="FFFFFF"/>
                <w:sz w:val="20"/>
                <w:szCs w:val="20"/>
              </w:rPr>
              <w:t xml:space="preserve">Testahil · Independent Valuation Study — Educational Analysis</w:t>
            </w:r>
            <w:r>
              <w:rPr>
                <w:rFonts w:ascii="Georgia" w:cs="Georgia" w:eastAsia="Georgia" w:hAnsi="Georgia"/>
                <w:color w:val="C8A64B"/>
                <w:sz w:val="18"/>
                <w:szCs w:val="18"/>
              </w:rPr>
              <w:t xml:space="preserve">          Not investment advice</w:t>
            </w:r>
          </w:p>
        </w:tc>
      </w:tr>
    </w:tbl>
    <w:p>
      <w:pPr>
        <w:spacing w:after="40" w:before="220" w:line="276"/>
      </w:pPr>
      <w:r>
        <w:rPr>
          <w:rFonts w:ascii="Georgia" w:cs="Georgia" w:eastAsia="Georgia" w:hAnsi="Georgia"/>
          <w:b/>
          <w:bCs/>
          <w:color w:val="1F2430"/>
          <w:sz w:val="32"/>
          <w:szCs w:val="32"/>
        </w:rPr>
        <w:t xml:space="preserve">Bibliography</w:t>
      </w:r>
    </w:p>
    <w:p>
      <w:pPr>
        <w:spacing w:after="160" w:before="60" w:line="276"/>
      </w:pPr>
      <w:r>
        <w:rPr>
          <w:rFonts w:ascii="Georgia" w:cs="Georgia" w:eastAsia="Georgia" w:hAnsi="Georgia"/>
          <w:i/>
          <w:iCs/>
          <w:color w:val="8C6F2F"/>
          <w:sz w:val="19"/>
          <w:szCs w:val="19"/>
        </w:rPr>
        <w:t xml:space="preserve">Two Point Zero Group PJSC (ADX: 2POINTZERO) — companion to the Independent Valuation Study of 11 July 2026</w:t>
      </w:r>
    </w:p>
    <w:p>
      <w:pPr>
        <w:spacing w:after="160" w:before="60" w:line="276"/>
      </w:pPr>
      <w:r>
        <w:rPr>
          <w:rFonts w:ascii="Georgia" w:cs="Georgia" w:eastAsia="Georgia" w:hAnsi="Georgia"/>
          <w:color w:val="1F2430"/>
          <w:sz w:val="20"/>
          <w:szCs w:val="20"/>
        </w:rPr>
        <w:t xml:space="preserve">Every figure in the study traces to a source below. </w:t>
      </w:r>
      <w:r>
        <w:rPr>
          <w:rFonts w:ascii="Georgia" w:cs="Georgia" w:eastAsia="Georgia" w:hAnsi="Georgia"/>
          <w:color w:val="1F2430"/>
          <w:sz w:val="20"/>
          <w:szCs w:val="20"/>
        </w:rPr>
        <w:t xml:space="preserve">Where a source contradicted an earlier draft of our own work, that is stated explicitly — </w:t>
      </w:r>
      <w:r>
        <w:rPr>
          <w:rFonts w:ascii="Georgia" w:cs="Georgia" w:eastAsia="Georgia" w:hAnsi="Georgia"/>
          <w:b/>
          <w:bCs/>
          <w:color w:val="1F2430"/>
          <w:sz w:val="20"/>
          <w:szCs w:val="20"/>
        </w:rPr>
        <w:t xml:space="preserve">see entries 9, 11, 15 and 20 in particular</w:t>
      </w:r>
      <w:r>
        <w:rPr>
          <w:rFonts w:ascii="Georgia" w:cs="Georgia" w:eastAsia="Georgia" w:hAnsi="Georgia"/>
          <w:color w:val="1F2430"/>
          <w:sz w:val="20"/>
          <w:szCs w:val="20"/>
        </w:rPr>
        <w:t xml:space="preserve">, which respectively establish the value of the TAQA disposal, its original cost, the fact that the UAE's 15% minimum tax is a floor rather than a phase-in, and the July escalation. All four corrected errors in a previous version of this study. Financial-statement figures are taken only from the company's own audited accounts and exchange filings; no data aggregator is used as a primary source for any accounting line.</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180"/>
        <w:gridCol w:w="2380"/>
        <w:gridCol w:w="2360"/>
        <w:gridCol w:w="2520"/>
        <w:gridCol w:w="920"/>
      </w:tblGrid>
      <w:tr>
        <w:trPr>
          <w:tblHeader/>
        </w:trPr>
        <w:tc>
          <w:tcPr>
            <w:tcW w:type="dxa" w:w="1180"/>
            <w:shd w:fill="1F2430" w:color="auto" w:val="clear"/>
            <w:tcMar>
              <w:top w:type="dxa" w:w="60"/>
              <w:left w:type="dxa" w:w="80"/>
              <w:bottom w:type="dxa" w:w="60"/>
              <w:right w:type="dxa" w:w="80"/>
            </w:tcMar>
          </w:tcPr>
          <w:p>
            <w:pPr>
              <w:spacing w:after="0" w:before="0" w:line="240"/>
            </w:pPr>
            <w:r>
              <w:rPr>
                <w:rFonts w:ascii="Georgia" w:cs="Georgia" w:eastAsia="Georgia" w:hAnsi="Georgia"/>
                <w:b/>
                <w:bCs/>
                <w:color w:val="FFFFFF"/>
                <w:sz w:val="16"/>
                <w:szCs w:val="16"/>
              </w:rPr>
              <w:t xml:space="preserve">Source</w:t>
            </w:r>
          </w:p>
        </w:tc>
        <w:tc>
          <w:tcPr>
            <w:tcW w:type="dxa" w:w="2380"/>
            <w:shd w:fill="1F2430" w:color="auto" w:val="clear"/>
            <w:tcMar>
              <w:top w:type="dxa" w:w="60"/>
              <w:left w:type="dxa" w:w="80"/>
              <w:bottom w:type="dxa" w:w="60"/>
              <w:right w:type="dxa" w:w="80"/>
            </w:tcMar>
          </w:tcPr>
          <w:p>
            <w:pPr>
              <w:spacing w:after="0" w:before="0" w:line="240"/>
            </w:pPr>
            <w:r>
              <w:rPr>
                <w:rFonts w:ascii="Georgia" w:cs="Georgia" w:eastAsia="Georgia" w:hAnsi="Georgia"/>
                <w:b/>
                <w:bCs/>
                <w:color w:val="FFFFFF"/>
                <w:sz w:val="16"/>
                <w:szCs w:val="16"/>
              </w:rPr>
              <w:t xml:space="preserve">Publisher / document</w:t>
            </w:r>
          </w:p>
        </w:tc>
        <w:tc>
          <w:tcPr>
            <w:tcW w:type="dxa" w:w="2360"/>
            <w:shd w:fill="1F2430" w:color="auto" w:val="clear"/>
            <w:tcMar>
              <w:top w:type="dxa" w:w="60"/>
              <w:left w:type="dxa" w:w="80"/>
              <w:bottom w:type="dxa" w:w="60"/>
              <w:right w:type="dxa" w:w="80"/>
            </w:tcMar>
          </w:tcPr>
          <w:p>
            <w:pPr>
              <w:spacing w:after="0" w:before="0" w:line="240"/>
            </w:pPr>
            <w:r>
              <w:rPr>
                <w:rFonts w:ascii="Georgia" w:cs="Georgia" w:eastAsia="Georgia" w:hAnsi="Georgia"/>
                <w:b/>
                <w:bCs/>
                <w:color w:val="FFFFFF"/>
                <w:sz w:val="16"/>
                <w:szCs w:val="16"/>
              </w:rPr>
              <w:t xml:space="preserve">What it supports in the study</w:t>
            </w:r>
          </w:p>
        </w:tc>
        <w:tc>
          <w:tcPr>
            <w:tcW w:type="dxa" w:w="2520"/>
            <w:shd w:fill="1F2430" w:color="auto" w:val="clear"/>
            <w:tcMar>
              <w:top w:type="dxa" w:w="60"/>
              <w:left w:type="dxa" w:w="80"/>
              <w:bottom w:type="dxa" w:w="60"/>
              <w:right w:type="dxa" w:w="80"/>
            </w:tcMar>
          </w:tcPr>
          <w:p>
            <w:pPr>
              <w:spacing w:after="0" w:before="0" w:line="240"/>
            </w:pPr>
            <w:r>
              <w:rPr>
                <w:rFonts w:ascii="Georgia" w:cs="Georgia" w:eastAsia="Georgia" w:hAnsi="Georgia"/>
                <w:b/>
                <w:bCs/>
                <w:color w:val="FFFFFF"/>
                <w:sz w:val="16"/>
                <w:szCs w:val="16"/>
              </w:rPr>
              <w:t xml:space="preserve">Web address</w:t>
            </w:r>
          </w:p>
        </w:tc>
        <w:tc>
          <w:tcPr>
            <w:tcW w:type="dxa" w:w="920"/>
            <w:shd w:fill="1F2430" w:color="auto" w:val="clear"/>
            <w:tcMar>
              <w:top w:type="dxa" w:w="60"/>
              <w:left w:type="dxa" w:w="80"/>
              <w:bottom w:type="dxa" w:w="60"/>
              <w:right w:type="dxa" w:w="80"/>
            </w:tcMar>
          </w:tcPr>
          <w:p>
            <w:pPr>
              <w:spacing w:after="0" w:before="0" w:line="240"/>
            </w:pPr>
            <w:r>
              <w:rPr>
                <w:rFonts w:ascii="Georgia" w:cs="Georgia" w:eastAsia="Georgia" w:hAnsi="Georgia"/>
                <w:b/>
                <w:bCs/>
                <w:color w:val="FFFFFF"/>
                <w:sz w:val="16"/>
                <w:szCs w:val="16"/>
              </w:rPr>
              <w:t xml:space="preserve">Accessed</w:t>
            </w:r>
          </w:p>
        </w:tc>
      </w:tr>
      <w:tr>
        <w:tc>
          <w:tcPr>
            <w:tcW w:type="dxa" w:w="9360"/>
            <w:gridSpan w:val="5"/>
            <w:shd w:fill="F7F2E7" w:color="auto" w:val="clear"/>
            <w:tcMar>
              <w:top w:type="dxa" w:w="70"/>
              <w:left w:type="dxa" w:w="80"/>
              <w:bottom w:type="dxa" w:w="70"/>
              <w:right w:type="dxa" w:w="80"/>
            </w:tcMar>
          </w:tcPr>
          <w:p>
            <w:r>
              <w:rPr>
                <w:rFonts w:ascii="Georgia" w:cs="Georgia" w:eastAsia="Georgia" w:hAnsi="Georgia"/>
                <w:b/>
                <w:bCs/>
                <w:color w:val="8C6F2F"/>
                <w:sz w:val="18"/>
                <w:szCs w:val="18"/>
              </w:rPr>
              <w:t xml:space="preserve">Company — audited &amp; filed</w:t>
            </w:r>
          </w:p>
        </w:tc>
      </w:tr>
      <w:tr>
        <w:tc>
          <w:tcPr>
            <w:tcW w:type="dxa" w:w="1180"/>
            <w:tcMar>
              <w:top w:type="dxa" w:w="60"/>
              <w:left w:type="dxa" w:w="80"/>
              <w:bottom w:type="dxa" w:w="60"/>
              <w:right w:type="dxa" w:w="80"/>
            </w:tcMar>
          </w:tcPr>
          <w:p>
            <w:pPr>
              <w:spacing w:after="0" w:before="0" w:line="240"/>
            </w:pPr>
            <w:r>
              <w:rPr>
                <w:rFonts w:ascii="Georgia" w:cs="Georgia" w:eastAsia="Georgia" w:hAnsi="Georgia"/>
                <w:b/>
                <w:bCs/>
                <w:color w:val="1F2430"/>
                <w:sz w:val="16"/>
                <w:szCs w:val="16"/>
              </w:rPr>
              <w:t xml:space="preserve">1</w:t>
            </w:r>
          </w:p>
        </w:tc>
        <w:tc>
          <w:tcPr>
            <w:tcW w:type="dxa" w:w="238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2PointZero Group — Q1-2026 results release (ADX)</w:t>
            </w:r>
          </w:p>
        </w:tc>
        <w:tc>
          <w:tcPr>
            <w:tcW w:type="dxa" w:w="236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Revenue AED 9.9 bn; gross profit 3.0 bn (30%); G&amp;A (1.8); investment &amp; other income 1.2; one-offs +0.1 / (0.4); adjusted EBITDA 2.5; reported net profit 2.3 including 1.1 of unrealised revaluations; cash 9.5; debt/equity 0.31; portfolio 58.7 against 48.0 invested; the revenue and PROFIT split by vertical (Investments = 59% of profit, ~0% of revenue).</w:t>
            </w:r>
          </w:p>
        </w:tc>
        <w:tc>
          <w:tcPr>
            <w:tcW w:type="dxa" w:w="2520"/>
            <w:tcMar>
              <w:top w:type="dxa" w:w="60"/>
              <w:left w:type="dxa" w:w="80"/>
              <w:bottom w:type="dxa" w:w="60"/>
              <w:right w:type="dxa" w:w="80"/>
            </w:tcMar>
          </w:tcPr>
          <w:p>
            <w:pPr>
              <w:spacing w:after="0" w:before="0" w:line="240"/>
            </w:pPr>
            <w:hyperlink w:history="1" r:id="rIdjjp6b14kk157lzkdy095d">
              <w:r>
                <w:rPr>
                  <w:rFonts w:ascii="Consolas" w:cs="Consolas" w:eastAsia="Consolas" w:hAnsi="Consolas"/>
                  <w:color w:val="1155CC"/>
                  <w:sz w:val="13"/>
                  <w:szCs w:val="13"/>
                  <w:u w:val="single"/>
                </w:rPr>
                <w:t xml:space="preserve">https://apigateway.adx.ae/adx/cdn/1.0/content/download/4861109</w:t>
              </w:r>
            </w:hyperlink>
          </w:p>
        </w:tc>
        <w:tc>
          <w:tcPr>
            <w:tcW w:type="dxa" w:w="92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4 May 2026</w:t>
            </w:r>
          </w:p>
        </w:tc>
      </w:tr>
      <w:tr>
        <w:tc>
          <w:tcPr>
            <w:tcW w:type="dxa" w:w="1180"/>
            <w:shd w:fill="FBF8F1" w:color="auto" w:val="clear"/>
            <w:tcMar>
              <w:top w:type="dxa" w:w="60"/>
              <w:left w:type="dxa" w:w="80"/>
              <w:bottom w:type="dxa" w:w="60"/>
              <w:right w:type="dxa" w:w="80"/>
            </w:tcMar>
          </w:tcPr>
          <w:p>
            <w:pPr>
              <w:spacing w:after="0" w:before="0" w:line="240"/>
            </w:pPr>
            <w:r>
              <w:rPr>
                <w:rFonts w:ascii="Georgia" w:cs="Georgia" w:eastAsia="Georgia" w:hAnsi="Georgia"/>
                <w:b/>
                <w:bCs/>
                <w:color w:val="1F2430"/>
                <w:sz w:val="16"/>
                <w:szCs w:val="16"/>
              </w:rPr>
              <w:t xml:space="preserve">2</w:t>
            </w:r>
          </w:p>
        </w:tc>
        <w:tc>
          <w:tcPr>
            <w:tcW w:type="dxa" w:w="238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2PointZero Group — Q1-2026 results presentation</w:t>
            </w:r>
          </w:p>
        </w:tc>
        <w:tc>
          <w:tcPr>
            <w:tcW w:type="dxa" w:w="236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Definition of adjusted EBITDA; pro-forma basis; market capitalisation as at 31 Mar 2026.</w:t>
            </w:r>
          </w:p>
        </w:tc>
        <w:tc>
          <w:tcPr>
            <w:tcW w:type="dxa" w:w="2520"/>
            <w:shd w:fill="FBF8F1" w:color="auto" w:val="clear"/>
            <w:tcMar>
              <w:top w:type="dxa" w:w="60"/>
              <w:left w:type="dxa" w:w="80"/>
              <w:bottom w:type="dxa" w:w="60"/>
              <w:right w:type="dxa" w:w="80"/>
            </w:tcMar>
          </w:tcPr>
          <w:p>
            <w:pPr>
              <w:spacing w:after="0" w:before="0" w:line="240"/>
            </w:pPr>
            <w:hyperlink w:history="1" r:id="rIdfg4i-avyclqfbiuwatdcy">
              <w:r>
                <w:rPr>
                  <w:rFonts w:ascii="Consolas" w:cs="Consolas" w:eastAsia="Consolas" w:hAnsi="Consolas"/>
                  <w:color w:val="1155CC"/>
                  <w:sz w:val="13"/>
                  <w:szCs w:val="13"/>
                  <w:u w:val="single"/>
                </w:rPr>
                <w:t xml:space="preserve">https://2pointzero.com/application/files/9117/7850/4364/Q1_2026_Results_Call_Presentation.pdf</w:t>
              </w:r>
            </w:hyperlink>
          </w:p>
        </w:tc>
        <w:tc>
          <w:tcPr>
            <w:tcW w:type="dxa" w:w="92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4 May 2026</w:t>
            </w:r>
          </w:p>
        </w:tc>
      </w:tr>
      <w:tr>
        <w:tc>
          <w:tcPr>
            <w:tcW w:type="dxa" w:w="1180"/>
            <w:tcMar>
              <w:top w:type="dxa" w:w="60"/>
              <w:left w:type="dxa" w:w="80"/>
              <w:bottom w:type="dxa" w:w="60"/>
              <w:right w:type="dxa" w:w="80"/>
            </w:tcMar>
          </w:tcPr>
          <w:p>
            <w:pPr>
              <w:spacing w:after="0" w:before="0" w:line="240"/>
            </w:pPr>
            <w:r>
              <w:rPr>
                <w:rFonts w:ascii="Georgia" w:cs="Georgia" w:eastAsia="Georgia" w:hAnsi="Georgia"/>
                <w:b/>
                <w:bCs/>
                <w:color w:val="1F2430"/>
                <w:sz w:val="16"/>
                <w:szCs w:val="16"/>
              </w:rPr>
              <w:t xml:space="preserve">3</w:t>
            </w:r>
          </w:p>
        </w:tc>
        <w:tc>
          <w:tcPr>
            <w:tcW w:type="dxa" w:w="238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Multiply Group — interim condensed consolidated financial statements (ADX)</w:t>
            </w:r>
          </w:p>
        </w:tc>
        <w:tc>
          <w:tcPr>
            <w:tcW w:type="dxa" w:w="236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Tendam / Castellano: 67.91% acquired for AED 2,578,395 thousand; consolidation and NCI accounting policy.</w:t>
            </w:r>
          </w:p>
        </w:tc>
        <w:tc>
          <w:tcPr>
            <w:tcW w:type="dxa" w:w="2520"/>
            <w:tcMar>
              <w:top w:type="dxa" w:w="60"/>
              <w:left w:type="dxa" w:w="80"/>
              <w:bottom w:type="dxa" w:w="60"/>
              <w:right w:type="dxa" w:w="80"/>
            </w:tcMar>
          </w:tcPr>
          <w:p>
            <w:pPr>
              <w:spacing w:after="0" w:before="0" w:line="240"/>
            </w:pPr>
            <w:hyperlink w:history="1" r:id="rIdfdq2puznejg5gbwjtvbp-">
              <w:r>
                <w:rPr>
                  <w:rFonts w:ascii="Consolas" w:cs="Consolas" w:eastAsia="Consolas" w:hAnsi="Consolas"/>
                  <w:color w:val="1155CC"/>
                  <w:sz w:val="13"/>
                  <w:szCs w:val="13"/>
                  <w:u w:val="single"/>
                </w:rPr>
                <w:t xml:space="preserve">https://apigateway.adx.ae/adx/cdn/1.0/content/download/4577137</w:t>
              </w:r>
            </w:hyperlink>
          </w:p>
        </w:tc>
        <w:tc>
          <w:tcPr>
            <w:tcW w:type="dxa" w:w="92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28 Oct 2025</w:t>
            </w:r>
          </w:p>
        </w:tc>
      </w:tr>
      <w:tr>
        <w:tc>
          <w:tcPr>
            <w:tcW w:type="dxa" w:w="1180"/>
            <w:shd w:fill="FBF8F1" w:color="auto" w:val="clear"/>
            <w:tcMar>
              <w:top w:type="dxa" w:w="60"/>
              <w:left w:type="dxa" w:w="80"/>
              <w:bottom w:type="dxa" w:w="60"/>
              <w:right w:type="dxa" w:w="80"/>
            </w:tcMar>
          </w:tcPr>
          <w:p>
            <w:pPr>
              <w:spacing w:after="0" w:before="0" w:line="240"/>
            </w:pPr>
            <w:r>
              <w:rPr>
                <w:rFonts w:ascii="Georgia" w:cs="Georgia" w:eastAsia="Georgia" w:hAnsi="Georgia"/>
                <w:b/>
                <w:bCs/>
                <w:color w:val="1F2430"/>
                <w:sz w:val="16"/>
                <w:szCs w:val="16"/>
              </w:rPr>
              <w:t xml:space="preserve">4</w:t>
            </w:r>
          </w:p>
        </w:tc>
        <w:tc>
          <w:tcPr>
            <w:tcW w:type="dxa" w:w="238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Multiply Group — FY2023 results</w:t>
            </w:r>
          </w:p>
        </w:tc>
        <w:tc>
          <w:tcPr>
            <w:tcW w:type="dxa" w:w="236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FY2023 revenue AED 1.3 bn (+15%); REPORTED net profit AED 552 mn; net profit EXCLUDING fair-value changes AED 1.1 bn; blended gross margin 51.3%. The fair-value line was NEGATIVE that year.</w:t>
            </w:r>
          </w:p>
        </w:tc>
        <w:tc>
          <w:tcPr>
            <w:tcW w:type="dxa" w:w="2520"/>
            <w:shd w:fill="FBF8F1" w:color="auto" w:val="clear"/>
            <w:tcMar>
              <w:top w:type="dxa" w:w="60"/>
              <w:left w:type="dxa" w:w="80"/>
              <w:bottom w:type="dxa" w:w="60"/>
              <w:right w:type="dxa" w:w="80"/>
            </w:tcMar>
          </w:tcPr>
          <w:p>
            <w:pPr>
              <w:spacing w:after="0" w:before="0" w:line="240"/>
            </w:pPr>
            <w:hyperlink w:history="1" r:id="rIdogzyvlmy216wcmzmnduoa">
              <w:r>
                <w:rPr>
                  <w:rFonts w:ascii="Consolas" w:cs="Consolas" w:eastAsia="Consolas" w:hAnsi="Consolas"/>
                  <w:color w:val="1155CC"/>
                  <w:sz w:val="13"/>
                  <w:szCs w:val="13"/>
                  <w:u w:val="single"/>
                </w:rPr>
                <w:t xml:space="preserve">https://2pointzero.com/news-insights/news/multiply-group-pjsc-financial-results-full-year-2023</w:t>
              </w:r>
            </w:hyperlink>
          </w:p>
        </w:tc>
        <w:tc>
          <w:tcPr>
            <w:tcW w:type="dxa" w:w="92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7 Feb 2024</w:t>
            </w:r>
          </w:p>
        </w:tc>
      </w:tr>
      <w:tr>
        <w:tc>
          <w:tcPr>
            <w:tcW w:type="dxa" w:w="1180"/>
            <w:tcMar>
              <w:top w:type="dxa" w:w="60"/>
              <w:left w:type="dxa" w:w="80"/>
              <w:bottom w:type="dxa" w:w="60"/>
              <w:right w:type="dxa" w:w="80"/>
            </w:tcMar>
          </w:tcPr>
          <w:p>
            <w:pPr>
              <w:spacing w:after="0" w:before="0" w:line="240"/>
            </w:pPr>
            <w:r>
              <w:rPr>
                <w:rFonts w:ascii="Georgia" w:cs="Georgia" w:eastAsia="Georgia" w:hAnsi="Georgia"/>
                <w:b/>
                <w:bCs/>
                <w:color w:val="1F2430"/>
                <w:sz w:val="16"/>
                <w:szCs w:val="16"/>
              </w:rPr>
              <w:t xml:space="preserve">5</w:t>
            </w:r>
          </w:p>
        </w:tc>
        <w:tc>
          <w:tcPr>
            <w:tcW w:type="dxa" w:w="238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Multiply Group — Q1-2023 results</w:t>
            </w:r>
          </w:p>
        </w:tc>
        <w:tc>
          <w:tcPr>
            <w:tcW w:type="dxa" w:w="236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Public-market portfolio of AED 33 bn on AED 12.6 bn invested; fair-value LOSSES of AED 265 mn in the quarter — evidence that the revaluation line moves both ways.</w:t>
            </w:r>
          </w:p>
        </w:tc>
        <w:tc>
          <w:tcPr>
            <w:tcW w:type="dxa" w:w="2520"/>
            <w:tcMar>
              <w:top w:type="dxa" w:w="60"/>
              <w:left w:type="dxa" w:w="80"/>
              <w:bottom w:type="dxa" w:w="60"/>
              <w:right w:type="dxa" w:w="80"/>
            </w:tcMar>
          </w:tcPr>
          <w:p>
            <w:pPr>
              <w:spacing w:after="0" w:before="0" w:line="240"/>
            </w:pPr>
            <w:hyperlink w:history="1" r:id="rId1ah2gd3cgvu9o3sbhbujd">
              <w:r>
                <w:rPr>
                  <w:rFonts w:ascii="Consolas" w:cs="Consolas" w:eastAsia="Consolas" w:hAnsi="Consolas"/>
                  <w:color w:val="1155CC"/>
                  <w:sz w:val="13"/>
                  <w:szCs w:val="13"/>
                  <w:u w:val="single"/>
                </w:rPr>
                <w:t xml:space="preserve">https://2pointzero.com/news-insights/news/multiply-group-reports-net-profit-excluding-fair-value-gains-losses-aed-266-million-q1-2023-241-growth-compared-same-period-last</w:t>
              </w:r>
            </w:hyperlink>
          </w:p>
        </w:tc>
        <w:tc>
          <w:tcPr>
            <w:tcW w:type="dxa" w:w="92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2 May 2023</w:t>
            </w:r>
          </w:p>
        </w:tc>
      </w:tr>
      <w:tr>
        <w:tc>
          <w:tcPr>
            <w:tcW w:type="dxa" w:w="1180"/>
            <w:shd w:fill="FBF8F1" w:color="auto" w:val="clear"/>
            <w:tcMar>
              <w:top w:type="dxa" w:w="60"/>
              <w:left w:type="dxa" w:w="80"/>
              <w:bottom w:type="dxa" w:w="60"/>
              <w:right w:type="dxa" w:w="80"/>
            </w:tcMar>
          </w:tcPr>
          <w:p>
            <w:pPr>
              <w:spacing w:after="0" w:before="0" w:line="240"/>
            </w:pPr>
            <w:r>
              <w:rPr>
                <w:rFonts w:ascii="Georgia" w:cs="Georgia" w:eastAsia="Georgia" w:hAnsi="Georgia"/>
                <w:b/>
                <w:bCs/>
                <w:color w:val="1F2430"/>
                <w:sz w:val="16"/>
                <w:szCs w:val="16"/>
              </w:rPr>
              <w:t xml:space="preserve">6</w:t>
            </w:r>
          </w:p>
        </w:tc>
        <w:tc>
          <w:tcPr>
            <w:tcW w:type="dxa" w:w="238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2PointZero Group — company profile (ADX)</w:t>
            </w:r>
          </w:p>
        </w:tc>
        <w:tc>
          <w:tcPr>
            <w:tcW w:type="dxa" w:w="236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Share capital, ISIN, ownership structure (IHC-affiliated 60.57%; free float 39.05%), listing data.</w:t>
            </w:r>
          </w:p>
        </w:tc>
        <w:tc>
          <w:tcPr>
            <w:tcW w:type="dxa" w:w="2520"/>
            <w:shd w:fill="FBF8F1" w:color="auto" w:val="clear"/>
            <w:tcMar>
              <w:top w:type="dxa" w:w="60"/>
              <w:left w:type="dxa" w:w="80"/>
              <w:bottom w:type="dxa" w:w="60"/>
              <w:right w:type="dxa" w:w="80"/>
            </w:tcMar>
          </w:tcPr>
          <w:p>
            <w:pPr>
              <w:spacing w:after="0" w:before="0" w:line="240"/>
            </w:pPr>
            <w:hyperlink w:history="1" r:id="rIdkblgjosqifayan63yzszg">
              <w:r>
                <w:rPr>
                  <w:rFonts w:ascii="Consolas" w:cs="Consolas" w:eastAsia="Consolas" w:hAnsi="Consolas"/>
                  <w:color w:val="1155CC"/>
                  <w:sz w:val="13"/>
                  <w:szCs w:val="13"/>
                  <w:u w:val="single"/>
                </w:rPr>
                <w:t xml:space="preserve">https://www.adx.ae/en/main-market/company-profile?symbols=2POINTZERO&amp;secCode=2POINTZERO</w:t>
              </w:r>
            </w:hyperlink>
          </w:p>
        </w:tc>
        <w:tc>
          <w:tcPr>
            <w:tcW w:type="dxa" w:w="92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11 Jul 2026</w:t>
            </w:r>
          </w:p>
        </w:tc>
      </w:tr>
      <w:tr>
        <w:tc>
          <w:tcPr>
            <w:tcW w:type="dxa" w:w="1180"/>
            <w:tcMar>
              <w:top w:type="dxa" w:w="60"/>
              <w:left w:type="dxa" w:w="80"/>
              <w:bottom w:type="dxa" w:w="60"/>
              <w:right w:type="dxa" w:w="80"/>
            </w:tcMar>
          </w:tcPr>
          <w:p>
            <w:pPr>
              <w:spacing w:after="0" w:before="0" w:line="240"/>
            </w:pPr>
            <w:r>
              <w:rPr>
                <w:rFonts w:ascii="Georgia" w:cs="Georgia" w:eastAsia="Georgia" w:hAnsi="Georgia"/>
                <w:b/>
                <w:bCs/>
                <w:color w:val="1F2430"/>
                <w:sz w:val="16"/>
                <w:szCs w:val="16"/>
              </w:rPr>
              <w:t xml:space="preserve">7</w:t>
            </w:r>
          </w:p>
        </w:tc>
        <w:tc>
          <w:tcPr>
            <w:tcW w:type="dxa" w:w="238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2PointZero Group — financial reports (ADX)</w:t>
            </w:r>
          </w:p>
        </w:tc>
        <w:tc>
          <w:tcPr>
            <w:tcW w:type="dxa" w:w="236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FY2025 audited consolidated accounts (Deloitte, unmodified); FY2023/FY2024 comparatives; the published Q1-2026 earnings per share of AED 0.056, which fixes attributable profit at AED 1.94 bn.</w:t>
            </w:r>
          </w:p>
        </w:tc>
        <w:tc>
          <w:tcPr>
            <w:tcW w:type="dxa" w:w="2520"/>
            <w:tcMar>
              <w:top w:type="dxa" w:w="60"/>
              <w:left w:type="dxa" w:w="80"/>
              <w:bottom w:type="dxa" w:w="60"/>
              <w:right w:type="dxa" w:w="80"/>
            </w:tcMar>
          </w:tcPr>
          <w:p>
            <w:pPr>
              <w:spacing w:after="0" w:before="0" w:line="240"/>
            </w:pPr>
            <w:hyperlink w:history="1" r:id="rIdelt4drx5pvkffyzwhfmuf">
              <w:r>
                <w:rPr>
                  <w:rFonts w:ascii="Consolas" w:cs="Consolas" w:eastAsia="Consolas" w:hAnsi="Consolas"/>
                  <w:color w:val="1155CC"/>
                  <w:sz w:val="13"/>
                  <w:szCs w:val="13"/>
                  <w:u w:val="single"/>
                </w:rPr>
                <w:t xml:space="preserve">https://www.adx.ae/main-market/company-profile/financial-reports?symbols=2POINTZERO&amp;secCode=2POINTZERO</w:t>
              </w:r>
            </w:hyperlink>
          </w:p>
        </w:tc>
        <w:tc>
          <w:tcPr>
            <w:tcW w:type="dxa" w:w="92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11 Jul 2026</w:t>
            </w:r>
          </w:p>
        </w:tc>
      </w:tr>
      <w:tr>
        <w:tc>
          <w:tcPr>
            <w:tcW w:type="dxa" w:w="9360"/>
            <w:gridSpan w:val="5"/>
            <w:shd w:fill="F7F2E7" w:color="auto" w:val="clear"/>
            <w:tcMar>
              <w:top w:type="dxa" w:w="70"/>
              <w:left w:type="dxa" w:w="80"/>
              <w:bottom w:type="dxa" w:w="70"/>
              <w:right w:type="dxa" w:w="80"/>
            </w:tcMar>
          </w:tcPr>
          <w:p>
            <w:r>
              <w:rPr>
                <w:rFonts w:ascii="Georgia" w:cs="Georgia" w:eastAsia="Georgia" w:hAnsi="Georgia"/>
                <w:b/>
                <w:bCs/>
                <w:color w:val="8C6F2F"/>
                <w:sz w:val="18"/>
                <w:szCs w:val="18"/>
              </w:rPr>
              <w:t xml:space="preserve">The TAQA disposal</w:t>
            </w:r>
          </w:p>
        </w:tc>
      </w:tr>
      <w:tr>
        <w:tc>
          <w:tcPr>
            <w:tcW w:type="dxa" w:w="1180"/>
            <w:shd w:fill="FBF8F1" w:color="auto" w:val="clear"/>
            <w:tcMar>
              <w:top w:type="dxa" w:w="60"/>
              <w:left w:type="dxa" w:w="80"/>
              <w:bottom w:type="dxa" w:w="60"/>
              <w:right w:type="dxa" w:w="80"/>
            </w:tcMar>
          </w:tcPr>
          <w:p>
            <w:pPr>
              <w:spacing w:after="0" w:before="0" w:line="240"/>
            </w:pPr>
            <w:r>
              <w:rPr>
                <w:rFonts w:ascii="Georgia" w:cs="Georgia" w:eastAsia="Georgia" w:hAnsi="Georgia"/>
                <w:b/>
                <w:bCs/>
                <w:color w:val="1F2430"/>
                <w:sz w:val="16"/>
                <w:szCs w:val="16"/>
              </w:rPr>
              <w:t xml:space="preserve">8</w:t>
            </w:r>
          </w:p>
        </w:tc>
        <w:tc>
          <w:tcPr>
            <w:tcW w:type="dxa" w:w="238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2PointZero Group — completion of the TAQA exit (ADX filing)</w:t>
            </w:r>
          </w:p>
        </w:tc>
        <w:tc>
          <w:tcPr>
            <w:tcW w:type="dxa" w:w="236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Full 7.29% stake sold to Abu Dhabi Power Corporation (L'IMAD); proceeds to be used to optimise the capital structure; the company's OWN post-transaction guidance of net debt/equity 0.17× and net debt/EBITDA ~2.0×.</w:t>
            </w:r>
          </w:p>
        </w:tc>
        <w:tc>
          <w:tcPr>
            <w:tcW w:type="dxa" w:w="2520"/>
            <w:shd w:fill="FBF8F1" w:color="auto" w:val="clear"/>
            <w:tcMar>
              <w:top w:type="dxa" w:w="60"/>
              <w:left w:type="dxa" w:w="80"/>
              <w:bottom w:type="dxa" w:w="60"/>
              <w:right w:type="dxa" w:w="80"/>
            </w:tcMar>
          </w:tcPr>
          <w:p>
            <w:pPr>
              <w:spacing w:after="0" w:before="0" w:line="240"/>
            </w:pPr>
            <w:hyperlink w:history="1" r:id="rIddzwepfoipaspz1mpwgigm">
              <w:r>
                <w:rPr>
                  <w:rFonts w:ascii="Consolas" w:cs="Consolas" w:eastAsia="Consolas" w:hAnsi="Consolas"/>
                  <w:color w:val="1155CC"/>
                  <w:sz w:val="13"/>
                  <w:szCs w:val="13"/>
                  <w:u w:val="single"/>
                </w:rPr>
                <w:t xml:space="preserve">https://apigateway.adx.ae/adx/cdn/1.0/content/download/4990037</w:t>
              </w:r>
            </w:hyperlink>
          </w:p>
        </w:tc>
        <w:tc>
          <w:tcPr>
            <w:tcW w:type="dxa" w:w="92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11 Jun 2026</w:t>
            </w:r>
          </w:p>
        </w:tc>
      </w:tr>
      <w:tr>
        <w:tc>
          <w:tcPr>
            <w:tcW w:type="dxa" w:w="1180"/>
            <w:tcMar>
              <w:top w:type="dxa" w:w="60"/>
              <w:left w:type="dxa" w:w="80"/>
              <w:bottom w:type="dxa" w:w="60"/>
              <w:right w:type="dxa" w:w="80"/>
            </w:tcMar>
          </w:tcPr>
          <w:p>
            <w:pPr>
              <w:spacing w:after="0" w:before="0" w:line="240"/>
            </w:pPr>
            <w:r>
              <w:rPr>
                <w:rFonts w:ascii="Georgia" w:cs="Georgia" w:eastAsia="Georgia" w:hAnsi="Georgia"/>
                <w:b/>
                <w:bCs/>
                <w:color w:val="1F2430"/>
                <w:sz w:val="16"/>
                <w:szCs w:val="16"/>
              </w:rPr>
              <w:t xml:space="preserve">9</w:t>
            </w:r>
          </w:p>
        </w:tc>
        <w:tc>
          <w:tcPr>
            <w:tcW w:type="dxa" w:w="238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The National — 'Abu Dhabi wealth fund L'imad boosts stake in utility Taqa'</w:t>
            </w:r>
          </w:p>
        </w:tc>
        <w:tc>
          <w:tcPr>
            <w:tcW w:type="dxa" w:w="236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THE KEY NUMBER: 9,095,702,934 TAQA shares changed hands; at TAQA's AED 2.37 close the stake was worth more than AED 21.5 bn ($5.9 bn). This is the figure an earlier draft of the study wrongly recorded as 'undisclosed'.</w:t>
            </w:r>
          </w:p>
        </w:tc>
        <w:tc>
          <w:tcPr>
            <w:tcW w:type="dxa" w:w="2520"/>
            <w:tcMar>
              <w:top w:type="dxa" w:w="60"/>
              <w:left w:type="dxa" w:w="80"/>
              <w:bottom w:type="dxa" w:w="60"/>
              <w:right w:type="dxa" w:w="80"/>
            </w:tcMar>
          </w:tcPr>
          <w:p>
            <w:pPr>
              <w:spacing w:after="0" w:before="0" w:line="240"/>
            </w:pPr>
            <w:hyperlink w:history="1" r:id="rId4erocpvwj7vvnqziwryo5">
              <w:r>
                <w:rPr>
                  <w:rFonts w:ascii="Consolas" w:cs="Consolas" w:eastAsia="Consolas" w:hAnsi="Consolas"/>
                  <w:color w:val="1155CC"/>
                  <w:sz w:val="13"/>
                  <w:szCs w:val="13"/>
                  <w:u w:val="single"/>
                </w:rPr>
                <w:t xml:space="preserve">https://www.thenationalnews.com/business/energy/2026/06/10/abu-dhabi-wealth-fund-limad-boosts-stake-in-utility-taqa/</w:t>
              </w:r>
            </w:hyperlink>
          </w:p>
        </w:tc>
        <w:tc>
          <w:tcPr>
            <w:tcW w:type="dxa" w:w="92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11 Jul 2026</w:t>
            </w:r>
          </w:p>
        </w:tc>
      </w:tr>
      <w:tr>
        <w:tc>
          <w:tcPr>
            <w:tcW w:type="dxa" w:w="1180"/>
            <w:shd w:fill="FBF8F1" w:color="auto" w:val="clear"/>
            <w:tcMar>
              <w:top w:type="dxa" w:w="60"/>
              <w:left w:type="dxa" w:w="80"/>
              <w:bottom w:type="dxa" w:w="60"/>
              <w:right w:type="dxa" w:w="80"/>
            </w:tcMar>
          </w:tcPr>
          <w:p>
            <w:pPr>
              <w:spacing w:after="0" w:before="0" w:line="240"/>
            </w:pPr>
            <w:r>
              <w:rPr>
                <w:rFonts w:ascii="Georgia" w:cs="Georgia" w:eastAsia="Georgia" w:hAnsi="Georgia"/>
                <w:b/>
                <w:bCs/>
                <w:color w:val="1F2430"/>
                <w:sz w:val="16"/>
                <w:szCs w:val="16"/>
              </w:rPr>
              <w:t xml:space="preserve">10</w:t>
            </w:r>
          </w:p>
        </w:tc>
        <w:tc>
          <w:tcPr>
            <w:tcW w:type="dxa" w:w="238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Economy Middle East — 2PointZero sells its full 7.29% TAQA stake</w:t>
            </w:r>
          </w:p>
        </w:tc>
        <w:tc>
          <w:tcPr>
            <w:tcW w:type="dxa" w:w="236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Corroborates the completion, the counterparty and the post-transaction leverage guidance.</w:t>
            </w:r>
          </w:p>
        </w:tc>
        <w:tc>
          <w:tcPr>
            <w:tcW w:type="dxa" w:w="2520"/>
            <w:shd w:fill="FBF8F1" w:color="auto" w:val="clear"/>
            <w:tcMar>
              <w:top w:type="dxa" w:w="60"/>
              <w:left w:type="dxa" w:w="80"/>
              <w:bottom w:type="dxa" w:w="60"/>
              <w:right w:type="dxa" w:w="80"/>
            </w:tcMar>
          </w:tcPr>
          <w:p>
            <w:pPr>
              <w:spacing w:after="0" w:before="0" w:line="240"/>
            </w:pPr>
            <w:hyperlink w:history="1" r:id="rIdj1t4r4ck-z8xilbd_-rzg">
              <w:r>
                <w:rPr>
                  <w:rFonts w:ascii="Consolas" w:cs="Consolas" w:eastAsia="Consolas" w:hAnsi="Consolas"/>
                  <w:color w:val="1155CC"/>
                  <w:sz w:val="13"/>
                  <w:szCs w:val="13"/>
                  <w:u w:val="single"/>
                </w:rPr>
                <w:t xml:space="preserve">https://economymiddleeast.com/news/2pointzero-group-sells-full-7-29-percent-stake-taqa-limad-abu-dhabi-power/</w:t>
              </w:r>
            </w:hyperlink>
          </w:p>
        </w:tc>
        <w:tc>
          <w:tcPr>
            <w:tcW w:type="dxa" w:w="92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11 Jul 2026</w:t>
            </w:r>
          </w:p>
        </w:tc>
      </w:tr>
      <w:tr>
        <w:tc>
          <w:tcPr>
            <w:tcW w:type="dxa" w:w="1180"/>
            <w:tcMar>
              <w:top w:type="dxa" w:w="60"/>
              <w:left w:type="dxa" w:w="80"/>
              <w:bottom w:type="dxa" w:w="60"/>
              <w:right w:type="dxa" w:w="80"/>
            </w:tcMar>
          </w:tcPr>
          <w:p>
            <w:pPr>
              <w:spacing w:after="0" w:before="0" w:line="240"/>
            </w:pPr>
            <w:r>
              <w:rPr>
                <w:rFonts w:ascii="Georgia" w:cs="Georgia" w:eastAsia="Georgia" w:hAnsi="Georgia"/>
                <w:b/>
                <w:bCs/>
                <w:color w:val="1F2430"/>
                <w:sz w:val="16"/>
                <w:szCs w:val="16"/>
              </w:rPr>
              <w:t xml:space="preserve">11</w:t>
            </w:r>
          </w:p>
        </w:tc>
        <w:tc>
          <w:tcPr>
            <w:tcW w:type="dxa" w:w="238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The National (archived on 2pointzero.com) — 'ADQ monetises minority stake in Taqa'</w:t>
            </w:r>
          </w:p>
        </w:tc>
        <w:tc>
          <w:tcPr>
            <w:tcW w:type="dxa" w:w="236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THE COST BASE: Multiply Group acquired the 7.3% TAQA stake in a deal worth AED 10 bn. Against the ~AED 21.5 bn realised, that is the ~AED 11.6 bn gain which — as the study shows — accounts for the entire mark-up on the portfolio.</w:t>
            </w:r>
          </w:p>
        </w:tc>
        <w:tc>
          <w:tcPr>
            <w:tcW w:type="dxa" w:w="2520"/>
            <w:tcMar>
              <w:top w:type="dxa" w:w="60"/>
              <w:left w:type="dxa" w:w="80"/>
              <w:bottom w:type="dxa" w:w="60"/>
              <w:right w:type="dxa" w:w="80"/>
            </w:tcMar>
          </w:tcPr>
          <w:p>
            <w:pPr>
              <w:spacing w:after="0" w:before="0" w:line="240"/>
            </w:pPr>
            <w:hyperlink w:history="1" r:id="rIdgbo8xhd1gbm1p2we5rcpt">
              <w:r>
                <w:rPr>
                  <w:rFonts w:ascii="Consolas" w:cs="Consolas" w:eastAsia="Consolas" w:hAnsi="Consolas"/>
                  <w:color w:val="1155CC"/>
                  <w:sz w:val="13"/>
                  <w:szCs w:val="13"/>
                  <w:u w:val="single"/>
                </w:rPr>
                <w:t xml:space="preserve">https://2pointzero.com/news-insights/news/abu-dhabis-adq-monetises-minority-stake-taqa</w:t>
              </w:r>
            </w:hyperlink>
          </w:p>
        </w:tc>
        <w:tc>
          <w:tcPr>
            <w:tcW w:type="dxa" w:w="92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11 Jul 2026</w:t>
            </w:r>
          </w:p>
        </w:tc>
      </w:tr>
      <w:tr>
        <w:tc>
          <w:tcPr>
            <w:tcW w:type="dxa" w:w="9360"/>
            <w:gridSpan w:val="5"/>
            <w:shd w:fill="F7F2E7" w:color="auto" w:val="clear"/>
            <w:tcMar>
              <w:top w:type="dxa" w:w="70"/>
              <w:left w:type="dxa" w:w="80"/>
              <w:bottom w:type="dxa" w:w="70"/>
              <w:right w:type="dxa" w:w="80"/>
            </w:tcMar>
          </w:tcPr>
          <w:p>
            <w:r>
              <w:rPr>
                <w:rFonts w:ascii="Georgia" w:cs="Georgia" w:eastAsia="Georgia" w:hAnsi="Georgia"/>
                <w:b/>
                <w:bCs/>
                <w:color w:val="8C6F2F"/>
                <w:sz w:val="18"/>
                <w:szCs w:val="18"/>
              </w:rPr>
              <w:t xml:space="preserve">Redeployment of the proceeds</w:t>
            </w:r>
          </w:p>
        </w:tc>
      </w:tr>
      <w:tr>
        <w:tc>
          <w:tcPr>
            <w:tcW w:type="dxa" w:w="1180"/>
            <w:shd w:fill="FBF8F1" w:color="auto" w:val="clear"/>
            <w:tcMar>
              <w:top w:type="dxa" w:w="60"/>
              <w:left w:type="dxa" w:w="80"/>
              <w:bottom w:type="dxa" w:w="60"/>
              <w:right w:type="dxa" w:w="80"/>
            </w:tcMar>
          </w:tcPr>
          <w:p>
            <w:pPr>
              <w:spacing w:after="0" w:before="0" w:line="240"/>
            </w:pPr>
            <w:r>
              <w:rPr>
                <w:rFonts w:ascii="Georgia" w:cs="Georgia" w:eastAsia="Georgia" w:hAnsi="Georgia"/>
                <w:b/>
                <w:bCs/>
                <w:color w:val="1F2430"/>
                <w:sz w:val="16"/>
                <w:szCs w:val="16"/>
              </w:rPr>
              <w:t xml:space="preserve">12</w:t>
            </w:r>
          </w:p>
        </w:tc>
        <w:tc>
          <w:tcPr>
            <w:tcW w:type="dxa" w:w="238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2PointZero Q1-2026 release (as above)</w:t>
            </w:r>
          </w:p>
        </w:tc>
        <w:tc>
          <w:tcPr>
            <w:tcW w:type="dxa" w:w="236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Traverse Midstream (US, 100%, $2.25 bn); ISEM Packaging (60.8%, AED 704 mn); participation in WHOOP's Series G. All unlisted.</w:t>
            </w:r>
          </w:p>
        </w:tc>
        <w:tc>
          <w:tcPr>
            <w:tcW w:type="dxa" w:w="2520"/>
            <w:shd w:fill="FBF8F1" w:color="auto" w:val="clear"/>
            <w:tcMar>
              <w:top w:type="dxa" w:w="60"/>
              <w:left w:type="dxa" w:w="80"/>
              <w:bottom w:type="dxa" w:w="60"/>
              <w:right w:type="dxa" w:w="80"/>
            </w:tcMar>
          </w:tcPr>
          <w:p>
            <w:pPr>
              <w:spacing w:after="0" w:before="0" w:line="240"/>
            </w:pPr>
            <w:hyperlink w:history="1" r:id="rIdemirb58zk4wioxa8mkshd">
              <w:r>
                <w:rPr>
                  <w:rFonts w:ascii="Consolas" w:cs="Consolas" w:eastAsia="Consolas" w:hAnsi="Consolas"/>
                  <w:color w:val="1155CC"/>
                  <w:sz w:val="13"/>
                  <w:szCs w:val="13"/>
                  <w:u w:val="single"/>
                </w:rPr>
                <w:t xml:space="preserve">https://apigateway.adx.ae/adx/cdn/1.0/content/download/4861109</w:t>
              </w:r>
            </w:hyperlink>
          </w:p>
        </w:tc>
        <w:tc>
          <w:tcPr>
            <w:tcW w:type="dxa" w:w="92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4 May 2026</w:t>
            </w:r>
          </w:p>
        </w:tc>
      </w:tr>
      <w:tr>
        <w:tc>
          <w:tcPr>
            <w:tcW w:type="dxa" w:w="1180"/>
            <w:tcMar>
              <w:top w:type="dxa" w:w="60"/>
              <w:left w:type="dxa" w:w="80"/>
              <w:bottom w:type="dxa" w:w="60"/>
              <w:right w:type="dxa" w:w="80"/>
            </w:tcMar>
          </w:tcPr>
          <w:p>
            <w:pPr>
              <w:spacing w:after="0" w:before="0" w:line="240"/>
            </w:pPr>
            <w:r>
              <w:rPr>
                <w:rFonts w:ascii="Georgia" w:cs="Georgia" w:eastAsia="Georgia" w:hAnsi="Georgia"/>
                <w:b/>
                <w:bCs/>
                <w:color w:val="1F2430"/>
                <w:sz w:val="16"/>
                <w:szCs w:val="16"/>
              </w:rPr>
              <w:t xml:space="preserve">13</w:t>
            </w:r>
          </w:p>
        </w:tc>
        <w:tc>
          <w:tcPr>
            <w:tcW w:type="dxa" w:w="238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Economy Middle East — Q1-2026 results coverage</w:t>
            </w:r>
          </w:p>
        </w:tc>
        <w:tc>
          <w:tcPr>
            <w:tcW w:type="dxa" w:w="236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Corroborates Traverse, ISEM and WHOOP; Ghitha Q1 revenue AED 1.62 bn and gross profit AED 330.8 mn; Emirates Driving Company revenue AED 189 mn, net profit AED 75 mn.</w:t>
            </w:r>
          </w:p>
        </w:tc>
        <w:tc>
          <w:tcPr>
            <w:tcW w:type="dxa" w:w="2520"/>
            <w:tcMar>
              <w:top w:type="dxa" w:w="60"/>
              <w:left w:type="dxa" w:w="80"/>
              <w:bottom w:type="dxa" w:w="60"/>
              <w:right w:type="dxa" w:w="80"/>
            </w:tcMar>
          </w:tcPr>
          <w:p>
            <w:pPr>
              <w:spacing w:after="0" w:before="0" w:line="240"/>
            </w:pPr>
            <w:hyperlink w:history="1" r:id="rIdu_ttu-da2udhsccavkarm">
              <w:r>
                <w:rPr>
                  <w:rFonts w:ascii="Consolas" w:cs="Consolas" w:eastAsia="Consolas" w:hAnsi="Consolas"/>
                  <w:color w:val="1155CC"/>
                  <w:sz w:val="13"/>
                  <w:szCs w:val="13"/>
                  <w:u w:val="single"/>
                </w:rPr>
                <w:t xml:space="preserve">https://economymiddleeast.com/news/abu-dhabis-2pointzero-posts-1823-percent-revenue-surge-to-2-7-billion-in-q1-net-profit-rises-1610-percent/</w:t>
              </w:r>
            </w:hyperlink>
          </w:p>
        </w:tc>
        <w:tc>
          <w:tcPr>
            <w:tcW w:type="dxa" w:w="92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11 Jul 2026</w:t>
            </w:r>
          </w:p>
        </w:tc>
      </w:tr>
      <w:tr>
        <w:tc>
          <w:tcPr>
            <w:tcW w:type="dxa" w:w="1180"/>
            <w:shd w:fill="FBF8F1" w:color="auto" w:val="clear"/>
            <w:tcMar>
              <w:top w:type="dxa" w:w="60"/>
              <w:left w:type="dxa" w:w="80"/>
              <w:bottom w:type="dxa" w:w="60"/>
              <w:right w:type="dxa" w:w="80"/>
            </w:tcMar>
          </w:tcPr>
          <w:p>
            <w:pPr>
              <w:spacing w:after="0" w:before="0" w:line="240"/>
            </w:pPr>
            <w:r>
              <w:rPr>
                <w:rFonts w:ascii="Georgia" w:cs="Georgia" w:eastAsia="Georgia" w:hAnsi="Georgia"/>
                <w:b/>
                <w:bCs/>
                <w:color w:val="1F2430"/>
                <w:sz w:val="16"/>
                <w:szCs w:val="16"/>
              </w:rPr>
              <w:t xml:space="preserve">14</w:t>
            </w:r>
          </w:p>
        </w:tc>
        <w:tc>
          <w:tcPr>
            <w:tcW w:type="dxa" w:w="238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Arabian Business — FY2025 results coverage</w:t>
            </w:r>
          </w:p>
        </w:tc>
        <w:tc>
          <w:tcPr>
            <w:tcW w:type="dxa" w:w="236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FY2025 revenue growth and the merger's contribution; context for the perimeter change.</w:t>
            </w:r>
          </w:p>
        </w:tc>
        <w:tc>
          <w:tcPr>
            <w:tcW w:type="dxa" w:w="2520"/>
            <w:shd w:fill="FBF8F1" w:color="auto" w:val="clear"/>
            <w:tcMar>
              <w:top w:type="dxa" w:w="60"/>
              <w:left w:type="dxa" w:w="80"/>
              <w:bottom w:type="dxa" w:w="60"/>
              <w:right w:type="dxa" w:w="80"/>
            </w:tcMar>
          </w:tcPr>
          <w:p>
            <w:pPr>
              <w:spacing w:after="0" w:before="0" w:line="240"/>
            </w:pPr>
            <w:hyperlink w:history="1" r:id="rIdc_vzedifcd-xmwajo5ktx">
              <w:r>
                <w:rPr>
                  <w:rFonts w:ascii="Consolas" w:cs="Consolas" w:eastAsia="Consolas" w:hAnsi="Consolas"/>
                  <w:color w:val="1155CC"/>
                  <w:sz w:val="13"/>
                  <w:szCs w:val="13"/>
                  <w:u w:val="single"/>
                </w:rPr>
                <w:t xml:space="preserve">https://www.arabianbusiness.com/abnews/2pointzero-group-posts-311-revenue-growth-in-the-fiscal-year-2025-following-merger</w:t>
              </w:r>
            </w:hyperlink>
          </w:p>
        </w:tc>
        <w:tc>
          <w:tcPr>
            <w:tcW w:type="dxa" w:w="92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11 Jul 2026</w:t>
            </w:r>
          </w:p>
        </w:tc>
      </w:tr>
      <w:tr>
        <w:tc>
          <w:tcPr>
            <w:tcW w:type="dxa" w:w="9360"/>
            <w:gridSpan w:val="5"/>
            <w:shd w:fill="F7F2E7" w:color="auto" w:val="clear"/>
            <w:tcMar>
              <w:top w:type="dxa" w:w="70"/>
              <w:left w:type="dxa" w:w="80"/>
              <w:bottom w:type="dxa" w:w="70"/>
              <w:right w:type="dxa" w:w="80"/>
            </w:tcMar>
          </w:tcPr>
          <w:p>
            <w:r>
              <w:rPr>
                <w:rFonts w:ascii="Georgia" w:cs="Georgia" w:eastAsia="Georgia" w:hAnsi="Georgia"/>
                <w:b/>
                <w:bCs/>
                <w:color w:val="8C6F2F"/>
                <w:sz w:val="18"/>
                <w:szCs w:val="18"/>
              </w:rPr>
              <w:t xml:space="preserve">Tax — the 15% minimum rate</w:t>
            </w:r>
          </w:p>
        </w:tc>
      </w:tr>
      <w:tr>
        <w:tc>
          <w:tcPr>
            <w:tcW w:type="dxa" w:w="1180"/>
            <w:tcMar>
              <w:top w:type="dxa" w:w="60"/>
              <w:left w:type="dxa" w:w="80"/>
              <w:bottom w:type="dxa" w:w="60"/>
              <w:right w:type="dxa" w:w="80"/>
            </w:tcMar>
          </w:tcPr>
          <w:p>
            <w:pPr>
              <w:spacing w:after="0" w:before="0" w:line="240"/>
            </w:pPr>
            <w:r>
              <w:rPr>
                <w:rFonts w:ascii="Georgia" w:cs="Georgia" w:eastAsia="Georgia" w:hAnsi="Georgia"/>
                <w:b/>
                <w:bCs/>
                <w:color w:val="1F2430"/>
                <w:sz w:val="16"/>
                <w:szCs w:val="16"/>
              </w:rPr>
              <w:t xml:space="preserve">15</w:t>
            </w:r>
          </w:p>
        </w:tc>
        <w:tc>
          <w:tcPr>
            <w:tcW w:type="dxa" w:w="238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UAE Ministry of Finance — Domestic Minimum Top-up Tax</w:t>
            </w:r>
          </w:p>
        </w:tc>
        <w:tc>
          <w:tcPr>
            <w:tcW w:type="dxa" w:w="236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THE CORRECTION: a 15% minimum effective tax rate applies to in-scope multinational groups for financial years starting on or after 1 January 2025. It is a floor, not a phase-in. An earlier draft of this study modelled a five-year glide from 9% to 15%; no such glide exists in law.</w:t>
            </w:r>
          </w:p>
        </w:tc>
        <w:tc>
          <w:tcPr>
            <w:tcW w:type="dxa" w:w="2520"/>
            <w:tcMar>
              <w:top w:type="dxa" w:w="60"/>
              <w:left w:type="dxa" w:w="80"/>
              <w:bottom w:type="dxa" w:w="60"/>
              <w:right w:type="dxa" w:w="80"/>
            </w:tcMar>
          </w:tcPr>
          <w:p>
            <w:pPr>
              <w:spacing w:after="0" w:before="0" w:line="240"/>
            </w:pPr>
            <w:hyperlink w:history="1" r:id="rIdiurufpyk5t8jchwy7212a">
              <w:r>
                <w:rPr>
                  <w:rFonts w:ascii="Consolas" w:cs="Consolas" w:eastAsia="Consolas" w:hAnsi="Consolas"/>
                  <w:color w:val="1155CC"/>
                  <w:sz w:val="13"/>
                  <w:szCs w:val="13"/>
                  <w:u w:val="single"/>
                </w:rPr>
                <w:t xml:space="preserve">https://mof.gov.ae/en/public-finance/tax/uae-domestic-minimum-top-up-tax/</w:t>
              </w:r>
            </w:hyperlink>
          </w:p>
        </w:tc>
        <w:tc>
          <w:tcPr>
            <w:tcW w:type="dxa" w:w="92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11 Jul 2026</w:t>
            </w:r>
          </w:p>
        </w:tc>
      </w:tr>
      <w:tr>
        <w:tc>
          <w:tcPr>
            <w:tcW w:type="dxa" w:w="1180"/>
            <w:shd w:fill="FBF8F1" w:color="auto" w:val="clear"/>
            <w:tcMar>
              <w:top w:type="dxa" w:w="60"/>
              <w:left w:type="dxa" w:w="80"/>
              <w:bottom w:type="dxa" w:w="60"/>
              <w:right w:type="dxa" w:w="80"/>
            </w:tcMar>
          </w:tcPr>
          <w:p>
            <w:pPr>
              <w:spacing w:after="0" w:before="0" w:line="240"/>
            </w:pPr>
            <w:r>
              <w:rPr>
                <w:rFonts w:ascii="Georgia" w:cs="Georgia" w:eastAsia="Georgia" w:hAnsi="Georgia"/>
                <w:b/>
                <w:bCs/>
                <w:color w:val="1F2430"/>
                <w:sz w:val="16"/>
                <w:szCs w:val="16"/>
              </w:rPr>
              <w:t xml:space="preserve">16</w:t>
            </w:r>
          </w:p>
        </w:tc>
        <w:tc>
          <w:tcPr>
            <w:tcW w:type="dxa" w:w="238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Cabinet Decision No. 142 of 2024 (Federal Tax Authority, official gazette text)</w:t>
            </w:r>
          </w:p>
        </w:tc>
        <w:tc>
          <w:tcPr>
            <w:tcW w:type="dxa" w:w="236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The primary legislation: computation of the top-up tax, scope, the investment-entity exclusion, and the substance-based carve-out.</w:t>
            </w:r>
          </w:p>
        </w:tc>
        <w:tc>
          <w:tcPr>
            <w:tcW w:type="dxa" w:w="2520"/>
            <w:shd w:fill="FBF8F1" w:color="auto" w:val="clear"/>
            <w:tcMar>
              <w:top w:type="dxa" w:w="60"/>
              <w:left w:type="dxa" w:w="80"/>
              <w:bottom w:type="dxa" w:w="60"/>
              <w:right w:type="dxa" w:w="80"/>
            </w:tcMar>
          </w:tcPr>
          <w:p>
            <w:pPr>
              <w:spacing w:after="0" w:before="0" w:line="240"/>
            </w:pPr>
            <w:hyperlink w:history="1" r:id="rIdbl4nlsuolerrwqdcrugth">
              <w:r>
                <w:rPr>
                  <w:rFonts w:ascii="Consolas" w:cs="Consolas" w:eastAsia="Consolas" w:hAnsi="Consolas"/>
                  <w:color w:val="1155CC"/>
                  <w:sz w:val="13"/>
                  <w:szCs w:val="13"/>
                  <w:u w:val="single"/>
                </w:rPr>
                <w:t xml:space="preserve">https://tax.gov.ae/Datafolder/Files/Legislation/Cabinet-Decision-No-142-of-2024-on-Top-up-Tax-on-MNEs.pdf</w:t>
              </w:r>
            </w:hyperlink>
          </w:p>
        </w:tc>
        <w:tc>
          <w:tcPr>
            <w:tcW w:type="dxa" w:w="92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11 Jul 2026</w:t>
            </w:r>
          </w:p>
        </w:tc>
      </w:tr>
      <w:tr>
        <w:tc>
          <w:tcPr>
            <w:tcW w:type="dxa" w:w="1180"/>
            <w:tcMar>
              <w:top w:type="dxa" w:w="60"/>
              <w:left w:type="dxa" w:w="80"/>
              <w:bottom w:type="dxa" w:w="60"/>
              <w:right w:type="dxa" w:w="80"/>
            </w:tcMar>
          </w:tcPr>
          <w:p>
            <w:pPr>
              <w:spacing w:after="0" w:before="0" w:line="240"/>
            </w:pPr>
            <w:r>
              <w:rPr>
                <w:rFonts w:ascii="Georgia" w:cs="Georgia" w:eastAsia="Georgia" w:hAnsi="Georgia"/>
                <w:b/>
                <w:bCs/>
                <w:color w:val="1F2430"/>
                <w:sz w:val="16"/>
                <w:szCs w:val="16"/>
              </w:rPr>
              <w:t xml:space="preserve">17</w:t>
            </w:r>
          </w:p>
        </w:tc>
        <w:tc>
          <w:tcPr>
            <w:tcW w:type="dxa" w:w="238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EY — 'UAE issues domestic minimum top-up tax legislation'</w:t>
            </w:r>
          </w:p>
        </w:tc>
        <w:tc>
          <w:tcPr>
            <w:tcW w:type="dxa" w:w="236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Effective date; the €750 mn revenue threshold tested over two of the preceding four years; the immediate top-up to 15%.</w:t>
            </w:r>
          </w:p>
        </w:tc>
        <w:tc>
          <w:tcPr>
            <w:tcW w:type="dxa" w:w="2520"/>
            <w:tcMar>
              <w:top w:type="dxa" w:w="60"/>
              <w:left w:type="dxa" w:w="80"/>
              <w:bottom w:type="dxa" w:w="60"/>
              <w:right w:type="dxa" w:w="80"/>
            </w:tcMar>
          </w:tcPr>
          <w:p>
            <w:pPr>
              <w:spacing w:after="0" w:before="0" w:line="240"/>
            </w:pPr>
            <w:hyperlink w:history="1" r:id="rIdrvgk__2wxbm-01ve1f99b">
              <w:r>
                <w:rPr>
                  <w:rFonts w:ascii="Consolas" w:cs="Consolas" w:eastAsia="Consolas" w:hAnsi="Consolas"/>
                  <w:color w:val="1155CC"/>
                  <w:sz w:val="13"/>
                  <w:szCs w:val="13"/>
                  <w:u w:val="single"/>
                </w:rPr>
                <w:t xml:space="preserve">https://www.ey.com/en_gl/technical/tax-alerts/uae-issues-domestic-minimum-top-up-tax-legislation</w:t>
              </w:r>
            </w:hyperlink>
          </w:p>
        </w:tc>
        <w:tc>
          <w:tcPr>
            <w:tcW w:type="dxa" w:w="92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11 Jul 2026</w:t>
            </w:r>
          </w:p>
        </w:tc>
      </w:tr>
      <w:tr>
        <w:tc>
          <w:tcPr>
            <w:tcW w:type="dxa" w:w="1180"/>
            <w:shd w:fill="FBF8F1" w:color="auto" w:val="clear"/>
            <w:tcMar>
              <w:top w:type="dxa" w:w="60"/>
              <w:left w:type="dxa" w:w="80"/>
              <w:bottom w:type="dxa" w:w="60"/>
              <w:right w:type="dxa" w:w="80"/>
            </w:tcMar>
          </w:tcPr>
          <w:p>
            <w:pPr>
              <w:spacing w:after="0" w:before="0" w:line="240"/>
            </w:pPr>
            <w:r>
              <w:rPr>
                <w:rFonts w:ascii="Georgia" w:cs="Georgia" w:eastAsia="Georgia" w:hAnsi="Georgia"/>
                <w:b/>
                <w:bCs/>
                <w:color w:val="1F2430"/>
                <w:sz w:val="16"/>
                <w:szCs w:val="16"/>
              </w:rPr>
              <w:t xml:space="preserve">18</w:t>
            </w:r>
          </w:p>
        </w:tc>
        <w:tc>
          <w:tcPr>
            <w:tcW w:type="dxa" w:w="238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PwC Middle East — UAE DMTT alert</w:t>
            </w:r>
          </w:p>
        </w:tc>
        <w:tc>
          <w:tcPr>
            <w:tcW w:type="dxa" w:w="236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Confirms the mechanics and the absence of any transitional rate ramp.</w:t>
            </w:r>
          </w:p>
        </w:tc>
        <w:tc>
          <w:tcPr>
            <w:tcW w:type="dxa" w:w="2520"/>
            <w:shd w:fill="FBF8F1" w:color="auto" w:val="clear"/>
            <w:tcMar>
              <w:top w:type="dxa" w:w="60"/>
              <w:left w:type="dxa" w:w="80"/>
              <w:bottom w:type="dxa" w:w="60"/>
              <w:right w:type="dxa" w:w="80"/>
            </w:tcMar>
          </w:tcPr>
          <w:p>
            <w:pPr>
              <w:spacing w:after="0" w:before="0" w:line="240"/>
            </w:pPr>
            <w:hyperlink w:history="1" r:id="rIdbaqnl3uk7pxlvwszuyohw">
              <w:r>
                <w:rPr>
                  <w:rFonts w:ascii="Consolas" w:cs="Consolas" w:eastAsia="Consolas" w:hAnsi="Consolas"/>
                  <w:color w:val="1155CC"/>
                  <w:sz w:val="13"/>
                  <w:szCs w:val="13"/>
                  <w:u w:val="single"/>
                </w:rPr>
                <w:t xml:space="preserve">https://www.pwc.com/m1/en/tax/documents/2025/uae-dmtt-alert.pdf</w:t>
              </w:r>
            </w:hyperlink>
          </w:p>
        </w:tc>
        <w:tc>
          <w:tcPr>
            <w:tcW w:type="dxa" w:w="92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11 Jul 2026</w:t>
            </w:r>
          </w:p>
        </w:tc>
      </w:tr>
      <w:tr>
        <w:tc>
          <w:tcPr>
            <w:tcW w:type="dxa" w:w="1180"/>
            <w:tcMar>
              <w:top w:type="dxa" w:w="60"/>
              <w:left w:type="dxa" w:w="80"/>
              <w:bottom w:type="dxa" w:w="60"/>
              <w:right w:type="dxa" w:w="80"/>
            </w:tcMar>
          </w:tcPr>
          <w:p>
            <w:pPr>
              <w:spacing w:after="0" w:before="0" w:line="240"/>
            </w:pPr>
            <w:r>
              <w:rPr>
                <w:rFonts w:ascii="Georgia" w:cs="Georgia" w:eastAsia="Georgia" w:hAnsi="Georgia"/>
                <w:b/>
                <w:bCs/>
                <w:color w:val="1F2430"/>
                <w:sz w:val="16"/>
                <w:szCs w:val="16"/>
              </w:rPr>
              <w:t xml:space="preserve">19</w:t>
            </w:r>
          </w:p>
        </w:tc>
        <w:tc>
          <w:tcPr>
            <w:tcW w:type="dxa" w:w="238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KPMG — 'The UAE unpacks its Pillar Two rules'</w:t>
            </w:r>
          </w:p>
        </w:tc>
        <w:tc>
          <w:tcPr>
            <w:tcW w:type="dxa" w:w="236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Third corroboration of the effective date and the 15% floor.</w:t>
            </w:r>
          </w:p>
        </w:tc>
        <w:tc>
          <w:tcPr>
            <w:tcW w:type="dxa" w:w="2520"/>
            <w:tcMar>
              <w:top w:type="dxa" w:w="60"/>
              <w:left w:type="dxa" w:w="80"/>
              <w:bottom w:type="dxa" w:w="60"/>
              <w:right w:type="dxa" w:w="80"/>
            </w:tcMar>
          </w:tcPr>
          <w:p>
            <w:pPr>
              <w:spacing w:after="0" w:before="0" w:line="240"/>
            </w:pPr>
            <w:hyperlink w:history="1" r:id="rId8er9x3uzjkecvtdpte8ey">
              <w:r>
                <w:rPr>
                  <w:rFonts w:ascii="Consolas" w:cs="Consolas" w:eastAsia="Consolas" w:hAnsi="Consolas"/>
                  <w:color w:val="1155CC"/>
                  <w:sz w:val="13"/>
                  <w:szCs w:val="13"/>
                  <w:u w:val="single"/>
                </w:rPr>
                <w:t xml:space="preserve">https://kpmg.com/ae/en/insights/tax-insights/The%20UAE%20unpacks%20its%20Pillar%20Two%20rules-%20Tax%20flash.html</w:t>
              </w:r>
            </w:hyperlink>
          </w:p>
        </w:tc>
        <w:tc>
          <w:tcPr>
            <w:tcW w:type="dxa" w:w="92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11 Jul 2026</w:t>
            </w:r>
          </w:p>
        </w:tc>
      </w:tr>
      <w:tr>
        <w:tc>
          <w:tcPr>
            <w:tcW w:type="dxa" w:w="9360"/>
            <w:gridSpan w:val="5"/>
            <w:shd w:fill="F7F2E7" w:color="auto" w:val="clear"/>
            <w:tcMar>
              <w:top w:type="dxa" w:w="70"/>
              <w:left w:type="dxa" w:w="80"/>
              <w:bottom w:type="dxa" w:w="70"/>
              <w:right w:type="dxa" w:w="80"/>
            </w:tcMar>
          </w:tcPr>
          <w:p>
            <w:r>
              <w:rPr>
                <w:rFonts w:ascii="Georgia" w:cs="Georgia" w:eastAsia="Georgia" w:hAnsi="Georgia"/>
                <w:b/>
                <w:bCs/>
                <w:color w:val="8C6F2F"/>
                <w:sz w:val="18"/>
                <w:szCs w:val="18"/>
              </w:rPr>
              <w:t xml:space="preserve">Geopolitics — the July 2026 escalation</w:t>
            </w:r>
          </w:p>
        </w:tc>
      </w:tr>
      <w:tr>
        <w:tc>
          <w:tcPr>
            <w:tcW w:type="dxa" w:w="1180"/>
            <w:shd w:fill="FBF8F1" w:color="auto" w:val="clear"/>
            <w:tcMar>
              <w:top w:type="dxa" w:w="60"/>
              <w:left w:type="dxa" w:w="80"/>
              <w:bottom w:type="dxa" w:w="60"/>
              <w:right w:type="dxa" w:w="80"/>
            </w:tcMar>
          </w:tcPr>
          <w:p>
            <w:pPr>
              <w:spacing w:after="0" w:before="0" w:line="240"/>
            </w:pPr>
            <w:r>
              <w:rPr>
                <w:rFonts w:ascii="Georgia" w:cs="Georgia" w:eastAsia="Georgia" w:hAnsi="Georgia"/>
                <w:b/>
                <w:bCs/>
                <w:color w:val="1F2430"/>
                <w:sz w:val="16"/>
                <w:szCs w:val="16"/>
              </w:rPr>
              <w:t xml:space="preserve">20</w:t>
            </w:r>
          </w:p>
        </w:tc>
        <w:tc>
          <w:tcPr>
            <w:tcW w:type="dxa" w:w="238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Al Jazeera — 'US conducts new wave of strikes on Iran as ceasefire falters'</w:t>
            </w:r>
          </w:p>
        </w:tc>
        <w:tc>
          <w:tcPr>
            <w:tcW w:type="dxa" w:w="236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8 July 2026: the United States struck Iranshahr, Bandar Abbas, Konarak, Chabahar and Bushehr after Iran attacked three commercial vessels in the Strait of Hormuz. Trump stated the ceasefire was 'over'. This is the event the study carries as an unpriced downside risk.</w:t>
            </w:r>
          </w:p>
        </w:tc>
        <w:tc>
          <w:tcPr>
            <w:tcW w:type="dxa" w:w="2520"/>
            <w:shd w:fill="FBF8F1" w:color="auto" w:val="clear"/>
            <w:tcMar>
              <w:top w:type="dxa" w:w="60"/>
              <w:left w:type="dxa" w:w="80"/>
              <w:bottom w:type="dxa" w:w="60"/>
              <w:right w:type="dxa" w:w="80"/>
            </w:tcMar>
          </w:tcPr>
          <w:p>
            <w:pPr>
              <w:spacing w:after="0" w:before="0" w:line="240"/>
            </w:pPr>
            <w:hyperlink w:history="1" r:id="rId3fzl-6tnwm-ytgad2eayw">
              <w:r>
                <w:rPr>
                  <w:rFonts w:ascii="Consolas" w:cs="Consolas" w:eastAsia="Consolas" w:hAnsi="Consolas"/>
                  <w:color w:val="1155CC"/>
                  <w:sz w:val="13"/>
                  <w:szCs w:val="13"/>
                  <w:u w:val="single"/>
                </w:rPr>
                <w:t xml:space="preserve">https://www.aljazeera.com/news/2026/7/8/us-says-conducting-new-wave-of-strikes-on-iran-as-ceasefire-falters-2</w:t>
              </w:r>
            </w:hyperlink>
          </w:p>
        </w:tc>
        <w:tc>
          <w:tcPr>
            <w:tcW w:type="dxa" w:w="92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11 Jul 2026</w:t>
            </w:r>
          </w:p>
        </w:tc>
      </w:tr>
      <w:tr>
        <w:tc>
          <w:tcPr>
            <w:tcW w:type="dxa" w:w="1180"/>
            <w:tcMar>
              <w:top w:type="dxa" w:w="60"/>
              <w:left w:type="dxa" w:w="80"/>
              <w:bottom w:type="dxa" w:w="60"/>
              <w:right w:type="dxa" w:w="80"/>
            </w:tcMar>
          </w:tcPr>
          <w:p>
            <w:pPr>
              <w:spacing w:after="0" w:before="0" w:line="240"/>
            </w:pPr>
            <w:r>
              <w:rPr>
                <w:rFonts w:ascii="Georgia" w:cs="Georgia" w:eastAsia="Georgia" w:hAnsi="Georgia"/>
                <w:b/>
                <w:bCs/>
                <w:color w:val="1F2430"/>
                <w:sz w:val="16"/>
                <w:szCs w:val="16"/>
              </w:rPr>
              <w:t xml:space="preserve">21</w:t>
            </w:r>
          </w:p>
        </w:tc>
        <w:tc>
          <w:tcPr>
            <w:tcW w:type="dxa" w:w="238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Britannica — '2026 Iran war'</w:t>
            </w:r>
          </w:p>
        </w:tc>
        <w:tc>
          <w:tcPr>
            <w:tcW w:type="dxa" w:w="236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Timeline: war initiated 28 February 2026; ceasefire 7–8 April; memorandum of understanding signed 17 June; 'US carries out another round of strikes on Iran after Trump says ceasefire is over', 8 July 2026.</w:t>
            </w:r>
          </w:p>
        </w:tc>
        <w:tc>
          <w:tcPr>
            <w:tcW w:type="dxa" w:w="2520"/>
            <w:tcMar>
              <w:top w:type="dxa" w:w="60"/>
              <w:left w:type="dxa" w:w="80"/>
              <w:bottom w:type="dxa" w:w="60"/>
              <w:right w:type="dxa" w:w="80"/>
            </w:tcMar>
          </w:tcPr>
          <w:p>
            <w:pPr>
              <w:spacing w:after="0" w:before="0" w:line="240"/>
            </w:pPr>
            <w:hyperlink w:history="1" r:id="rIdgrck652ilpruelbl8uxco">
              <w:r>
                <w:rPr>
                  <w:rFonts w:ascii="Consolas" w:cs="Consolas" w:eastAsia="Consolas" w:hAnsi="Consolas"/>
                  <w:color w:val="1155CC"/>
                  <w:sz w:val="13"/>
                  <w:szCs w:val="13"/>
                  <w:u w:val="single"/>
                </w:rPr>
                <w:t xml:space="preserve">https://www.britannica.com/event/2026-Iran-war</w:t>
              </w:r>
            </w:hyperlink>
          </w:p>
        </w:tc>
        <w:tc>
          <w:tcPr>
            <w:tcW w:type="dxa" w:w="92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11 Jul 2026</w:t>
            </w:r>
          </w:p>
        </w:tc>
      </w:tr>
      <w:tr>
        <w:tc>
          <w:tcPr>
            <w:tcW w:type="dxa" w:w="1180"/>
            <w:shd w:fill="FBF8F1" w:color="auto" w:val="clear"/>
            <w:tcMar>
              <w:top w:type="dxa" w:w="60"/>
              <w:left w:type="dxa" w:w="80"/>
              <w:bottom w:type="dxa" w:w="60"/>
              <w:right w:type="dxa" w:w="80"/>
            </w:tcMar>
          </w:tcPr>
          <w:p>
            <w:pPr>
              <w:spacing w:after="0" w:before="0" w:line="240"/>
            </w:pPr>
            <w:r>
              <w:rPr>
                <w:rFonts w:ascii="Georgia" w:cs="Georgia" w:eastAsia="Georgia" w:hAnsi="Georgia"/>
                <w:b/>
                <w:bCs/>
                <w:color w:val="1F2430"/>
                <w:sz w:val="16"/>
                <w:szCs w:val="16"/>
              </w:rPr>
              <w:t xml:space="preserve">22</w:t>
            </w:r>
          </w:p>
        </w:tc>
        <w:tc>
          <w:tcPr>
            <w:tcW w:type="dxa" w:w="238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CNN — 'US-Iran ceasefire crumbles as fresh strikes rock Middle East'</w:t>
            </w:r>
          </w:p>
        </w:tc>
        <w:tc>
          <w:tcPr>
            <w:tcW w:type="dxa" w:w="236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9 July 2026 live coverage. Corroborates the collapse and the market reaction.</w:t>
            </w:r>
          </w:p>
        </w:tc>
        <w:tc>
          <w:tcPr>
            <w:tcW w:type="dxa" w:w="2520"/>
            <w:shd w:fill="FBF8F1" w:color="auto" w:val="clear"/>
            <w:tcMar>
              <w:top w:type="dxa" w:w="60"/>
              <w:left w:type="dxa" w:w="80"/>
              <w:bottom w:type="dxa" w:w="60"/>
              <w:right w:type="dxa" w:w="80"/>
            </w:tcMar>
          </w:tcPr>
          <w:p>
            <w:pPr>
              <w:spacing w:after="0" w:before="0" w:line="240"/>
            </w:pPr>
            <w:hyperlink w:history="1" r:id="rIdvp3nfz1vcxep_pg4jbx3-">
              <w:r>
                <w:rPr>
                  <w:rFonts w:ascii="Consolas" w:cs="Consolas" w:eastAsia="Consolas" w:hAnsi="Consolas"/>
                  <w:color w:val="1155CC"/>
                  <w:sz w:val="13"/>
                  <w:szCs w:val="13"/>
                  <w:u w:val="single"/>
                </w:rPr>
                <w:t xml:space="preserve">https://www.cnn.com/2026/07/09/world/live-news/iran-war-trump</w:t>
              </w:r>
            </w:hyperlink>
          </w:p>
        </w:tc>
        <w:tc>
          <w:tcPr>
            <w:tcW w:type="dxa" w:w="92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11 Jul 2026</w:t>
            </w:r>
          </w:p>
        </w:tc>
      </w:tr>
      <w:tr>
        <w:tc>
          <w:tcPr>
            <w:tcW w:type="dxa" w:w="1180"/>
            <w:tcMar>
              <w:top w:type="dxa" w:w="60"/>
              <w:left w:type="dxa" w:w="80"/>
              <w:bottom w:type="dxa" w:w="60"/>
              <w:right w:type="dxa" w:w="80"/>
            </w:tcMar>
          </w:tcPr>
          <w:p>
            <w:pPr>
              <w:spacing w:after="0" w:before="0" w:line="240"/>
            </w:pPr>
            <w:r>
              <w:rPr>
                <w:rFonts w:ascii="Georgia" w:cs="Georgia" w:eastAsia="Georgia" w:hAnsi="Georgia"/>
                <w:b/>
                <w:bCs/>
                <w:color w:val="1F2430"/>
                <w:sz w:val="16"/>
                <w:szCs w:val="16"/>
              </w:rPr>
              <w:t xml:space="preserve">23</w:t>
            </w:r>
          </w:p>
        </w:tc>
        <w:tc>
          <w:tcPr>
            <w:tcW w:type="dxa" w:w="238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The Week — 'Patience runs out: the US-Iran ceasefire collapses into strikes'</w:t>
            </w:r>
          </w:p>
        </w:tc>
        <w:tc>
          <w:tcPr>
            <w:tcW w:type="dxa" w:w="236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Brent crude jumped more than five per cent to around $78 a barrel; Hormuz tanker traffic effectively stopped. This is the oil figure used in the study.</w:t>
            </w:r>
          </w:p>
        </w:tc>
        <w:tc>
          <w:tcPr>
            <w:tcW w:type="dxa" w:w="2520"/>
            <w:tcMar>
              <w:top w:type="dxa" w:w="60"/>
              <w:left w:type="dxa" w:w="80"/>
              <w:bottom w:type="dxa" w:w="60"/>
              <w:right w:type="dxa" w:w="80"/>
            </w:tcMar>
          </w:tcPr>
          <w:p>
            <w:pPr>
              <w:spacing w:after="0" w:before="0" w:line="240"/>
            </w:pPr>
            <w:hyperlink w:history="1" r:id="rIdrjra6g5m3ldnhhe15rdyh">
              <w:r>
                <w:rPr>
                  <w:rFonts w:ascii="Consolas" w:cs="Consolas" w:eastAsia="Consolas" w:hAnsi="Consolas"/>
                  <w:color w:val="1155CC"/>
                  <w:sz w:val="13"/>
                  <w:szCs w:val="13"/>
                  <w:u w:val="single"/>
                </w:rPr>
                <w:t xml:space="preserve">https://www.theweek.in/news/defence/2026/07/09/opinion-patience-runs-out-the-us-iran-ceasefire-collapses-into-strikes.html</w:t>
              </w:r>
            </w:hyperlink>
          </w:p>
        </w:tc>
        <w:tc>
          <w:tcPr>
            <w:tcW w:type="dxa" w:w="92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11 Jul 2026</w:t>
            </w:r>
          </w:p>
        </w:tc>
      </w:tr>
      <w:tr>
        <w:tc>
          <w:tcPr>
            <w:tcW w:type="dxa" w:w="9360"/>
            <w:gridSpan w:val="5"/>
            <w:shd w:fill="F7F2E7" w:color="auto" w:val="clear"/>
            <w:tcMar>
              <w:top w:type="dxa" w:w="70"/>
              <w:left w:type="dxa" w:w="80"/>
              <w:bottom w:type="dxa" w:w="70"/>
              <w:right w:type="dxa" w:w="80"/>
            </w:tcMar>
          </w:tcPr>
          <w:p>
            <w:r>
              <w:rPr>
                <w:rFonts w:ascii="Georgia" w:cs="Georgia" w:eastAsia="Georgia" w:hAnsi="Georgia"/>
                <w:b/>
                <w:bCs/>
                <w:color w:val="8C6F2F"/>
                <w:sz w:val="18"/>
                <w:szCs w:val="18"/>
              </w:rPr>
              <w:t xml:space="preserve">Cost of capital</w:t>
            </w:r>
          </w:p>
        </w:tc>
      </w:tr>
      <w:tr>
        <w:tc>
          <w:tcPr>
            <w:tcW w:type="dxa" w:w="1180"/>
            <w:shd w:fill="FBF8F1" w:color="auto" w:val="clear"/>
            <w:tcMar>
              <w:top w:type="dxa" w:w="60"/>
              <w:left w:type="dxa" w:w="80"/>
              <w:bottom w:type="dxa" w:w="60"/>
              <w:right w:type="dxa" w:w="80"/>
            </w:tcMar>
          </w:tcPr>
          <w:p>
            <w:pPr>
              <w:spacing w:after="0" w:before="0" w:line="240"/>
            </w:pPr>
            <w:r>
              <w:rPr>
                <w:rFonts w:ascii="Georgia" w:cs="Georgia" w:eastAsia="Georgia" w:hAnsi="Georgia"/>
                <w:b/>
                <w:bCs/>
                <w:color w:val="1F2430"/>
                <w:sz w:val="16"/>
                <w:szCs w:val="16"/>
              </w:rPr>
              <w:t xml:space="preserve">24</w:t>
            </w:r>
          </w:p>
        </w:tc>
        <w:tc>
          <w:tcPr>
            <w:tcW w:type="dxa" w:w="238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Aswath Damodaran (NYU Stern) — country risk premiums, January 2026</w:t>
            </w:r>
          </w:p>
        </w:tc>
        <w:tc>
          <w:tcPr>
            <w:tcW w:type="dxa" w:w="236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UAE (Aa2) equity risk premium 4.87%; Abu Dhabi on a credit-default-swap basis 4.93%. Both bases are published in §1.8 of the study.</w:t>
            </w:r>
          </w:p>
        </w:tc>
        <w:tc>
          <w:tcPr>
            <w:tcW w:type="dxa" w:w="2520"/>
            <w:shd w:fill="FBF8F1" w:color="auto" w:val="clear"/>
            <w:tcMar>
              <w:top w:type="dxa" w:w="60"/>
              <w:left w:type="dxa" w:w="80"/>
              <w:bottom w:type="dxa" w:w="60"/>
              <w:right w:type="dxa" w:w="80"/>
            </w:tcMar>
          </w:tcPr>
          <w:p>
            <w:pPr>
              <w:spacing w:after="0" w:before="0" w:line="240"/>
            </w:pPr>
            <w:hyperlink w:history="1" r:id="rIdtlf3zc9uzxuydpkryanwi">
              <w:r>
                <w:rPr>
                  <w:rFonts w:ascii="Consolas" w:cs="Consolas" w:eastAsia="Consolas" w:hAnsi="Consolas"/>
                  <w:color w:val="1155CC"/>
                  <w:sz w:val="13"/>
                  <w:szCs w:val="13"/>
                  <w:u w:val="single"/>
                </w:rPr>
                <w:t xml:space="preserve">https://pages.stern.nyu.edu/~adamodar/</w:t>
              </w:r>
            </w:hyperlink>
          </w:p>
        </w:tc>
        <w:tc>
          <w:tcPr>
            <w:tcW w:type="dxa" w:w="92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11 Jul 2026</w:t>
            </w:r>
          </w:p>
        </w:tc>
      </w:tr>
      <w:tr>
        <w:tc>
          <w:tcPr>
            <w:tcW w:type="dxa" w:w="1180"/>
            <w:tcMar>
              <w:top w:type="dxa" w:w="60"/>
              <w:left w:type="dxa" w:w="80"/>
              <w:bottom w:type="dxa" w:w="60"/>
              <w:right w:type="dxa" w:w="80"/>
            </w:tcMar>
          </w:tcPr>
          <w:p>
            <w:pPr>
              <w:spacing w:after="0" w:before="0" w:line="240"/>
            </w:pPr>
            <w:r>
              <w:rPr>
                <w:rFonts w:ascii="Georgia" w:cs="Georgia" w:eastAsia="Georgia" w:hAnsi="Georgia"/>
                <w:b/>
                <w:bCs/>
                <w:color w:val="1F2430"/>
                <w:sz w:val="16"/>
                <w:szCs w:val="16"/>
              </w:rPr>
              <w:t xml:space="preserve">25</w:t>
            </w:r>
          </w:p>
        </w:tc>
        <w:tc>
          <w:tcPr>
            <w:tcW w:type="dxa" w:w="238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Central Bank of the UAE — base rate</w:t>
            </w:r>
          </w:p>
        </w:tc>
        <w:tc>
          <w:tcPr>
            <w:tcW w:type="dxa" w:w="236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Base rate 3.65%, held on 17 June 2026, tracking the US policy rate through the dirham's peg. This is the carry anchor in the Monte Carlo simulation.</w:t>
            </w:r>
          </w:p>
        </w:tc>
        <w:tc>
          <w:tcPr>
            <w:tcW w:type="dxa" w:w="2520"/>
            <w:tcMar>
              <w:top w:type="dxa" w:w="60"/>
              <w:left w:type="dxa" w:w="80"/>
              <w:bottom w:type="dxa" w:w="60"/>
              <w:right w:type="dxa" w:w="80"/>
            </w:tcMar>
          </w:tcPr>
          <w:p>
            <w:pPr>
              <w:spacing w:after="0" w:before="0" w:line="240"/>
            </w:pPr>
            <w:hyperlink w:history="1" r:id="rIdvu7os_yeso2r46uxzqp0t">
              <w:r>
                <w:rPr>
                  <w:rFonts w:ascii="Consolas" w:cs="Consolas" w:eastAsia="Consolas" w:hAnsi="Consolas"/>
                  <w:color w:val="1155CC"/>
                  <w:sz w:val="13"/>
                  <w:szCs w:val="13"/>
                  <w:u w:val="single"/>
                </w:rPr>
                <w:t xml:space="preserve">https://www.centralbank.ae/en/</w:t>
              </w:r>
            </w:hyperlink>
          </w:p>
        </w:tc>
        <w:tc>
          <w:tcPr>
            <w:tcW w:type="dxa" w:w="92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11 Jul 2026</w:t>
            </w:r>
          </w:p>
        </w:tc>
      </w:tr>
      <w:tr>
        <w:tc>
          <w:tcPr>
            <w:tcW w:type="dxa" w:w="1180"/>
            <w:shd w:fill="FBF8F1" w:color="auto" w:val="clear"/>
            <w:tcMar>
              <w:top w:type="dxa" w:w="60"/>
              <w:left w:type="dxa" w:w="80"/>
              <w:bottom w:type="dxa" w:w="60"/>
              <w:right w:type="dxa" w:w="80"/>
            </w:tcMar>
          </w:tcPr>
          <w:p>
            <w:pPr>
              <w:spacing w:after="0" w:before="0" w:line="240"/>
            </w:pPr>
            <w:r>
              <w:rPr>
                <w:rFonts w:ascii="Georgia" w:cs="Georgia" w:eastAsia="Georgia" w:hAnsi="Georgia"/>
                <w:b/>
                <w:bCs/>
                <w:color w:val="1F2430"/>
                <w:sz w:val="16"/>
                <w:szCs w:val="16"/>
              </w:rPr>
              <w:t xml:space="preserve">26</w:t>
            </w:r>
          </w:p>
        </w:tc>
        <w:tc>
          <w:tcPr>
            <w:tcW w:type="dxa" w:w="238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UAE Ministry of Finance — federal dirham bond programme</w:t>
            </w:r>
          </w:p>
        </w:tc>
        <w:tc>
          <w:tcPr>
            <w:tcW w:type="dxa" w:w="236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AED-denominated federal bonds price within roughly 16 basis points of US Treasuries — the basis for the risk-free rate used, rather than a shortcut to the dollar rate.</w:t>
            </w:r>
          </w:p>
        </w:tc>
        <w:tc>
          <w:tcPr>
            <w:tcW w:type="dxa" w:w="2520"/>
            <w:shd w:fill="FBF8F1" w:color="auto" w:val="clear"/>
            <w:tcMar>
              <w:top w:type="dxa" w:w="60"/>
              <w:left w:type="dxa" w:w="80"/>
              <w:bottom w:type="dxa" w:w="60"/>
              <w:right w:type="dxa" w:w="80"/>
            </w:tcMar>
          </w:tcPr>
          <w:p>
            <w:pPr>
              <w:spacing w:after="0" w:before="0" w:line="240"/>
            </w:pPr>
            <w:hyperlink w:history="1" r:id="rIdaos6yprbjv_drypbzk2gf">
              <w:r>
                <w:rPr>
                  <w:rFonts w:ascii="Consolas" w:cs="Consolas" w:eastAsia="Consolas" w:hAnsi="Consolas"/>
                  <w:color w:val="1155CC"/>
                  <w:sz w:val="13"/>
                  <w:szCs w:val="13"/>
                  <w:u w:val="single"/>
                </w:rPr>
                <w:t xml:space="preserve">https://mof.gov.ae/</w:t>
              </w:r>
            </w:hyperlink>
          </w:p>
        </w:tc>
        <w:tc>
          <w:tcPr>
            <w:tcW w:type="dxa" w:w="92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11 Jul 2026</w:t>
            </w:r>
          </w:p>
        </w:tc>
      </w:tr>
      <w:tr>
        <w:tc>
          <w:tcPr>
            <w:tcW w:type="dxa" w:w="9360"/>
            <w:gridSpan w:val="5"/>
            <w:shd w:fill="F7F2E7" w:color="auto" w:val="clear"/>
            <w:tcMar>
              <w:top w:type="dxa" w:w="70"/>
              <w:left w:type="dxa" w:w="80"/>
              <w:bottom w:type="dxa" w:w="70"/>
              <w:right w:type="dxa" w:w="80"/>
            </w:tcMar>
          </w:tcPr>
          <w:p>
            <w:r>
              <w:rPr>
                <w:rFonts w:ascii="Georgia" w:cs="Georgia" w:eastAsia="Georgia" w:hAnsi="Georgia"/>
                <w:b/>
                <w:bCs/>
                <w:color w:val="8C6F2F"/>
                <w:sz w:val="18"/>
                <w:szCs w:val="18"/>
              </w:rPr>
              <w:t xml:space="preserve">Market data</w:t>
            </w:r>
          </w:p>
        </w:tc>
      </w:tr>
      <w:tr>
        <w:tc>
          <w:tcPr>
            <w:tcW w:type="dxa" w:w="1180"/>
            <w:tcMar>
              <w:top w:type="dxa" w:w="60"/>
              <w:left w:type="dxa" w:w="80"/>
              <w:bottom w:type="dxa" w:w="60"/>
              <w:right w:type="dxa" w:w="80"/>
            </w:tcMar>
          </w:tcPr>
          <w:p>
            <w:pPr>
              <w:spacing w:after="0" w:before="0" w:line="240"/>
            </w:pPr>
            <w:r>
              <w:rPr>
                <w:rFonts w:ascii="Georgia" w:cs="Georgia" w:eastAsia="Georgia" w:hAnsi="Georgia"/>
                <w:b/>
                <w:bCs/>
                <w:color w:val="1F2430"/>
                <w:sz w:val="16"/>
                <w:szCs w:val="16"/>
              </w:rPr>
              <w:t xml:space="preserve">27</w:t>
            </w:r>
          </w:p>
        </w:tc>
        <w:tc>
          <w:tcPr>
            <w:tcW w:type="dxa" w:w="238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Abu Dhabi Securities Exchange — 2POINTZERO daily price history</w:t>
            </w:r>
          </w:p>
        </w:tc>
        <w:tc>
          <w:tcPr>
            <w:tcW w:type="dxa" w:w="236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Daily open/high/low/close from the December-2021 listing to 3 July 2026. Every price, moving average, volatility estimate and probability in the study is computed from this series and nothing else.</w:t>
            </w:r>
          </w:p>
        </w:tc>
        <w:tc>
          <w:tcPr>
            <w:tcW w:type="dxa" w:w="2520"/>
            <w:tcMar>
              <w:top w:type="dxa" w:w="60"/>
              <w:left w:type="dxa" w:w="80"/>
              <w:bottom w:type="dxa" w:w="60"/>
              <w:right w:type="dxa" w:w="80"/>
            </w:tcMar>
          </w:tcPr>
          <w:p>
            <w:pPr>
              <w:spacing w:after="0" w:before="0" w:line="240"/>
            </w:pPr>
            <w:hyperlink w:history="1" r:id="rIdzgm-ga1_gb5gnzshvjll3">
              <w:r>
                <w:rPr>
                  <w:rFonts w:ascii="Consolas" w:cs="Consolas" w:eastAsia="Consolas" w:hAnsi="Consolas"/>
                  <w:color w:val="1155CC"/>
                  <w:sz w:val="13"/>
                  <w:szCs w:val="13"/>
                  <w:u w:val="single"/>
                </w:rPr>
                <w:t xml:space="preserve">https://www.adx.ae/</w:t>
              </w:r>
            </w:hyperlink>
          </w:p>
        </w:tc>
        <w:tc>
          <w:tcPr>
            <w:tcW w:type="dxa" w:w="920"/>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3 Jul 2026 (last close in the series)</w:t>
            </w:r>
          </w:p>
        </w:tc>
      </w:tr>
      <w:tr>
        <w:tc>
          <w:tcPr>
            <w:tcW w:type="dxa" w:w="1180"/>
            <w:shd w:fill="FBF8F1" w:color="auto" w:val="clear"/>
            <w:tcMar>
              <w:top w:type="dxa" w:w="60"/>
              <w:left w:type="dxa" w:w="80"/>
              <w:bottom w:type="dxa" w:w="60"/>
              <w:right w:type="dxa" w:w="80"/>
            </w:tcMar>
          </w:tcPr>
          <w:p>
            <w:pPr>
              <w:spacing w:after="0" w:before="0" w:line="240"/>
            </w:pPr>
            <w:r>
              <w:rPr>
                <w:rFonts w:ascii="Georgia" w:cs="Georgia" w:eastAsia="Georgia" w:hAnsi="Georgia"/>
                <w:b/>
                <w:bCs/>
                <w:color w:val="1F2430"/>
                <w:sz w:val="16"/>
                <w:szCs w:val="16"/>
              </w:rPr>
              <w:t xml:space="preserve">28</w:t>
            </w:r>
          </w:p>
        </w:tc>
        <w:tc>
          <w:tcPr>
            <w:tcW w:type="dxa" w:w="238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S&amp;P Global Ratings — 'Research Update: Tendam Brands upgraded to BB+'</w:t>
            </w:r>
          </w:p>
        </w:tc>
        <w:tc>
          <w:tcPr>
            <w:tcW w:type="dxa" w:w="236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Independent credit view on Tendam, one of the operating subsidiaries.</w:t>
            </w:r>
          </w:p>
        </w:tc>
        <w:tc>
          <w:tcPr>
            <w:tcW w:type="dxa" w:w="2520"/>
            <w:shd w:fill="FBF8F1" w:color="auto" w:val="clear"/>
            <w:tcMar>
              <w:top w:type="dxa" w:w="60"/>
              <w:left w:type="dxa" w:w="80"/>
              <w:bottom w:type="dxa" w:w="60"/>
              <w:right w:type="dxa" w:w="80"/>
            </w:tcMar>
          </w:tcPr>
          <w:p>
            <w:pPr>
              <w:spacing w:after="0" w:before="0" w:line="240"/>
            </w:pPr>
            <w:hyperlink w:history="1" r:id="rIdjqmblkgw8gfn-trozbhw0">
              <w:r>
                <w:rPr>
                  <w:rFonts w:ascii="Consolas" w:cs="Consolas" w:eastAsia="Consolas" w:hAnsi="Consolas"/>
                  <w:color w:val="1155CC"/>
                  <w:sz w:val="13"/>
                  <w:szCs w:val="13"/>
                  <w:u w:val="single"/>
                </w:rPr>
                <w:t xml:space="preserve">https://www.spglobal.com/ratings/en/regulatory/article/-/view/type/HTML/id/3411695</w:t>
              </w:r>
            </w:hyperlink>
          </w:p>
        </w:tc>
        <w:tc>
          <w:tcPr>
            <w:tcW w:type="dxa" w:w="920"/>
            <w:shd w:fill="FBF8F1" w:color="auto" w:val="clear"/>
            <w:tcMar>
              <w:top w:type="dxa" w:w="60"/>
              <w:left w:type="dxa" w:w="80"/>
              <w:bottom w:type="dxa" w:w="60"/>
              <w:right w:type="dxa" w:w="80"/>
            </w:tcMar>
          </w:tcPr>
          <w:p>
            <w:pPr>
              <w:spacing w:after="0" w:before="0" w:line="240"/>
            </w:pPr>
            <w:r>
              <w:rPr>
                <w:rFonts w:ascii="Georgia" w:cs="Georgia" w:eastAsia="Georgia" w:hAnsi="Georgia"/>
                <w:color w:val="1F2430"/>
                <w:sz w:val="16"/>
                <w:szCs w:val="16"/>
              </w:rPr>
              <w:t xml:space="preserve">11 Jul 2026</w:t>
            </w:r>
          </w:p>
        </w:tc>
      </w:tr>
    </w:tbl>
    <w:p>
      <w:pPr>
        <w:spacing w:after="60" w:before="260" w:line="276"/>
      </w:pPr>
      <w:r>
        <w:rPr>
          <w:rFonts w:ascii="Georgia" w:cs="Georgia" w:eastAsia="Georgia" w:hAnsi="Georgia"/>
          <w:b/>
          <w:bCs/>
          <w:color w:val="1F2430"/>
          <w:sz w:val="20"/>
          <w:szCs w:val="20"/>
        </w:rPr>
        <w:t xml:space="preserve">A note on what is NOT here.</w:t>
      </w:r>
    </w:p>
    <w:p>
      <w:pPr>
        <w:spacing w:after="100" w:before="60" w:line="276"/>
      </w:pPr>
      <w:r>
        <w:rPr>
          <w:rFonts w:ascii="Georgia" w:cs="Georgia" w:eastAsia="Georgia" w:hAnsi="Georgia"/>
          <w:color w:val="1F2430"/>
          <w:sz w:val="20"/>
          <w:szCs w:val="20"/>
        </w:rPr>
        <w:t xml:space="preserve">Four searches returned nothing, and their absence is itself evidence used in the study: the company publishes no numeric revenue, margin or capital-expenditure guidance; no stake-by-stake valuation of its AED 58.7 bn investment portfolio; no full segment profit-and-loss account for the merged group; and its 2025 borrowings note could not be extracted in machine-readable form. Those four gaps are the direct justification for the portfolio discount applied in §1.2 of the study. They were searched for on 11 July 2026 across the company's investor-relations pages, its annual report, its results calls and the exchange's filing archive.</w:t>
      </w:r>
    </w:p>
    <w:p>
      <w:pPr>
        <w:spacing w:after="100" w:before="220" w:line="276"/>
      </w:pPr>
      <w:r>
        <w:rPr>
          <w:rFonts w:ascii="Georgia" w:cs="Georgia" w:eastAsia="Georgia" w:hAnsi="Georgia"/>
          <w:i/>
          <w:iCs/>
          <w:color w:val="6B6B6B"/>
          <w:sz w:val="16"/>
          <w:szCs w:val="16"/>
        </w:rPr>
        <w:t xml:space="preserve">© 2026 Testahil · testahil.com · Published free of charge for educational purposes.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jp6b14kk157lzkdy095d" Type="http://schemas.openxmlformats.org/officeDocument/2006/relationships/hyperlink" Target="https://apigateway.adx.ae/adx/cdn/1.0/content/download/4861109" TargetMode="External"/><Relationship Id="rIdfg4i-avyclqfbiuwatdcy" Type="http://schemas.openxmlformats.org/officeDocument/2006/relationships/hyperlink" Target="https://2pointzero.com/application/files/9117/7850/4364/Q1_2026_Results_Call_Presentation.pdf" TargetMode="External"/><Relationship Id="rIdfdq2puznejg5gbwjtvbp-" Type="http://schemas.openxmlformats.org/officeDocument/2006/relationships/hyperlink" Target="https://apigateway.adx.ae/adx/cdn/1.0/content/download/4577137" TargetMode="External"/><Relationship Id="rIdogzyvlmy216wcmzmnduoa" Type="http://schemas.openxmlformats.org/officeDocument/2006/relationships/hyperlink" Target="https://2pointzero.com/news-insights/news/multiply-group-pjsc-financial-results-full-year-2023" TargetMode="External"/><Relationship Id="rId1ah2gd3cgvu9o3sbhbujd" Type="http://schemas.openxmlformats.org/officeDocument/2006/relationships/hyperlink" Target="https://2pointzero.com/news-insights/news/multiply-group-reports-net-profit-excluding-fair-value-gains-losses-aed-266-million-q1-2023-241-growth-compared-same-period-last" TargetMode="External"/><Relationship Id="rIdkblgjosqifayan63yzszg" Type="http://schemas.openxmlformats.org/officeDocument/2006/relationships/hyperlink" Target="https://www.adx.ae/en/main-market/company-profile?symbols=2POINTZERO&amp;secCode=2POINTZERO" TargetMode="External"/><Relationship Id="rIdelt4drx5pvkffyzwhfmuf" Type="http://schemas.openxmlformats.org/officeDocument/2006/relationships/hyperlink" Target="https://www.adx.ae/main-market/company-profile/financial-reports?symbols=2POINTZERO&amp;secCode=2POINTZERO" TargetMode="External"/><Relationship Id="rIddzwepfoipaspz1mpwgigm" Type="http://schemas.openxmlformats.org/officeDocument/2006/relationships/hyperlink" Target="https://apigateway.adx.ae/adx/cdn/1.0/content/download/4990037" TargetMode="External"/><Relationship Id="rId4erocpvwj7vvnqziwryo5" Type="http://schemas.openxmlformats.org/officeDocument/2006/relationships/hyperlink" Target="https://www.thenationalnews.com/business/energy/2026/06/10/abu-dhabi-wealth-fund-limad-boosts-stake-in-utility-taqa/" TargetMode="External"/><Relationship Id="rIdj1t4r4ck-z8xilbd_-rzg" Type="http://schemas.openxmlformats.org/officeDocument/2006/relationships/hyperlink" Target="https://economymiddleeast.com/news/2pointzero-group-sells-full-7-29-percent-stake-taqa-limad-abu-dhabi-power/" TargetMode="External"/><Relationship Id="rIdgbo8xhd1gbm1p2we5rcpt" Type="http://schemas.openxmlformats.org/officeDocument/2006/relationships/hyperlink" Target="https://2pointzero.com/news-insights/news/abu-dhabis-adq-monetises-minority-stake-taqa" TargetMode="External"/><Relationship Id="rIdemirb58zk4wioxa8mkshd" Type="http://schemas.openxmlformats.org/officeDocument/2006/relationships/hyperlink" Target="https://apigateway.adx.ae/adx/cdn/1.0/content/download/4861109" TargetMode="External"/><Relationship Id="rIdu_ttu-da2udhsccavkarm" Type="http://schemas.openxmlformats.org/officeDocument/2006/relationships/hyperlink" Target="https://economymiddleeast.com/news/abu-dhabis-2pointzero-posts-1823-percent-revenue-surge-to-2-7-billion-in-q1-net-profit-rises-1610-percent/" TargetMode="External"/><Relationship Id="rIdc_vzedifcd-xmwajo5ktx" Type="http://schemas.openxmlformats.org/officeDocument/2006/relationships/hyperlink" Target="https://www.arabianbusiness.com/abnews/2pointzero-group-posts-311-revenue-growth-in-the-fiscal-year-2025-following-merger" TargetMode="External"/><Relationship Id="rIdiurufpyk5t8jchwy7212a" Type="http://schemas.openxmlformats.org/officeDocument/2006/relationships/hyperlink" Target="https://mof.gov.ae/en/public-finance/tax/uae-domestic-minimum-top-up-tax/" TargetMode="External"/><Relationship Id="rIdbl4nlsuolerrwqdcrugth" Type="http://schemas.openxmlformats.org/officeDocument/2006/relationships/hyperlink" Target="https://tax.gov.ae/Datafolder/Files/Legislation/Cabinet-Decision-No-142-of-2024-on-Top-up-Tax-on-MNEs.pdf" TargetMode="External"/><Relationship Id="rIdrvgk__2wxbm-01ve1f99b" Type="http://schemas.openxmlformats.org/officeDocument/2006/relationships/hyperlink" Target="https://www.ey.com/en_gl/technical/tax-alerts/uae-issues-domestic-minimum-top-up-tax-legislation" TargetMode="External"/><Relationship Id="rIdbaqnl3uk7pxlvwszuyohw" Type="http://schemas.openxmlformats.org/officeDocument/2006/relationships/hyperlink" Target="https://www.pwc.com/m1/en/tax/documents/2025/uae-dmtt-alert.pdf" TargetMode="External"/><Relationship Id="rId8er9x3uzjkecvtdpte8ey" Type="http://schemas.openxmlformats.org/officeDocument/2006/relationships/hyperlink" Target="https://kpmg.com/ae/en/insights/tax-insights/The%20UAE%20unpacks%20its%20Pillar%20Two%20rules-%20Tax%20flash.html" TargetMode="External"/><Relationship Id="rId3fzl-6tnwm-ytgad2eayw" Type="http://schemas.openxmlformats.org/officeDocument/2006/relationships/hyperlink" Target="https://www.aljazeera.com/news/2026/7/8/us-says-conducting-new-wave-of-strikes-on-iran-as-ceasefire-falters-2" TargetMode="External"/><Relationship Id="rIdgrck652ilpruelbl8uxco" Type="http://schemas.openxmlformats.org/officeDocument/2006/relationships/hyperlink" Target="https://www.britannica.com/event/2026-Iran-war" TargetMode="External"/><Relationship Id="rIdvp3nfz1vcxep_pg4jbx3-" Type="http://schemas.openxmlformats.org/officeDocument/2006/relationships/hyperlink" Target="https://www.cnn.com/2026/07/09/world/live-news/iran-war-trump" TargetMode="External"/><Relationship Id="rIdrjra6g5m3ldnhhe15rdyh" Type="http://schemas.openxmlformats.org/officeDocument/2006/relationships/hyperlink" Target="https://www.theweek.in/news/defence/2026/07/09/opinion-patience-runs-out-the-us-iran-ceasefire-collapses-into-strikes.html" TargetMode="External"/><Relationship Id="rIdtlf3zc9uzxuydpkryanwi" Type="http://schemas.openxmlformats.org/officeDocument/2006/relationships/hyperlink" Target="https://pages.stern.nyu.edu/~adamodar/" TargetMode="External"/><Relationship Id="rIdvu7os_yeso2r46uxzqp0t" Type="http://schemas.openxmlformats.org/officeDocument/2006/relationships/hyperlink" Target="https://www.centralbank.ae/en/" TargetMode="External"/><Relationship Id="rIdaos6yprbjv_drypbzk2gf" Type="http://schemas.openxmlformats.org/officeDocument/2006/relationships/hyperlink" Target="https://mof.gov.ae/" TargetMode="External"/><Relationship Id="rIdzgm-ga1_gb5gnzshvjll3" Type="http://schemas.openxmlformats.org/officeDocument/2006/relationships/hyperlink" Target="https://www.adx.ae/" TargetMode="External"/><Relationship Id="rIdjqmblkgw8gfn-trozbhw0" Type="http://schemas.openxmlformats.org/officeDocument/2006/relationships/hyperlink" Target="https://www.spglobal.com/ratings/en/regulatory/article/-/view/type/HTML/id/3411695" TargetMode="External"/><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2POINTZERO Valuation Study — Bibliography</dc:title>
  <dc:creator>Testahil</dc:creator>
  <cp:lastModifiedBy>Un-named</cp:lastModifiedBy>
  <cp:revision>1</cp:revision>
  <dcterms:created xsi:type="dcterms:W3CDTF">2026-07-11T16:32:56.840Z</dcterms:created>
  <dcterms:modified xsi:type="dcterms:W3CDTF">2026-07-11T16:32:56.854Z</dcterms:modified>
</cp:coreProperties>
</file>

<file path=docProps/custom.xml><?xml version="1.0" encoding="utf-8"?>
<Properties xmlns="http://schemas.openxmlformats.org/officeDocument/2006/custom-properties" xmlns:vt="http://schemas.openxmlformats.org/officeDocument/2006/docPropsVTypes"/>
</file>