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68"/>
        <w:gridCol w:w="4968"/>
      </w:tblGrid>
      <w:tr>
        <w:tc>
          <w:tcPr>
            <w:tcW w:type="dxa" w:w="7200"/>
            <w:shd w:val="clear" w:fill="1B5E5E"/>
          </w:tcPr>
          <w:p>
            <w:pPr>
              <w:spacing w:after="20" w:before="20"/>
              <w:jc w:val="left"/>
            </w:pPr>
            <w:r/>
            <w:r>
              <w:rPr>
                <w:rFonts w:ascii="Calibri" w:hAnsi="Calibri"/>
                <w:b/>
                <w:i w:val="0"/>
                <w:color w:val="FFFFFF"/>
                <w:sz w:val="20"/>
              </w:rPr>
              <w:t>Testahil   ·   Independent Valuation Study — Educational Analysis</w:t>
            </w:r>
          </w:p>
        </w:tc>
        <w:tc>
          <w:tcPr>
            <w:tcW w:type="dxa" w:w="2736"/>
            <w:shd w:val="clear" w:fill="1B5E5E"/>
          </w:tcPr>
          <w:p>
            <w:pPr>
              <w:spacing w:after="20" w:before="20"/>
              <w:jc w:val="right"/>
            </w:pPr>
            <w:r/>
            <w:r>
              <w:rPr>
                <w:rFonts w:ascii="Calibri" w:hAnsi="Calibri"/>
                <w:b w:val="0"/>
                <w:i w:val="0"/>
                <w:color w:val="FFFFFF"/>
                <w:sz w:val="20"/>
              </w:rPr>
              <w:t>Not investment advice</w:t>
            </w:r>
          </w:p>
        </w:tc>
      </w:tr>
    </w:tbl>
    <w:p>
      <w:pPr>
        <w:spacing w:after="40"/>
      </w:pPr>
    </w:p>
    <w:p>
      <w:pPr>
        <w:spacing w:after="20"/>
      </w:pPr>
      <w:r>
        <w:rPr>
          <w:b/>
          <w:color w:val="222222"/>
          <w:sz w:val="22"/>
        </w:rPr>
        <w:t>Independent Valuation Study — Educational Analysis</w:t>
      </w:r>
    </w:p>
    <w:p>
      <w:pPr>
        <w:spacing w:after="20"/>
      </w:pPr>
      <w:r>
        <w:rPr>
          <w:b/>
          <w:color w:val="1B5E5E"/>
          <w:sz w:val="36"/>
        </w:rPr>
        <w:t>Apple Inc.  (NASDAQ: AAPL)</w:t>
      </w:r>
    </w:p>
    <w:p>
      <w:pPr>
        <w:spacing w:after="60"/>
      </w:pPr>
      <w:r>
        <w:rPr>
          <w:i/>
          <w:color w:val="2A8F8F"/>
          <w:sz w:val="21"/>
        </w:rPr>
        <w:t>Fundamental analysis · Technical analysis · Monte Carlo simulation — one integrated read</w:t>
      </w:r>
    </w:p>
    <w:p>
      <w:pPr>
        <w:spacing w:after="120"/>
      </w:pPr>
      <w:r>
        <w:rPr>
          <w:b/>
          <w:sz w:val="19"/>
        </w:rPr>
        <w:t xml:space="preserve">Anchor: </w:t>
      </w:r>
      <w:r>
        <w:rPr>
          <w:color w:val="222222"/>
          <w:sz w:val="19"/>
        </w:rPr>
        <w:t>$313.09 (Mon 06 Jul 2026 close) · 14.776 bn shares · market cap ≈ $4.63 tn ($4,626 bn) · the world's largest hardware-and-services franchise: iPhone, Mac, iPad and Wearables around a $123 bn-and-growing high-margin Services layer · prices and probabilities computed 06 Jul 2026 from the attached daily history · primary lens: consolidated discounted cash flow, triangulated against a segment sum-of-the-parts, forward multiples and normalized earnings · the Services attach-rate, the gross-margin trajectory and the AI-driven upgrade cycle are the swing factors.</w:t>
      </w:r>
    </w:p>
    <w:tbl>
      <w:tblPr>
        <w:tblStyle w:val="TableGrid"/>
        <w:tblW w:type="auto" w:w="0"/>
        <w:jc w:val="center"/>
        <w:tblLayout w:type="fixed"/>
        <w:tblLook w:firstColumn="1" w:firstRow="1" w:lastColumn="0" w:lastRow="0" w:noHBand="0" w:noVBand="1" w:val="04A0"/>
      </w:tblPr>
      <w:tblGrid>
        <w:gridCol w:w="9936"/>
      </w:tblGrid>
      <w:tr>
        <w:tc>
          <w:tcPr>
            <w:tcW w:type="dxa" w:w="9936"/>
            <w:shd w:val="clear" w:fill="F2F7F7"/>
          </w:tcPr>
          <w:p>
            <w:pPr>
              <w:spacing w:after="40"/>
            </w:pPr>
            <w:r/>
            <w:r>
              <w:rPr>
                <w:b/>
                <w:color w:val="1B5E5E"/>
                <w:sz w:val="19"/>
              </w:rPr>
              <w:t xml:space="preserve">READ FIRST — what this document is, and is not.  </w:t>
            </w:r>
            <w:r>
              <w:rPr>
                <w:color w:val="222222"/>
                <w:sz w:val="18"/>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(Form 10-K, fiscal years ended September 2023, 2024 and 2025); forward-looking inputs — the revenue and margin forecasts, the multiples, the DCF and the Monte-Carlo factor probabilities — are the preparer's judgments and are flagged throughout. Consult a licensed financial advisor before any investment decision.</w:t>
            </w:r>
          </w:p>
        </w:tc>
      </w:tr>
    </w:tbl>
    <w:p>
      <w:pPr>
        <w:spacing w:after="40"/>
      </w:pPr>
    </w:p>
    <w:p>
      <w:pPr>
        <w:spacing w:before="240" w:after="60"/>
        <w:pBdr>
          <w:bottom w:val="single" w:sz="6" w:space="2" w:color="B0894B"/>
        </w:pBdr>
      </w:pPr>
      <w:r>
        <w:rPr>
          <w:b/>
          <w:color w:val="1B5E5E"/>
          <w:sz w:val="28"/>
        </w:rPr>
        <w:t>Headline</w:t>
      </w:r>
    </w:p>
    <w:p>
      <w:pPr>
        <w:spacing w:after="80" w:line="254" w:lineRule="auto"/>
      </w:pPr>
      <w:r>
        <w:rPr>
          <w:b/>
          <w:color w:val="222222"/>
          <w:sz w:val="20"/>
        </w:rPr>
        <w:t>The model's read:</w:t>
      </w:r>
      <w:r>
        <w:rPr>
          <w:color w:val="222222"/>
          <w:sz w:val="20"/>
        </w:rPr>
        <w:t xml:space="preserve"> richly valued on every fundamental lens; the market is paying for an AI-led upgrade cycle, Services compounding and a durability premium that sits beyond the cash flows we can model. </w:t>
      </w:r>
    </w:p>
    <w:p>
      <w:pPr>
        <w:spacing w:after="80" w:line="254" w:lineRule="auto"/>
      </w:pPr>
      <w:r>
        <w:rPr>
          <w:color w:val="222222"/>
          <w:sz w:val="20"/>
        </w:rPr>
        <w:t>At $313.09 the shares trade about 51% above our weighted central estimate of $208. The four lenses do not agree — and that disagreement is the story. A consolidated DCF on explicit five-year cash flows lands at $152; a segment sum-of-the-parts at $184; forward multiples at $249; and a normalized through-cycle earnings read at $253. The gap between the cash-flow lenses (low-$150s to mid-$180s) and the market-multiple lenses (high-$240s to low-$250s) is roughly a $90 spread, and it is not noise: it is the premium the market assigns to Apple's installed base, switching costs and Services annuity — durability the explicit DCF window does not capitalise. We therefore present the spread and the distribution, never a single point or a rating. Technically the stock is the opposite of a value screen — above a rising moving-average stack, momentum firm — so price and our fundamental read pull in opposite directions. Over three months the Monte Carlo places the 5th–95th percentile band at roughly $237–$386, with the median a shade below spot at $303 — a distribution that is near-even on direction with a mild downside tilt from event skew, not from any embedded view that the shares are expensive.</w:t>
      </w:r>
    </w:p>
    <w:p>
      <w:pPr>
        <w:spacing w:before="240" w:after="60"/>
        <w:pBdr>
          <w:bottom w:val="single" w:sz="6" w:space="2" w:color="B0894B"/>
        </w:pBdr>
      </w:pPr>
      <w:r>
        <w:rPr>
          <w:b/>
          <w:color w:val="1B5E5E"/>
          <w:sz w:val="28"/>
        </w:rPr>
        <w:t>Valuation summary — every read at a glance</w:t>
      </w:r>
    </w:p>
    <w:p>
      <w:pPr>
        <w:spacing w:after="60" w:line="254" w:lineRule="auto"/>
      </w:pPr>
      <w:r>
        <w:rPr>
          <w:color w:val="222222"/>
          <w:sz w:val="20"/>
        </w:rPr>
        <w:t>One table for the four reads that follow — what the business is worth (fundamental), what the tape is doing (technical), where price could travel over three months (Monte Carlo), and how three independent expert methods land (the panel in Appendix C).</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024"/>
            <w:shd w:val="clear" w:fill="2A8F8F"/>
          </w:tcPr>
          <w:p>
            <w:pPr>
              <w:spacing w:after="20" w:before="20"/>
              <w:jc w:val="left"/>
            </w:pPr>
            <w:r/>
            <w:r>
              <w:rPr>
                <w:rFonts w:ascii="Calibri" w:hAnsi="Calibri"/>
                <w:b/>
                <w:i w:val="0"/>
                <w:color w:val="FFFFFF"/>
                <w:sz w:val="18"/>
              </w:rPr>
              <w:t>Read</w:t>
            </w:r>
          </w:p>
        </w:tc>
        <w:tc>
          <w:tcPr>
            <w:tcW w:type="dxa" w:w="3600"/>
            <w:shd w:val="clear" w:fill="2A8F8F"/>
          </w:tcPr>
          <w:p>
            <w:pPr>
              <w:spacing w:after="20" w:before="20"/>
              <w:jc w:val="center"/>
            </w:pPr>
            <w:r/>
            <w:r>
              <w:rPr>
                <w:rFonts w:ascii="Calibri" w:hAnsi="Calibri"/>
                <w:b/>
                <w:i w:val="0"/>
                <w:color w:val="FFFFFF"/>
                <w:sz w:val="18"/>
              </w:rPr>
              <w:t>What it measures</w:t>
            </w:r>
          </w:p>
        </w:tc>
        <w:tc>
          <w:tcPr>
            <w:tcW w:type="dxa" w:w="1656"/>
            <w:shd w:val="clear" w:fill="2A8F8F"/>
          </w:tcPr>
          <w:p>
            <w:pPr>
              <w:spacing w:after="20" w:before="20"/>
              <w:jc w:val="center"/>
            </w:pPr>
            <w:r/>
            <w:r>
              <w:rPr>
                <w:rFonts w:ascii="Calibri" w:hAnsi="Calibri"/>
                <w:b/>
                <w:i w:val="0"/>
                <w:color w:val="FFFFFF"/>
                <w:sz w:val="18"/>
              </w:rPr>
              <w:t>Central figure</w:t>
            </w:r>
          </w:p>
        </w:tc>
        <w:tc>
          <w:tcPr>
            <w:tcW w:type="dxa" w:w="1656"/>
            <w:shd w:val="clear" w:fill="2A8F8F"/>
          </w:tcPr>
          <w:p>
            <w:pPr>
              <w:spacing w:after="20" w:before="20"/>
              <w:jc w:val="center"/>
            </w:pPr>
            <w:r/>
            <w:r>
              <w:rPr>
                <w:rFonts w:ascii="Calibri" w:hAnsi="Calibri"/>
                <w:b/>
                <w:i w:val="0"/>
                <w:color w:val="FFFFFF"/>
                <w:sz w:val="18"/>
              </w:rPr>
              <w:t>In one line</w:t>
            </w:r>
          </w:p>
        </w:tc>
      </w:tr>
      <w:tr>
        <w:tc>
          <w:tcPr>
            <w:tcW w:type="dxa" w:w="3024"/>
          </w:tcPr>
          <w:p>
            <w:pPr>
              <w:spacing w:after="20" w:before="20"/>
              <w:jc w:val="left"/>
            </w:pPr>
            <w:r/>
            <w:r>
              <w:rPr>
                <w:rFonts w:ascii="Calibri" w:hAnsi="Calibri"/>
                <w:b w:val="0"/>
                <w:i w:val="0"/>
                <w:color w:val="222222"/>
                <w:sz w:val="18"/>
              </w:rPr>
              <w:t>Fundamental — weighted central</w:t>
            </w:r>
          </w:p>
        </w:tc>
        <w:tc>
          <w:tcPr>
            <w:tcW w:type="dxa" w:w="3600"/>
          </w:tcPr>
          <w:p>
            <w:pPr>
              <w:spacing w:after="20" w:before="20"/>
              <w:jc w:val="center"/>
            </w:pPr>
            <w:r/>
            <w:r>
              <w:rPr>
                <w:rFonts w:ascii="Calibri" w:hAnsi="Calibri"/>
                <w:b w:val="0"/>
                <w:i w:val="0"/>
                <w:color w:val="222222"/>
                <w:sz w:val="18"/>
              </w:rPr>
              <w:t>Blended fair value across four lenses</w:t>
            </w:r>
          </w:p>
        </w:tc>
        <w:tc>
          <w:tcPr>
            <w:tcW w:type="dxa" w:w="1656"/>
          </w:tcPr>
          <w:p>
            <w:pPr>
              <w:spacing w:after="20" w:before="20"/>
              <w:jc w:val="center"/>
            </w:pPr>
            <w:r/>
            <w:r>
              <w:rPr>
                <w:rFonts w:ascii="Calibri" w:hAnsi="Calibri"/>
                <w:b w:val="0"/>
                <w:i w:val="0"/>
                <w:color w:val="222222"/>
                <w:sz w:val="18"/>
              </w:rPr>
              <w:t>$208</w:t>
            </w:r>
          </w:p>
        </w:tc>
        <w:tc>
          <w:tcPr>
            <w:tcW w:type="dxa" w:w="1656"/>
          </w:tcPr>
          <w:p>
            <w:pPr>
              <w:spacing w:after="20" w:before="20"/>
              <w:jc w:val="center"/>
            </w:pPr>
            <w:r/>
            <w:r>
              <w:rPr>
                <w:rFonts w:ascii="Calibri" w:hAnsi="Calibri"/>
                <w:b w:val="0"/>
                <w:i w:val="0"/>
                <w:color w:val="222222"/>
                <w:sz w:val="18"/>
              </w:rPr>
              <w:t>Bear $182 · bull $244</w:t>
            </w:r>
          </w:p>
        </w:tc>
      </w:tr>
      <w:tr>
        <w:tc>
          <w:tcPr>
            <w:tcW w:type="dxa" w:w="3024"/>
            <w:shd w:val="clear" w:fill="F2F7F7"/>
          </w:tcPr>
          <w:p>
            <w:pPr>
              <w:spacing w:after="20" w:before="20"/>
              <w:jc w:val="left"/>
            </w:pPr>
            <w:r/>
            <w:r>
              <w:rPr>
                <w:rFonts w:ascii="Calibri" w:hAnsi="Calibri"/>
                <w:b w:val="0"/>
                <w:i w:val="0"/>
                <w:color w:val="222222"/>
                <w:sz w:val="18"/>
              </w:rPr>
              <w:t xml:space="preserve">  Consolidated DCF (primary)</w:t>
            </w:r>
          </w:p>
        </w:tc>
        <w:tc>
          <w:tcPr>
            <w:tcW w:type="dxa" w:w="3600"/>
            <w:shd w:val="clear" w:fill="F2F7F7"/>
          </w:tcPr>
          <w:p>
            <w:pPr>
              <w:spacing w:after="20" w:before="20"/>
              <w:jc w:val="center"/>
            </w:pPr>
            <w:r/>
            <w:r>
              <w:rPr>
                <w:rFonts w:ascii="Calibri" w:hAnsi="Calibri"/>
                <w:b w:val="0"/>
                <w:i w:val="0"/>
                <w:color w:val="222222"/>
                <w:sz w:val="18"/>
              </w:rPr>
              <w:t>PV of explicit FCFF + terminal value</w:t>
            </w:r>
          </w:p>
        </w:tc>
        <w:tc>
          <w:tcPr>
            <w:tcW w:type="dxa" w:w="1656"/>
            <w:shd w:val="clear" w:fill="F2F7F7"/>
          </w:tcPr>
          <w:p>
            <w:pPr>
              <w:spacing w:after="20" w:before="20"/>
              <w:jc w:val="center"/>
            </w:pPr>
            <w:r/>
            <w:r>
              <w:rPr>
                <w:rFonts w:ascii="Calibri" w:hAnsi="Calibri"/>
                <w:b w:val="0"/>
                <w:i w:val="0"/>
                <w:color w:val="222222"/>
                <w:sz w:val="18"/>
              </w:rPr>
              <w:t>$152</w:t>
            </w:r>
          </w:p>
        </w:tc>
        <w:tc>
          <w:tcPr>
            <w:tcW w:type="dxa" w:w="1656"/>
            <w:shd w:val="clear" w:fill="F2F7F7"/>
          </w:tcPr>
          <w:p>
            <w:pPr>
              <w:spacing w:after="20" w:before="20"/>
              <w:jc w:val="center"/>
            </w:pPr>
            <w:r/>
            <w:r>
              <w:rPr>
                <w:rFonts w:ascii="Calibri" w:hAnsi="Calibri"/>
                <w:b w:val="0"/>
                <w:i w:val="0"/>
                <w:color w:val="222222"/>
                <w:sz w:val="18"/>
              </w:rPr>
              <w:t>TV 77% of EV; WACC 9.5%</w:t>
            </w:r>
          </w:p>
        </w:tc>
      </w:tr>
      <w:tr>
        <w:tc>
          <w:tcPr>
            <w:tcW w:type="dxa" w:w="3024"/>
          </w:tcPr>
          <w:p>
            <w:pPr>
              <w:spacing w:after="20" w:before="20"/>
              <w:jc w:val="left"/>
            </w:pPr>
            <w:r/>
            <w:r>
              <w:rPr>
                <w:rFonts w:ascii="Calibri" w:hAnsi="Calibri"/>
                <w:b w:val="0"/>
                <w:i w:val="0"/>
                <w:color w:val="222222"/>
                <w:sz w:val="18"/>
              </w:rPr>
              <w:t xml:space="preserve">  Segment sum-of-the-parts</w:t>
            </w:r>
          </w:p>
        </w:tc>
        <w:tc>
          <w:tcPr>
            <w:tcW w:type="dxa" w:w="3600"/>
          </w:tcPr>
          <w:p>
            <w:pPr>
              <w:spacing w:after="20" w:before="20"/>
              <w:jc w:val="center"/>
            </w:pPr>
            <w:r/>
            <w:r>
              <w:rPr>
                <w:rFonts w:ascii="Calibri" w:hAnsi="Calibri"/>
                <w:b w:val="0"/>
                <w:i w:val="0"/>
                <w:color w:val="222222"/>
                <w:sz w:val="18"/>
              </w:rPr>
              <w:t>Services &amp; Products on separate multiples</w:t>
            </w:r>
          </w:p>
        </w:tc>
        <w:tc>
          <w:tcPr>
            <w:tcW w:type="dxa" w:w="1656"/>
          </w:tcPr>
          <w:p>
            <w:pPr>
              <w:spacing w:after="20" w:before="20"/>
              <w:jc w:val="center"/>
            </w:pPr>
            <w:r/>
            <w:r>
              <w:rPr>
                <w:rFonts w:ascii="Calibri" w:hAnsi="Calibri"/>
                <w:b w:val="0"/>
                <w:i w:val="0"/>
                <w:color w:val="222222"/>
                <w:sz w:val="18"/>
              </w:rPr>
              <w:t>$184</w:t>
            </w:r>
          </w:p>
        </w:tc>
        <w:tc>
          <w:tcPr>
            <w:tcW w:type="dxa" w:w="1656"/>
          </w:tcPr>
          <w:p>
            <w:pPr>
              <w:spacing w:after="20" w:before="20"/>
              <w:jc w:val="center"/>
            </w:pPr>
            <w:r/>
            <w:r>
              <w:rPr>
                <w:rFonts w:ascii="Calibri" w:hAnsi="Calibri"/>
                <w:b w:val="0"/>
                <w:i w:val="0"/>
                <w:color w:val="222222"/>
                <w:sz w:val="18"/>
              </w:rPr>
              <w:t>Services carries the premium</w:t>
            </w:r>
          </w:p>
        </w:tc>
      </w:tr>
      <w:tr>
        <w:tc>
          <w:tcPr>
            <w:tcW w:type="dxa" w:w="3024"/>
            <w:shd w:val="clear" w:fill="F2F7F7"/>
          </w:tcPr>
          <w:p>
            <w:pPr>
              <w:spacing w:after="20" w:before="20"/>
              <w:jc w:val="left"/>
            </w:pPr>
            <w:r/>
            <w:r>
              <w:rPr>
                <w:rFonts w:ascii="Calibri" w:hAnsi="Calibri"/>
                <w:b w:val="0"/>
                <w:i w:val="0"/>
                <w:color w:val="222222"/>
                <w:sz w:val="18"/>
              </w:rPr>
              <w:t xml:space="preserve">  Relative multiples</w:t>
            </w:r>
          </w:p>
        </w:tc>
        <w:tc>
          <w:tcPr>
            <w:tcW w:type="dxa" w:w="3600"/>
            <w:shd w:val="clear" w:fill="F2F7F7"/>
          </w:tcPr>
          <w:p>
            <w:pPr>
              <w:spacing w:after="20" w:before="20"/>
              <w:jc w:val="center"/>
            </w:pPr>
            <w:r/>
            <w:r>
              <w:rPr>
                <w:rFonts w:ascii="Calibri" w:hAnsi="Calibri"/>
                <w:b w:val="0"/>
                <w:i w:val="0"/>
                <w:color w:val="222222"/>
                <w:sz w:val="18"/>
              </w:rPr>
              <w:t>Forward P/E on FY26E EPS</w:t>
            </w:r>
          </w:p>
        </w:tc>
        <w:tc>
          <w:tcPr>
            <w:tcW w:type="dxa" w:w="1656"/>
            <w:shd w:val="clear" w:fill="F2F7F7"/>
          </w:tcPr>
          <w:p>
            <w:pPr>
              <w:spacing w:after="20" w:before="20"/>
              <w:jc w:val="center"/>
            </w:pPr>
            <w:r/>
            <w:r>
              <w:rPr>
                <w:rFonts w:ascii="Calibri" w:hAnsi="Calibri"/>
                <w:b w:val="0"/>
                <w:i w:val="0"/>
                <w:color w:val="222222"/>
                <w:sz w:val="18"/>
              </w:rPr>
              <w:t>$249</w:t>
            </w:r>
          </w:p>
        </w:tc>
        <w:tc>
          <w:tcPr>
            <w:tcW w:type="dxa" w:w="1656"/>
            <w:shd w:val="clear" w:fill="F2F7F7"/>
          </w:tcPr>
          <w:p>
            <w:pPr>
              <w:spacing w:after="20" w:before="20"/>
              <w:jc w:val="center"/>
            </w:pPr>
            <w:r/>
            <w:r>
              <w:rPr>
                <w:rFonts w:ascii="Calibri" w:hAnsi="Calibri"/>
                <w:b w:val="0"/>
                <w:i w:val="0"/>
                <w:color w:val="222222"/>
                <w:sz w:val="18"/>
              </w:rPr>
              <w:t>30× $8.29 EPS</w:t>
            </w:r>
          </w:p>
        </w:tc>
      </w:tr>
      <w:tr>
        <w:tc>
          <w:tcPr>
            <w:tcW w:type="dxa" w:w="3024"/>
          </w:tcPr>
          <w:p>
            <w:pPr>
              <w:spacing w:after="20" w:before="20"/>
              <w:jc w:val="left"/>
            </w:pPr>
            <w:r/>
            <w:r>
              <w:rPr>
                <w:rFonts w:ascii="Calibri" w:hAnsi="Calibri"/>
                <w:b w:val="0"/>
                <w:i w:val="0"/>
                <w:color w:val="222222"/>
                <w:sz w:val="18"/>
              </w:rPr>
              <w:t xml:space="preserve">  Normalized earnings</w:t>
            </w:r>
          </w:p>
        </w:tc>
        <w:tc>
          <w:tcPr>
            <w:tcW w:type="dxa" w:w="3600"/>
          </w:tcPr>
          <w:p>
            <w:pPr>
              <w:spacing w:after="20" w:before="20"/>
              <w:jc w:val="center"/>
            </w:pPr>
            <w:r/>
            <w:r>
              <w:rPr>
                <w:rFonts w:ascii="Calibri" w:hAnsi="Calibri"/>
                <w:b w:val="0"/>
                <w:i w:val="0"/>
                <w:color w:val="222222"/>
                <w:sz w:val="18"/>
              </w:rPr>
              <w:t>Through-cycle EPS × multiple</w:t>
            </w:r>
          </w:p>
        </w:tc>
        <w:tc>
          <w:tcPr>
            <w:tcW w:type="dxa" w:w="1656"/>
          </w:tcPr>
          <w:p>
            <w:pPr>
              <w:spacing w:after="20" w:before="20"/>
              <w:jc w:val="center"/>
            </w:pPr>
            <w:r/>
            <w:r>
              <w:rPr>
                <w:rFonts w:ascii="Calibri" w:hAnsi="Calibri"/>
                <w:b w:val="0"/>
                <w:i w:val="0"/>
                <w:color w:val="222222"/>
                <w:sz w:val="18"/>
              </w:rPr>
              <w:t>$253</w:t>
            </w:r>
          </w:p>
        </w:tc>
        <w:tc>
          <w:tcPr>
            <w:tcW w:type="dxa" w:w="1656"/>
          </w:tcPr>
          <w:p>
            <w:pPr>
              <w:spacing w:after="20" w:before="20"/>
              <w:jc w:val="center"/>
            </w:pPr>
            <w:r/>
            <w:r>
              <w:rPr>
                <w:rFonts w:ascii="Calibri" w:hAnsi="Calibri"/>
                <w:b w:val="0"/>
                <w:i w:val="0"/>
                <w:color w:val="222222"/>
                <w:sz w:val="18"/>
              </w:rPr>
              <w:t>32× $7.90</w:t>
            </w:r>
          </w:p>
        </w:tc>
      </w:tr>
      <w:tr>
        <w:tc>
          <w:tcPr>
            <w:tcW w:type="dxa" w:w="3024"/>
            <w:shd w:val="clear" w:fill="F2F7F7"/>
          </w:tcPr>
          <w:p>
            <w:pPr>
              <w:spacing w:after="20" w:before="20"/>
              <w:jc w:val="left"/>
            </w:pPr>
            <w:r/>
            <w:r>
              <w:rPr>
                <w:rFonts w:ascii="Calibri" w:hAnsi="Calibri"/>
                <w:b w:val="0"/>
                <w:i w:val="0"/>
                <w:color w:val="222222"/>
                <w:sz w:val="18"/>
              </w:rPr>
              <w:t>Technical</w:t>
            </w:r>
          </w:p>
        </w:tc>
        <w:tc>
          <w:tcPr>
            <w:tcW w:type="dxa" w:w="3600"/>
            <w:shd w:val="clear" w:fill="F2F7F7"/>
          </w:tcPr>
          <w:p>
            <w:pPr>
              <w:spacing w:after="20" w:before="20"/>
              <w:jc w:val="center"/>
            </w:pPr>
            <w:r/>
            <w:r>
              <w:rPr>
                <w:rFonts w:ascii="Calibri" w:hAnsi="Calibri"/>
                <w:b w:val="0"/>
                <w:i w:val="0"/>
                <w:color w:val="222222"/>
                <w:sz w:val="18"/>
              </w:rPr>
              <w:t>Trend / momentum posture</w:t>
            </w:r>
          </w:p>
        </w:tc>
        <w:tc>
          <w:tcPr>
            <w:tcW w:type="dxa" w:w="1656"/>
            <w:shd w:val="clear" w:fill="F2F7F7"/>
          </w:tcPr>
          <w:p>
            <w:pPr>
              <w:spacing w:after="20" w:before="20"/>
              <w:jc w:val="center"/>
            </w:pPr>
            <w:r/>
            <w:r>
              <w:rPr>
                <w:rFonts w:ascii="Calibri" w:hAnsi="Calibri"/>
                <w:b w:val="0"/>
                <w:i w:val="0"/>
                <w:color w:val="222222"/>
                <w:sz w:val="18"/>
              </w:rPr>
              <w:t>Uptrend</w:t>
            </w:r>
          </w:p>
        </w:tc>
        <w:tc>
          <w:tcPr>
            <w:tcW w:type="dxa" w:w="1656"/>
            <w:shd w:val="clear" w:fill="F2F7F7"/>
          </w:tcPr>
          <w:p>
            <w:pPr>
              <w:spacing w:after="20" w:before="20"/>
              <w:jc w:val="center"/>
            </w:pPr>
            <w:r/>
            <w:r>
              <w:rPr>
                <w:rFonts w:ascii="Calibri" w:hAnsi="Calibri"/>
                <w:b w:val="0"/>
                <w:i w:val="0"/>
                <w:color w:val="222222"/>
                <w:sz w:val="18"/>
              </w:rPr>
              <w:t>Above the 50/100/200-day stack</w:t>
            </w:r>
          </w:p>
        </w:tc>
      </w:tr>
      <w:tr>
        <w:tc>
          <w:tcPr>
            <w:tcW w:type="dxa" w:w="3024"/>
          </w:tcPr>
          <w:p>
            <w:pPr>
              <w:spacing w:after="20" w:before="20"/>
              <w:jc w:val="left"/>
            </w:pPr>
            <w:r/>
            <w:r>
              <w:rPr>
                <w:rFonts w:ascii="Calibri" w:hAnsi="Calibri"/>
                <w:b w:val="0"/>
                <w:i w:val="0"/>
                <w:color w:val="222222"/>
                <w:sz w:val="18"/>
              </w:rPr>
              <w:t>Monte Carlo (3-month)</w:t>
            </w:r>
          </w:p>
        </w:tc>
        <w:tc>
          <w:tcPr>
            <w:tcW w:type="dxa" w:w="3600"/>
          </w:tcPr>
          <w:p>
            <w:pPr>
              <w:spacing w:after="20" w:before="20"/>
              <w:jc w:val="center"/>
            </w:pPr>
            <w:r/>
            <w:r>
              <w:rPr>
                <w:rFonts w:ascii="Calibri" w:hAnsi="Calibri"/>
                <w:b w:val="0"/>
                <w:i w:val="0"/>
                <w:color w:val="222222"/>
                <w:sz w:val="18"/>
              </w:rPr>
              <w:t>Distribution of price paths</w:t>
            </w:r>
          </w:p>
        </w:tc>
        <w:tc>
          <w:tcPr>
            <w:tcW w:type="dxa" w:w="1656"/>
          </w:tcPr>
          <w:p>
            <w:pPr>
              <w:spacing w:after="20" w:before="20"/>
              <w:jc w:val="center"/>
            </w:pPr>
            <w:r/>
            <w:r>
              <w:rPr>
                <w:rFonts w:ascii="Calibri" w:hAnsi="Calibri"/>
                <w:b w:val="0"/>
                <w:i w:val="0"/>
                <w:color w:val="222222"/>
                <w:sz w:val="18"/>
              </w:rPr>
              <w:t>$303 median</w:t>
            </w:r>
          </w:p>
        </w:tc>
        <w:tc>
          <w:tcPr>
            <w:tcW w:type="dxa" w:w="1656"/>
          </w:tcPr>
          <w:p>
            <w:pPr>
              <w:spacing w:after="20" w:before="20"/>
              <w:jc w:val="center"/>
            </w:pPr>
            <w:r/>
            <w:r>
              <w:rPr>
                <w:rFonts w:ascii="Calibri" w:hAnsi="Calibri"/>
                <w:b w:val="0"/>
                <w:i w:val="0"/>
                <w:color w:val="222222"/>
                <w:sz w:val="18"/>
              </w:rPr>
              <w:t>50% band $276–$333</w:t>
            </w:r>
          </w:p>
        </w:tc>
      </w:tr>
      <w:tr>
        <w:tc>
          <w:tcPr>
            <w:tcW w:type="dxa" w:w="3024"/>
            <w:shd w:val="clear" w:fill="F2F7F7"/>
          </w:tcPr>
          <w:p>
            <w:pPr>
              <w:spacing w:after="20" w:before="20"/>
              <w:jc w:val="left"/>
            </w:pPr>
            <w:r/>
            <w:r>
              <w:rPr>
                <w:rFonts w:ascii="Calibri" w:hAnsi="Calibri"/>
                <w:b w:val="0"/>
                <w:i w:val="0"/>
                <w:color w:val="222222"/>
                <w:sz w:val="18"/>
              </w:rPr>
              <w:t>Spot</w:t>
            </w:r>
          </w:p>
        </w:tc>
        <w:tc>
          <w:tcPr>
            <w:tcW w:type="dxa" w:w="3600"/>
            <w:shd w:val="clear" w:fill="F2F7F7"/>
          </w:tcPr>
          <w:p>
            <w:pPr>
              <w:spacing w:after="20" w:before="20"/>
              <w:jc w:val="center"/>
            </w:pPr>
            <w:r/>
            <w:r>
              <w:rPr>
                <w:rFonts w:ascii="Calibri" w:hAnsi="Calibri"/>
                <w:b w:val="0"/>
                <w:i w:val="0"/>
                <w:color w:val="222222"/>
                <w:sz w:val="18"/>
              </w:rPr>
              <w:t>Market price today</w:t>
            </w:r>
          </w:p>
        </w:tc>
        <w:tc>
          <w:tcPr>
            <w:tcW w:type="dxa" w:w="1656"/>
            <w:shd w:val="clear" w:fill="F2F7F7"/>
          </w:tcPr>
          <w:p>
            <w:pPr>
              <w:spacing w:after="20" w:before="20"/>
              <w:jc w:val="center"/>
            </w:pPr>
            <w:r/>
            <w:r>
              <w:rPr>
                <w:rFonts w:ascii="Calibri" w:hAnsi="Calibri"/>
                <w:b w:val="0"/>
                <w:i w:val="0"/>
                <w:color w:val="222222"/>
                <w:sz w:val="18"/>
              </w:rPr>
              <w:t>$313.09</w:t>
            </w:r>
          </w:p>
        </w:tc>
        <w:tc>
          <w:tcPr>
            <w:tcW w:type="dxa" w:w="1656"/>
            <w:shd w:val="clear" w:fill="F2F7F7"/>
          </w:tcPr>
          <w:p>
            <w:pPr>
              <w:spacing w:after="20" w:before="20"/>
              <w:jc w:val="center"/>
            </w:pPr>
            <w:r/>
            <w:r>
              <w:rPr>
                <w:rFonts w:ascii="Calibri" w:hAnsi="Calibri"/>
                <w:b w:val="0"/>
                <w:i w:val="0"/>
                <w:color w:val="222222"/>
                <w:sz w:val="18"/>
              </w:rPr>
              <w:t>51% above central</w:t>
            </w:r>
          </w:p>
        </w:tc>
      </w:tr>
    </w:tbl>
    <w:p>
      <w:pPr>
        <w:spacing w:after="40"/>
      </w:pPr>
    </w:p>
    <w:p>
      <w:pPr>
        <w:spacing w:before="80" w:after="40"/>
      </w:pPr>
      <w:r>
        <w:rPr>
          <w:b/>
          <w:color w:val="1B5E5E"/>
          <w:sz w:val="19"/>
        </w:rPr>
        <w:t>EXPERT PANEL — three independent methods (Appendix C)</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744"/>
            <w:shd w:val="clear" w:fill="2A8F8F"/>
          </w:tcPr>
          <w:p>
            <w:pPr>
              <w:spacing w:after="20" w:before="20"/>
              <w:jc w:val="left"/>
            </w:pPr>
            <w:r/>
            <w:r>
              <w:rPr>
                <w:rFonts w:ascii="Calibri" w:hAnsi="Calibri"/>
                <w:b/>
                <w:i w:val="0"/>
                <w:color w:val="FFFFFF"/>
                <w:sz w:val="18"/>
              </w:rPr>
              <w:t>Expert</w:t>
            </w:r>
          </w:p>
        </w:tc>
        <w:tc>
          <w:tcPr>
            <w:tcW w:type="dxa" w:w="3456"/>
            <w:shd w:val="clear" w:fill="2A8F8F"/>
          </w:tcPr>
          <w:p>
            <w:pPr>
              <w:spacing w:after="20" w:before="20"/>
              <w:jc w:val="center"/>
            </w:pPr>
            <w:r/>
            <w:r>
              <w:rPr>
                <w:rFonts w:ascii="Calibri" w:hAnsi="Calibri"/>
                <w:b/>
                <w:i w:val="0"/>
                <w:color w:val="FFFFFF"/>
                <w:sz w:val="18"/>
              </w:rPr>
              <w:t>Method</w:t>
            </w:r>
          </w:p>
        </w:tc>
        <w:tc>
          <w:tcPr>
            <w:tcW w:type="dxa" w:w="1440"/>
            <w:shd w:val="clear" w:fill="2A8F8F"/>
          </w:tcPr>
          <w:p>
            <w:pPr>
              <w:spacing w:after="20" w:before="20"/>
              <w:jc w:val="center"/>
            </w:pPr>
            <w:r/>
            <w:r>
              <w:rPr>
                <w:rFonts w:ascii="Calibri" w:hAnsi="Calibri"/>
                <w:b/>
                <w:i w:val="0"/>
                <w:color w:val="FFFFFF"/>
                <w:sz w:val="18"/>
              </w:rPr>
              <w:t>Fair value</w:t>
            </w:r>
          </w:p>
        </w:tc>
        <w:tc>
          <w:tcPr>
            <w:tcW w:type="dxa" w:w="2736"/>
            <w:shd w:val="clear" w:fill="2A8F8F"/>
          </w:tcPr>
          <w:p>
            <w:pPr>
              <w:spacing w:after="20" w:before="20"/>
              <w:jc w:val="center"/>
            </w:pPr>
            <w:r/>
            <w:r>
              <w:rPr>
                <w:rFonts w:ascii="Calibri" w:hAnsi="Calibri"/>
                <w:b/>
                <w:i w:val="0"/>
                <w:color w:val="FFFFFF"/>
                <w:sz w:val="18"/>
              </w:rPr>
              <w:t>Stance</w:t>
            </w:r>
          </w:p>
        </w:tc>
      </w:tr>
      <w:tr>
        <w:tc>
          <w:tcPr>
            <w:tcW w:type="dxa" w:w="3744"/>
          </w:tcPr>
          <w:p>
            <w:pPr>
              <w:spacing w:after="20" w:before="20"/>
              <w:jc w:val="left"/>
            </w:pPr>
            <w:r/>
            <w:r>
              <w:rPr>
                <w:rFonts w:ascii="Calibri" w:hAnsi="Calibri"/>
                <w:b w:val="0"/>
                <w:i w:val="0"/>
                <w:color w:val="222222"/>
                <w:sz w:val="18"/>
              </w:rPr>
              <w:t>Expert 1 — cash returns (DCF + ROIC)</w:t>
            </w:r>
          </w:p>
        </w:tc>
        <w:tc>
          <w:tcPr>
            <w:tcW w:type="dxa" w:w="3456"/>
          </w:tcPr>
          <w:p>
            <w:pPr>
              <w:spacing w:after="20" w:before="20"/>
              <w:jc w:val="center"/>
            </w:pPr>
            <w:r/>
            <w:r>
              <w:rPr>
                <w:rFonts w:ascii="Calibri" w:hAnsi="Calibri"/>
                <w:b w:val="0"/>
                <w:i w:val="0"/>
                <w:color w:val="222222"/>
                <w:sz w:val="18"/>
              </w:rPr>
              <w:t>Economic profit vs a ~9.5% WACC</w:t>
            </w:r>
          </w:p>
        </w:tc>
        <w:tc>
          <w:tcPr>
            <w:tcW w:type="dxa" w:w="1440"/>
          </w:tcPr>
          <w:p>
            <w:pPr>
              <w:spacing w:after="20" w:before="20"/>
              <w:jc w:val="center"/>
            </w:pPr>
            <w:r/>
            <w:r>
              <w:rPr>
                <w:rFonts w:ascii="Calibri" w:hAnsi="Calibri"/>
                <w:b w:val="0"/>
                <w:i w:val="0"/>
                <w:color w:val="222222"/>
                <w:sz w:val="18"/>
              </w:rPr>
              <w:t>$152</w:t>
            </w:r>
          </w:p>
        </w:tc>
        <w:tc>
          <w:tcPr>
            <w:tcW w:type="dxa" w:w="2736"/>
          </w:tcPr>
          <w:p>
            <w:pPr>
              <w:spacing w:after="20" w:before="20"/>
              <w:jc w:val="center"/>
            </w:pPr>
            <w:r/>
            <w:r>
              <w:rPr>
                <w:rFonts w:ascii="Calibri" w:hAnsi="Calibri"/>
                <w:b w:val="0"/>
                <w:i w:val="0"/>
                <w:color w:val="222222"/>
                <w:sz w:val="18"/>
              </w:rPr>
              <w:t>The conservative anchor</w:t>
            </w:r>
          </w:p>
        </w:tc>
      </w:tr>
      <w:tr>
        <w:tc>
          <w:tcPr>
            <w:tcW w:type="dxa" w:w="3744"/>
            <w:shd w:val="clear" w:fill="F2F7F7"/>
          </w:tcPr>
          <w:p>
            <w:pPr>
              <w:spacing w:after="20" w:before="20"/>
              <w:jc w:val="left"/>
            </w:pPr>
            <w:r/>
            <w:r>
              <w:rPr>
                <w:rFonts w:ascii="Calibri" w:hAnsi="Calibri"/>
                <w:b w:val="0"/>
                <w:i w:val="0"/>
                <w:color w:val="222222"/>
                <w:sz w:val="18"/>
              </w:rPr>
              <w:t>Expert 2 — earnings power &amp; multiples</w:t>
            </w:r>
          </w:p>
        </w:tc>
        <w:tc>
          <w:tcPr>
            <w:tcW w:type="dxa" w:w="3456"/>
            <w:shd w:val="clear" w:fill="F2F7F7"/>
          </w:tcPr>
          <w:p>
            <w:pPr>
              <w:spacing w:after="20" w:before="20"/>
              <w:jc w:val="center"/>
            </w:pPr>
            <w:r/>
            <w:r>
              <w:rPr>
                <w:rFonts w:ascii="Calibri" w:hAnsi="Calibri"/>
                <w:b w:val="0"/>
                <w:i w:val="0"/>
                <w:color w:val="222222"/>
                <w:sz w:val="18"/>
              </w:rPr>
              <w:t>Through-cycle EPS × justified multiple</w:t>
            </w:r>
          </w:p>
        </w:tc>
        <w:tc>
          <w:tcPr>
            <w:tcW w:type="dxa" w:w="1440"/>
            <w:shd w:val="clear" w:fill="F2F7F7"/>
          </w:tcPr>
          <w:p>
            <w:pPr>
              <w:spacing w:after="20" w:before="20"/>
              <w:jc w:val="center"/>
            </w:pPr>
            <w:r/>
            <w:r>
              <w:rPr>
                <w:rFonts w:ascii="Calibri" w:hAnsi="Calibri"/>
                <w:b w:val="0"/>
                <w:i w:val="0"/>
                <w:color w:val="222222"/>
                <w:sz w:val="18"/>
              </w:rPr>
              <w:t>$253</w:t>
            </w:r>
          </w:p>
        </w:tc>
        <w:tc>
          <w:tcPr>
            <w:tcW w:type="dxa" w:w="2736"/>
            <w:shd w:val="clear" w:fill="F2F7F7"/>
          </w:tcPr>
          <w:p>
            <w:pPr>
              <w:spacing w:after="20" w:before="20"/>
              <w:jc w:val="center"/>
            </w:pPr>
            <w:r/>
            <w:r>
              <w:rPr>
                <w:rFonts w:ascii="Calibri" w:hAnsi="Calibri"/>
                <w:b w:val="0"/>
                <w:i w:val="0"/>
                <w:color w:val="222222"/>
                <w:sz w:val="18"/>
              </w:rPr>
              <w:t>Most constructive</w:t>
            </w:r>
          </w:p>
        </w:tc>
      </w:tr>
      <w:tr>
        <w:tc>
          <w:tcPr>
            <w:tcW w:type="dxa" w:w="3744"/>
          </w:tcPr>
          <w:p>
            <w:pPr>
              <w:spacing w:after="20" w:before="20"/>
              <w:jc w:val="left"/>
            </w:pPr>
            <w:r/>
            <w:r>
              <w:rPr>
                <w:rFonts w:ascii="Calibri" w:hAnsi="Calibri"/>
                <w:b w:val="0"/>
                <w:i w:val="0"/>
                <w:color w:val="222222"/>
                <w:sz w:val="18"/>
              </w:rPr>
              <w:t>Expert 3 — demand &amp; installed base</w:t>
            </w:r>
          </w:p>
        </w:tc>
        <w:tc>
          <w:tcPr>
            <w:tcW w:type="dxa" w:w="3456"/>
          </w:tcPr>
          <w:p>
            <w:pPr>
              <w:spacing w:after="20" w:before="20"/>
              <w:jc w:val="center"/>
            </w:pPr>
            <w:r/>
            <w:r>
              <w:rPr>
                <w:rFonts w:ascii="Calibri" w:hAnsi="Calibri"/>
                <w:b w:val="0"/>
                <w:i w:val="0"/>
                <w:color w:val="222222"/>
                <w:sz w:val="18"/>
              </w:rPr>
              <w:t>Units × ASP + Services attach</w:t>
            </w:r>
          </w:p>
        </w:tc>
        <w:tc>
          <w:tcPr>
            <w:tcW w:type="dxa" w:w="1440"/>
          </w:tcPr>
          <w:p>
            <w:pPr>
              <w:spacing w:after="20" w:before="20"/>
              <w:jc w:val="center"/>
            </w:pPr>
            <w:r/>
            <w:r>
              <w:rPr>
                <w:rFonts w:ascii="Calibri" w:hAnsi="Calibri"/>
                <w:b w:val="0"/>
                <w:i w:val="0"/>
                <w:color w:val="222222"/>
                <w:sz w:val="18"/>
              </w:rPr>
              <w:t>$184</w:t>
            </w:r>
          </w:p>
        </w:tc>
        <w:tc>
          <w:tcPr>
            <w:tcW w:type="dxa" w:w="2736"/>
          </w:tcPr>
          <w:p>
            <w:pPr>
              <w:spacing w:after="20" w:before="20"/>
              <w:jc w:val="center"/>
            </w:pPr>
            <w:r/>
            <w:r>
              <w:rPr>
                <w:rFonts w:ascii="Calibri" w:hAnsi="Calibri"/>
                <w:b w:val="0"/>
                <w:i w:val="0"/>
                <w:color w:val="222222"/>
                <w:sz w:val="18"/>
              </w:rPr>
              <w:t>The bridge between them</w:t>
            </w:r>
          </w:p>
        </w:tc>
      </w:tr>
    </w:tbl>
    <w:p>
      <w:pPr>
        <w:spacing w:after="40"/>
      </w:pPr>
    </w:p>
    <w:p>
      <w:pPr>
        <w:spacing w:before="240" w:after="60"/>
        <w:pBdr>
          <w:bottom w:val="single" w:sz="6" w:space="2" w:color="B0894B"/>
        </w:pBdr>
      </w:pPr>
      <w:r>
        <w:rPr>
          <w:b/>
          <w:color w:val="1B5E5E"/>
          <w:sz w:val="28"/>
        </w:rPr>
        <w:t>Company overview — Apple at a glance</w:t>
      </w:r>
    </w:p>
    <w:p>
      <w:pPr>
        <w:spacing w:after="60" w:line="254" w:lineRule="auto"/>
      </w:pPr>
      <w:r>
        <w:rPr>
          <w:color w:val="222222"/>
          <w:sz w:val="20"/>
        </w:rPr>
        <w:t>Apple Inc. is the largest company on the NASDAQ by market capitalisation and among the most profitable enterprises in the world. Its fiscal year ends in late September; FY2025 (ended 27 September 2025) produced revenue of $416 bn, operating income of $133 bn (a 32.0% operating margin) and net income of $112 bn on 15.00 bn diluted shares, or $7.47 of diluted EPS. The business is two engines: a hardware franchise — iPhone (roughly half of revenue), Mac, iPad and Wearables — and a $109 bn Services layer (App Store, licensing, iCloud, advertising, AppleCare, payments) that grew double digits again in FY2025 and carries far higher gross margin than hardware. Apple runs a net-cash balance sheet — roughly $34 bn of cash and marketable securities net of debt at FY2025 — and returns almost all of its free cash flow to shareholders through buybacks and a growing dividend.</w:t>
      </w:r>
    </w:p>
    <w:tbl>
      <w:tblPr>
        <w:tblStyle w:val="TableGrid"/>
        <w:tblW w:type="auto" w:w="0"/>
        <w:jc w:val="center"/>
        <w:tblLayout w:type="fixed"/>
        <w:tblLook w:firstColumn="1" w:firstRow="1" w:lastColumn="0" w:lastRow="0" w:noHBand="0" w:noVBand="1" w:val="04A0"/>
      </w:tblPr>
      <w:tblGrid>
        <w:gridCol w:w="4968"/>
        <w:gridCol w:w="4968"/>
      </w:tblGrid>
      <w:tr>
        <w:tc>
          <w:tcPr>
            <w:tcW w:type="dxa" w:w="4320"/>
            <w:shd w:val="clear" w:fill="2A8F8F"/>
          </w:tcPr>
          <w:p>
            <w:pPr>
              <w:spacing w:after="20" w:before="20"/>
              <w:jc w:val="left"/>
            </w:pPr>
            <w:r/>
            <w:r>
              <w:rPr>
                <w:rFonts w:ascii="Calibri" w:hAnsi="Calibri"/>
                <w:b/>
                <w:i w:val="0"/>
                <w:color w:val="FFFFFF"/>
                <w:sz w:val="18"/>
              </w:rPr>
              <w:t>Item</w:t>
            </w:r>
          </w:p>
        </w:tc>
        <w:tc>
          <w:tcPr>
            <w:tcW w:type="dxa" w:w="5616"/>
            <w:shd w:val="clear" w:fill="2A8F8F"/>
          </w:tcPr>
          <w:p>
            <w:pPr>
              <w:spacing w:after="20" w:before="20"/>
              <w:jc w:val="center"/>
            </w:pPr>
            <w:r/>
            <w:r>
              <w:rPr>
                <w:rFonts w:ascii="Calibri" w:hAnsi="Calibri"/>
                <w:b/>
                <w:i w:val="0"/>
                <w:color w:val="FFFFFF"/>
                <w:sz w:val="18"/>
              </w:rPr>
              <w:t>Value</w:t>
            </w:r>
          </w:p>
        </w:tc>
      </w:tr>
      <w:tr>
        <w:tc>
          <w:tcPr>
            <w:tcW w:type="dxa" w:w="4320"/>
          </w:tcPr>
          <w:p>
            <w:pPr>
              <w:spacing w:after="20" w:before="20"/>
              <w:jc w:val="left"/>
            </w:pPr>
            <w:r/>
            <w:r>
              <w:rPr>
                <w:rFonts w:ascii="Calibri" w:hAnsi="Calibri"/>
                <w:b w:val="0"/>
                <w:i w:val="0"/>
                <w:color w:val="222222"/>
                <w:sz w:val="18"/>
              </w:rPr>
              <w:t>Exchange / ticker</w:t>
            </w:r>
          </w:p>
        </w:tc>
        <w:tc>
          <w:tcPr>
            <w:tcW w:type="dxa" w:w="5616"/>
          </w:tcPr>
          <w:p>
            <w:pPr>
              <w:spacing w:after="20" w:before="20"/>
              <w:jc w:val="center"/>
            </w:pPr>
            <w:r/>
            <w:r>
              <w:rPr>
                <w:rFonts w:ascii="Calibri" w:hAnsi="Calibri"/>
                <w:b w:val="0"/>
                <w:i w:val="0"/>
                <w:color w:val="222222"/>
                <w:sz w:val="18"/>
              </w:rPr>
              <w:t>NASDAQ: AAPL</w:t>
            </w:r>
          </w:p>
        </w:tc>
      </w:tr>
      <w:tr>
        <w:tc>
          <w:tcPr>
            <w:tcW w:type="dxa" w:w="4320"/>
            <w:shd w:val="clear" w:fill="F2F7F7"/>
          </w:tcPr>
          <w:p>
            <w:pPr>
              <w:spacing w:after="20" w:before="20"/>
              <w:jc w:val="left"/>
            </w:pPr>
            <w:r/>
            <w:r>
              <w:rPr>
                <w:rFonts w:ascii="Calibri" w:hAnsi="Calibri"/>
                <w:b w:val="0"/>
                <w:i w:val="0"/>
                <w:color w:val="222222"/>
                <w:sz w:val="18"/>
              </w:rPr>
              <w:t>Fiscal year-end</w:t>
            </w:r>
          </w:p>
        </w:tc>
        <w:tc>
          <w:tcPr>
            <w:tcW w:type="dxa" w:w="5616"/>
            <w:shd w:val="clear" w:fill="F2F7F7"/>
          </w:tcPr>
          <w:p>
            <w:pPr>
              <w:spacing w:after="20" w:before="20"/>
              <w:jc w:val="center"/>
            </w:pPr>
            <w:r/>
            <w:r>
              <w:rPr>
                <w:rFonts w:ascii="Calibri" w:hAnsi="Calibri"/>
                <w:b w:val="0"/>
                <w:i w:val="0"/>
                <w:color w:val="222222"/>
                <w:sz w:val="18"/>
              </w:rPr>
              <w:t>Late September</w:t>
            </w:r>
          </w:p>
        </w:tc>
      </w:tr>
      <w:tr>
        <w:tc>
          <w:tcPr>
            <w:tcW w:type="dxa" w:w="4320"/>
          </w:tcPr>
          <w:p>
            <w:pPr>
              <w:spacing w:after="20" w:before="20"/>
              <w:jc w:val="left"/>
            </w:pPr>
            <w:r/>
            <w:r>
              <w:rPr>
                <w:rFonts w:ascii="Calibri" w:hAnsi="Calibri"/>
                <w:b w:val="0"/>
                <w:i w:val="0"/>
                <w:color w:val="222222"/>
                <w:sz w:val="18"/>
              </w:rPr>
              <w:t>Spot price (06 Jul 2026)</w:t>
            </w:r>
          </w:p>
        </w:tc>
        <w:tc>
          <w:tcPr>
            <w:tcW w:type="dxa" w:w="5616"/>
          </w:tcPr>
          <w:p>
            <w:pPr>
              <w:spacing w:after="20" w:before="20"/>
              <w:jc w:val="center"/>
            </w:pPr>
            <w:r/>
            <w:r>
              <w:rPr>
                <w:rFonts w:ascii="Calibri" w:hAnsi="Calibri"/>
                <w:b w:val="0"/>
                <w:i w:val="0"/>
                <w:color w:val="222222"/>
                <w:sz w:val="18"/>
              </w:rPr>
              <w:t>$313.09</w:t>
            </w:r>
          </w:p>
        </w:tc>
      </w:tr>
      <w:tr>
        <w:tc>
          <w:tcPr>
            <w:tcW w:type="dxa" w:w="4320"/>
            <w:shd w:val="clear" w:fill="F2F7F7"/>
          </w:tcPr>
          <w:p>
            <w:pPr>
              <w:spacing w:after="20" w:before="20"/>
              <w:jc w:val="left"/>
            </w:pPr>
            <w:r/>
            <w:r>
              <w:rPr>
                <w:rFonts w:ascii="Calibri" w:hAnsi="Calibri"/>
                <w:b w:val="0"/>
                <w:i w:val="0"/>
                <w:color w:val="222222"/>
                <w:sz w:val="18"/>
              </w:rPr>
              <w:t>Shares outstanding</w:t>
            </w:r>
          </w:p>
        </w:tc>
        <w:tc>
          <w:tcPr>
            <w:tcW w:type="dxa" w:w="5616"/>
            <w:shd w:val="clear" w:fill="F2F7F7"/>
          </w:tcPr>
          <w:p>
            <w:pPr>
              <w:spacing w:after="20" w:before="20"/>
              <w:jc w:val="center"/>
            </w:pPr>
            <w:r/>
            <w:r>
              <w:rPr>
                <w:rFonts w:ascii="Calibri" w:hAnsi="Calibri"/>
                <w:b w:val="0"/>
                <w:i w:val="0"/>
                <w:color w:val="222222"/>
                <w:sz w:val="18"/>
              </w:rPr>
              <w:t>14.776 bn</w:t>
            </w:r>
          </w:p>
        </w:tc>
      </w:tr>
      <w:tr>
        <w:tc>
          <w:tcPr>
            <w:tcW w:type="dxa" w:w="4320"/>
          </w:tcPr>
          <w:p>
            <w:pPr>
              <w:spacing w:after="20" w:before="20"/>
              <w:jc w:val="left"/>
            </w:pPr>
            <w:r/>
            <w:r>
              <w:rPr>
                <w:rFonts w:ascii="Calibri" w:hAnsi="Calibri"/>
                <w:b w:val="0"/>
                <w:i w:val="0"/>
                <w:color w:val="222222"/>
                <w:sz w:val="18"/>
              </w:rPr>
              <w:t>Market capitalisation</w:t>
            </w:r>
          </w:p>
        </w:tc>
        <w:tc>
          <w:tcPr>
            <w:tcW w:type="dxa" w:w="5616"/>
          </w:tcPr>
          <w:p>
            <w:pPr>
              <w:spacing w:after="20" w:before="20"/>
              <w:jc w:val="center"/>
            </w:pPr>
            <w:r/>
            <w:r>
              <w:rPr>
                <w:rFonts w:ascii="Calibri" w:hAnsi="Calibri"/>
                <w:b w:val="0"/>
                <w:i w:val="0"/>
                <w:color w:val="222222"/>
                <w:sz w:val="18"/>
              </w:rPr>
              <w:t>$4,626 bn</w:t>
            </w:r>
          </w:p>
        </w:tc>
      </w:tr>
      <w:tr>
        <w:tc>
          <w:tcPr>
            <w:tcW w:type="dxa" w:w="4320"/>
            <w:shd w:val="clear" w:fill="F2F7F7"/>
          </w:tcPr>
          <w:p>
            <w:pPr>
              <w:spacing w:after="20" w:before="20"/>
              <w:jc w:val="left"/>
            </w:pPr>
            <w:r/>
            <w:r>
              <w:rPr>
                <w:rFonts w:ascii="Calibri" w:hAnsi="Calibri"/>
                <w:b w:val="0"/>
                <w:i w:val="0"/>
                <w:color w:val="222222"/>
                <w:sz w:val="18"/>
              </w:rPr>
              <w:t>FY2025 revenue</w:t>
            </w:r>
          </w:p>
        </w:tc>
        <w:tc>
          <w:tcPr>
            <w:tcW w:type="dxa" w:w="5616"/>
            <w:shd w:val="clear" w:fill="F2F7F7"/>
          </w:tcPr>
          <w:p>
            <w:pPr>
              <w:spacing w:after="20" w:before="20"/>
              <w:jc w:val="center"/>
            </w:pPr>
            <w:r/>
            <w:r>
              <w:rPr>
                <w:rFonts w:ascii="Calibri" w:hAnsi="Calibri"/>
                <w:b w:val="0"/>
                <w:i w:val="0"/>
                <w:color w:val="222222"/>
                <w:sz w:val="18"/>
              </w:rPr>
              <w:t>$416 bn</w:t>
            </w:r>
          </w:p>
        </w:tc>
      </w:tr>
      <w:tr>
        <w:tc>
          <w:tcPr>
            <w:tcW w:type="dxa" w:w="4320"/>
          </w:tcPr>
          <w:p>
            <w:pPr>
              <w:spacing w:after="20" w:before="20"/>
              <w:jc w:val="left"/>
            </w:pPr>
            <w:r/>
            <w:r>
              <w:rPr>
                <w:rFonts w:ascii="Calibri" w:hAnsi="Calibri"/>
                <w:b w:val="0"/>
                <w:i w:val="0"/>
                <w:color w:val="222222"/>
                <w:sz w:val="18"/>
              </w:rPr>
              <w:t>FY2025 operating margin</w:t>
            </w:r>
          </w:p>
        </w:tc>
        <w:tc>
          <w:tcPr>
            <w:tcW w:type="dxa" w:w="5616"/>
          </w:tcPr>
          <w:p>
            <w:pPr>
              <w:spacing w:after="20" w:before="20"/>
              <w:jc w:val="center"/>
            </w:pPr>
            <w:r/>
            <w:r>
              <w:rPr>
                <w:rFonts w:ascii="Calibri" w:hAnsi="Calibri"/>
                <w:b w:val="0"/>
                <w:i w:val="0"/>
                <w:color w:val="222222"/>
                <w:sz w:val="18"/>
              </w:rPr>
              <w:t>32.0%</w:t>
            </w:r>
          </w:p>
        </w:tc>
      </w:tr>
      <w:tr>
        <w:tc>
          <w:tcPr>
            <w:tcW w:type="dxa" w:w="4320"/>
            <w:shd w:val="clear" w:fill="F2F7F7"/>
          </w:tcPr>
          <w:p>
            <w:pPr>
              <w:spacing w:after="20" w:before="20"/>
              <w:jc w:val="left"/>
            </w:pPr>
            <w:r/>
            <w:r>
              <w:rPr>
                <w:rFonts w:ascii="Calibri" w:hAnsi="Calibri"/>
                <w:b w:val="0"/>
                <w:i w:val="0"/>
                <w:color w:val="222222"/>
                <w:sz w:val="18"/>
              </w:rPr>
              <w:t>FY2025 diluted EPS</w:t>
            </w:r>
          </w:p>
        </w:tc>
        <w:tc>
          <w:tcPr>
            <w:tcW w:type="dxa" w:w="5616"/>
            <w:shd w:val="clear" w:fill="F2F7F7"/>
          </w:tcPr>
          <w:p>
            <w:pPr>
              <w:spacing w:after="20" w:before="20"/>
              <w:jc w:val="center"/>
            </w:pPr>
            <w:r/>
            <w:r>
              <w:rPr>
                <w:rFonts w:ascii="Calibri" w:hAnsi="Calibri"/>
                <w:b w:val="0"/>
                <w:i w:val="0"/>
                <w:color w:val="222222"/>
                <w:sz w:val="18"/>
              </w:rPr>
              <w:t>$7.47</w:t>
            </w:r>
          </w:p>
        </w:tc>
      </w:tr>
      <w:tr>
        <w:tc>
          <w:tcPr>
            <w:tcW w:type="dxa" w:w="4320"/>
          </w:tcPr>
          <w:p>
            <w:pPr>
              <w:spacing w:after="20" w:before="20"/>
              <w:jc w:val="left"/>
            </w:pPr>
            <w:r/>
            <w:r>
              <w:rPr>
                <w:rFonts w:ascii="Calibri" w:hAnsi="Calibri"/>
                <w:b w:val="0"/>
                <w:i w:val="0"/>
                <w:color w:val="222222"/>
                <w:sz w:val="18"/>
              </w:rPr>
              <w:t>Services revenue (FY2025)</w:t>
            </w:r>
          </w:p>
        </w:tc>
        <w:tc>
          <w:tcPr>
            <w:tcW w:type="dxa" w:w="5616"/>
          </w:tcPr>
          <w:p>
            <w:pPr>
              <w:spacing w:after="20" w:before="20"/>
              <w:jc w:val="center"/>
            </w:pPr>
            <w:r/>
            <w:r>
              <w:rPr>
                <w:rFonts w:ascii="Calibri" w:hAnsi="Calibri"/>
                <w:b w:val="0"/>
                <w:i w:val="0"/>
                <w:color w:val="222222"/>
                <w:sz w:val="18"/>
              </w:rPr>
              <w:t>$109 bn</w:t>
            </w:r>
          </w:p>
        </w:tc>
      </w:tr>
      <w:tr>
        <w:tc>
          <w:tcPr>
            <w:tcW w:type="dxa" w:w="4320"/>
            <w:shd w:val="clear" w:fill="F2F7F7"/>
          </w:tcPr>
          <w:p>
            <w:pPr>
              <w:spacing w:after="20" w:before="20"/>
              <w:jc w:val="left"/>
            </w:pPr>
            <w:r/>
            <w:r>
              <w:rPr>
                <w:rFonts w:ascii="Calibri" w:hAnsi="Calibri"/>
                <w:b w:val="0"/>
                <w:i w:val="0"/>
                <w:color w:val="222222"/>
                <w:sz w:val="18"/>
              </w:rPr>
              <w:t>Net cash (FY2025)</w:t>
            </w:r>
          </w:p>
        </w:tc>
        <w:tc>
          <w:tcPr>
            <w:tcW w:type="dxa" w:w="5616"/>
            <w:shd w:val="clear" w:fill="F2F7F7"/>
          </w:tcPr>
          <w:p>
            <w:pPr>
              <w:spacing w:after="20" w:before="20"/>
              <w:jc w:val="center"/>
            </w:pPr>
            <w:r/>
            <w:r>
              <w:rPr>
                <w:rFonts w:ascii="Calibri" w:hAnsi="Calibri"/>
                <w:b w:val="0"/>
                <w:i w:val="0"/>
                <w:color w:val="222222"/>
                <w:sz w:val="18"/>
              </w:rPr>
              <w:t>+$34 bn</w:t>
            </w:r>
          </w:p>
        </w:tc>
      </w:tr>
      <w:tr>
        <w:tc>
          <w:tcPr>
            <w:tcW w:type="dxa" w:w="4320"/>
          </w:tcPr>
          <w:p>
            <w:pPr>
              <w:spacing w:after="20" w:before="20"/>
              <w:jc w:val="left"/>
            </w:pPr>
            <w:r/>
            <w:r>
              <w:rPr>
                <w:rFonts w:ascii="Calibri" w:hAnsi="Calibri"/>
                <w:b w:val="0"/>
                <w:i w:val="0"/>
                <w:color w:val="222222"/>
                <w:sz w:val="18"/>
              </w:rPr>
              <w:t>Cost of equity (Ke = rf + β·ERP)</w:t>
            </w:r>
          </w:p>
        </w:tc>
        <w:tc>
          <w:tcPr>
            <w:tcW w:type="dxa" w:w="5616"/>
          </w:tcPr>
          <w:p>
            <w:pPr>
              <w:spacing w:after="20" w:before="20"/>
              <w:jc w:val="center"/>
            </w:pPr>
            <w:r/>
            <w:r>
              <w:rPr>
                <w:rFonts w:ascii="Calibri" w:hAnsi="Calibri"/>
                <w:b w:val="0"/>
                <w:i w:val="0"/>
                <w:color w:val="222222"/>
                <w:sz w:val="18"/>
              </w:rPr>
              <w:t>4.5% + 1.10×5.0% = 10.0%</w:t>
            </w:r>
          </w:p>
        </w:tc>
      </w:tr>
      <w:tr>
        <w:tc>
          <w:tcPr>
            <w:tcW w:type="dxa" w:w="4320"/>
            <w:shd w:val="clear" w:fill="F2F7F7"/>
          </w:tcPr>
          <w:p>
            <w:pPr>
              <w:spacing w:after="20" w:before="20"/>
              <w:jc w:val="left"/>
            </w:pPr>
            <w:r/>
            <w:r>
              <w:rPr>
                <w:rFonts w:ascii="Calibri" w:hAnsi="Calibri"/>
                <w:b w:val="0"/>
                <w:i w:val="0"/>
                <w:color w:val="222222"/>
                <w:sz w:val="18"/>
              </w:rPr>
              <w:t>Primary valuation lens</w:t>
            </w:r>
          </w:p>
        </w:tc>
        <w:tc>
          <w:tcPr>
            <w:tcW w:type="dxa" w:w="5616"/>
            <w:shd w:val="clear" w:fill="F2F7F7"/>
          </w:tcPr>
          <w:p>
            <w:pPr>
              <w:spacing w:after="20" w:before="20"/>
              <w:jc w:val="center"/>
            </w:pPr>
            <w:r/>
            <w:r>
              <w:rPr>
                <w:rFonts w:ascii="Calibri" w:hAnsi="Calibri"/>
                <w:b w:val="0"/>
                <w:i w:val="0"/>
                <w:color w:val="222222"/>
                <w:sz w:val="18"/>
              </w:rPr>
              <w:t>Consolidated DCF</w:t>
            </w:r>
          </w:p>
        </w:tc>
      </w:tr>
    </w:tbl>
    <w:p>
      <w:pPr>
        <w:spacing w:after="40"/>
      </w:pPr>
    </w:p>
    <w:p>
      <w:pPr>
        <w:spacing w:before="240" w:after="60"/>
        <w:pBdr>
          <w:bottom w:val="single" w:sz="6" w:space="2" w:color="B0894B"/>
        </w:pBdr>
      </w:pPr>
      <w:r>
        <w:rPr>
          <w:b/>
          <w:color w:val="1B5E5E"/>
          <w:sz w:val="28"/>
        </w:rPr>
        <w:t>1  Fundamental valuation</w:t>
      </w:r>
    </w:p>
    <w:p>
      <w:pPr>
        <w:spacing w:after="80" w:line="254" w:lineRule="auto"/>
      </w:pPr>
      <w:r>
        <w:rPr>
          <w:color w:val="222222"/>
          <w:sz w:val="20"/>
        </w:rPr>
        <w:t>We anchor on a consolidated discounted-cash-flow model and triangulate it against three independent lenses — a segment sum-of-the-parts, forward multiples and normalized earnings power. For a business whose value rests heavily on durability, no single lens is authoritative; the spread between them is informative in itself, and §1.5 shows it as a football field rather than collapsing it into false precision.</w:t>
      </w:r>
    </w:p>
    <w:p>
      <w:pPr>
        <w:spacing w:before="160" w:after="40"/>
      </w:pPr>
      <w:r>
        <w:rPr>
          <w:b/>
          <w:color w:val="2A8F8F"/>
          <w:sz w:val="23"/>
        </w:rPr>
        <w:t>1.1  Consolidated DCF — the primary lens</w:t>
      </w:r>
    </w:p>
    <w:p>
      <w:pPr>
        <w:spacing w:after="80" w:line="254" w:lineRule="auto"/>
      </w:pPr>
      <w:r>
        <w:rPr>
          <w:color w:val="222222"/>
          <w:sz w:val="20"/>
        </w:rPr>
        <w:t>We forecast five explicit years (FY2026E–FY2030E), taking group revenue from $442 bn to $540 bn as Services compounds low-double-digits and hardware grows low-single-digits, and lifting the operating margin from 32.5% toward 34.5% on Services mix. Free cash flow to the firm rises from $119 bn to $155 bn. We discount at a 9.5% WACC — built on a cost of equity of 10.0% (4.5% risk-free + 1.10 beta × 5.0% equity-risk premium) — and apply a 3.5% terminal growth rate. The result is an enterprise value of $2,219 bn, of which the terminal value is 77% — a dependency we disclose openly and sensitize in §1.9 — plus net cash of $34 bn, giving equity value of $2,253 bn and a fair value of $152.50 per share. That the DCF sits well below spot is the central tension of this study: on explicit modelled cash flows discounted at an equity-appropriate rate, the shares are dear.</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3600"/>
            <w:shd w:val="clear" w:fill="2A8F8F"/>
          </w:tcPr>
          <w:p>
            <w:pPr>
              <w:spacing w:after="20" w:before="20"/>
              <w:jc w:val="left"/>
            </w:pPr>
            <w:r/>
            <w:r>
              <w:rPr>
                <w:rFonts w:ascii="Calibri" w:hAnsi="Calibri"/>
                <w:b/>
                <w:i w:val="0"/>
                <w:color w:val="FFFFFF"/>
                <w:sz w:val="18"/>
              </w:rPr>
              <w:t>USD bn</w:t>
            </w:r>
          </w:p>
        </w:tc>
        <w:tc>
          <w:tcPr>
            <w:tcW w:type="dxa" w:w="1267"/>
            <w:shd w:val="clear" w:fill="2A8F8F"/>
          </w:tcPr>
          <w:p>
            <w:pPr>
              <w:spacing w:after="20" w:before="20"/>
              <w:jc w:val="center"/>
            </w:pPr>
            <w:r/>
            <w:r>
              <w:rPr>
                <w:rFonts w:ascii="Calibri" w:hAnsi="Calibri"/>
                <w:b/>
                <w:i w:val="0"/>
                <w:color w:val="FFFFFF"/>
                <w:sz w:val="18"/>
              </w:rPr>
              <w:t>FY26E</w:t>
            </w:r>
          </w:p>
        </w:tc>
        <w:tc>
          <w:tcPr>
            <w:tcW w:type="dxa" w:w="1267"/>
            <w:shd w:val="clear" w:fill="2A8F8F"/>
          </w:tcPr>
          <w:p>
            <w:pPr>
              <w:spacing w:after="20" w:before="20"/>
              <w:jc w:val="center"/>
            </w:pPr>
            <w:r/>
            <w:r>
              <w:rPr>
                <w:rFonts w:ascii="Calibri" w:hAnsi="Calibri"/>
                <w:b/>
                <w:i w:val="0"/>
                <w:color w:val="FFFFFF"/>
                <w:sz w:val="18"/>
              </w:rPr>
              <w:t>FY27E</w:t>
            </w:r>
          </w:p>
        </w:tc>
        <w:tc>
          <w:tcPr>
            <w:tcW w:type="dxa" w:w="1267"/>
            <w:shd w:val="clear" w:fill="2A8F8F"/>
          </w:tcPr>
          <w:p>
            <w:pPr>
              <w:spacing w:after="20" w:before="20"/>
              <w:jc w:val="center"/>
            </w:pPr>
            <w:r/>
            <w:r>
              <w:rPr>
                <w:rFonts w:ascii="Calibri" w:hAnsi="Calibri"/>
                <w:b/>
                <w:i w:val="0"/>
                <w:color w:val="FFFFFF"/>
                <w:sz w:val="18"/>
              </w:rPr>
              <w:t>FY28E</w:t>
            </w:r>
          </w:p>
        </w:tc>
        <w:tc>
          <w:tcPr>
            <w:tcW w:type="dxa" w:w="1267"/>
            <w:shd w:val="clear" w:fill="2A8F8F"/>
          </w:tcPr>
          <w:p>
            <w:pPr>
              <w:spacing w:after="20" w:before="20"/>
              <w:jc w:val="center"/>
            </w:pPr>
            <w:r/>
            <w:r>
              <w:rPr>
                <w:rFonts w:ascii="Calibri" w:hAnsi="Calibri"/>
                <w:b/>
                <w:i w:val="0"/>
                <w:color w:val="FFFFFF"/>
                <w:sz w:val="18"/>
              </w:rPr>
              <w:t>FY29E</w:t>
            </w:r>
          </w:p>
        </w:tc>
        <w:tc>
          <w:tcPr>
            <w:tcW w:type="dxa" w:w="1267"/>
            <w:shd w:val="clear" w:fill="2A8F8F"/>
          </w:tcPr>
          <w:p>
            <w:pPr>
              <w:spacing w:after="20" w:before="20"/>
              <w:jc w:val="center"/>
            </w:pPr>
            <w:r/>
            <w:r>
              <w:rPr>
                <w:rFonts w:ascii="Calibri" w:hAnsi="Calibri"/>
                <w:b/>
                <w:i w:val="0"/>
                <w:color w:val="FFFFFF"/>
                <w:sz w:val="18"/>
              </w:rPr>
              <w:t>FY30E</w:t>
            </w:r>
          </w:p>
        </w:tc>
      </w:tr>
      <w:tr>
        <w:tc>
          <w:tcPr>
            <w:tcW w:type="dxa" w:w="3600"/>
          </w:tcPr>
          <w:p>
            <w:pPr>
              <w:spacing w:after="20" w:before="20"/>
              <w:jc w:val="left"/>
            </w:pPr>
            <w:r/>
            <w:r>
              <w:rPr>
                <w:rFonts w:ascii="Calibri" w:hAnsi="Calibri"/>
                <w:b w:val="0"/>
                <w:i w:val="0"/>
                <w:color w:val="222222"/>
                <w:sz w:val="18"/>
              </w:rPr>
              <w:t>Revenue</w:t>
            </w:r>
          </w:p>
        </w:tc>
        <w:tc>
          <w:tcPr>
            <w:tcW w:type="dxa" w:w="1267"/>
          </w:tcPr>
          <w:p>
            <w:pPr>
              <w:spacing w:after="20" w:before="20"/>
              <w:jc w:val="center"/>
            </w:pPr>
            <w:r/>
            <w:r>
              <w:rPr>
                <w:rFonts w:ascii="Calibri" w:hAnsi="Calibri"/>
                <w:b w:val="0"/>
                <w:i w:val="0"/>
                <w:color w:val="222222"/>
                <w:sz w:val="18"/>
              </w:rPr>
              <w:t>$442</w:t>
            </w:r>
          </w:p>
        </w:tc>
        <w:tc>
          <w:tcPr>
            <w:tcW w:type="dxa" w:w="1267"/>
          </w:tcPr>
          <w:p>
            <w:pPr>
              <w:spacing w:after="20" w:before="20"/>
              <w:jc w:val="center"/>
            </w:pPr>
            <w:r/>
            <w:r>
              <w:rPr>
                <w:rFonts w:ascii="Calibri" w:hAnsi="Calibri"/>
                <w:b w:val="0"/>
                <w:i w:val="0"/>
                <w:color w:val="222222"/>
                <w:sz w:val="18"/>
              </w:rPr>
              <w:t>$466</w:t>
            </w:r>
          </w:p>
        </w:tc>
        <w:tc>
          <w:tcPr>
            <w:tcW w:type="dxa" w:w="1267"/>
          </w:tcPr>
          <w:p>
            <w:pPr>
              <w:spacing w:after="20" w:before="20"/>
              <w:jc w:val="center"/>
            </w:pPr>
            <w:r/>
            <w:r>
              <w:rPr>
                <w:rFonts w:ascii="Calibri" w:hAnsi="Calibri"/>
                <w:b w:val="0"/>
                <w:i w:val="0"/>
                <w:color w:val="222222"/>
                <w:sz w:val="18"/>
              </w:rPr>
              <w:t>$491</w:t>
            </w:r>
          </w:p>
        </w:tc>
        <w:tc>
          <w:tcPr>
            <w:tcW w:type="dxa" w:w="1267"/>
          </w:tcPr>
          <w:p>
            <w:pPr>
              <w:spacing w:after="20" w:before="20"/>
              <w:jc w:val="center"/>
            </w:pPr>
            <w:r/>
            <w:r>
              <w:rPr>
                <w:rFonts w:ascii="Calibri" w:hAnsi="Calibri"/>
                <w:b w:val="0"/>
                <w:i w:val="0"/>
                <w:color w:val="222222"/>
                <w:sz w:val="18"/>
              </w:rPr>
              <w:t>$515</w:t>
            </w:r>
          </w:p>
        </w:tc>
        <w:tc>
          <w:tcPr>
            <w:tcW w:type="dxa" w:w="1267"/>
          </w:tcPr>
          <w:p>
            <w:pPr>
              <w:spacing w:after="20" w:before="20"/>
              <w:jc w:val="center"/>
            </w:pPr>
            <w:r/>
            <w:r>
              <w:rPr>
                <w:rFonts w:ascii="Calibri" w:hAnsi="Calibri"/>
                <w:b w:val="0"/>
                <w:i w:val="0"/>
                <w:color w:val="222222"/>
                <w:sz w:val="18"/>
              </w:rPr>
              <w:t>$540</w:t>
            </w:r>
          </w:p>
        </w:tc>
      </w:tr>
      <w:tr>
        <w:tc>
          <w:tcPr>
            <w:tcW w:type="dxa" w:w="3600"/>
            <w:shd w:val="clear" w:fill="F2F7F7"/>
          </w:tcPr>
          <w:p>
            <w:pPr>
              <w:spacing w:after="20" w:before="20"/>
              <w:jc w:val="left"/>
            </w:pPr>
            <w:r/>
            <w:r>
              <w:rPr>
                <w:rFonts w:ascii="Calibri" w:hAnsi="Calibri"/>
                <w:b w:val="0"/>
                <w:i w:val="0"/>
                <w:color w:val="222222"/>
                <w:sz w:val="18"/>
              </w:rPr>
              <w:t>EBITDA</w:t>
            </w:r>
          </w:p>
        </w:tc>
        <w:tc>
          <w:tcPr>
            <w:tcW w:type="dxa" w:w="1267"/>
            <w:shd w:val="clear" w:fill="F2F7F7"/>
          </w:tcPr>
          <w:p>
            <w:pPr>
              <w:spacing w:after="20" w:before="20"/>
              <w:jc w:val="center"/>
            </w:pPr>
            <w:r/>
            <w:r>
              <w:rPr>
                <w:rFonts w:ascii="Calibri" w:hAnsi="Calibri"/>
                <w:b w:val="0"/>
                <w:i w:val="0"/>
                <w:color w:val="222222"/>
                <w:sz w:val="18"/>
              </w:rPr>
              <w:t>$156</w:t>
            </w:r>
          </w:p>
        </w:tc>
        <w:tc>
          <w:tcPr>
            <w:tcW w:type="dxa" w:w="1267"/>
            <w:shd w:val="clear" w:fill="F2F7F7"/>
          </w:tcPr>
          <w:p>
            <w:pPr>
              <w:spacing w:after="20" w:before="20"/>
              <w:jc w:val="center"/>
            </w:pPr>
            <w:r/>
            <w:r>
              <w:rPr>
                <w:rFonts w:ascii="Calibri" w:hAnsi="Calibri"/>
                <w:b w:val="0"/>
                <w:i w:val="0"/>
                <w:color w:val="222222"/>
                <w:sz w:val="18"/>
              </w:rPr>
              <w:t>$167</w:t>
            </w:r>
          </w:p>
        </w:tc>
        <w:tc>
          <w:tcPr>
            <w:tcW w:type="dxa" w:w="1267"/>
            <w:shd w:val="clear" w:fill="F2F7F7"/>
          </w:tcPr>
          <w:p>
            <w:pPr>
              <w:spacing w:after="20" w:before="20"/>
              <w:jc w:val="center"/>
            </w:pPr>
            <w:r/>
            <w:r>
              <w:rPr>
                <w:rFonts w:ascii="Calibri" w:hAnsi="Calibri"/>
                <w:b w:val="0"/>
                <w:i w:val="0"/>
                <w:color w:val="222222"/>
                <w:sz w:val="18"/>
              </w:rPr>
              <w:t>$178</w:t>
            </w:r>
          </w:p>
        </w:tc>
        <w:tc>
          <w:tcPr>
            <w:tcW w:type="dxa" w:w="1267"/>
            <w:shd w:val="clear" w:fill="F2F7F7"/>
          </w:tcPr>
          <w:p>
            <w:pPr>
              <w:spacing w:after="20" w:before="20"/>
              <w:jc w:val="center"/>
            </w:pPr>
            <w:r/>
            <w:r>
              <w:rPr>
                <w:rFonts w:ascii="Calibri" w:hAnsi="Calibri"/>
                <w:b w:val="0"/>
                <w:i w:val="0"/>
                <w:color w:val="222222"/>
                <w:sz w:val="18"/>
              </w:rPr>
              <w:t>$190</w:t>
            </w:r>
          </w:p>
        </w:tc>
        <w:tc>
          <w:tcPr>
            <w:tcW w:type="dxa" w:w="1267"/>
            <w:shd w:val="clear" w:fill="F2F7F7"/>
          </w:tcPr>
          <w:p>
            <w:pPr>
              <w:spacing w:after="20" w:before="20"/>
              <w:jc w:val="center"/>
            </w:pPr>
            <w:r/>
            <w:r>
              <w:rPr>
                <w:rFonts w:ascii="Calibri" w:hAnsi="Calibri"/>
                <w:b w:val="0"/>
                <w:i w:val="0"/>
                <w:color w:val="222222"/>
                <w:sz w:val="18"/>
              </w:rPr>
              <w:t>$201</w:t>
            </w:r>
          </w:p>
        </w:tc>
      </w:tr>
      <w:tr>
        <w:tc>
          <w:tcPr>
            <w:tcW w:type="dxa" w:w="3600"/>
          </w:tcPr>
          <w:p>
            <w:pPr>
              <w:spacing w:after="20" w:before="20"/>
              <w:jc w:val="left"/>
            </w:pPr>
            <w:r/>
            <w:r>
              <w:rPr>
                <w:rFonts w:ascii="Calibri" w:hAnsi="Calibri"/>
                <w:b w:val="0"/>
                <w:i w:val="0"/>
                <w:color w:val="222222"/>
                <w:sz w:val="18"/>
              </w:rPr>
              <w:t xml:space="preserve">  Depreciation &amp; amortization</w:t>
            </w:r>
          </w:p>
        </w:tc>
        <w:tc>
          <w:tcPr>
            <w:tcW w:type="dxa" w:w="1267"/>
          </w:tcPr>
          <w:p>
            <w:pPr>
              <w:spacing w:after="20" w:before="20"/>
              <w:jc w:val="center"/>
            </w:pPr>
            <w:r/>
            <w:r>
              <w:rPr>
                <w:rFonts w:ascii="Calibri" w:hAnsi="Calibri"/>
                <w:b w:val="0"/>
                <w:i w:val="0"/>
                <w:color w:val="222222"/>
                <w:sz w:val="18"/>
              </w:rPr>
              <w:t>$12</w:t>
            </w:r>
          </w:p>
        </w:tc>
        <w:tc>
          <w:tcPr>
            <w:tcW w:type="dxa" w:w="1267"/>
          </w:tcPr>
          <w:p>
            <w:pPr>
              <w:spacing w:after="20" w:before="20"/>
              <w:jc w:val="center"/>
            </w:pPr>
            <w:r/>
            <w:r>
              <w:rPr>
                <w:rFonts w:ascii="Calibri" w:hAnsi="Calibri"/>
                <w:b w:val="0"/>
                <w:i w:val="0"/>
                <w:color w:val="222222"/>
                <w:sz w:val="18"/>
              </w:rPr>
              <w:t>$13</w:t>
            </w:r>
          </w:p>
        </w:tc>
        <w:tc>
          <w:tcPr>
            <w:tcW w:type="dxa" w:w="1267"/>
          </w:tcPr>
          <w:p>
            <w:pPr>
              <w:spacing w:after="20" w:before="20"/>
              <w:jc w:val="center"/>
            </w:pPr>
            <w:r/>
            <w:r>
              <w:rPr>
                <w:rFonts w:ascii="Calibri" w:hAnsi="Calibri"/>
                <w:b w:val="0"/>
                <w:i w:val="0"/>
                <w:color w:val="222222"/>
                <w:sz w:val="18"/>
              </w:rPr>
              <w:t>$14</w:t>
            </w:r>
          </w:p>
        </w:tc>
        <w:tc>
          <w:tcPr>
            <w:tcW w:type="dxa" w:w="1267"/>
          </w:tcPr>
          <w:p>
            <w:pPr>
              <w:spacing w:after="20" w:before="20"/>
              <w:jc w:val="center"/>
            </w:pPr>
            <w:r/>
            <w:r>
              <w:rPr>
                <w:rFonts w:ascii="Calibri" w:hAnsi="Calibri"/>
                <w:b w:val="0"/>
                <w:i w:val="0"/>
                <w:color w:val="222222"/>
                <w:sz w:val="18"/>
              </w:rPr>
              <w:t>$15</w:t>
            </w:r>
          </w:p>
        </w:tc>
        <w:tc>
          <w:tcPr>
            <w:tcW w:type="dxa" w:w="1267"/>
          </w:tcPr>
          <w:p>
            <w:pPr>
              <w:spacing w:after="20" w:before="20"/>
              <w:jc w:val="center"/>
            </w:pPr>
            <w:r/>
            <w:r>
              <w:rPr>
                <w:rFonts w:ascii="Calibri" w:hAnsi="Calibri"/>
                <w:b w:val="0"/>
                <w:i w:val="0"/>
                <w:color w:val="222222"/>
                <w:sz w:val="18"/>
              </w:rPr>
              <w:t>$15</w:t>
            </w:r>
          </w:p>
        </w:tc>
      </w:tr>
      <w:tr>
        <w:tc>
          <w:tcPr>
            <w:tcW w:type="dxa" w:w="3600"/>
            <w:shd w:val="clear" w:fill="F2F7F7"/>
          </w:tcPr>
          <w:p>
            <w:pPr>
              <w:spacing w:after="20" w:before="20"/>
              <w:jc w:val="left"/>
            </w:pPr>
            <w:r/>
            <w:r>
              <w:rPr>
                <w:rFonts w:ascii="Calibri" w:hAnsi="Calibri"/>
                <w:b w:val="0"/>
                <w:i w:val="0"/>
                <w:color w:val="222222"/>
                <w:sz w:val="18"/>
              </w:rPr>
              <w:t>EBIT</w:t>
            </w:r>
          </w:p>
        </w:tc>
        <w:tc>
          <w:tcPr>
            <w:tcW w:type="dxa" w:w="1267"/>
            <w:shd w:val="clear" w:fill="F2F7F7"/>
          </w:tcPr>
          <w:p>
            <w:pPr>
              <w:spacing w:after="20" w:before="20"/>
              <w:jc w:val="center"/>
            </w:pPr>
            <w:r/>
            <w:r>
              <w:rPr>
                <w:rFonts w:ascii="Calibri" w:hAnsi="Calibri"/>
                <w:b w:val="0"/>
                <w:i w:val="0"/>
                <w:color w:val="222222"/>
                <w:sz w:val="18"/>
              </w:rPr>
              <w:t>$144</w:t>
            </w:r>
          </w:p>
        </w:tc>
        <w:tc>
          <w:tcPr>
            <w:tcW w:type="dxa" w:w="1267"/>
            <w:shd w:val="clear" w:fill="F2F7F7"/>
          </w:tcPr>
          <w:p>
            <w:pPr>
              <w:spacing w:after="20" w:before="20"/>
              <w:jc w:val="center"/>
            </w:pPr>
            <w:r/>
            <w:r>
              <w:rPr>
                <w:rFonts w:ascii="Calibri" w:hAnsi="Calibri"/>
                <w:b w:val="0"/>
                <w:i w:val="0"/>
                <w:color w:val="222222"/>
                <w:sz w:val="18"/>
              </w:rPr>
              <w:t>$154</w:t>
            </w:r>
          </w:p>
        </w:tc>
        <w:tc>
          <w:tcPr>
            <w:tcW w:type="dxa" w:w="1267"/>
            <w:shd w:val="clear" w:fill="F2F7F7"/>
          </w:tcPr>
          <w:p>
            <w:pPr>
              <w:spacing w:after="20" w:before="20"/>
              <w:jc w:val="center"/>
            </w:pPr>
            <w:r/>
            <w:r>
              <w:rPr>
                <w:rFonts w:ascii="Calibri" w:hAnsi="Calibri"/>
                <w:b w:val="0"/>
                <w:i w:val="0"/>
                <w:color w:val="222222"/>
                <w:sz w:val="18"/>
              </w:rPr>
              <w:t>$165</w:t>
            </w:r>
          </w:p>
        </w:tc>
        <w:tc>
          <w:tcPr>
            <w:tcW w:type="dxa" w:w="1267"/>
            <w:shd w:val="clear" w:fill="F2F7F7"/>
          </w:tcPr>
          <w:p>
            <w:pPr>
              <w:spacing w:after="20" w:before="20"/>
              <w:jc w:val="center"/>
            </w:pPr>
            <w:r/>
            <w:r>
              <w:rPr>
                <w:rFonts w:ascii="Calibri" w:hAnsi="Calibri"/>
                <w:b w:val="0"/>
                <w:i w:val="0"/>
                <w:color w:val="222222"/>
                <w:sz w:val="18"/>
              </w:rPr>
              <w:t>$175</w:t>
            </w:r>
          </w:p>
        </w:tc>
        <w:tc>
          <w:tcPr>
            <w:tcW w:type="dxa" w:w="1267"/>
            <w:shd w:val="clear" w:fill="F2F7F7"/>
          </w:tcPr>
          <w:p>
            <w:pPr>
              <w:spacing w:after="20" w:before="20"/>
              <w:jc w:val="center"/>
            </w:pPr>
            <w:r/>
            <w:r>
              <w:rPr>
                <w:rFonts w:ascii="Calibri" w:hAnsi="Calibri"/>
                <w:b w:val="0"/>
                <w:i w:val="0"/>
                <w:color w:val="222222"/>
                <w:sz w:val="18"/>
              </w:rPr>
              <w:t>$186</w:t>
            </w:r>
          </w:p>
        </w:tc>
      </w:tr>
      <w:tr>
        <w:tc>
          <w:tcPr>
            <w:tcW w:type="dxa" w:w="3600"/>
          </w:tcPr>
          <w:p>
            <w:pPr>
              <w:spacing w:after="20" w:before="20"/>
              <w:jc w:val="left"/>
            </w:pPr>
            <w:r/>
            <w:r>
              <w:rPr>
                <w:rFonts w:ascii="Calibri" w:hAnsi="Calibri"/>
                <w:b w:val="0"/>
                <w:i w:val="0"/>
                <w:color w:val="222222"/>
                <w:sz w:val="18"/>
              </w:rPr>
              <w:t>NOPAT = EBIT × (1 − t)</w:t>
            </w:r>
          </w:p>
        </w:tc>
        <w:tc>
          <w:tcPr>
            <w:tcW w:type="dxa" w:w="1267"/>
          </w:tcPr>
          <w:p>
            <w:pPr>
              <w:spacing w:after="20" w:before="20"/>
              <w:jc w:val="center"/>
            </w:pPr>
            <w:r/>
            <w:r>
              <w:rPr>
                <w:rFonts w:ascii="Calibri" w:hAnsi="Calibri"/>
                <w:b w:val="0"/>
                <w:i w:val="0"/>
                <w:color w:val="222222"/>
                <w:sz w:val="18"/>
              </w:rPr>
              <w:t>$121</w:t>
            </w:r>
          </w:p>
        </w:tc>
        <w:tc>
          <w:tcPr>
            <w:tcW w:type="dxa" w:w="1267"/>
          </w:tcPr>
          <w:p>
            <w:pPr>
              <w:spacing w:after="20" w:before="20"/>
              <w:jc w:val="center"/>
            </w:pPr>
            <w:r/>
            <w:r>
              <w:rPr>
                <w:rFonts w:ascii="Calibri" w:hAnsi="Calibri"/>
                <w:b w:val="0"/>
                <w:i w:val="0"/>
                <w:color w:val="222222"/>
                <w:sz w:val="18"/>
              </w:rPr>
              <w:t>$129</w:t>
            </w:r>
          </w:p>
        </w:tc>
        <w:tc>
          <w:tcPr>
            <w:tcW w:type="dxa" w:w="1267"/>
          </w:tcPr>
          <w:p>
            <w:pPr>
              <w:spacing w:after="20" w:before="20"/>
              <w:jc w:val="center"/>
            </w:pPr>
            <w:r/>
            <w:r>
              <w:rPr>
                <w:rFonts w:ascii="Calibri" w:hAnsi="Calibri"/>
                <w:b w:val="0"/>
                <w:i w:val="0"/>
                <w:color w:val="222222"/>
                <w:sz w:val="18"/>
              </w:rPr>
              <w:t>$138</w:t>
            </w:r>
          </w:p>
        </w:tc>
        <w:tc>
          <w:tcPr>
            <w:tcW w:type="dxa" w:w="1267"/>
          </w:tcPr>
          <w:p>
            <w:pPr>
              <w:spacing w:after="20" w:before="20"/>
              <w:jc w:val="center"/>
            </w:pPr>
            <w:r/>
            <w:r>
              <w:rPr>
                <w:rFonts w:ascii="Calibri" w:hAnsi="Calibri"/>
                <w:b w:val="0"/>
                <w:i w:val="0"/>
                <w:color w:val="222222"/>
                <w:sz w:val="18"/>
              </w:rPr>
              <w:t>$147</w:t>
            </w:r>
          </w:p>
        </w:tc>
        <w:tc>
          <w:tcPr>
            <w:tcW w:type="dxa" w:w="1267"/>
          </w:tcPr>
          <w:p>
            <w:pPr>
              <w:spacing w:after="20" w:before="20"/>
              <w:jc w:val="center"/>
            </w:pPr>
            <w:r/>
            <w:r>
              <w:rPr>
                <w:rFonts w:ascii="Calibri" w:hAnsi="Calibri"/>
                <w:b w:val="0"/>
                <w:i w:val="0"/>
                <w:color w:val="222222"/>
                <w:sz w:val="18"/>
              </w:rPr>
              <w:t>$156</w:t>
            </w:r>
          </w:p>
        </w:tc>
      </w:tr>
      <w:tr>
        <w:tc>
          <w:tcPr>
            <w:tcW w:type="dxa" w:w="3600"/>
            <w:shd w:val="clear" w:fill="F2F7F7"/>
          </w:tcPr>
          <w:p>
            <w:pPr>
              <w:spacing w:after="20" w:before="20"/>
              <w:jc w:val="left"/>
            </w:pPr>
            <w:r/>
            <w:r>
              <w:rPr>
                <w:rFonts w:ascii="Calibri" w:hAnsi="Calibri"/>
                <w:b w:val="0"/>
                <w:i w:val="0"/>
                <w:color w:val="222222"/>
                <w:sz w:val="18"/>
              </w:rPr>
              <w:t xml:space="preserve">  + Depreciation &amp; amortization</w:t>
            </w:r>
          </w:p>
        </w:tc>
        <w:tc>
          <w:tcPr>
            <w:tcW w:type="dxa" w:w="1267"/>
            <w:shd w:val="clear" w:fill="F2F7F7"/>
          </w:tcPr>
          <w:p>
            <w:pPr>
              <w:spacing w:after="20" w:before="20"/>
              <w:jc w:val="center"/>
            </w:pPr>
            <w:r/>
            <w:r>
              <w:rPr>
                <w:rFonts w:ascii="Calibri" w:hAnsi="Calibri"/>
                <w:b w:val="0"/>
                <w:i w:val="0"/>
                <w:color w:val="222222"/>
                <w:sz w:val="18"/>
              </w:rPr>
              <w:t>$12</w:t>
            </w:r>
          </w:p>
        </w:tc>
        <w:tc>
          <w:tcPr>
            <w:tcW w:type="dxa" w:w="1267"/>
            <w:shd w:val="clear" w:fill="F2F7F7"/>
          </w:tcPr>
          <w:p>
            <w:pPr>
              <w:spacing w:after="20" w:before="20"/>
              <w:jc w:val="center"/>
            </w:pPr>
            <w:r/>
            <w:r>
              <w:rPr>
                <w:rFonts w:ascii="Calibri" w:hAnsi="Calibri"/>
                <w:b w:val="0"/>
                <w:i w:val="0"/>
                <w:color w:val="222222"/>
                <w:sz w:val="18"/>
              </w:rPr>
              <w:t>$13</w:t>
            </w:r>
          </w:p>
        </w:tc>
        <w:tc>
          <w:tcPr>
            <w:tcW w:type="dxa" w:w="1267"/>
            <w:shd w:val="clear" w:fill="F2F7F7"/>
          </w:tcPr>
          <w:p>
            <w:pPr>
              <w:spacing w:after="20" w:before="20"/>
              <w:jc w:val="center"/>
            </w:pPr>
            <w:r/>
            <w:r>
              <w:rPr>
                <w:rFonts w:ascii="Calibri" w:hAnsi="Calibri"/>
                <w:b w:val="0"/>
                <w:i w:val="0"/>
                <w:color w:val="222222"/>
                <w:sz w:val="18"/>
              </w:rPr>
              <w:t>$14</w:t>
            </w:r>
          </w:p>
        </w:tc>
        <w:tc>
          <w:tcPr>
            <w:tcW w:type="dxa" w:w="1267"/>
            <w:shd w:val="clear" w:fill="F2F7F7"/>
          </w:tcPr>
          <w:p>
            <w:pPr>
              <w:spacing w:after="20" w:before="20"/>
              <w:jc w:val="center"/>
            </w:pPr>
            <w:r/>
            <w:r>
              <w:rPr>
                <w:rFonts w:ascii="Calibri" w:hAnsi="Calibri"/>
                <w:b w:val="0"/>
                <w:i w:val="0"/>
                <w:color w:val="222222"/>
                <w:sz w:val="18"/>
              </w:rPr>
              <w:t>$15</w:t>
            </w:r>
          </w:p>
        </w:tc>
        <w:tc>
          <w:tcPr>
            <w:tcW w:type="dxa" w:w="1267"/>
            <w:shd w:val="clear" w:fill="F2F7F7"/>
          </w:tcPr>
          <w:p>
            <w:pPr>
              <w:spacing w:after="20" w:before="20"/>
              <w:jc w:val="center"/>
            </w:pPr>
            <w:r/>
            <w:r>
              <w:rPr>
                <w:rFonts w:ascii="Calibri" w:hAnsi="Calibri"/>
                <w:b w:val="0"/>
                <w:i w:val="0"/>
                <w:color w:val="222222"/>
                <w:sz w:val="18"/>
              </w:rPr>
              <w:t>$15</w:t>
            </w:r>
          </w:p>
        </w:tc>
      </w:tr>
      <w:tr>
        <w:tc>
          <w:tcPr>
            <w:tcW w:type="dxa" w:w="3600"/>
          </w:tcPr>
          <w:p>
            <w:pPr>
              <w:spacing w:after="20" w:before="20"/>
              <w:jc w:val="left"/>
            </w:pPr>
            <w:r/>
            <w:r>
              <w:rPr>
                <w:rFonts w:ascii="Calibri" w:hAnsi="Calibri"/>
                <w:b w:val="0"/>
                <w:i w:val="0"/>
                <w:color w:val="222222"/>
                <w:sz w:val="18"/>
              </w:rPr>
              <w:t xml:space="preserve">  − Capex</w:t>
            </w:r>
          </w:p>
        </w:tc>
        <w:tc>
          <w:tcPr>
            <w:tcW w:type="dxa" w:w="1267"/>
          </w:tcPr>
          <w:p>
            <w:pPr>
              <w:spacing w:after="20" w:before="20"/>
              <w:jc w:val="center"/>
            </w:pPr>
            <w:r/>
            <w:r>
              <w:rPr>
                <w:rFonts w:ascii="Calibri" w:hAnsi="Calibri"/>
                <w:b w:val="0"/>
                <w:i w:val="0"/>
                <w:color w:val="222222"/>
                <w:sz w:val="18"/>
              </w:rPr>
              <w:t>($12)</w:t>
            </w:r>
          </w:p>
        </w:tc>
        <w:tc>
          <w:tcPr>
            <w:tcW w:type="dxa" w:w="1267"/>
          </w:tcPr>
          <w:p>
            <w:pPr>
              <w:spacing w:after="20" w:before="20"/>
              <w:jc w:val="center"/>
            </w:pPr>
            <w:r/>
            <w:r>
              <w:rPr>
                <w:rFonts w:ascii="Calibri" w:hAnsi="Calibri"/>
                <w:b w:val="0"/>
                <w:i w:val="0"/>
                <w:color w:val="222222"/>
                <w:sz w:val="18"/>
              </w:rPr>
              <w:t>($13)</w:t>
            </w:r>
          </w:p>
        </w:tc>
        <w:tc>
          <w:tcPr>
            <w:tcW w:type="dxa" w:w="1267"/>
          </w:tcPr>
          <w:p>
            <w:pPr>
              <w:spacing w:after="20" w:before="20"/>
              <w:jc w:val="center"/>
            </w:pPr>
            <w:r/>
            <w:r>
              <w:rPr>
                <w:rFonts w:ascii="Calibri" w:hAnsi="Calibri"/>
                <w:b w:val="0"/>
                <w:i w:val="0"/>
                <w:color w:val="222222"/>
                <w:sz w:val="18"/>
              </w:rPr>
              <w:t>($14)</w:t>
            </w:r>
          </w:p>
        </w:tc>
        <w:tc>
          <w:tcPr>
            <w:tcW w:type="dxa" w:w="1267"/>
          </w:tcPr>
          <w:p>
            <w:pPr>
              <w:spacing w:after="20" w:before="20"/>
              <w:jc w:val="center"/>
            </w:pPr>
            <w:r/>
            <w:r>
              <w:rPr>
                <w:rFonts w:ascii="Calibri" w:hAnsi="Calibri"/>
                <w:b w:val="0"/>
                <w:i w:val="0"/>
                <w:color w:val="222222"/>
                <w:sz w:val="18"/>
              </w:rPr>
              <w:t>($14)</w:t>
            </w:r>
          </w:p>
        </w:tc>
        <w:tc>
          <w:tcPr>
            <w:tcW w:type="dxa" w:w="1267"/>
          </w:tcPr>
          <w:p>
            <w:pPr>
              <w:spacing w:after="20" w:before="20"/>
              <w:jc w:val="center"/>
            </w:pPr>
            <w:r/>
            <w:r>
              <w:rPr>
                <w:rFonts w:ascii="Calibri" w:hAnsi="Calibri"/>
                <w:b w:val="0"/>
                <w:i w:val="0"/>
                <w:color w:val="222222"/>
                <w:sz w:val="18"/>
              </w:rPr>
              <w:t>($14)</w:t>
            </w:r>
          </w:p>
        </w:tc>
      </w:tr>
      <w:tr>
        <w:tc>
          <w:tcPr>
            <w:tcW w:type="dxa" w:w="3600"/>
            <w:shd w:val="clear" w:fill="F2F7F7"/>
          </w:tcPr>
          <w:p>
            <w:pPr>
              <w:spacing w:after="20" w:before="20"/>
              <w:jc w:val="left"/>
            </w:pPr>
            <w:r/>
            <w:r>
              <w:rPr>
                <w:rFonts w:ascii="Calibri" w:hAnsi="Calibri"/>
                <w:b w:val="0"/>
                <w:i w:val="0"/>
                <w:color w:val="222222"/>
                <w:sz w:val="18"/>
              </w:rPr>
              <w:t xml:space="preserve">  − Δ working capital</w:t>
            </w:r>
          </w:p>
        </w:tc>
        <w:tc>
          <w:tcPr>
            <w:tcW w:type="dxa" w:w="1267"/>
            <w:shd w:val="clear" w:fill="F2F7F7"/>
          </w:tcPr>
          <w:p>
            <w:pPr>
              <w:spacing w:after="20" w:before="20"/>
              <w:jc w:val="center"/>
            </w:pPr>
            <w:r/>
            <w:r>
              <w:rPr>
                <w:rFonts w:ascii="Calibri" w:hAnsi="Calibri"/>
                <w:b w:val="0"/>
                <w:i w:val="0"/>
                <w:color w:val="222222"/>
                <w:sz w:val="18"/>
              </w:rPr>
              <w:t>($2)</w:t>
            </w:r>
          </w:p>
        </w:tc>
        <w:tc>
          <w:tcPr>
            <w:tcW w:type="dxa" w:w="1267"/>
            <w:shd w:val="clear" w:fill="F2F7F7"/>
          </w:tcPr>
          <w:p>
            <w:pPr>
              <w:spacing w:after="20" w:before="20"/>
              <w:jc w:val="center"/>
            </w:pPr>
            <w:r/>
            <w:r>
              <w:rPr>
                <w:rFonts w:ascii="Calibri" w:hAnsi="Calibri"/>
                <w:b w:val="0"/>
                <w:i w:val="0"/>
                <w:color w:val="222222"/>
                <w:sz w:val="18"/>
              </w:rPr>
              <w:t>($2)</w:t>
            </w:r>
          </w:p>
        </w:tc>
        <w:tc>
          <w:tcPr>
            <w:tcW w:type="dxa" w:w="1267"/>
            <w:shd w:val="clear" w:fill="F2F7F7"/>
          </w:tcPr>
          <w:p>
            <w:pPr>
              <w:spacing w:after="20" w:before="20"/>
              <w:jc w:val="center"/>
            </w:pPr>
            <w:r/>
            <w:r>
              <w:rPr>
                <w:rFonts w:ascii="Calibri" w:hAnsi="Calibri"/>
                <w:b w:val="0"/>
                <w:i w:val="0"/>
                <w:color w:val="222222"/>
                <w:sz w:val="18"/>
              </w:rPr>
              <w:t>($2)</w:t>
            </w:r>
          </w:p>
        </w:tc>
        <w:tc>
          <w:tcPr>
            <w:tcW w:type="dxa" w:w="1267"/>
            <w:shd w:val="clear" w:fill="F2F7F7"/>
          </w:tcPr>
          <w:p>
            <w:pPr>
              <w:spacing w:after="20" w:before="20"/>
              <w:jc w:val="center"/>
            </w:pPr>
            <w:r/>
            <w:r>
              <w:rPr>
                <w:rFonts w:ascii="Calibri" w:hAnsi="Calibri"/>
                <w:b w:val="0"/>
                <w:i w:val="0"/>
                <w:color w:val="222222"/>
                <w:sz w:val="18"/>
              </w:rPr>
              <w:t>($2)</w:t>
            </w:r>
          </w:p>
        </w:tc>
        <w:tc>
          <w:tcPr>
            <w:tcW w:type="dxa" w:w="1267"/>
            <w:shd w:val="clear" w:fill="F2F7F7"/>
          </w:tcPr>
          <w:p>
            <w:pPr>
              <w:spacing w:after="20" w:before="20"/>
              <w:jc w:val="center"/>
            </w:pPr>
            <w:r/>
            <w:r>
              <w:rPr>
                <w:rFonts w:ascii="Calibri" w:hAnsi="Calibri"/>
                <w:b w:val="0"/>
                <w:i w:val="0"/>
                <w:color w:val="222222"/>
                <w:sz w:val="18"/>
              </w:rPr>
              <w:t>($2)</w:t>
            </w:r>
          </w:p>
        </w:tc>
      </w:tr>
      <w:tr>
        <w:tc>
          <w:tcPr>
            <w:tcW w:type="dxa" w:w="3600"/>
          </w:tcPr>
          <w:p>
            <w:pPr>
              <w:spacing w:after="20" w:before="20"/>
              <w:jc w:val="left"/>
            </w:pPr>
            <w:r/>
            <w:r>
              <w:rPr>
                <w:rFonts w:ascii="Calibri" w:hAnsi="Calibri"/>
                <w:b w:val="0"/>
                <w:i w:val="0"/>
                <w:color w:val="222222"/>
                <w:sz w:val="18"/>
              </w:rPr>
              <w:t>Free cash flow to firm (FCFF)</w:t>
            </w:r>
          </w:p>
        </w:tc>
        <w:tc>
          <w:tcPr>
            <w:tcW w:type="dxa" w:w="1267"/>
          </w:tcPr>
          <w:p>
            <w:pPr>
              <w:spacing w:after="20" w:before="20"/>
              <w:jc w:val="center"/>
            </w:pPr>
            <w:r/>
            <w:r>
              <w:rPr>
                <w:rFonts w:ascii="Calibri" w:hAnsi="Calibri"/>
                <w:b w:val="0"/>
                <w:i w:val="0"/>
                <w:color w:val="222222"/>
                <w:sz w:val="18"/>
              </w:rPr>
              <w:t>$119</w:t>
            </w:r>
          </w:p>
        </w:tc>
        <w:tc>
          <w:tcPr>
            <w:tcW w:type="dxa" w:w="1267"/>
          </w:tcPr>
          <w:p>
            <w:pPr>
              <w:spacing w:after="20" w:before="20"/>
              <w:jc w:val="center"/>
            </w:pPr>
            <w:r/>
            <w:r>
              <w:rPr>
                <w:rFonts w:ascii="Calibri" w:hAnsi="Calibri"/>
                <w:b w:val="0"/>
                <w:i w:val="0"/>
                <w:color w:val="222222"/>
                <w:sz w:val="18"/>
              </w:rPr>
              <w:t>$127</w:t>
            </w:r>
          </w:p>
        </w:tc>
        <w:tc>
          <w:tcPr>
            <w:tcW w:type="dxa" w:w="1267"/>
          </w:tcPr>
          <w:p>
            <w:pPr>
              <w:spacing w:after="20" w:before="20"/>
              <w:jc w:val="center"/>
            </w:pPr>
            <w:r/>
            <w:r>
              <w:rPr>
                <w:rFonts w:ascii="Calibri" w:hAnsi="Calibri"/>
                <w:b w:val="0"/>
                <w:i w:val="0"/>
                <w:color w:val="222222"/>
                <w:sz w:val="18"/>
              </w:rPr>
              <w:t>$137</w:t>
            </w:r>
          </w:p>
        </w:tc>
        <w:tc>
          <w:tcPr>
            <w:tcW w:type="dxa" w:w="1267"/>
          </w:tcPr>
          <w:p>
            <w:pPr>
              <w:spacing w:after="20" w:before="20"/>
              <w:jc w:val="center"/>
            </w:pPr>
            <w:r/>
            <w:r>
              <w:rPr>
                <w:rFonts w:ascii="Calibri" w:hAnsi="Calibri"/>
                <w:b w:val="0"/>
                <w:i w:val="0"/>
                <w:color w:val="222222"/>
                <w:sz w:val="18"/>
              </w:rPr>
              <w:t>$146</w:t>
            </w:r>
          </w:p>
        </w:tc>
        <w:tc>
          <w:tcPr>
            <w:tcW w:type="dxa" w:w="1267"/>
          </w:tcPr>
          <w:p>
            <w:pPr>
              <w:spacing w:after="20" w:before="20"/>
              <w:jc w:val="center"/>
            </w:pPr>
            <w:r/>
            <w:r>
              <w:rPr>
                <w:rFonts w:ascii="Calibri" w:hAnsi="Calibri"/>
                <w:b w:val="0"/>
                <w:i w:val="0"/>
                <w:color w:val="222222"/>
                <w:sz w:val="18"/>
              </w:rPr>
              <w:t>$155</w:t>
            </w:r>
          </w:p>
        </w:tc>
      </w:tr>
      <w:tr>
        <w:tc>
          <w:tcPr>
            <w:tcW w:type="dxa" w:w="3600"/>
            <w:shd w:val="clear" w:fill="F2F7F7"/>
          </w:tcPr>
          <w:p>
            <w:pPr>
              <w:spacing w:after="20" w:before="20"/>
              <w:jc w:val="left"/>
            </w:pPr>
            <w:r/>
            <w:r>
              <w:rPr>
                <w:rFonts w:ascii="Calibri" w:hAnsi="Calibri"/>
                <w:b w:val="0"/>
                <w:i w:val="0"/>
                <w:color w:val="222222"/>
                <w:sz w:val="18"/>
              </w:rPr>
              <w:t>Discount factor @ WACC</w:t>
            </w:r>
          </w:p>
        </w:tc>
        <w:tc>
          <w:tcPr>
            <w:tcW w:type="dxa" w:w="1267"/>
            <w:shd w:val="clear" w:fill="F2F7F7"/>
          </w:tcPr>
          <w:p>
            <w:pPr>
              <w:spacing w:after="20" w:before="20"/>
              <w:jc w:val="center"/>
            </w:pPr>
            <w:r/>
            <w:r>
              <w:rPr>
                <w:rFonts w:ascii="Calibri" w:hAnsi="Calibri"/>
                <w:b w:val="0"/>
                <w:i w:val="0"/>
                <w:color w:val="222222"/>
                <w:sz w:val="18"/>
              </w:rPr>
              <w:t>0.913</w:t>
            </w:r>
          </w:p>
        </w:tc>
        <w:tc>
          <w:tcPr>
            <w:tcW w:type="dxa" w:w="1267"/>
            <w:shd w:val="clear" w:fill="F2F7F7"/>
          </w:tcPr>
          <w:p>
            <w:pPr>
              <w:spacing w:after="20" w:before="20"/>
              <w:jc w:val="center"/>
            </w:pPr>
            <w:r/>
            <w:r>
              <w:rPr>
                <w:rFonts w:ascii="Calibri" w:hAnsi="Calibri"/>
                <w:b w:val="0"/>
                <w:i w:val="0"/>
                <w:color w:val="222222"/>
                <w:sz w:val="18"/>
              </w:rPr>
              <w:t>0.834</w:t>
            </w:r>
          </w:p>
        </w:tc>
        <w:tc>
          <w:tcPr>
            <w:tcW w:type="dxa" w:w="1267"/>
            <w:shd w:val="clear" w:fill="F2F7F7"/>
          </w:tcPr>
          <w:p>
            <w:pPr>
              <w:spacing w:after="20" w:before="20"/>
              <w:jc w:val="center"/>
            </w:pPr>
            <w:r/>
            <w:r>
              <w:rPr>
                <w:rFonts w:ascii="Calibri" w:hAnsi="Calibri"/>
                <w:b w:val="0"/>
                <w:i w:val="0"/>
                <w:color w:val="222222"/>
                <w:sz w:val="18"/>
              </w:rPr>
              <w:t>0.762</w:t>
            </w:r>
          </w:p>
        </w:tc>
        <w:tc>
          <w:tcPr>
            <w:tcW w:type="dxa" w:w="1267"/>
            <w:shd w:val="clear" w:fill="F2F7F7"/>
          </w:tcPr>
          <w:p>
            <w:pPr>
              <w:spacing w:after="20" w:before="20"/>
              <w:jc w:val="center"/>
            </w:pPr>
            <w:r/>
            <w:r>
              <w:rPr>
                <w:rFonts w:ascii="Calibri" w:hAnsi="Calibri"/>
                <w:b w:val="0"/>
                <w:i w:val="0"/>
                <w:color w:val="222222"/>
                <w:sz w:val="18"/>
              </w:rPr>
              <w:t>0.696</w:t>
            </w:r>
          </w:p>
        </w:tc>
        <w:tc>
          <w:tcPr>
            <w:tcW w:type="dxa" w:w="1267"/>
            <w:shd w:val="clear" w:fill="F2F7F7"/>
          </w:tcPr>
          <w:p>
            <w:pPr>
              <w:spacing w:after="20" w:before="20"/>
              <w:jc w:val="center"/>
            </w:pPr>
            <w:r/>
            <w:r>
              <w:rPr>
                <w:rFonts w:ascii="Calibri" w:hAnsi="Calibri"/>
                <w:b w:val="0"/>
                <w:i w:val="0"/>
                <w:color w:val="222222"/>
                <w:sz w:val="18"/>
              </w:rPr>
              <w:t>0.635</w:t>
            </w:r>
          </w:p>
        </w:tc>
      </w:tr>
      <w:tr>
        <w:tc>
          <w:tcPr>
            <w:tcW w:type="dxa" w:w="3600"/>
          </w:tcPr>
          <w:p>
            <w:pPr>
              <w:spacing w:after="20" w:before="20"/>
              <w:jc w:val="left"/>
            </w:pPr>
            <w:r/>
            <w:r>
              <w:rPr>
                <w:rFonts w:ascii="Calibri" w:hAnsi="Calibri"/>
                <w:b w:val="0"/>
                <w:i w:val="0"/>
                <w:color w:val="222222"/>
                <w:sz w:val="18"/>
              </w:rPr>
              <w:t>PV of FCFF</w:t>
            </w:r>
          </w:p>
        </w:tc>
        <w:tc>
          <w:tcPr>
            <w:tcW w:type="dxa" w:w="1267"/>
          </w:tcPr>
          <w:p>
            <w:pPr>
              <w:spacing w:after="20" w:before="20"/>
              <w:jc w:val="center"/>
            </w:pPr>
            <w:r/>
            <w:r>
              <w:rPr>
                <w:rFonts w:ascii="Calibri" w:hAnsi="Calibri"/>
                <w:b w:val="0"/>
                <w:i w:val="0"/>
                <w:color w:val="222222"/>
                <w:sz w:val="18"/>
              </w:rPr>
              <w:t>$108</w:t>
            </w:r>
          </w:p>
        </w:tc>
        <w:tc>
          <w:tcPr>
            <w:tcW w:type="dxa" w:w="1267"/>
          </w:tcPr>
          <w:p>
            <w:pPr>
              <w:spacing w:after="20" w:before="20"/>
              <w:jc w:val="center"/>
            </w:pPr>
            <w:r/>
            <w:r>
              <w:rPr>
                <w:rFonts w:ascii="Calibri" w:hAnsi="Calibri"/>
                <w:b w:val="0"/>
                <w:i w:val="0"/>
                <w:color w:val="222222"/>
                <w:sz w:val="18"/>
              </w:rPr>
              <w:t>$106</w:t>
            </w:r>
          </w:p>
        </w:tc>
        <w:tc>
          <w:tcPr>
            <w:tcW w:type="dxa" w:w="1267"/>
          </w:tcPr>
          <w:p>
            <w:pPr>
              <w:spacing w:after="20" w:before="20"/>
              <w:jc w:val="center"/>
            </w:pPr>
            <w:r/>
            <w:r>
              <w:rPr>
                <w:rFonts w:ascii="Calibri" w:hAnsi="Calibri"/>
                <w:b w:val="0"/>
                <w:i w:val="0"/>
                <w:color w:val="222222"/>
                <w:sz w:val="18"/>
              </w:rPr>
              <w:t>$104</w:t>
            </w:r>
          </w:p>
        </w:tc>
        <w:tc>
          <w:tcPr>
            <w:tcW w:type="dxa" w:w="1267"/>
          </w:tcPr>
          <w:p>
            <w:pPr>
              <w:spacing w:after="20" w:before="20"/>
              <w:jc w:val="center"/>
            </w:pPr>
            <w:r/>
            <w:r>
              <w:rPr>
                <w:rFonts w:ascii="Calibri" w:hAnsi="Calibri"/>
                <w:b w:val="0"/>
                <w:i w:val="0"/>
                <w:color w:val="222222"/>
                <w:sz w:val="18"/>
              </w:rPr>
              <w:t>$101</w:t>
            </w:r>
          </w:p>
        </w:tc>
        <w:tc>
          <w:tcPr>
            <w:tcW w:type="dxa" w:w="1267"/>
          </w:tcPr>
          <w:p>
            <w:pPr>
              <w:spacing w:after="20" w:before="20"/>
              <w:jc w:val="center"/>
            </w:pPr>
            <w:r/>
            <w:r>
              <w:rPr>
                <w:rFonts w:ascii="Calibri" w:hAnsi="Calibri"/>
                <w:b w:val="0"/>
                <w:i w:val="0"/>
                <w:color w:val="222222"/>
                <w:sz w:val="18"/>
              </w:rPr>
              <w:t>$99</w:t>
            </w:r>
          </w:p>
        </w:tc>
      </w:tr>
    </w:tbl>
    <w:p>
      <w:pPr>
        <w:spacing w:after="40"/>
      </w:pPr>
    </w:p>
    <w:p>
      <w:pPr>
        <w:spacing w:after="80" w:line="254" w:lineRule="auto"/>
      </w:pPr>
      <w:r>
        <w:rPr>
          <w:color w:val="222222"/>
          <w:sz w:val="18"/>
        </w:rPr>
        <w:t>Sum of PV of explicit FCFF $518 bn · terminal value $2,677 bn · PV of terminal value $1,701 bn · enterprise value $2,219 bn · terminal value 77% of EV · + net cash $34 bn · equity value $2,253 bn · $152.50 per share. Bear $143.10 · bull $199.80.</w:t>
      </w:r>
    </w:p>
    <w:p>
      <w:pPr>
        <w:jc w:val="center"/>
      </w:pPr>
      <w:r>
        <w:drawing>
          <wp:inline xmlns:a="http://schemas.openxmlformats.org/drawingml/2006/main" xmlns:pic="http://schemas.openxmlformats.org/drawingml/2006/picture">
            <wp:extent cx="5852160" cy="2829037"/>
            <wp:docPr id="1" name="Picture 1"/>
            <wp:cNvGraphicFramePr>
              <a:graphicFrameLocks noChangeAspect="1"/>
            </wp:cNvGraphicFramePr>
            <a:graphic>
              <a:graphicData uri="http://schemas.openxmlformats.org/drawingml/2006/picture">
                <pic:pic>
                  <pic:nvPicPr>
                    <pic:cNvPr id="0" name="dcf_bridge_AAPL.png"/>
                    <pic:cNvPicPr/>
                  </pic:nvPicPr>
                  <pic:blipFill>
                    <a:blip r:embed="rId9"/>
                    <a:stretch>
                      <a:fillRect/>
                    </a:stretch>
                  </pic:blipFill>
                  <pic:spPr>
                    <a:xfrm>
                      <a:off x="0" y="0"/>
                      <a:ext cx="5852160" cy="2829037"/>
                    </a:xfrm>
                    <a:prstGeom prst="rect"/>
                  </pic:spPr>
                </pic:pic>
              </a:graphicData>
            </a:graphic>
          </wp:inline>
        </w:drawing>
      </w:r>
    </w:p>
    <w:p>
      <w:pPr>
        <w:spacing w:after="120"/>
        <w:jc w:val="center"/>
      </w:pPr>
      <w:r>
        <w:rPr>
          <w:i/>
          <w:color w:val="2A8F8F"/>
          <w:sz w:val="17"/>
        </w:rPr>
        <w:t>DCF present-value build — the terminal value is the majority of enterprise value, disclosed and sensitized in §1.9.</w:t>
      </w:r>
    </w:p>
    <w:p>
      <w:pPr>
        <w:spacing w:before="160" w:after="40"/>
      </w:pPr>
      <w:r>
        <w:rPr>
          <w:b/>
          <w:color w:val="2A8F8F"/>
          <w:sz w:val="23"/>
        </w:rPr>
        <w:t>1.2  Segment sum-of-the-parts — the cross-check</w:t>
      </w:r>
    </w:p>
    <w:p>
      <w:pPr>
        <w:spacing w:after="80" w:line="254" w:lineRule="auto"/>
      </w:pPr>
      <w:r>
        <w:rPr>
          <w:color w:val="222222"/>
          <w:sz w:val="20"/>
        </w:rPr>
        <w:t>Because Apple's two engines earn very different margins and would command very different multiples as standalone businesses, we value them separately. On FY2026E revenue we credit Services roughly $123 bn of revenue at a ~42% EBIT margin and a 26× EV/EBIT multiple — annuity-like economics — and the Products stack at a ~30% EBIT margin and a 14× multiple, closer to a premium-hardware peer. Adding net cash of $34 bn gives an equity value of $2,719 bn, or $184.00 per share (bear $157.00, bull $210.90). The exercise makes explicit what the market is really buying: on our marks, Services is worth roughly as much as the entire hardware franchise, and the multiple the market pays for the whole is only justified if Services keeps compounding and keeps its take-rate.</w:t>
      </w:r>
    </w:p>
    <w:tbl>
      <w:tblPr>
        <w:tblStyle w:val="TableGrid"/>
        <w:tblW w:type="auto" w:w="0"/>
        <w:jc w:val="center"/>
        <w:tblLayout w:type="fixed"/>
        <w:tblLook w:firstColumn="1" w:firstRow="1" w:lastColumn="0" w:lastRow="0" w:noHBand="0" w:noVBand="1" w:val="04A0"/>
      </w:tblPr>
      <w:tblGrid>
        <w:gridCol w:w="4968"/>
        <w:gridCol w:w="4968"/>
      </w:tblGrid>
      <w:tr>
        <w:tc>
          <w:tcPr>
            <w:tcW w:type="dxa" w:w="6048"/>
            <w:shd w:val="clear" w:fill="2A8F8F"/>
          </w:tcPr>
          <w:p>
            <w:pPr>
              <w:spacing w:after="20" w:before="20"/>
              <w:jc w:val="left"/>
            </w:pPr>
            <w:r/>
            <w:r>
              <w:rPr>
                <w:rFonts w:ascii="Calibri" w:hAnsi="Calibri"/>
                <w:b/>
                <w:i w:val="0"/>
                <w:color w:val="FFFFFF"/>
                <w:sz w:val="18"/>
              </w:rPr>
              <w:t>Segment sum-of-the-parts (FY26E, base)</w:t>
            </w:r>
          </w:p>
        </w:tc>
        <w:tc>
          <w:tcPr>
            <w:tcW w:type="dxa" w:w="3888"/>
            <w:shd w:val="clear" w:fill="2A8F8F"/>
          </w:tcPr>
          <w:p>
            <w:pPr>
              <w:spacing w:after="20" w:before="20"/>
              <w:jc w:val="center"/>
            </w:pPr>
            <w:r/>
            <w:r>
              <w:rPr>
                <w:rFonts w:ascii="Calibri" w:hAnsi="Calibri"/>
                <w:b/>
                <w:i w:val="0"/>
                <w:color w:val="FFFFFF"/>
                <w:sz w:val="18"/>
              </w:rPr>
              <w:t>USD bn</w:t>
            </w:r>
          </w:p>
        </w:tc>
      </w:tr>
      <w:tr>
        <w:tc>
          <w:tcPr>
            <w:tcW w:type="dxa" w:w="6048"/>
          </w:tcPr>
          <w:p>
            <w:pPr>
              <w:spacing w:after="20" w:before="20"/>
              <w:jc w:val="left"/>
            </w:pPr>
            <w:r/>
            <w:r>
              <w:rPr>
                <w:rFonts w:ascii="Calibri" w:hAnsi="Calibri"/>
                <w:b w:val="0"/>
                <w:i w:val="0"/>
                <w:color w:val="222222"/>
                <w:sz w:val="18"/>
              </w:rPr>
              <w:t>Services revenue</w:t>
            </w:r>
          </w:p>
        </w:tc>
        <w:tc>
          <w:tcPr>
            <w:tcW w:type="dxa" w:w="3888"/>
          </w:tcPr>
          <w:p>
            <w:pPr>
              <w:spacing w:after="20" w:before="20"/>
              <w:jc w:val="center"/>
            </w:pPr>
            <w:r/>
            <w:r>
              <w:rPr>
                <w:rFonts w:ascii="Calibri" w:hAnsi="Calibri"/>
                <w:b w:val="0"/>
                <w:i w:val="0"/>
                <w:color w:val="222222"/>
                <w:sz w:val="18"/>
              </w:rPr>
              <w:t>$123</w:t>
            </w:r>
          </w:p>
        </w:tc>
      </w:tr>
      <w:tr>
        <w:tc>
          <w:tcPr>
            <w:tcW w:type="dxa" w:w="6048"/>
            <w:shd w:val="clear" w:fill="F2F7F7"/>
          </w:tcPr>
          <w:p>
            <w:pPr>
              <w:spacing w:after="20" w:before="20"/>
              <w:jc w:val="left"/>
            </w:pPr>
            <w:r/>
            <w:r>
              <w:rPr>
                <w:rFonts w:ascii="Calibri" w:hAnsi="Calibri"/>
                <w:b w:val="0"/>
                <w:i w:val="0"/>
                <w:color w:val="222222"/>
                <w:sz w:val="18"/>
              </w:rPr>
              <w:t>Services EBIT (≈42% margin)</w:t>
            </w:r>
          </w:p>
        </w:tc>
        <w:tc>
          <w:tcPr>
            <w:tcW w:type="dxa" w:w="3888"/>
            <w:shd w:val="clear" w:fill="F2F7F7"/>
          </w:tcPr>
          <w:p>
            <w:pPr>
              <w:spacing w:after="20" w:before="20"/>
              <w:jc w:val="center"/>
            </w:pPr>
            <w:r/>
            <w:r>
              <w:rPr>
                <w:rFonts w:ascii="Calibri" w:hAnsi="Calibri"/>
                <w:b w:val="0"/>
                <w:i w:val="0"/>
                <w:color w:val="222222"/>
                <w:sz w:val="18"/>
              </w:rPr>
              <w:t>$52</w:t>
            </w:r>
          </w:p>
        </w:tc>
      </w:tr>
      <w:tr>
        <w:tc>
          <w:tcPr>
            <w:tcW w:type="dxa" w:w="6048"/>
          </w:tcPr>
          <w:p>
            <w:pPr>
              <w:spacing w:after="20" w:before="20"/>
              <w:jc w:val="left"/>
            </w:pPr>
            <w:r/>
            <w:r>
              <w:rPr>
                <w:rFonts w:ascii="Calibri" w:hAnsi="Calibri"/>
                <w:b w:val="0"/>
                <w:i w:val="0"/>
                <w:color w:val="222222"/>
                <w:sz w:val="18"/>
              </w:rPr>
              <w:t>Services value (26× EV/EBIT)</w:t>
            </w:r>
          </w:p>
        </w:tc>
        <w:tc>
          <w:tcPr>
            <w:tcW w:type="dxa" w:w="3888"/>
          </w:tcPr>
          <w:p>
            <w:pPr>
              <w:spacing w:after="20" w:before="20"/>
              <w:jc w:val="center"/>
            </w:pPr>
            <w:r/>
            <w:r>
              <w:rPr>
                <w:rFonts w:ascii="Calibri" w:hAnsi="Calibri"/>
                <w:b w:val="0"/>
                <w:i w:val="0"/>
                <w:color w:val="222222"/>
                <w:sz w:val="18"/>
              </w:rPr>
              <w:t>$1,347</w:t>
            </w:r>
          </w:p>
        </w:tc>
      </w:tr>
      <w:tr>
        <w:tc>
          <w:tcPr>
            <w:tcW w:type="dxa" w:w="6048"/>
            <w:shd w:val="clear" w:fill="F2F7F7"/>
          </w:tcPr>
          <w:p>
            <w:pPr>
              <w:spacing w:after="20" w:before="20"/>
              <w:jc w:val="left"/>
            </w:pPr>
            <w:r/>
            <w:r>
              <w:rPr>
                <w:rFonts w:ascii="Calibri" w:hAnsi="Calibri"/>
                <w:b w:val="0"/>
                <w:i w:val="0"/>
                <w:color w:val="222222"/>
                <w:sz w:val="18"/>
              </w:rPr>
              <w:t>Products revenue</w:t>
            </w:r>
          </w:p>
        </w:tc>
        <w:tc>
          <w:tcPr>
            <w:tcW w:type="dxa" w:w="3888"/>
            <w:shd w:val="clear" w:fill="F2F7F7"/>
          </w:tcPr>
          <w:p>
            <w:pPr>
              <w:spacing w:after="20" w:before="20"/>
              <w:jc w:val="center"/>
            </w:pPr>
            <w:r/>
            <w:r>
              <w:rPr>
                <w:rFonts w:ascii="Calibri" w:hAnsi="Calibri"/>
                <w:b w:val="0"/>
                <w:i w:val="0"/>
                <w:color w:val="222222"/>
                <w:sz w:val="18"/>
              </w:rPr>
              <w:t>$318</w:t>
            </w:r>
          </w:p>
        </w:tc>
      </w:tr>
      <w:tr>
        <w:tc>
          <w:tcPr>
            <w:tcW w:type="dxa" w:w="6048"/>
          </w:tcPr>
          <w:p>
            <w:pPr>
              <w:spacing w:after="20" w:before="20"/>
              <w:jc w:val="left"/>
            </w:pPr>
            <w:r/>
            <w:r>
              <w:rPr>
                <w:rFonts w:ascii="Calibri" w:hAnsi="Calibri"/>
                <w:b w:val="0"/>
                <w:i w:val="0"/>
                <w:color w:val="222222"/>
                <w:sz w:val="18"/>
              </w:rPr>
              <w:t>Products EBIT (≈30% margin)</w:t>
            </w:r>
          </w:p>
        </w:tc>
        <w:tc>
          <w:tcPr>
            <w:tcW w:type="dxa" w:w="3888"/>
          </w:tcPr>
          <w:p>
            <w:pPr>
              <w:spacing w:after="20" w:before="20"/>
              <w:jc w:val="center"/>
            </w:pPr>
            <w:r/>
            <w:r>
              <w:rPr>
                <w:rFonts w:ascii="Calibri" w:hAnsi="Calibri"/>
                <w:b w:val="0"/>
                <w:i w:val="0"/>
                <w:color w:val="222222"/>
                <w:sz w:val="18"/>
              </w:rPr>
              <w:t>$95</w:t>
            </w:r>
          </w:p>
        </w:tc>
      </w:tr>
      <w:tr>
        <w:tc>
          <w:tcPr>
            <w:tcW w:type="dxa" w:w="6048"/>
            <w:shd w:val="clear" w:fill="F2F7F7"/>
          </w:tcPr>
          <w:p>
            <w:pPr>
              <w:spacing w:after="20" w:before="20"/>
              <w:jc w:val="left"/>
            </w:pPr>
            <w:r/>
            <w:r>
              <w:rPr>
                <w:rFonts w:ascii="Calibri" w:hAnsi="Calibri"/>
                <w:b w:val="0"/>
                <w:i w:val="0"/>
                <w:color w:val="222222"/>
                <w:sz w:val="18"/>
              </w:rPr>
              <w:t>Products value (14× EV/EBIT)</w:t>
            </w:r>
          </w:p>
        </w:tc>
        <w:tc>
          <w:tcPr>
            <w:tcW w:type="dxa" w:w="3888"/>
            <w:shd w:val="clear" w:fill="F2F7F7"/>
          </w:tcPr>
          <w:p>
            <w:pPr>
              <w:spacing w:after="20" w:before="20"/>
              <w:jc w:val="center"/>
            </w:pPr>
            <w:r/>
            <w:r>
              <w:rPr>
                <w:rFonts w:ascii="Calibri" w:hAnsi="Calibri"/>
                <w:b w:val="0"/>
                <w:i w:val="0"/>
                <w:color w:val="222222"/>
                <w:sz w:val="18"/>
              </w:rPr>
              <w:t>$1,337</w:t>
            </w:r>
          </w:p>
        </w:tc>
      </w:tr>
      <w:tr>
        <w:tc>
          <w:tcPr>
            <w:tcW w:type="dxa" w:w="6048"/>
          </w:tcPr>
          <w:p>
            <w:pPr>
              <w:spacing w:after="20" w:before="20"/>
              <w:jc w:val="left"/>
            </w:pPr>
            <w:r/>
            <w:r>
              <w:rPr>
                <w:rFonts w:ascii="Calibri" w:hAnsi="Calibri"/>
                <w:b w:val="0"/>
                <w:i w:val="0"/>
                <w:color w:val="222222"/>
                <w:sz w:val="18"/>
              </w:rPr>
              <w:t>+ Net cash</w:t>
            </w:r>
          </w:p>
        </w:tc>
        <w:tc>
          <w:tcPr>
            <w:tcW w:type="dxa" w:w="3888"/>
          </w:tcPr>
          <w:p>
            <w:pPr>
              <w:spacing w:after="20" w:before="20"/>
              <w:jc w:val="center"/>
            </w:pPr>
            <w:r/>
            <w:r>
              <w:rPr>
                <w:rFonts w:ascii="Calibri" w:hAnsi="Calibri"/>
                <w:b w:val="0"/>
                <w:i w:val="0"/>
                <w:color w:val="222222"/>
                <w:sz w:val="18"/>
              </w:rPr>
              <w:t>$34</w:t>
            </w:r>
          </w:p>
        </w:tc>
      </w:tr>
      <w:tr>
        <w:tc>
          <w:tcPr>
            <w:tcW w:type="dxa" w:w="6048"/>
            <w:shd w:val="clear" w:fill="F2F7F7"/>
          </w:tcPr>
          <w:p>
            <w:pPr>
              <w:spacing w:after="20" w:before="20"/>
              <w:jc w:val="left"/>
            </w:pPr>
            <w:r/>
            <w:r>
              <w:rPr>
                <w:rFonts w:ascii="Calibri" w:hAnsi="Calibri"/>
                <w:b w:val="0"/>
                <w:i w:val="0"/>
                <w:color w:val="222222"/>
                <w:sz w:val="18"/>
              </w:rPr>
              <w:t>Equity value</w:t>
            </w:r>
          </w:p>
        </w:tc>
        <w:tc>
          <w:tcPr>
            <w:tcW w:type="dxa" w:w="3888"/>
            <w:shd w:val="clear" w:fill="F2F7F7"/>
          </w:tcPr>
          <w:p>
            <w:pPr>
              <w:spacing w:after="20" w:before="20"/>
              <w:jc w:val="center"/>
            </w:pPr>
            <w:r/>
            <w:r>
              <w:rPr>
                <w:rFonts w:ascii="Calibri" w:hAnsi="Calibri"/>
                <w:b w:val="0"/>
                <w:i w:val="0"/>
                <w:color w:val="222222"/>
                <w:sz w:val="18"/>
              </w:rPr>
              <w:t>$2,719</w:t>
            </w:r>
          </w:p>
        </w:tc>
      </w:tr>
      <w:tr>
        <w:tc>
          <w:tcPr>
            <w:tcW w:type="dxa" w:w="6048"/>
            <w:shd w:val="clear" w:fill="DCE9E9"/>
          </w:tcPr>
          <w:p>
            <w:pPr>
              <w:spacing w:after="20" w:before="20"/>
              <w:jc w:val="left"/>
            </w:pPr>
            <w:r/>
            <w:r>
              <w:rPr>
                <w:rFonts w:ascii="Calibri" w:hAnsi="Calibri"/>
                <w:b/>
                <w:i w:val="0"/>
                <w:color w:val="222222"/>
                <w:sz w:val="18"/>
              </w:rPr>
              <w:t>Fair value per share</w:t>
            </w:r>
          </w:p>
        </w:tc>
        <w:tc>
          <w:tcPr>
            <w:tcW w:type="dxa" w:w="3888"/>
            <w:shd w:val="clear" w:fill="DCE9E9"/>
          </w:tcPr>
          <w:p>
            <w:pPr>
              <w:spacing w:after="20" w:before="20"/>
              <w:jc w:val="center"/>
            </w:pPr>
            <w:r/>
            <w:r>
              <w:rPr>
                <w:rFonts w:ascii="Calibri" w:hAnsi="Calibri"/>
                <w:b/>
                <w:i w:val="0"/>
                <w:color w:val="222222"/>
                <w:sz w:val="18"/>
              </w:rPr>
              <w:t>$184.00</w:t>
            </w:r>
          </w:p>
        </w:tc>
      </w:tr>
    </w:tbl>
    <w:p>
      <w:pPr>
        <w:spacing w:after="40"/>
      </w:pPr>
    </w:p>
    <w:p>
      <w:pPr>
        <w:spacing w:before="160" w:after="40"/>
      </w:pPr>
      <w:r>
        <w:rPr>
          <w:b/>
          <w:color w:val="2A8F8F"/>
          <w:sz w:val="23"/>
        </w:rPr>
        <w:t>1.3  Relative multiples</w:t>
      </w:r>
    </w:p>
    <w:p>
      <w:pPr>
        <w:spacing w:after="80" w:line="254" w:lineRule="auto"/>
      </w:pPr>
      <w:r>
        <w:rPr>
          <w:color w:val="222222"/>
          <w:sz w:val="20"/>
        </w:rPr>
        <w:t>On our FY2026E EPS of $8.29, the shares trade near 38× forward earnings. Anchoring a base multiple of 30× — a premium to the mega-cap median but defensible for the highest-quality name in the group — gives $248.70; a 26× bear gives $215.50 and a 34× bull gives $281.90. Multiples say the shares are closer to fair than the DCF does — because a multiple silently capitalises the same durability the explicit DCF window truncates. That is precisely why we refuse to blend the two into one point (device A-8).</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4320"/>
            <w:shd w:val="clear" w:fill="2A8F8F"/>
          </w:tcPr>
          <w:p>
            <w:pPr>
              <w:spacing w:after="20" w:before="20"/>
              <w:jc w:val="left"/>
            </w:pPr>
            <w:r/>
            <w:r>
              <w:rPr>
                <w:rFonts w:ascii="Calibri" w:hAnsi="Calibri"/>
                <w:b/>
                <w:i w:val="0"/>
                <w:color w:val="FFFFFF"/>
                <w:sz w:val="18"/>
              </w:rPr>
              <w:t>Forward-multiple read</w:t>
            </w:r>
          </w:p>
        </w:tc>
        <w:tc>
          <w:tcPr>
            <w:tcW w:type="dxa" w:w="1872"/>
            <w:shd w:val="clear" w:fill="2A8F8F"/>
          </w:tcPr>
          <w:p>
            <w:pPr>
              <w:spacing w:after="20" w:before="20"/>
              <w:jc w:val="center"/>
            </w:pPr>
            <w:r/>
            <w:r>
              <w:rPr>
                <w:rFonts w:ascii="Calibri" w:hAnsi="Calibri"/>
                <w:b/>
                <w:i w:val="0"/>
                <w:color w:val="FFFFFF"/>
                <w:sz w:val="18"/>
              </w:rPr>
              <w:t>Bear</w:t>
            </w:r>
          </w:p>
        </w:tc>
        <w:tc>
          <w:tcPr>
            <w:tcW w:type="dxa" w:w="1872"/>
            <w:shd w:val="clear" w:fill="2A8F8F"/>
          </w:tcPr>
          <w:p>
            <w:pPr>
              <w:spacing w:after="20" w:before="20"/>
              <w:jc w:val="center"/>
            </w:pPr>
            <w:r/>
            <w:r>
              <w:rPr>
                <w:rFonts w:ascii="Calibri" w:hAnsi="Calibri"/>
                <w:b/>
                <w:i w:val="0"/>
                <w:color w:val="FFFFFF"/>
                <w:sz w:val="18"/>
              </w:rPr>
              <w:t>Base</w:t>
            </w:r>
          </w:p>
        </w:tc>
        <w:tc>
          <w:tcPr>
            <w:tcW w:type="dxa" w:w="1872"/>
            <w:shd w:val="clear" w:fill="2A8F8F"/>
          </w:tcPr>
          <w:p>
            <w:pPr>
              <w:spacing w:after="20" w:before="20"/>
              <w:jc w:val="center"/>
            </w:pPr>
            <w:r/>
            <w:r>
              <w:rPr>
                <w:rFonts w:ascii="Calibri" w:hAnsi="Calibri"/>
                <w:b/>
                <w:i w:val="0"/>
                <w:color w:val="FFFFFF"/>
                <w:sz w:val="18"/>
              </w:rPr>
              <w:t>Bull</w:t>
            </w:r>
          </w:p>
        </w:tc>
      </w:tr>
      <w:tr>
        <w:tc>
          <w:tcPr>
            <w:tcW w:type="dxa" w:w="4320"/>
          </w:tcPr>
          <w:p>
            <w:pPr>
              <w:spacing w:after="20" w:before="20"/>
              <w:jc w:val="left"/>
            </w:pPr>
            <w:r/>
            <w:r>
              <w:rPr>
                <w:rFonts w:ascii="Calibri" w:hAnsi="Calibri"/>
                <w:b w:val="0"/>
                <w:i w:val="0"/>
                <w:color w:val="222222"/>
                <w:sz w:val="18"/>
              </w:rPr>
              <w:t>FY26E EPS (USD)</w:t>
            </w:r>
          </w:p>
        </w:tc>
        <w:tc>
          <w:tcPr>
            <w:tcW w:type="dxa" w:w="1872"/>
          </w:tcPr>
          <w:p>
            <w:pPr>
              <w:spacing w:after="20" w:before="20"/>
              <w:jc w:val="center"/>
            </w:pPr>
            <w:r/>
            <w:r>
              <w:rPr>
                <w:rFonts w:ascii="Calibri" w:hAnsi="Calibri"/>
                <w:b w:val="0"/>
                <w:i w:val="0"/>
                <w:color w:val="222222"/>
                <w:sz w:val="18"/>
              </w:rPr>
              <w:t>$8.29</w:t>
            </w:r>
          </w:p>
        </w:tc>
        <w:tc>
          <w:tcPr>
            <w:tcW w:type="dxa" w:w="1872"/>
          </w:tcPr>
          <w:p>
            <w:pPr>
              <w:spacing w:after="20" w:before="20"/>
              <w:jc w:val="center"/>
            </w:pPr>
            <w:r/>
            <w:r>
              <w:rPr>
                <w:rFonts w:ascii="Calibri" w:hAnsi="Calibri"/>
                <w:b w:val="0"/>
                <w:i w:val="0"/>
                <w:color w:val="222222"/>
                <w:sz w:val="18"/>
              </w:rPr>
              <w:t>$8.29</w:t>
            </w:r>
          </w:p>
        </w:tc>
        <w:tc>
          <w:tcPr>
            <w:tcW w:type="dxa" w:w="1872"/>
          </w:tcPr>
          <w:p>
            <w:pPr>
              <w:spacing w:after="20" w:before="20"/>
              <w:jc w:val="center"/>
            </w:pPr>
            <w:r/>
            <w:r>
              <w:rPr>
                <w:rFonts w:ascii="Calibri" w:hAnsi="Calibri"/>
                <w:b w:val="0"/>
                <w:i w:val="0"/>
                <w:color w:val="222222"/>
                <w:sz w:val="18"/>
              </w:rPr>
              <w:t>$8.29</w:t>
            </w:r>
          </w:p>
        </w:tc>
      </w:tr>
      <w:tr>
        <w:tc>
          <w:tcPr>
            <w:tcW w:type="dxa" w:w="4320"/>
            <w:shd w:val="clear" w:fill="F2F7F7"/>
          </w:tcPr>
          <w:p>
            <w:pPr>
              <w:spacing w:after="20" w:before="20"/>
              <w:jc w:val="left"/>
            </w:pPr>
            <w:r/>
            <w:r>
              <w:rPr>
                <w:rFonts w:ascii="Calibri" w:hAnsi="Calibri"/>
                <w:b w:val="0"/>
                <w:i w:val="0"/>
                <w:color w:val="222222"/>
                <w:sz w:val="18"/>
              </w:rPr>
              <w:t>Forward P/E (×)</w:t>
            </w:r>
          </w:p>
        </w:tc>
        <w:tc>
          <w:tcPr>
            <w:tcW w:type="dxa" w:w="1872"/>
            <w:shd w:val="clear" w:fill="F2F7F7"/>
          </w:tcPr>
          <w:p>
            <w:pPr>
              <w:spacing w:after="20" w:before="20"/>
              <w:jc w:val="center"/>
            </w:pPr>
            <w:r/>
            <w:r>
              <w:rPr>
                <w:rFonts w:ascii="Calibri" w:hAnsi="Calibri"/>
                <w:b w:val="0"/>
                <w:i w:val="0"/>
                <w:color w:val="222222"/>
                <w:sz w:val="18"/>
              </w:rPr>
              <w:t>26×</w:t>
            </w:r>
          </w:p>
        </w:tc>
        <w:tc>
          <w:tcPr>
            <w:tcW w:type="dxa" w:w="1872"/>
            <w:shd w:val="clear" w:fill="F2F7F7"/>
          </w:tcPr>
          <w:p>
            <w:pPr>
              <w:spacing w:after="20" w:before="20"/>
              <w:jc w:val="center"/>
            </w:pPr>
            <w:r/>
            <w:r>
              <w:rPr>
                <w:rFonts w:ascii="Calibri" w:hAnsi="Calibri"/>
                <w:b w:val="0"/>
                <w:i w:val="0"/>
                <w:color w:val="222222"/>
                <w:sz w:val="18"/>
              </w:rPr>
              <w:t>30×</w:t>
            </w:r>
          </w:p>
        </w:tc>
        <w:tc>
          <w:tcPr>
            <w:tcW w:type="dxa" w:w="1872"/>
            <w:shd w:val="clear" w:fill="F2F7F7"/>
          </w:tcPr>
          <w:p>
            <w:pPr>
              <w:spacing w:after="20" w:before="20"/>
              <w:jc w:val="center"/>
            </w:pPr>
            <w:r/>
            <w:r>
              <w:rPr>
                <w:rFonts w:ascii="Calibri" w:hAnsi="Calibri"/>
                <w:b w:val="0"/>
                <w:i w:val="0"/>
                <w:color w:val="222222"/>
                <w:sz w:val="18"/>
              </w:rPr>
              <w:t>34×</w:t>
            </w:r>
          </w:p>
        </w:tc>
      </w:tr>
      <w:tr>
        <w:tc>
          <w:tcPr>
            <w:tcW w:type="dxa" w:w="4320"/>
          </w:tcPr>
          <w:p>
            <w:pPr>
              <w:spacing w:after="20" w:before="20"/>
              <w:jc w:val="left"/>
            </w:pPr>
            <w:r/>
            <w:r>
              <w:rPr>
                <w:rFonts w:ascii="Calibri" w:hAnsi="Calibri"/>
                <w:b w:val="0"/>
                <w:i w:val="0"/>
                <w:color w:val="222222"/>
                <w:sz w:val="18"/>
              </w:rPr>
              <w:t>Fair value (USD)</w:t>
            </w:r>
          </w:p>
        </w:tc>
        <w:tc>
          <w:tcPr>
            <w:tcW w:type="dxa" w:w="1872"/>
          </w:tcPr>
          <w:p>
            <w:pPr>
              <w:spacing w:after="20" w:before="20"/>
              <w:jc w:val="center"/>
            </w:pPr>
            <w:r/>
            <w:r>
              <w:rPr>
                <w:rFonts w:ascii="Calibri" w:hAnsi="Calibri"/>
                <w:b w:val="0"/>
                <w:i w:val="0"/>
                <w:color w:val="222222"/>
                <w:sz w:val="18"/>
              </w:rPr>
              <w:t>$215.50</w:t>
            </w:r>
          </w:p>
        </w:tc>
        <w:tc>
          <w:tcPr>
            <w:tcW w:type="dxa" w:w="1872"/>
          </w:tcPr>
          <w:p>
            <w:pPr>
              <w:spacing w:after="20" w:before="20"/>
              <w:jc w:val="center"/>
            </w:pPr>
            <w:r/>
            <w:r>
              <w:rPr>
                <w:rFonts w:ascii="Calibri" w:hAnsi="Calibri"/>
                <w:b w:val="0"/>
                <w:i w:val="0"/>
                <w:color w:val="222222"/>
                <w:sz w:val="18"/>
              </w:rPr>
              <w:t>$248.70</w:t>
            </w:r>
          </w:p>
        </w:tc>
        <w:tc>
          <w:tcPr>
            <w:tcW w:type="dxa" w:w="1872"/>
          </w:tcPr>
          <w:p>
            <w:pPr>
              <w:spacing w:after="20" w:before="20"/>
              <w:jc w:val="center"/>
            </w:pPr>
            <w:r/>
            <w:r>
              <w:rPr>
                <w:rFonts w:ascii="Calibri" w:hAnsi="Calibri"/>
                <w:b w:val="0"/>
                <w:i w:val="0"/>
                <w:color w:val="222222"/>
                <w:sz w:val="18"/>
              </w:rPr>
              <w:t>$281.90</w:t>
            </w:r>
          </w:p>
        </w:tc>
      </w:tr>
    </w:tbl>
    <w:p>
      <w:pPr>
        <w:spacing w:after="40"/>
      </w:pPr>
    </w:p>
    <w:p>
      <w:pPr>
        <w:spacing w:before="160" w:after="40"/>
      </w:pPr>
      <w:r>
        <w:rPr>
          <w:b/>
          <w:color w:val="2A8F8F"/>
          <w:sz w:val="23"/>
        </w:rPr>
        <w:t>1.4  Normalized earnings power</w:t>
      </w:r>
    </w:p>
    <w:p>
      <w:pPr>
        <w:spacing w:after="80" w:line="254" w:lineRule="auto"/>
      </w:pPr>
      <w:r>
        <w:rPr>
          <w:color w:val="222222"/>
          <w:sz w:val="20"/>
        </w:rPr>
        <w:t>Apple's current earnings are neither depressed nor obviously peak: FY2025 EPS of $7.47 was a record, helped by a low effective tax rate, but Services mix is still climbing. We take a through-cycle normalized EPS of $7.90 — a shade below the FY2026E figure, to strip any cyclical flattery — and apply a 32× multiple, giving $252.80 (bear $213.30 at 27×, bull $284.40 at 36×). This lens is the most constructive because it rewards the margin trajectory directly.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4320"/>
            <w:shd w:val="clear" w:fill="2A8F8F"/>
          </w:tcPr>
          <w:p>
            <w:pPr>
              <w:spacing w:after="20" w:before="20"/>
              <w:jc w:val="left"/>
            </w:pPr>
            <w:r/>
            <w:r>
              <w:rPr>
                <w:rFonts w:ascii="Calibri" w:hAnsi="Calibri"/>
                <w:b/>
                <w:i w:val="0"/>
                <w:color w:val="FFFFFF"/>
                <w:sz w:val="18"/>
              </w:rPr>
              <w:t>Normalized-earnings read</w:t>
            </w:r>
          </w:p>
        </w:tc>
        <w:tc>
          <w:tcPr>
            <w:tcW w:type="dxa" w:w="1872"/>
            <w:shd w:val="clear" w:fill="2A8F8F"/>
          </w:tcPr>
          <w:p>
            <w:pPr>
              <w:spacing w:after="20" w:before="20"/>
              <w:jc w:val="center"/>
            </w:pPr>
            <w:r/>
            <w:r>
              <w:rPr>
                <w:rFonts w:ascii="Calibri" w:hAnsi="Calibri"/>
                <w:b/>
                <w:i w:val="0"/>
                <w:color w:val="FFFFFF"/>
                <w:sz w:val="18"/>
              </w:rPr>
              <w:t>Bear</w:t>
            </w:r>
          </w:p>
        </w:tc>
        <w:tc>
          <w:tcPr>
            <w:tcW w:type="dxa" w:w="1872"/>
            <w:shd w:val="clear" w:fill="2A8F8F"/>
          </w:tcPr>
          <w:p>
            <w:pPr>
              <w:spacing w:after="20" w:before="20"/>
              <w:jc w:val="center"/>
            </w:pPr>
            <w:r/>
            <w:r>
              <w:rPr>
                <w:rFonts w:ascii="Calibri" w:hAnsi="Calibri"/>
                <w:b/>
                <w:i w:val="0"/>
                <w:color w:val="FFFFFF"/>
                <w:sz w:val="18"/>
              </w:rPr>
              <w:t>Base</w:t>
            </w:r>
          </w:p>
        </w:tc>
        <w:tc>
          <w:tcPr>
            <w:tcW w:type="dxa" w:w="1872"/>
            <w:shd w:val="clear" w:fill="2A8F8F"/>
          </w:tcPr>
          <w:p>
            <w:pPr>
              <w:spacing w:after="20" w:before="20"/>
              <w:jc w:val="center"/>
            </w:pPr>
            <w:r/>
            <w:r>
              <w:rPr>
                <w:rFonts w:ascii="Calibri" w:hAnsi="Calibri"/>
                <w:b/>
                <w:i w:val="0"/>
                <w:color w:val="FFFFFF"/>
                <w:sz w:val="18"/>
              </w:rPr>
              <w:t>Bull</w:t>
            </w:r>
          </w:p>
        </w:tc>
      </w:tr>
      <w:tr>
        <w:tc>
          <w:tcPr>
            <w:tcW w:type="dxa" w:w="4320"/>
          </w:tcPr>
          <w:p>
            <w:pPr>
              <w:spacing w:after="20" w:before="20"/>
              <w:jc w:val="left"/>
            </w:pPr>
            <w:r/>
            <w:r>
              <w:rPr>
                <w:rFonts w:ascii="Calibri" w:hAnsi="Calibri"/>
                <w:b w:val="0"/>
                <w:i w:val="0"/>
                <w:color w:val="222222"/>
                <w:sz w:val="18"/>
              </w:rPr>
              <w:t>Normalized EPS (USD)</w:t>
            </w:r>
          </w:p>
        </w:tc>
        <w:tc>
          <w:tcPr>
            <w:tcW w:type="dxa" w:w="1872"/>
          </w:tcPr>
          <w:p>
            <w:pPr>
              <w:spacing w:after="20" w:before="20"/>
              <w:jc w:val="center"/>
            </w:pPr>
            <w:r/>
            <w:r>
              <w:rPr>
                <w:rFonts w:ascii="Calibri" w:hAnsi="Calibri"/>
                <w:b w:val="0"/>
                <w:i w:val="0"/>
                <w:color w:val="222222"/>
                <w:sz w:val="18"/>
              </w:rPr>
              <w:t>$7.90</w:t>
            </w:r>
          </w:p>
        </w:tc>
        <w:tc>
          <w:tcPr>
            <w:tcW w:type="dxa" w:w="1872"/>
          </w:tcPr>
          <w:p>
            <w:pPr>
              <w:spacing w:after="20" w:before="20"/>
              <w:jc w:val="center"/>
            </w:pPr>
            <w:r/>
            <w:r>
              <w:rPr>
                <w:rFonts w:ascii="Calibri" w:hAnsi="Calibri"/>
                <w:b w:val="0"/>
                <w:i w:val="0"/>
                <w:color w:val="222222"/>
                <w:sz w:val="18"/>
              </w:rPr>
              <w:t>$7.90</w:t>
            </w:r>
          </w:p>
        </w:tc>
        <w:tc>
          <w:tcPr>
            <w:tcW w:type="dxa" w:w="1872"/>
          </w:tcPr>
          <w:p>
            <w:pPr>
              <w:spacing w:after="20" w:before="20"/>
              <w:jc w:val="center"/>
            </w:pPr>
            <w:r/>
            <w:r>
              <w:rPr>
                <w:rFonts w:ascii="Calibri" w:hAnsi="Calibri"/>
                <w:b w:val="0"/>
                <w:i w:val="0"/>
                <w:color w:val="222222"/>
                <w:sz w:val="18"/>
              </w:rPr>
              <w:t>$7.90</w:t>
            </w:r>
          </w:p>
        </w:tc>
      </w:tr>
      <w:tr>
        <w:tc>
          <w:tcPr>
            <w:tcW w:type="dxa" w:w="4320"/>
            <w:shd w:val="clear" w:fill="F2F7F7"/>
          </w:tcPr>
          <w:p>
            <w:pPr>
              <w:spacing w:after="20" w:before="20"/>
              <w:jc w:val="left"/>
            </w:pPr>
            <w:r/>
            <w:r>
              <w:rPr>
                <w:rFonts w:ascii="Calibri" w:hAnsi="Calibri"/>
                <w:b w:val="0"/>
                <w:i w:val="0"/>
                <w:color w:val="222222"/>
                <w:sz w:val="18"/>
              </w:rPr>
              <w:t>Normalized P/E (×)</w:t>
            </w:r>
          </w:p>
        </w:tc>
        <w:tc>
          <w:tcPr>
            <w:tcW w:type="dxa" w:w="1872"/>
            <w:shd w:val="clear" w:fill="F2F7F7"/>
          </w:tcPr>
          <w:p>
            <w:pPr>
              <w:spacing w:after="20" w:before="20"/>
              <w:jc w:val="center"/>
            </w:pPr>
            <w:r/>
            <w:r>
              <w:rPr>
                <w:rFonts w:ascii="Calibri" w:hAnsi="Calibri"/>
                <w:b w:val="0"/>
                <w:i w:val="0"/>
                <w:color w:val="222222"/>
                <w:sz w:val="18"/>
              </w:rPr>
              <w:t>27×</w:t>
            </w:r>
          </w:p>
        </w:tc>
        <w:tc>
          <w:tcPr>
            <w:tcW w:type="dxa" w:w="1872"/>
            <w:shd w:val="clear" w:fill="F2F7F7"/>
          </w:tcPr>
          <w:p>
            <w:pPr>
              <w:spacing w:after="20" w:before="20"/>
              <w:jc w:val="center"/>
            </w:pPr>
            <w:r/>
            <w:r>
              <w:rPr>
                <w:rFonts w:ascii="Calibri" w:hAnsi="Calibri"/>
                <w:b w:val="0"/>
                <w:i w:val="0"/>
                <w:color w:val="222222"/>
                <w:sz w:val="18"/>
              </w:rPr>
              <w:t>32×</w:t>
            </w:r>
          </w:p>
        </w:tc>
        <w:tc>
          <w:tcPr>
            <w:tcW w:type="dxa" w:w="1872"/>
            <w:shd w:val="clear" w:fill="F2F7F7"/>
          </w:tcPr>
          <w:p>
            <w:pPr>
              <w:spacing w:after="20" w:before="20"/>
              <w:jc w:val="center"/>
            </w:pPr>
            <w:r/>
            <w:r>
              <w:rPr>
                <w:rFonts w:ascii="Calibri" w:hAnsi="Calibri"/>
                <w:b w:val="0"/>
                <w:i w:val="0"/>
                <w:color w:val="222222"/>
                <w:sz w:val="18"/>
              </w:rPr>
              <w:t>36×</w:t>
            </w:r>
          </w:p>
        </w:tc>
      </w:tr>
      <w:tr>
        <w:tc>
          <w:tcPr>
            <w:tcW w:type="dxa" w:w="4320"/>
          </w:tcPr>
          <w:p>
            <w:pPr>
              <w:spacing w:after="20" w:before="20"/>
              <w:jc w:val="left"/>
            </w:pPr>
            <w:r/>
            <w:r>
              <w:rPr>
                <w:rFonts w:ascii="Calibri" w:hAnsi="Calibri"/>
                <w:b w:val="0"/>
                <w:i w:val="0"/>
                <w:color w:val="222222"/>
                <w:sz w:val="18"/>
              </w:rPr>
              <w:t>Fair value (USD)</w:t>
            </w:r>
          </w:p>
        </w:tc>
        <w:tc>
          <w:tcPr>
            <w:tcW w:type="dxa" w:w="1872"/>
          </w:tcPr>
          <w:p>
            <w:pPr>
              <w:spacing w:after="20" w:before="20"/>
              <w:jc w:val="center"/>
            </w:pPr>
            <w:r/>
            <w:r>
              <w:rPr>
                <w:rFonts w:ascii="Calibri" w:hAnsi="Calibri"/>
                <w:b w:val="0"/>
                <w:i w:val="0"/>
                <w:color w:val="222222"/>
                <w:sz w:val="18"/>
              </w:rPr>
              <w:t>$213.30</w:t>
            </w:r>
          </w:p>
        </w:tc>
        <w:tc>
          <w:tcPr>
            <w:tcW w:type="dxa" w:w="1872"/>
          </w:tcPr>
          <w:p>
            <w:pPr>
              <w:spacing w:after="20" w:before="20"/>
              <w:jc w:val="center"/>
            </w:pPr>
            <w:r/>
            <w:r>
              <w:rPr>
                <w:rFonts w:ascii="Calibri" w:hAnsi="Calibri"/>
                <w:b w:val="0"/>
                <w:i w:val="0"/>
                <w:color w:val="222222"/>
                <w:sz w:val="18"/>
              </w:rPr>
              <w:t>$252.80</w:t>
            </w:r>
          </w:p>
        </w:tc>
        <w:tc>
          <w:tcPr>
            <w:tcW w:type="dxa" w:w="1872"/>
          </w:tcPr>
          <w:p>
            <w:pPr>
              <w:spacing w:after="20" w:before="20"/>
              <w:jc w:val="center"/>
            </w:pPr>
            <w:r/>
            <w:r>
              <w:rPr>
                <w:rFonts w:ascii="Calibri" w:hAnsi="Calibri"/>
                <w:b w:val="0"/>
                <w:i w:val="0"/>
                <w:color w:val="222222"/>
                <w:sz w:val="18"/>
              </w:rPr>
              <w:t>$284.40</w:t>
            </w:r>
          </w:p>
        </w:tc>
      </w:tr>
    </w:tbl>
    <w:p>
      <w:pPr>
        <w:spacing w:after="40"/>
      </w:pPr>
    </w:p>
    <w:p>
      <w:pPr>
        <w:spacing w:before="160" w:after="40"/>
      </w:pPr>
      <w:r>
        <w:rPr>
          <w:b/>
          <w:color w:val="2A8F8F"/>
          <w:sz w:val="23"/>
        </w:rPr>
        <w:t>1.5  Synthesis — four lenses</w:t>
      </w:r>
    </w:p>
    <w:p>
      <w:pPr>
        <w:spacing w:after="80" w:line="254" w:lineRule="auto"/>
      </w:pPr>
      <w:r>
        <w:rPr>
          <w:color w:val="222222"/>
          <w:sz w:val="20"/>
        </w:rPr>
        <w:t>We weight the consolidated DCF and the relative read at 30% each, and the normalized and segment-SOTP reads at 20% each, giving a weighted central fair value of $207.70 (bear $181.60, bull $243.60). At $313.09 the market sits about 51% above that central estimate — above the top of our base-case range. The football field below shows why we do not average into a point: the cash-flow lenses and the multiple lenses genuinely disagree, and the disagreement is a clean read on how much of the price is durability the explicit model cannot see.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744"/>
            <w:shd w:val="clear" w:fill="2A8F8F"/>
          </w:tcPr>
          <w:p>
            <w:pPr>
              <w:spacing w:after="20" w:before="20"/>
              <w:jc w:val="left"/>
            </w:pPr>
            <w:r/>
            <w:r>
              <w:rPr>
                <w:rFonts w:ascii="Calibri" w:hAnsi="Calibri"/>
                <w:b/>
                <w:i w:val="0"/>
                <w:color w:val="FFFFFF"/>
                <w:sz w:val="18"/>
              </w:rPr>
              <w:t>Lens</w:t>
            </w:r>
          </w:p>
        </w:tc>
        <w:tc>
          <w:tcPr>
            <w:tcW w:type="dxa" w:w="1512"/>
            <w:shd w:val="clear" w:fill="2A8F8F"/>
          </w:tcPr>
          <w:p>
            <w:pPr>
              <w:spacing w:after="20" w:before="20"/>
              <w:jc w:val="center"/>
            </w:pPr>
            <w:r/>
            <w:r>
              <w:rPr>
                <w:rFonts w:ascii="Calibri" w:hAnsi="Calibri"/>
                <w:b/>
                <w:i w:val="0"/>
                <w:color w:val="FFFFFF"/>
                <w:sz w:val="18"/>
              </w:rPr>
              <w:t>Bear</w:t>
            </w:r>
          </w:p>
        </w:tc>
        <w:tc>
          <w:tcPr>
            <w:tcW w:type="dxa" w:w="1512"/>
            <w:shd w:val="clear" w:fill="2A8F8F"/>
          </w:tcPr>
          <w:p>
            <w:pPr>
              <w:spacing w:after="20" w:before="20"/>
              <w:jc w:val="center"/>
            </w:pPr>
            <w:r/>
            <w:r>
              <w:rPr>
                <w:rFonts w:ascii="Calibri" w:hAnsi="Calibri"/>
                <w:b/>
                <w:i w:val="0"/>
                <w:color w:val="FFFFFF"/>
                <w:sz w:val="18"/>
              </w:rPr>
              <w:t>Base</w:t>
            </w:r>
          </w:p>
        </w:tc>
        <w:tc>
          <w:tcPr>
            <w:tcW w:type="dxa" w:w="1512"/>
            <w:shd w:val="clear" w:fill="2A8F8F"/>
          </w:tcPr>
          <w:p>
            <w:pPr>
              <w:spacing w:after="20" w:before="20"/>
              <w:jc w:val="center"/>
            </w:pPr>
            <w:r/>
            <w:r>
              <w:rPr>
                <w:rFonts w:ascii="Calibri" w:hAnsi="Calibri"/>
                <w:b/>
                <w:i w:val="0"/>
                <w:color w:val="FFFFFF"/>
                <w:sz w:val="18"/>
              </w:rPr>
              <w:t>Bull</w:t>
            </w:r>
          </w:p>
        </w:tc>
        <w:tc>
          <w:tcPr>
            <w:tcW w:type="dxa" w:w="1584"/>
            <w:shd w:val="clear" w:fill="2A8F8F"/>
          </w:tcPr>
          <w:p>
            <w:pPr>
              <w:spacing w:after="20" w:before="20"/>
              <w:jc w:val="center"/>
            </w:pPr>
            <w:r/>
            <w:r>
              <w:rPr>
                <w:rFonts w:ascii="Calibri" w:hAnsi="Calibri"/>
                <w:b/>
                <w:i w:val="0"/>
                <w:color w:val="FFFFFF"/>
                <w:sz w:val="18"/>
              </w:rPr>
              <w:t>Weight</w:t>
            </w:r>
          </w:p>
        </w:tc>
      </w:tr>
      <w:tr>
        <w:tc>
          <w:tcPr>
            <w:tcW w:type="dxa" w:w="3744"/>
          </w:tcPr>
          <w:p>
            <w:pPr>
              <w:spacing w:after="20" w:before="20"/>
              <w:jc w:val="left"/>
            </w:pPr>
            <w:r/>
            <w:r>
              <w:rPr>
                <w:rFonts w:ascii="Calibri" w:hAnsi="Calibri"/>
                <w:b w:val="0"/>
                <w:i w:val="0"/>
                <w:color w:val="222222"/>
                <w:sz w:val="18"/>
              </w:rPr>
              <w:t>Consolidated DCF (primary)</w:t>
            </w:r>
          </w:p>
        </w:tc>
        <w:tc>
          <w:tcPr>
            <w:tcW w:type="dxa" w:w="1512"/>
          </w:tcPr>
          <w:p>
            <w:pPr>
              <w:spacing w:after="20" w:before="20"/>
              <w:jc w:val="center"/>
            </w:pPr>
            <w:r/>
            <w:r>
              <w:rPr>
                <w:rFonts w:ascii="Calibri" w:hAnsi="Calibri"/>
                <w:b w:val="0"/>
                <w:i w:val="0"/>
                <w:color w:val="222222"/>
                <w:sz w:val="18"/>
              </w:rPr>
              <w:t>$143</w:t>
            </w:r>
          </w:p>
        </w:tc>
        <w:tc>
          <w:tcPr>
            <w:tcW w:type="dxa" w:w="1512"/>
          </w:tcPr>
          <w:p>
            <w:pPr>
              <w:spacing w:after="20" w:before="20"/>
              <w:jc w:val="center"/>
            </w:pPr>
            <w:r/>
            <w:r>
              <w:rPr>
                <w:rFonts w:ascii="Calibri" w:hAnsi="Calibri"/>
                <w:b w:val="0"/>
                <w:i w:val="0"/>
                <w:color w:val="222222"/>
                <w:sz w:val="18"/>
              </w:rPr>
              <w:t>$152</w:t>
            </w:r>
          </w:p>
        </w:tc>
        <w:tc>
          <w:tcPr>
            <w:tcW w:type="dxa" w:w="1512"/>
          </w:tcPr>
          <w:p>
            <w:pPr>
              <w:spacing w:after="20" w:before="20"/>
              <w:jc w:val="center"/>
            </w:pPr>
            <w:r/>
            <w:r>
              <w:rPr>
                <w:rFonts w:ascii="Calibri" w:hAnsi="Calibri"/>
                <w:b w:val="0"/>
                <w:i w:val="0"/>
                <w:color w:val="222222"/>
                <w:sz w:val="18"/>
              </w:rPr>
              <w:t>$200</w:t>
            </w:r>
          </w:p>
        </w:tc>
        <w:tc>
          <w:tcPr>
            <w:tcW w:type="dxa" w:w="1584"/>
          </w:tcPr>
          <w:p>
            <w:pPr>
              <w:spacing w:after="20" w:before="20"/>
              <w:jc w:val="center"/>
            </w:pPr>
            <w:r/>
            <w:r>
              <w:rPr>
                <w:rFonts w:ascii="Calibri" w:hAnsi="Calibri"/>
                <w:b w:val="0"/>
                <w:i w:val="0"/>
                <w:color w:val="222222"/>
                <w:sz w:val="18"/>
              </w:rPr>
              <w:t>30%</w:t>
            </w:r>
          </w:p>
        </w:tc>
      </w:tr>
      <w:tr>
        <w:tc>
          <w:tcPr>
            <w:tcW w:type="dxa" w:w="3744"/>
            <w:shd w:val="clear" w:fill="F2F7F7"/>
          </w:tcPr>
          <w:p>
            <w:pPr>
              <w:spacing w:after="20" w:before="20"/>
              <w:jc w:val="left"/>
            </w:pPr>
            <w:r/>
            <w:r>
              <w:rPr>
                <w:rFonts w:ascii="Calibri" w:hAnsi="Calibri"/>
                <w:b w:val="0"/>
                <w:i w:val="0"/>
                <w:color w:val="222222"/>
                <w:sz w:val="18"/>
              </w:rPr>
              <w:t>Relative multiples</w:t>
            </w:r>
          </w:p>
        </w:tc>
        <w:tc>
          <w:tcPr>
            <w:tcW w:type="dxa" w:w="1512"/>
            <w:shd w:val="clear" w:fill="F2F7F7"/>
          </w:tcPr>
          <w:p>
            <w:pPr>
              <w:spacing w:after="20" w:before="20"/>
              <w:jc w:val="center"/>
            </w:pPr>
            <w:r/>
            <w:r>
              <w:rPr>
                <w:rFonts w:ascii="Calibri" w:hAnsi="Calibri"/>
                <w:b w:val="0"/>
                <w:i w:val="0"/>
                <w:color w:val="222222"/>
                <w:sz w:val="18"/>
              </w:rPr>
              <w:t>$216</w:t>
            </w:r>
          </w:p>
        </w:tc>
        <w:tc>
          <w:tcPr>
            <w:tcW w:type="dxa" w:w="1512"/>
            <w:shd w:val="clear" w:fill="F2F7F7"/>
          </w:tcPr>
          <w:p>
            <w:pPr>
              <w:spacing w:after="20" w:before="20"/>
              <w:jc w:val="center"/>
            </w:pPr>
            <w:r/>
            <w:r>
              <w:rPr>
                <w:rFonts w:ascii="Calibri" w:hAnsi="Calibri"/>
                <w:b w:val="0"/>
                <w:i w:val="0"/>
                <w:color w:val="222222"/>
                <w:sz w:val="18"/>
              </w:rPr>
              <w:t>$249</w:t>
            </w:r>
          </w:p>
        </w:tc>
        <w:tc>
          <w:tcPr>
            <w:tcW w:type="dxa" w:w="1512"/>
            <w:shd w:val="clear" w:fill="F2F7F7"/>
          </w:tcPr>
          <w:p>
            <w:pPr>
              <w:spacing w:after="20" w:before="20"/>
              <w:jc w:val="center"/>
            </w:pPr>
            <w:r/>
            <w:r>
              <w:rPr>
                <w:rFonts w:ascii="Calibri" w:hAnsi="Calibri"/>
                <w:b w:val="0"/>
                <w:i w:val="0"/>
                <w:color w:val="222222"/>
                <w:sz w:val="18"/>
              </w:rPr>
              <w:t>$282</w:t>
            </w:r>
          </w:p>
        </w:tc>
        <w:tc>
          <w:tcPr>
            <w:tcW w:type="dxa" w:w="1584"/>
            <w:shd w:val="clear" w:fill="F2F7F7"/>
          </w:tcPr>
          <w:p>
            <w:pPr>
              <w:spacing w:after="20" w:before="20"/>
              <w:jc w:val="center"/>
            </w:pPr>
            <w:r/>
            <w:r>
              <w:rPr>
                <w:rFonts w:ascii="Calibri" w:hAnsi="Calibri"/>
                <w:b w:val="0"/>
                <w:i w:val="0"/>
                <w:color w:val="222222"/>
                <w:sz w:val="18"/>
              </w:rPr>
              <w:t>30%</w:t>
            </w:r>
          </w:p>
        </w:tc>
      </w:tr>
      <w:tr>
        <w:tc>
          <w:tcPr>
            <w:tcW w:type="dxa" w:w="3744"/>
          </w:tcPr>
          <w:p>
            <w:pPr>
              <w:spacing w:after="20" w:before="20"/>
              <w:jc w:val="left"/>
            </w:pPr>
            <w:r/>
            <w:r>
              <w:rPr>
                <w:rFonts w:ascii="Calibri" w:hAnsi="Calibri"/>
                <w:b w:val="0"/>
                <w:i w:val="0"/>
                <w:color w:val="222222"/>
                <w:sz w:val="18"/>
              </w:rPr>
              <w:t>Normalized earnings</w:t>
            </w:r>
          </w:p>
        </w:tc>
        <w:tc>
          <w:tcPr>
            <w:tcW w:type="dxa" w:w="1512"/>
          </w:tcPr>
          <w:p>
            <w:pPr>
              <w:spacing w:after="20" w:before="20"/>
              <w:jc w:val="center"/>
            </w:pPr>
            <w:r/>
            <w:r>
              <w:rPr>
                <w:rFonts w:ascii="Calibri" w:hAnsi="Calibri"/>
                <w:b w:val="0"/>
                <w:i w:val="0"/>
                <w:color w:val="222222"/>
                <w:sz w:val="18"/>
              </w:rPr>
              <w:t>$213</w:t>
            </w:r>
          </w:p>
        </w:tc>
        <w:tc>
          <w:tcPr>
            <w:tcW w:type="dxa" w:w="1512"/>
          </w:tcPr>
          <w:p>
            <w:pPr>
              <w:spacing w:after="20" w:before="20"/>
              <w:jc w:val="center"/>
            </w:pPr>
            <w:r/>
            <w:r>
              <w:rPr>
                <w:rFonts w:ascii="Calibri" w:hAnsi="Calibri"/>
                <w:b w:val="0"/>
                <w:i w:val="0"/>
                <w:color w:val="222222"/>
                <w:sz w:val="18"/>
              </w:rPr>
              <w:t>$253</w:t>
            </w:r>
          </w:p>
        </w:tc>
        <w:tc>
          <w:tcPr>
            <w:tcW w:type="dxa" w:w="1512"/>
          </w:tcPr>
          <w:p>
            <w:pPr>
              <w:spacing w:after="20" w:before="20"/>
              <w:jc w:val="center"/>
            </w:pPr>
            <w:r/>
            <w:r>
              <w:rPr>
                <w:rFonts w:ascii="Calibri" w:hAnsi="Calibri"/>
                <w:b w:val="0"/>
                <w:i w:val="0"/>
                <w:color w:val="222222"/>
                <w:sz w:val="18"/>
              </w:rPr>
              <w:t>$284</w:t>
            </w:r>
          </w:p>
        </w:tc>
        <w:tc>
          <w:tcPr>
            <w:tcW w:type="dxa" w:w="1584"/>
          </w:tcPr>
          <w:p>
            <w:pPr>
              <w:spacing w:after="20" w:before="20"/>
              <w:jc w:val="center"/>
            </w:pPr>
            <w:r/>
            <w:r>
              <w:rPr>
                <w:rFonts w:ascii="Calibri" w:hAnsi="Calibri"/>
                <w:b w:val="0"/>
                <w:i w:val="0"/>
                <w:color w:val="222222"/>
                <w:sz w:val="18"/>
              </w:rPr>
              <w:t>20%</w:t>
            </w:r>
          </w:p>
        </w:tc>
      </w:tr>
      <w:tr>
        <w:tc>
          <w:tcPr>
            <w:tcW w:type="dxa" w:w="3744"/>
            <w:shd w:val="clear" w:fill="F2F7F7"/>
          </w:tcPr>
          <w:p>
            <w:pPr>
              <w:spacing w:after="20" w:before="20"/>
              <w:jc w:val="left"/>
            </w:pPr>
            <w:r/>
            <w:r>
              <w:rPr>
                <w:rFonts w:ascii="Calibri" w:hAnsi="Calibri"/>
                <w:b w:val="0"/>
                <w:i w:val="0"/>
                <w:color w:val="222222"/>
                <w:sz w:val="18"/>
              </w:rPr>
              <w:t>Segment sum-of-the-parts</w:t>
            </w:r>
          </w:p>
        </w:tc>
        <w:tc>
          <w:tcPr>
            <w:tcW w:type="dxa" w:w="1512"/>
            <w:shd w:val="clear" w:fill="F2F7F7"/>
          </w:tcPr>
          <w:p>
            <w:pPr>
              <w:spacing w:after="20" w:before="20"/>
              <w:jc w:val="center"/>
            </w:pPr>
            <w:r/>
            <w:r>
              <w:rPr>
                <w:rFonts w:ascii="Calibri" w:hAnsi="Calibri"/>
                <w:b w:val="0"/>
                <w:i w:val="0"/>
                <w:color w:val="222222"/>
                <w:sz w:val="18"/>
              </w:rPr>
              <w:t>$157</w:t>
            </w:r>
          </w:p>
        </w:tc>
        <w:tc>
          <w:tcPr>
            <w:tcW w:type="dxa" w:w="1512"/>
            <w:shd w:val="clear" w:fill="F2F7F7"/>
          </w:tcPr>
          <w:p>
            <w:pPr>
              <w:spacing w:after="20" w:before="20"/>
              <w:jc w:val="center"/>
            </w:pPr>
            <w:r/>
            <w:r>
              <w:rPr>
                <w:rFonts w:ascii="Calibri" w:hAnsi="Calibri"/>
                <w:b w:val="0"/>
                <w:i w:val="0"/>
                <w:color w:val="222222"/>
                <w:sz w:val="18"/>
              </w:rPr>
              <w:t>$184</w:t>
            </w:r>
          </w:p>
        </w:tc>
        <w:tc>
          <w:tcPr>
            <w:tcW w:type="dxa" w:w="1512"/>
            <w:shd w:val="clear" w:fill="F2F7F7"/>
          </w:tcPr>
          <w:p>
            <w:pPr>
              <w:spacing w:after="20" w:before="20"/>
              <w:jc w:val="center"/>
            </w:pPr>
            <w:r/>
            <w:r>
              <w:rPr>
                <w:rFonts w:ascii="Calibri" w:hAnsi="Calibri"/>
                <w:b w:val="0"/>
                <w:i w:val="0"/>
                <w:color w:val="222222"/>
                <w:sz w:val="18"/>
              </w:rPr>
              <w:t>$211</w:t>
            </w:r>
          </w:p>
        </w:tc>
        <w:tc>
          <w:tcPr>
            <w:tcW w:type="dxa" w:w="1584"/>
            <w:shd w:val="clear" w:fill="F2F7F7"/>
          </w:tcPr>
          <w:p>
            <w:pPr>
              <w:spacing w:after="20" w:before="20"/>
              <w:jc w:val="center"/>
            </w:pPr>
            <w:r/>
            <w:r>
              <w:rPr>
                <w:rFonts w:ascii="Calibri" w:hAnsi="Calibri"/>
                <w:b w:val="0"/>
                <w:i w:val="0"/>
                <w:color w:val="222222"/>
                <w:sz w:val="18"/>
              </w:rPr>
              <w:t>20%</w:t>
            </w:r>
          </w:p>
        </w:tc>
      </w:tr>
      <w:tr>
        <w:tc>
          <w:tcPr>
            <w:tcW w:type="dxa" w:w="3744"/>
            <w:shd w:val="clear" w:fill="DCE9E9"/>
          </w:tcPr>
          <w:p>
            <w:pPr>
              <w:spacing w:after="20" w:before="20"/>
              <w:jc w:val="left"/>
            </w:pPr>
            <w:r/>
            <w:r>
              <w:rPr>
                <w:rFonts w:ascii="Calibri" w:hAnsi="Calibri"/>
                <w:b/>
                <w:i w:val="0"/>
                <w:color w:val="222222"/>
                <w:sz w:val="18"/>
              </w:rPr>
              <w:t>Weighted central</w:t>
            </w:r>
          </w:p>
        </w:tc>
        <w:tc>
          <w:tcPr>
            <w:tcW w:type="dxa" w:w="1512"/>
            <w:shd w:val="clear" w:fill="DCE9E9"/>
          </w:tcPr>
          <w:p>
            <w:pPr>
              <w:spacing w:after="20" w:before="20"/>
              <w:jc w:val="center"/>
            </w:pPr>
            <w:r/>
            <w:r>
              <w:rPr>
                <w:rFonts w:ascii="Calibri" w:hAnsi="Calibri"/>
                <w:b/>
                <w:i w:val="0"/>
                <w:color w:val="222222"/>
                <w:sz w:val="18"/>
              </w:rPr>
              <w:t>$182</w:t>
            </w:r>
          </w:p>
        </w:tc>
        <w:tc>
          <w:tcPr>
            <w:tcW w:type="dxa" w:w="1512"/>
            <w:shd w:val="clear" w:fill="DCE9E9"/>
          </w:tcPr>
          <w:p>
            <w:pPr>
              <w:spacing w:after="20" w:before="20"/>
              <w:jc w:val="center"/>
            </w:pPr>
            <w:r/>
            <w:r>
              <w:rPr>
                <w:rFonts w:ascii="Calibri" w:hAnsi="Calibri"/>
                <w:b/>
                <w:i w:val="0"/>
                <w:color w:val="222222"/>
                <w:sz w:val="18"/>
              </w:rPr>
              <w:t>$208</w:t>
            </w:r>
          </w:p>
        </w:tc>
        <w:tc>
          <w:tcPr>
            <w:tcW w:type="dxa" w:w="1512"/>
            <w:shd w:val="clear" w:fill="DCE9E9"/>
          </w:tcPr>
          <w:p>
            <w:pPr>
              <w:spacing w:after="20" w:before="20"/>
              <w:jc w:val="center"/>
            </w:pPr>
            <w:r/>
            <w:r>
              <w:rPr>
                <w:rFonts w:ascii="Calibri" w:hAnsi="Calibri"/>
                <w:b/>
                <w:i w:val="0"/>
                <w:color w:val="222222"/>
                <w:sz w:val="18"/>
              </w:rPr>
              <w:t>$244</w:t>
            </w:r>
          </w:p>
        </w:tc>
        <w:tc>
          <w:tcPr>
            <w:tcW w:type="dxa" w:w="1584"/>
            <w:shd w:val="clear" w:fill="DCE9E9"/>
          </w:tcPr>
          <w:p>
            <w:pPr>
              <w:spacing w:after="20" w:before="20"/>
              <w:jc w:val="center"/>
            </w:pPr>
            <w:r/>
            <w:r>
              <w:rPr>
                <w:rFonts w:ascii="Calibri" w:hAnsi="Calibri"/>
                <w:b/>
                <w:i w:val="0"/>
                <w:color w:val="222222"/>
                <w:sz w:val="18"/>
              </w:rPr>
              <w:t>100%</w:t>
            </w:r>
          </w:p>
        </w:tc>
      </w:tr>
    </w:tbl>
    <w:p>
      <w:pPr>
        <w:spacing w:after="40"/>
      </w:pPr>
    </w:p>
    <w:p>
      <w:pPr>
        <w:jc w:val="center"/>
      </w:pPr>
      <w:r>
        <w:drawing>
          <wp:inline xmlns:a="http://schemas.openxmlformats.org/drawingml/2006/main" xmlns:pic="http://schemas.openxmlformats.org/drawingml/2006/picture">
            <wp:extent cx="5943600" cy="2873241"/>
            <wp:docPr id="2" name="Picture 2"/>
            <wp:cNvGraphicFramePr>
              <a:graphicFrameLocks noChangeAspect="1"/>
            </wp:cNvGraphicFramePr>
            <a:graphic>
              <a:graphicData uri="http://schemas.openxmlformats.org/drawingml/2006/picture">
                <pic:pic>
                  <pic:nvPicPr>
                    <pic:cNvPr id="0" name="football_AAPL.png"/>
                    <pic:cNvPicPr/>
                  </pic:nvPicPr>
                  <pic:blipFill>
                    <a:blip r:embed="rId10"/>
                    <a:stretch>
                      <a:fillRect/>
                    </a:stretch>
                  </pic:blipFill>
                  <pic:spPr>
                    <a:xfrm>
                      <a:off x="0" y="0"/>
                      <a:ext cx="5943600" cy="2873241"/>
                    </a:xfrm>
                    <a:prstGeom prst="rect"/>
                  </pic:spPr>
                </pic:pic>
              </a:graphicData>
            </a:graphic>
          </wp:inline>
        </w:drawing>
      </w:r>
    </w:p>
    <w:p>
      <w:pPr>
        <w:spacing w:after="120"/>
        <w:jc w:val="center"/>
      </w:pPr>
      <w:r>
        <w:rPr>
          <w:i/>
          <w:color w:val="2A8F8F"/>
          <w:sz w:val="17"/>
        </w:rPr>
        <w:t>Valuation football field — four lenses, bear–base–bull, with the weighted-central band and spot. Spot sits above the base-case range.</w:t>
      </w:r>
    </w:p>
    <w:p>
      <w:pPr>
        <w:spacing w:before="160" w:after="40"/>
      </w:pPr>
      <w:r>
        <w:rPr>
          <w:b/>
          <w:color w:val="2A8F8F"/>
          <w:sz w:val="23"/>
        </w:rPr>
        <w:t>1.6  The segments — a deeper look, with scorecard</w:t>
      </w:r>
    </w:p>
    <w:p>
      <w:pPr>
        <w:spacing w:after="80" w:line="254" w:lineRule="auto"/>
      </w:pPr>
      <w:r>
        <w:rPr>
          <w:color w:val="222222"/>
          <w:sz w:val="20"/>
        </w:rPr>
        <w:t>The value question is really a Services question layered on a stable hardware base. The scorecard frames where each engine sits and what it contributes to the forecast.</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val="clear" w:fill="2A8F8F"/>
          </w:tcPr>
          <w:p>
            <w:pPr>
              <w:spacing w:after="20" w:before="20"/>
              <w:jc w:val="left"/>
            </w:pPr>
            <w:r/>
            <w:r>
              <w:rPr>
                <w:rFonts w:ascii="Calibri" w:hAnsi="Calibri"/>
                <w:b/>
                <w:i w:val="0"/>
                <w:color w:val="FFFFFF"/>
                <w:sz w:val="18"/>
              </w:rPr>
              <w:t>Segment</w:t>
            </w:r>
          </w:p>
        </w:tc>
        <w:tc>
          <w:tcPr>
            <w:tcW w:type="dxa" w:w="1728"/>
            <w:shd w:val="clear" w:fill="2A8F8F"/>
          </w:tcPr>
          <w:p>
            <w:pPr>
              <w:spacing w:after="20" w:before="20"/>
              <w:jc w:val="center"/>
            </w:pPr>
            <w:r/>
            <w:r>
              <w:rPr>
                <w:rFonts w:ascii="Calibri" w:hAnsi="Calibri"/>
                <w:b/>
                <w:i w:val="0"/>
                <w:color w:val="FFFFFF"/>
                <w:sz w:val="18"/>
              </w:rPr>
              <w:t>FY25 revenue</w:t>
            </w:r>
          </w:p>
        </w:tc>
        <w:tc>
          <w:tcPr>
            <w:tcW w:type="dxa" w:w="1872"/>
            <w:shd w:val="clear" w:fill="2A8F8F"/>
          </w:tcPr>
          <w:p>
            <w:pPr>
              <w:spacing w:after="20" w:before="20"/>
              <w:jc w:val="center"/>
            </w:pPr>
            <w:r/>
            <w:r>
              <w:rPr>
                <w:rFonts w:ascii="Calibri" w:hAnsi="Calibri"/>
                <w:b/>
                <w:i w:val="0"/>
                <w:color w:val="FFFFFF"/>
                <w:sz w:val="18"/>
              </w:rPr>
              <w:t>5-yr growth (CAGR)</w:t>
            </w:r>
          </w:p>
        </w:tc>
        <w:tc>
          <w:tcPr>
            <w:tcW w:type="dxa" w:w="3312"/>
            <w:shd w:val="clear" w:fill="2A8F8F"/>
          </w:tcPr>
          <w:p>
            <w:pPr>
              <w:spacing w:after="20" w:before="20"/>
              <w:jc w:val="center"/>
            </w:pPr>
            <w:r/>
            <w:r>
              <w:rPr>
                <w:rFonts w:ascii="Calibri" w:hAnsi="Calibri"/>
                <w:b/>
                <w:i w:val="0"/>
                <w:color w:val="FFFFFF"/>
                <w:sz w:val="18"/>
              </w:rPr>
              <w:t>Role in the thesis</w:t>
            </w:r>
          </w:p>
        </w:tc>
        <w:tc>
          <w:tcPr>
            <w:tcW w:type="dxa" w:w="2160"/>
            <w:shd w:val="clear" w:fill="2A8F8F"/>
          </w:tcPr>
          <w:p>
            <w:pPr>
              <w:spacing w:after="20" w:before="20"/>
              <w:jc w:val="center"/>
            </w:pPr>
            <w:r/>
            <w:r>
              <w:rPr>
                <w:rFonts w:ascii="Calibri" w:hAnsi="Calibri"/>
                <w:b/>
                <w:i w:val="0"/>
                <w:color w:val="FFFFFF"/>
                <w:sz w:val="18"/>
              </w:rPr>
              <w:t>Cycle read</w:t>
            </w:r>
          </w:p>
        </w:tc>
      </w:tr>
      <w:tr>
        <w:tc>
          <w:tcPr>
            <w:tcW w:type="dxa" w:w="1872"/>
          </w:tcPr>
          <w:p>
            <w:pPr>
              <w:spacing w:after="20" w:before="20"/>
              <w:jc w:val="left"/>
            </w:pPr>
            <w:r/>
            <w:r>
              <w:rPr>
                <w:rFonts w:ascii="Calibri" w:hAnsi="Calibri"/>
                <w:b w:val="0"/>
                <w:i w:val="0"/>
                <w:color w:val="222222"/>
                <w:sz w:val="17"/>
              </w:rPr>
              <w:t>iPhone</w:t>
            </w:r>
          </w:p>
        </w:tc>
        <w:tc>
          <w:tcPr>
            <w:tcW w:type="dxa" w:w="1728"/>
          </w:tcPr>
          <w:p>
            <w:pPr>
              <w:spacing w:after="20" w:before="20"/>
              <w:jc w:val="center"/>
            </w:pPr>
            <w:r/>
            <w:r>
              <w:rPr>
                <w:rFonts w:ascii="Calibri" w:hAnsi="Calibri"/>
                <w:b w:val="0"/>
                <w:i w:val="0"/>
                <w:color w:val="222222"/>
                <w:sz w:val="17"/>
              </w:rPr>
              <w:t>$210 bn</w:t>
            </w:r>
          </w:p>
        </w:tc>
        <w:tc>
          <w:tcPr>
            <w:tcW w:type="dxa" w:w="1872"/>
          </w:tcPr>
          <w:p>
            <w:pPr>
              <w:spacing w:after="20" w:before="20"/>
              <w:jc w:val="center"/>
            </w:pPr>
            <w:r/>
            <w:r>
              <w:rPr>
                <w:rFonts w:ascii="Calibri" w:hAnsi="Calibri"/>
                <w:b w:val="0"/>
                <w:i w:val="0"/>
                <w:color w:val="222222"/>
                <w:sz w:val="17"/>
              </w:rPr>
              <w:t>low-single</w:t>
            </w:r>
          </w:p>
        </w:tc>
        <w:tc>
          <w:tcPr>
            <w:tcW w:type="dxa" w:w="3312"/>
          </w:tcPr>
          <w:p>
            <w:pPr>
              <w:spacing w:after="20" w:before="20"/>
              <w:jc w:val="center"/>
            </w:pPr>
            <w:r/>
            <w:r>
              <w:rPr>
                <w:rFonts w:ascii="Calibri" w:hAnsi="Calibri"/>
                <w:b w:val="0"/>
                <w:i w:val="0"/>
                <w:color w:val="222222"/>
                <w:sz w:val="17"/>
              </w:rPr>
              <w:t>The volume anchor and Services funnel</w:t>
            </w:r>
          </w:p>
        </w:tc>
        <w:tc>
          <w:tcPr>
            <w:tcW w:type="dxa" w:w="2160"/>
          </w:tcPr>
          <w:p>
            <w:pPr>
              <w:spacing w:after="20" w:before="20"/>
              <w:jc w:val="center"/>
            </w:pPr>
            <w:r/>
            <w:r>
              <w:rPr>
                <w:rFonts w:ascii="Calibri" w:hAnsi="Calibri"/>
                <w:b w:val="0"/>
                <w:i w:val="0"/>
                <w:color w:val="222222"/>
                <w:sz w:val="17"/>
              </w:rPr>
              <w:t>Mid-cycle; AI upgrade optionality</w:t>
            </w:r>
          </w:p>
        </w:tc>
      </w:tr>
      <w:tr>
        <w:tc>
          <w:tcPr>
            <w:tcW w:type="dxa" w:w="1872"/>
            <w:shd w:val="clear" w:fill="F2F7F7"/>
          </w:tcPr>
          <w:p>
            <w:pPr>
              <w:spacing w:after="20" w:before="20"/>
              <w:jc w:val="left"/>
            </w:pPr>
            <w:r/>
            <w:r>
              <w:rPr>
                <w:rFonts w:ascii="Calibri" w:hAnsi="Calibri"/>
                <w:b w:val="0"/>
                <w:i w:val="0"/>
                <w:color w:val="222222"/>
                <w:sz w:val="17"/>
              </w:rPr>
              <w:t>Mac</w:t>
            </w:r>
          </w:p>
        </w:tc>
        <w:tc>
          <w:tcPr>
            <w:tcW w:type="dxa" w:w="1728"/>
            <w:shd w:val="clear" w:fill="F2F7F7"/>
          </w:tcPr>
          <w:p>
            <w:pPr>
              <w:spacing w:after="20" w:before="20"/>
              <w:jc w:val="center"/>
            </w:pPr>
            <w:r/>
            <w:r>
              <w:rPr>
                <w:rFonts w:ascii="Calibri" w:hAnsi="Calibri"/>
                <w:b w:val="0"/>
                <w:i w:val="0"/>
                <w:color w:val="222222"/>
                <w:sz w:val="17"/>
              </w:rPr>
              <w:t>$34 bn</w:t>
            </w:r>
          </w:p>
        </w:tc>
        <w:tc>
          <w:tcPr>
            <w:tcW w:type="dxa" w:w="1872"/>
            <w:shd w:val="clear" w:fill="F2F7F7"/>
          </w:tcPr>
          <w:p>
            <w:pPr>
              <w:spacing w:after="20" w:before="20"/>
              <w:jc w:val="center"/>
            </w:pPr>
            <w:r/>
            <w:r>
              <w:rPr>
                <w:rFonts w:ascii="Calibri" w:hAnsi="Calibri"/>
                <w:b w:val="0"/>
                <w:i w:val="0"/>
                <w:color w:val="222222"/>
                <w:sz w:val="17"/>
              </w:rPr>
              <w:t>mid-single</w:t>
            </w:r>
          </w:p>
        </w:tc>
        <w:tc>
          <w:tcPr>
            <w:tcW w:type="dxa" w:w="3312"/>
            <w:shd w:val="clear" w:fill="F2F7F7"/>
          </w:tcPr>
          <w:p>
            <w:pPr>
              <w:spacing w:after="20" w:before="20"/>
              <w:jc w:val="center"/>
            </w:pPr>
            <w:r/>
            <w:r>
              <w:rPr>
                <w:rFonts w:ascii="Calibri" w:hAnsi="Calibri"/>
                <w:b w:val="0"/>
                <w:i w:val="0"/>
                <w:color w:val="222222"/>
                <w:sz w:val="17"/>
              </w:rPr>
              <w:t>Silicon-led share gains</w:t>
            </w:r>
          </w:p>
        </w:tc>
        <w:tc>
          <w:tcPr>
            <w:tcW w:type="dxa" w:w="2160"/>
            <w:shd w:val="clear" w:fill="F2F7F7"/>
          </w:tcPr>
          <w:p>
            <w:pPr>
              <w:spacing w:after="20" w:before="20"/>
              <w:jc w:val="center"/>
            </w:pPr>
            <w:r/>
            <w:r>
              <w:rPr>
                <w:rFonts w:ascii="Calibri" w:hAnsi="Calibri"/>
                <w:b w:val="0"/>
                <w:i w:val="0"/>
                <w:color w:val="222222"/>
                <w:sz w:val="17"/>
              </w:rPr>
              <w:t>Stable</w:t>
            </w:r>
          </w:p>
        </w:tc>
      </w:tr>
      <w:tr>
        <w:tc>
          <w:tcPr>
            <w:tcW w:type="dxa" w:w="1872"/>
          </w:tcPr>
          <w:p>
            <w:pPr>
              <w:spacing w:after="20" w:before="20"/>
              <w:jc w:val="left"/>
            </w:pPr>
            <w:r/>
            <w:r>
              <w:rPr>
                <w:rFonts w:ascii="Calibri" w:hAnsi="Calibri"/>
                <w:b w:val="0"/>
                <w:i w:val="0"/>
                <w:color w:val="222222"/>
                <w:sz w:val="17"/>
              </w:rPr>
              <w:t>iPad</w:t>
            </w:r>
          </w:p>
        </w:tc>
        <w:tc>
          <w:tcPr>
            <w:tcW w:type="dxa" w:w="1728"/>
          </w:tcPr>
          <w:p>
            <w:pPr>
              <w:spacing w:after="20" w:before="20"/>
              <w:jc w:val="center"/>
            </w:pPr>
            <w:r/>
            <w:r>
              <w:rPr>
                <w:rFonts w:ascii="Calibri" w:hAnsi="Calibri"/>
                <w:b w:val="0"/>
                <w:i w:val="0"/>
                <w:color w:val="222222"/>
                <w:sz w:val="17"/>
              </w:rPr>
              <w:t>$28 bn</w:t>
            </w:r>
          </w:p>
        </w:tc>
        <w:tc>
          <w:tcPr>
            <w:tcW w:type="dxa" w:w="1872"/>
          </w:tcPr>
          <w:p>
            <w:pPr>
              <w:spacing w:after="20" w:before="20"/>
              <w:jc w:val="center"/>
            </w:pPr>
            <w:r/>
            <w:r>
              <w:rPr>
                <w:rFonts w:ascii="Calibri" w:hAnsi="Calibri"/>
                <w:b w:val="0"/>
                <w:i w:val="0"/>
                <w:color w:val="222222"/>
                <w:sz w:val="17"/>
              </w:rPr>
              <w:t>low-single</w:t>
            </w:r>
          </w:p>
        </w:tc>
        <w:tc>
          <w:tcPr>
            <w:tcW w:type="dxa" w:w="3312"/>
          </w:tcPr>
          <w:p>
            <w:pPr>
              <w:spacing w:after="20" w:before="20"/>
              <w:jc w:val="center"/>
            </w:pPr>
            <w:r/>
            <w:r>
              <w:rPr>
                <w:rFonts w:ascii="Calibri" w:hAnsi="Calibri"/>
                <w:b w:val="0"/>
                <w:i w:val="0"/>
                <w:color w:val="222222"/>
                <w:sz w:val="17"/>
              </w:rPr>
              <w:t>Mature, cash-generative</w:t>
            </w:r>
          </w:p>
        </w:tc>
        <w:tc>
          <w:tcPr>
            <w:tcW w:type="dxa" w:w="2160"/>
          </w:tcPr>
          <w:p>
            <w:pPr>
              <w:spacing w:after="20" w:before="20"/>
              <w:jc w:val="center"/>
            </w:pPr>
            <w:r/>
            <w:r>
              <w:rPr>
                <w:rFonts w:ascii="Calibri" w:hAnsi="Calibri"/>
                <w:b w:val="0"/>
                <w:i w:val="0"/>
                <w:color w:val="222222"/>
                <w:sz w:val="17"/>
              </w:rPr>
              <w:t>Mature</w:t>
            </w:r>
          </w:p>
        </w:tc>
      </w:tr>
      <w:tr>
        <w:tc>
          <w:tcPr>
            <w:tcW w:type="dxa" w:w="1872"/>
            <w:shd w:val="clear" w:fill="F2F7F7"/>
          </w:tcPr>
          <w:p>
            <w:pPr>
              <w:spacing w:after="20" w:before="20"/>
              <w:jc w:val="left"/>
            </w:pPr>
            <w:r/>
            <w:r>
              <w:rPr>
                <w:rFonts w:ascii="Calibri" w:hAnsi="Calibri"/>
                <w:b w:val="0"/>
                <w:i w:val="0"/>
                <w:color w:val="222222"/>
                <w:sz w:val="17"/>
              </w:rPr>
              <w:t>Wearables</w:t>
            </w:r>
          </w:p>
        </w:tc>
        <w:tc>
          <w:tcPr>
            <w:tcW w:type="dxa" w:w="1728"/>
            <w:shd w:val="clear" w:fill="F2F7F7"/>
          </w:tcPr>
          <w:p>
            <w:pPr>
              <w:spacing w:after="20" w:before="20"/>
              <w:jc w:val="center"/>
            </w:pPr>
            <w:r/>
            <w:r>
              <w:rPr>
                <w:rFonts w:ascii="Calibri" w:hAnsi="Calibri"/>
                <w:b w:val="0"/>
                <w:i w:val="0"/>
                <w:color w:val="222222"/>
                <w:sz w:val="17"/>
              </w:rPr>
              <w:t>$36 bn</w:t>
            </w:r>
          </w:p>
        </w:tc>
        <w:tc>
          <w:tcPr>
            <w:tcW w:type="dxa" w:w="1872"/>
            <w:shd w:val="clear" w:fill="F2F7F7"/>
          </w:tcPr>
          <w:p>
            <w:pPr>
              <w:spacing w:after="20" w:before="20"/>
              <w:jc w:val="center"/>
            </w:pPr>
            <w:r/>
            <w:r>
              <w:rPr>
                <w:rFonts w:ascii="Calibri" w:hAnsi="Calibri"/>
                <w:b w:val="0"/>
                <w:i w:val="0"/>
                <w:color w:val="222222"/>
                <w:sz w:val="17"/>
              </w:rPr>
              <w:t>low-single</w:t>
            </w:r>
          </w:p>
        </w:tc>
        <w:tc>
          <w:tcPr>
            <w:tcW w:type="dxa" w:w="3312"/>
            <w:shd w:val="clear" w:fill="F2F7F7"/>
          </w:tcPr>
          <w:p>
            <w:pPr>
              <w:spacing w:after="20" w:before="20"/>
              <w:jc w:val="center"/>
            </w:pPr>
            <w:r/>
            <w:r>
              <w:rPr>
                <w:rFonts w:ascii="Calibri" w:hAnsi="Calibri"/>
                <w:b w:val="0"/>
                <w:i w:val="0"/>
                <w:color w:val="222222"/>
                <w:sz w:val="17"/>
              </w:rPr>
              <w:t>Ecosystem lock-in</w:t>
            </w:r>
          </w:p>
        </w:tc>
        <w:tc>
          <w:tcPr>
            <w:tcW w:type="dxa" w:w="2160"/>
            <w:shd w:val="clear" w:fill="F2F7F7"/>
          </w:tcPr>
          <w:p>
            <w:pPr>
              <w:spacing w:after="20" w:before="20"/>
              <w:jc w:val="center"/>
            </w:pPr>
            <w:r/>
            <w:r>
              <w:rPr>
                <w:rFonts w:ascii="Calibri" w:hAnsi="Calibri"/>
                <w:b w:val="0"/>
                <w:i w:val="0"/>
                <w:color w:val="222222"/>
                <w:sz w:val="17"/>
              </w:rPr>
              <w:t>Soft, awaiting a new category</w:t>
            </w:r>
          </w:p>
        </w:tc>
      </w:tr>
      <w:tr>
        <w:tc>
          <w:tcPr>
            <w:tcW w:type="dxa" w:w="1872"/>
          </w:tcPr>
          <w:p>
            <w:pPr>
              <w:spacing w:after="20" w:before="20"/>
              <w:jc w:val="left"/>
            </w:pPr>
            <w:r/>
            <w:r>
              <w:rPr>
                <w:rFonts w:ascii="Calibri" w:hAnsi="Calibri"/>
                <w:b w:val="0"/>
                <w:i w:val="0"/>
                <w:color w:val="222222"/>
                <w:sz w:val="17"/>
              </w:rPr>
              <w:t>Services</w:t>
            </w:r>
          </w:p>
        </w:tc>
        <w:tc>
          <w:tcPr>
            <w:tcW w:type="dxa" w:w="1728"/>
          </w:tcPr>
          <w:p>
            <w:pPr>
              <w:spacing w:after="20" w:before="20"/>
              <w:jc w:val="center"/>
            </w:pPr>
            <w:r/>
            <w:r>
              <w:rPr>
                <w:rFonts w:ascii="Calibri" w:hAnsi="Calibri"/>
                <w:b w:val="0"/>
                <w:i w:val="0"/>
                <w:color w:val="222222"/>
                <w:sz w:val="17"/>
              </w:rPr>
              <w:t>$109 bn</w:t>
            </w:r>
          </w:p>
        </w:tc>
        <w:tc>
          <w:tcPr>
            <w:tcW w:type="dxa" w:w="1872"/>
          </w:tcPr>
          <w:p>
            <w:pPr>
              <w:spacing w:after="20" w:before="20"/>
              <w:jc w:val="center"/>
            </w:pPr>
            <w:r/>
            <w:r>
              <w:rPr>
                <w:rFonts w:ascii="Calibri" w:hAnsi="Calibri"/>
                <w:b w:val="0"/>
                <w:i w:val="0"/>
                <w:color w:val="222222"/>
                <w:sz w:val="17"/>
              </w:rPr>
              <w:t>low-double</w:t>
            </w:r>
          </w:p>
        </w:tc>
        <w:tc>
          <w:tcPr>
            <w:tcW w:type="dxa" w:w="3312"/>
          </w:tcPr>
          <w:p>
            <w:pPr>
              <w:spacing w:after="20" w:before="20"/>
              <w:jc w:val="center"/>
            </w:pPr>
            <w:r/>
            <w:r>
              <w:rPr>
                <w:rFonts w:ascii="Calibri" w:hAnsi="Calibri"/>
                <w:b w:val="0"/>
                <w:i w:val="0"/>
                <w:color w:val="222222"/>
                <w:sz w:val="17"/>
              </w:rPr>
              <w:t>The margin and multiple driver</w:t>
            </w:r>
          </w:p>
        </w:tc>
        <w:tc>
          <w:tcPr>
            <w:tcW w:type="dxa" w:w="2160"/>
          </w:tcPr>
          <w:p>
            <w:pPr>
              <w:spacing w:after="20" w:before="20"/>
              <w:jc w:val="center"/>
            </w:pPr>
            <w:r/>
            <w:r>
              <w:rPr>
                <w:rFonts w:ascii="Calibri" w:hAnsi="Calibri"/>
                <w:b w:val="0"/>
                <w:i w:val="0"/>
                <w:color w:val="222222"/>
                <w:sz w:val="17"/>
              </w:rPr>
              <w:t>Secular growth; regulatory watch</w:t>
            </w:r>
          </w:p>
        </w:tc>
      </w:tr>
    </w:tbl>
    <w:p>
      <w:pPr>
        <w:spacing w:after="40"/>
      </w:pPr>
    </w:p>
    <w:p>
      <w:pPr>
        <w:jc w:val="center"/>
      </w:pPr>
      <w:r>
        <w:drawing>
          <wp:inline xmlns:a="http://schemas.openxmlformats.org/drawingml/2006/main" xmlns:pic="http://schemas.openxmlformats.org/drawingml/2006/picture">
            <wp:extent cx="5943600" cy="2873241"/>
            <wp:docPr id="3" name="Picture 3"/>
            <wp:cNvGraphicFramePr>
              <a:graphicFrameLocks noChangeAspect="1"/>
            </wp:cNvGraphicFramePr>
            <a:graphic>
              <a:graphicData uri="http://schemas.openxmlformats.org/drawingml/2006/picture">
                <pic:pic>
                  <pic:nvPicPr>
                    <pic:cNvPr id="0" name="segments_AAPL.png"/>
                    <pic:cNvPicPr/>
                  </pic:nvPicPr>
                  <pic:blipFill>
                    <a:blip r:embed="rId11"/>
                    <a:stretch>
                      <a:fillRect/>
                    </a:stretch>
                  </pic:blipFill>
                  <pic:spPr>
                    <a:xfrm>
                      <a:off x="0" y="0"/>
                      <a:ext cx="5943600" cy="2873241"/>
                    </a:xfrm>
                    <a:prstGeom prst="rect"/>
                  </pic:spPr>
                </pic:pic>
              </a:graphicData>
            </a:graphic>
          </wp:inline>
        </w:drawing>
      </w:r>
    </w:p>
    <w:p>
      <w:pPr>
        <w:spacing w:after="120"/>
        <w:jc w:val="center"/>
      </w:pPr>
      <w:r>
        <w:rPr>
          <w:i/>
          <w:color w:val="2A8F8F"/>
          <w:sz w:val="17"/>
        </w:rPr>
        <w:t>Revenue mix — Products vs Services, actual and forecast. Services is the margin-and-multiple engine.</w:t>
      </w:r>
    </w:p>
    <w:p>
      <w:pPr>
        <w:spacing w:before="160" w:after="40"/>
      </w:pPr>
      <w:r>
        <w:rPr>
          <w:b/>
          <w:color w:val="2A8F8F"/>
          <w:sz w:val="23"/>
        </w:rPr>
        <w:t>1.7  The crux — Services attach, gross margin and the AI cycle</w:t>
      </w:r>
    </w:p>
    <w:p>
      <w:pPr>
        <w:spacing w:after="80" w:line="254" w:lineRule="auto"/>
      </w:pPr>
      <w:r>
        <w:rPr>
          <w:color w:val="222222"/>
          <w:sz w:val="20"/>
        </w:rPr>
        <w:t>Three observable drivers move this valuation more than any abstract margin assumption, so we sensitize on them directly, in their own units. First, Services revenue growth: at our base path Services compounds low-double-digits; a sustained deceleration to high-single-digits removes a meaningful share of the SOTP premium, while a re-acceleration on advertising and payments does the reverse. Second, group gross margin, which we carry from roughly 47% toward 48% on mix — each point of gross margin is worth several dollars of DCF value. Third, the iPhone replacement cycle: an AI-driven upgrade wave shortens the cycle and lifts near-term units and Services attach; a cycle that fails to materialise leaves the hardware base flat. The table sensitizes fair value on the two most quantifiable of these in real units.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456"/>
            <w:shd w:val="clear" w:fill="2A8F8F"/>
          </w:tcPr>
          <w:p>
            <w:pPr>
              <w:spacing w:after="20" w:before="20"/>
              <w:jc w:val="left"/>
            </w:pPr>
            <w:r/>
            <w:r>
              <w:rPr>
                <w:rFonts w:ascii="Calibri" w:hAnsi="Calibri"/>
                <w:b/>
                <w:i w:val="0"/>
                <w:color w:val="FFFFFF"/>
                <w:sz w:val="18"/>
              </w:rPr>
              <w:t>Crux driver (real units)</w:t>
            </w:r>
          </w:p>
        </w:tc>
        <w:tc>
          <w:tcPr>
            <w:tcW w:type="dxa" w:w="1512"/>
            <w:shd w:val="clear" w:fill="2A8F8F"/>
          </w:tcPr>
          <w:p>
            <w:pPr>
              <w:spacing w:after="20" w:before="20"/>
              <w:jc w:val="center"/>
            </w:pPr>
            <w:r/>
            <w:r>
              <w:rPr>
                <w:rFonts w:ascii="Calibri" w:hAnsi="Calibri"/>
                <w:b/>
                <w:i w:val="0"/>
                <w:color w:val="FFFFFF"/>
                <w:sz w:val="18"/>
              </w:rPr>
              <w:t>Bear</w:t>
            </w:r>
          </w:p>
        </w:tc>
        <w:tc>
          <w:tcPr>
            <w:tcW w:type="dxa" w:w="1512"/>
            <w:shd w:val="clear" w:fill="2A8F8F"/>
          </w:tcPr>
          <w:p>
            <w:pPr>
              <w:spacing w:after="20" w:before="20"/>
              <w:jc w:val="center"/>
            </w:pPr>
            <w:r/>
            <w:r>
              <w:rPr>
                <w:rFonts w:ascii="Calibri" w:hAnsi="Calibri"/>
                <w:b/>
                <w:i w:val="0"/>
                <w:color w:val="FFFFFF"/>
                <w:sz w:val="18"/>
              </w:rPr>
              <w:t>Base</w:t>
            </w:r>
          </w:p>
        </w:tc>
        <w:tc>
          <w:tcPr>
            <w:tcW w:type="dxa" w:w="1512"/>
            <w:shd w:val="clear" w:fill="2A8F8F"/>
          </w:tcPr>
          <w:p>
            <w:pPr>
              <w:spacing w:after="20" w:before="20"/>
              <w:jc w:val="center"/>
            </w:pPr>
            <w:r/>
            <w:r>
              <w:rPr>
                <w:rFonts w:ascii="Calibri" w:hAnsi="Calibri"/>
                <w:b/>
                <w:i w:val="0"/>
                <w:color w:val="FFFFFF"/>
                <w:sz w:val="18"/>
              </w:rPr>
              <w:t>Bull</w:t>
            </w:r>
          </w:p>
        </w:tc>
        <w:tc>
          <w:tcPr>
            <w:tcW w:type="dxa" w:w="1944"/>
            <w:shd w:val="clear" w:fill="2A8F8F"/>
          </w:tcPr>
          <w:p>
            <w:pPr>
              <w:spacing w:after="20" w:before="20"/>
              <w:jc w:val="center"/>
            </w:pPr>
            <w:r/>
            <w:r>
              <w:rPr>
                <w:rFonts w:ascii="Calibri" w:hAnsi="Calibri"/>
                <w:b/>
                <w:i w:val="0"/>
                <w:color w:val="FFFFFF"/>
                <w:sz w:val="18"/>
              </w:rPr>
              <w:t>Approx. value swing</w:t>
            </w:r>
          </w:p>
        </w:tc>
      </w:tr>
      <w:tr>
        <w:tc>
          <w:tcPr>
            <w:tcW w:type="dxa" w:w="3456"/>
          </w:tcPr>
          <w:p>
            <w:pPr>
              <w:spacing w:after="20" w:before="20"/>
              <w:jc w:val="left"/>
            </w:pPr>
            <w:r/>
            <w:r>
              <w:rPr>
                <w:rFonts w:ascii="Calibri" w:hAnsi="Calibri"/>
                <w:b w:val="0"/>
                <w:i w:val="0"/>
                <w:color w:val="222222"/>
                <w:sz w:val="17"/>
              </w:rPr>
              <w:t>Services 5-yr growth</w:t>
            </w:r>
          </w:p>
        </w:tc>
        <w:tc>
          <w:tcPr>
            <w:tcW w:type="dxa" w:w="1512"/>
          </w:tcPr>
          <w:p>
            <w:pPr>
              <w:spacing w:after="20" w:before="20"/>
              <w:jc w:val="center"/>
            </w:pPr>
            <w:r/>
            <w:r>
              <w:rPr>
                <w:rFonts w:ascii="Calibri" w:hAnsi="Calibri"/>
                <w:b w:val="0"/>
                <w:i w:val="0"/>
                <w:color w:val="222222"/>
                <w:sz w:val="17"/>
              </w:rPr>
              <w:t>~8%</w:t>
            </w:r>
          </w:p>
        </w:tc>
        <w:tc>
          <w:tcPr>
            <w:tcW w:type="dxa" w:w="1512"/>
          </w:tcPr>
          <w:p>
            <w:pPr>
              <w:spacing w:after="20" w:before="20"/>
              <w:jc w:val="center"/>
            </w:pPr>
            <w:r/>
            <w:r>
              <w:rPr>
                <w:rFonts w:ascii="Calibri" w:hAnsi="Calibri"/>
                <w:b w:val="0"/>
                <w:i w:val="0"/>
                <w:color w:val="222222"/>
                <w:sz w:val="17"/>
              </w:rPr>
              <w:t>~11%</w:t>
            </w:r>
          </w:p>
        </w:tc>
        <w:tc>
          <w:tcPr>
            <w:tcW w:type="dxa" w:w="1512"/>
          </w:tcPr>
          <w:p>
            <w:pPr>
              <w:spacing w:after="20" w:before="20"/>
              <w:jc w:val="center"/>
            </w:pPr>
            <w:r/>
            <w:r>
              <w:rPr>
                <w:rFonts w:ascii="Calibri" w:hAnsi="Calibri"/>
                <w:b w:val="0"/>
                <w:i w:val="0"/>
                <w:color w:val="222222"/>
                <w:sz w:val="17"/>
              </w:rPr>
              <w:t>~13%</w:t>
            </w:r>
          </w:p>
        </w:tc>
        <w:tc>
          <w:tcPr>
            <w:tcW w:type="dxa" w:w="1944"/>
          </w:tcPr>
          <w:p>
            <w:pPr>
              <w:spacing w:after="20" w:before="20"/>
              <w:jc w:val="center"/>
            </w:pPr>
            <w:r/>
            <w:r>
              <w:rPr>
                <w:rFonts w:ascii="Calibri" w:hAnsi="Calibri"/>
                <w:b w:val="0"/>
                <w:i w:val="0"/>
                <w:color w:val="222222"/>
                <w:sz w:val="17"/>
              </w:rPr>
              <w:t>± $15–20/sh via SOTP &amp; DCF</w:t>
            </w:r>
          </w:p>
        </w:tc>
      </w:tr>
      <w:tr>
        <w:tc>
          <w:tcPr>
            <w:tcW w:type="dxa" w:w="3456"/>
            <w:shd w:val="clear" w:fill="F2F7F7"/>
          </w:tcPr>
          <w:p>
            <w:pPr>
              <w:spacing w:after="20" w:before="20"/>
              <w:jc w:val="left"/>
            </w:pPr>
            <w:r/>
            <w:r>
              <w:rPr>
                <w:rFonts w:ascii="Calibri" w:hAnsi="Calibri"/>
                <w:b w:val="0"/>
                <w:i w:val="0"/>
                <w:color w:val="222222"/>
                <w:sz w:val="17"/>
              </w:rPr>
              <w:t>Group gross margin (terminal)</w:t>
            </w:r>
          </w:p>
        </w:tc>
        <w:tc>
          <w:tcPr>
            <w:tcW w:type="dxa" w:w="1512"/>
            <w:shd w:val="clear" w:fill="F2F7F7"/>
          </w:tcPr>
          <w:p>
            <w:pPr>
              <w:spacing w:after="20" w:before="20"/>
              <w:jc w:val="center"/>
            </w:pPr>
            <w:r/>
            <w:r>
              <w:rPr>
                <w:rFonts w:ascii="Calibri" w:hAnsi="Calibri"/>
                <w:b w:val="0"/>
                <w:i w:val="0"/>
                <w:color w:val="222222"/>
                <w:sz w:val="17"/>
              </w:rPr>
              <w:t>~46%</w:t>
            </w:r>
          </w:p>
        </w:tc>
        <w:tc>
          <w:tcPr>
            <w:tcW w:type="dxa" w:w="1512"/>
            <w:shd w:val="clear" w:fill="F2F7F7"/>
          </w:tcPr>
          <w:p>
            <w:pPr>
              <w:spacing w:after="20" w:before="20"/>
              <w:jc w:val="center"/>
            </w:pPr>
            <w:r/>
            <w:r>
              <w:rPr>
                <w:rFonts w:ascii="Calibri" w:hAnsi="Calibri"/>
                <w:b w:val="0"/>
                <w:i w:val="0"/>
                <w:color w:val="222222"/>
                <w:sz w:val="17"/>
              </w:rPr>
              <w:t>~48%</w:t>
            </w:r>
          </w:p>
        </w:tc>
        <w:tc>
          <w:tcPr>
            <w:tcW w:type="dxa" w:w="1512"/>
            <w:shd w:val="clear" w:fill="F2F7F7"/>
          </w:tcPr>
          <w:p>
            <w:pPr>
              <w:spacing w:after="20" w:before="20"/>
              <w:jc w:val="center"/>
            </w:pPr>
            <w:r/>
            <w:r>
              <w:rPr>
                <w:rFonts w:ascii="Calibri" w:hAnsi="Calibri"/>
                <w:b w:val="0"/>
                <w:i w:val="0"/>
                <w:color w:val="222222"/>
                <w:sz w:val="17"/>
              </w:rPr>
              <w:t>~49%</w:t>
            </w:r>
          </w:p>
        </w:tc>
        <w:tc>
          <w:tcPr>
            <w:tcW w:type="dxa" w:w="1944"/>
            <w:shd w:val="clear" w:fill="F2F7F7"/>
          </w:tcPr>
          <w:p>
            <w:pPr>
              <w:spacing w:after="20" w:before="20"/>
              <w:jc w:val="center"/>
            </w:pPr>
            <w:r/>
            <w:r>
              <w:rPr>
                <w:rFonts w:ascii="Calibri" w:hAnsi="Calibri"/>
                <w:b w:val="0"/>
                <w:i w:val="0"/>
                <w:color w:val="222222"/>
                <w:sz w:val="17"/>
              </w:rPr>
              <w:t>± $6–8/sh per point</w:t>
            </w:r>
          </w:p>
        </w:tc>
      </w:tr>
      <w:tr>
        <w:tc>
          <w:tcPr>
            <w:tcW w:type="dxa" w:w="3456"/>
          </w:tcPr>
          <w:p>
            <w:pPr>
              <w:spacing w:after="20" w:before="20"/>
              <w:jc w:val="left"/>
            </w:pPr>
            <w:r/>
            <w:r>
              <w:rPr>
                <w:rFonts w:ascii="Calibri" w:hAnsi="Calibri"/>
                <w:b w:val="0"/>
                <w:i w:val="0"/>
                <w:color w:val="222222"/>
                <w:sz w:val="17"/>
              </w:rPr>
              <w:t>iPhone unit trajectory</w:t>
            </w:r>
          </w:p>
        </w:tc>
        <w:tc>
          <w:tcPr>
            <w:tcW w:type="dxa" w:w="1512"/>
          </w:tcPr>
          <w:p>
            <w:pPr>
              <w:spacing w:after="20" w:before="20"/>
              <w:jc w:val="center"/>
            </w:pPr>
            <w:r/>
            <w:r>
              <w:rPr>
                <w:rFonts w:ascii="Calibri" w:hAnsi="Calibri"/>
                <w:b w:val="0"/>
                <w:i w:val="0"/>
                <w:color w:val="222222"/>
                <w:sz w:val="17"/>
              </w:rPr>
              <w:t>flat</w:t>
            </w:r>
          </w:p>
        </w:tc>
        <w:tc>
          <w:tcPr>
            <w:tcW w:type="dxa" w:w="1512"/>
          </w:tcPr>
          <w:p>
            <w:pPr>
              <w:spacing w:after="20" w:before="20"/>
              <w:jc w:val="center"/>
            </w:pPr>
            <w:r/>
            <w:r>
              <w:rPr>
                <w:rFonts w:ascii="Calibri" w:hAnsi="Calibri"/>
                <w:b w:val="0"/>
                <w:i w:val="0"/>
                <w:color w:val="222222"/>
                <w:sz w:val="17"/>
              </w:rPr>
              <w:t>low-single</w:t>
            </w:r>
          </w:p>
        </w:tc>
        <w:tc>
          <w:tcPr>
            <w:tcW w:type="dxa" w:w="1512"/>
          </w:tcPr>
          <w:p>
            <w:pPr>
              <w:spacing w:after="20" w:before="20"/>
              <w:jc w:val="center"/>
            </w:pPr>
            <w:r/>
            <w:r>
              <w:rPr>
                <w:rFonts w:ascii="Calibri" w:hAnsi="Calibri"/>
                <w:b w:val="0"/>
                <w:i w:val="0"/>
                <w:color w:val="222222"/>
                <w:sz w:val="17"/>
              </w:rPr>
              <w:t>AI supercycle</w:t>
            </w:r>
          </w:p>
        </w:tc>
        <w:tc>
          <w:tcPr>
            <w:tcW w:type="dxa" w:w="1944"/>
          </w:tcPr>
          <w:p>
            <w:pPr>
              <w:spacing w:after="20" w:before="20"/>
              <w:jc w:val="center"/>
            </w:pPr>
            <w:r/>
            <w:r>
              <w:rPr>
                <w:rFonts w:ascii="Calibri" w:hAnsi="Calibri"/>
                <w:b w:val="0"/>
                <w:i w:val="0"/>
                <w:color w:val="222222"/>
                <w:sz w:val="17"/>
              </w:rPr>
              <w:t>cycle-timing optionality</w:t>
            </w:r>
          </w:p>
        </w:tc>
      </w:tr>
    </w:tbl>
    <w:p>
      <w:pPr>
        <w:spacing w:after="40"/>
      </w:pPr>
    </w:p>
    <w:p>
      <w:pPr>
        <w:spacing w:before="160" w:after="40"/>
      </w:pPr>
      <w:r>
        <w:rPr>
          <w:b/>
          <w:color w:val="2A8F8F"/>
          <w:sz w:val="23"/>
        </w:rPr>
        <w:t>1.8  Macro and country — China, tariffs, regulation, FX and rates</w:t>
      </w:r>
    </w:p>
    <w:p>
      <w:pPr>
        <w:spacing w:after="80" w:line="254" w:lineRule="auto"/>
      </w:pPr>
      <w:r>
        <w:rPr>
          <w:color w:val="222222"/>
          <w:sz w:val="20"/>
        </w:rPr>
        <w:t>Apple is a US-domiciled global franchise, so the macro that matters is external. China is both a large market and the manufacturing spine; share loss to domestic handset makers and any escalation in US–China trade friction are the primary geopolitical risks. Tariff policy can raise landed hardware costs; the company has been diversifying assembly toward India and Vietnam to blunt it. Regulation is a genuine swing on the Services annuity — antitrust action on App Store economics and the multi-billion-dollar Google traffic-acquisition payment are the two most material items, and both feed the event stack in §3. Finally, a stronger dollar is a mild headwind to reported revenue, and the level of long-term rates feeds directly into the discount rate we sensitize in §1.9.</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312"/>
            <w:shd w:val="clear" w:fill="2A8F8F"/>
          </w:tcPr>
          <w:p>
            <w:pPr>
              <w:spacing w:after="20" w:before="20"/>
              <w:jc w:val="left"/>
            </w:pPr>
            <w:r/>
            <w:r>
              <w:rPr>
                <w:rFonts w:ascii="Calibri" w:hAnsi="Calibri"/>
                <w:b/>
                <w:i w:val="0"/>
                <w:color w:val="FFFFFF"/>
                <w:sz w:val="18"/>
              </w:rPr>
              <w:t>Macro factor</w:t>
            </w:r>
          </w:p>
        </w:tc>
        <w:tc>
          <w:tcPr>
            <w:tcW w:type="dxa" w:w="3744"/>
            <w:shd w:val="clear" w:fill="2A8F8F"/>
          </w:tcPr>
          <w:p>
            <w:pPr>
              <w:spacing w:after="20" w:before="20"/>
              <w:jc w:val="center"/>
            </w:pPr>
            <w:r/>
            <w:r>
              <w:rPr>
                <w:rFonts w:ascii="Calibri" w:hAnsi="Calibri"/>
                <w:b/>
                <w:i w:val="0"/>
                <w:color w:val="FFFFFF"/>
                <w:sz w:val="18"/>
              </w:rPr>
              <w:t>Channel</w:t>
            </w:r>
          </w:p>
        </w:tc>
        <w:tc>
          <w:tcPr>
            <w:tcW w:type="dxa" w:w="2880"/>
            <w:shd w:val="clear" w:fill="2A8F8F"/>
          </w:tcPr>
          <w:p>
            <w:pPr>
              <w:spacing w:after="20" w:before="20"/>
              <w:jc w:val="center"/>
            </w:pPr>
            <w:r/>
            <w:r>
              <w:rPr>
                <w:rFonts w:ascii="Calibri" w:hAnsi="Calibri"/>
                <w:b/>
                <w:i w:val="0"/>
                <w:color w:val="FFFFFF"/>
                <w:sz w:val="18"/>
              </w:rPr>
              <w:t>Direction</w:t>
            </w:r>
          </w:p>
        </w:tc>
      </w:tr>
      <w:tr>
        <w:tc>
          <w:tcPr>
            <w:tcW w:type="dxa" w:w="3312"/>
          </w:tcPr>
          <w:p>
            <w:pPr>
              <w:spacing w:after="20" w:before="20"/>
              <w:jc w:val="left"/>
            </w:pPr>
            <w:r/>
            <w:r>
              <w:rPr>
                <w:rFonts w:ascii="Calibri" w:hAnsi="Calibri"/>
                <w:b w:val="0"/>
                <w:i w:val="0"/>
                <w:color w:val="222222"/>
                <w:sz w:val="17"/>
              </w:rPr>
              <w:t>China demand &amp; supply chain</w:t>
            </w:r>
          </w:p>
        </w:tc>
        <w:tc>
          <w:tcPr>
            <w:tcW w:type="dxa" w:w="3744"/>
          </w:tcPr>
          <w:p>
            <w:pPr>
              <w:spacing w:after="20" w:before="20"/>
              <w:jc w:val="center"/>
            </w:pPr>
            <w:r/>
            <w:r>
              <w:rPr>
                <w:rFonts w:ascii="Calibri" w:hAnsi="Calibri"/>
                <w:b w:val="0"/>
                <w:i w:val="0"/>
                <w:color w:val="222222"/>
                <w:sz w:val="17"/>
              </w:rPr>
              <w:t>Units, gross margin, continuity</w:t>
            </w:r>
          </w:p>
        </w:tc>
        <w:tc>
          <w:tcPr>
            <w:tcW w:type="dxa" w:w="2880"/>
          </w:tcPr>
          <w:p>
            <w:pPr>
              <w:spacing w:after="20" w:before="20"/>
              <w:jc w:val="center"/>
            </w:pPr>
            <w:r/>
            <w:r>
              <w:rPr>
                <w:rFonts w:ascii="Calibri" w:hAnsi="Calibri"/>
                <w:b w:val="0"/>
                <w:i w:val="0"/>
                <w:color w:val="222222"/>
                <w:sz w:val="17"/>
              </w:rPr>
              <w:t>Two-sided, tail-risk</w:t>
            </w:r>
          </w:p>
        </w:tc>
      </w:tr>
      <w:tr>
        <w:tc>
          <w:tcPr>
            <w:tcW w:type="dxa" w:w="3312"/>
            <w:shd w:val="clear" w:fill="F2F7F7"/>
          </w:tcPr>
          <w:p>
            <w:pPr>
              <w:spacing w:after="20" w:before="20"/>
              <w:jc w:val="left"/>
            </w:pPr>
            <w:r/>
            <w:r>
              <w:rPr>
                <w:rFonts w:ascii="Calibri" w:hAnsi="Calibri"/>
                <w:b w:val="0"/>
                <w:i w:val="0"/>
                <w:color w:val="222222"/>
                <w:sz w:val="17"/>
              </w:rPr>
              <w:t>US tariffs</w:t>
            </w:r>
          </w:p>
        </w:tc>
        <w:tc>
          <w:tcPr>
            <w:tcW w:type="dxa" w:w="3744"/>
            <w:shd w:val="clear" w:fill="F2F7F7"/>
          </w:tcPr>
          <w:p>
            <w:pPr>
              <w:spacing w:after="20" w:before="20"/>
              <w:jc w:val="center"/>
            </w:pPr>
            <w:r/>
            <w:r>
              <w:rPr>
                <w:rFonts w:ascii="Calibri" w:hAnsi="Calibri"/>
                <w:b w:val="0"/>
                <w:i w:val="0"/>
                <w:color w:val="222222"/>
                <w:sz w:val="17"/>
              </w:rPr>
              <w:t>Landed hardware cost</w:t>
            </w:r>
          </w:p>
        </w:tc>
        <w:tc>
          <w:tcPr>
            <w:tcW w:type="dxa" w:w="2880"/>
            <w:shd w:val="clear" w:fill="F2F7F7"/>
          </w:tcPr>
          <w:p>
            <w:pPr>
              <w:spacing w:after="20" w:before="20"/>
              <w:jc w:val="center"/>
            </w:pPr>
            <w:r/>
            <w:r>
              <w:rPr>
                <w:rFonts w:ascii="Calibri" w:hAnsi="Calibri"/>
                <w:b w:val="0"/>
                <w:i w:val="0"/>
                <w:color w:val="222222"/>
                <w:sz w:val="17"/>
              </w:rPr>
              <w:t>Headwind, mitigated by India/Vietnam</w:t>
            </w:r>
          </w:p>
        </w:tc>
      </w:tr>
      <w:tr>
        <w:tc>
          <w:tcPr>
            <w:tcW w:type="dxa" w:w="3312"/>
          </w:tcPr>
          <w:p>
            <w:pPr>
              <w:spacing w:after="20" w:before="20"/>
              <w:jc w:val="left"/>
            </w:pPr>
            <w:r/>
            <w:r>
              <w:rPr>
                <w:rFonts w:ascii="Calibri" w:hAnsi="Calibri"/>
                <w:b w:val="0"/>
                <w:i w:val="0"/>
                <w:color w:val="222222"/>
                <w:sz w:val="17"/>
              </w:rPr>
              <w:t>App Store / antitrust</w:t>
            </w:r>
          </w:p>
        </w:tc>
        <w:tc>
          <w:tcPr>
            <w:tcW w:type="dxa" w:w="3744"/>
          </w:tcPr>
          <w:p>
            <w:pPr>
              <w:spacing w:after="20" w:before="20"/>
              <w:jc w:val="center"/>
            </w:pPr>
            <w:r/>
            <w:r>
              <w:rPr>
                <w:rFonts w:ascii="Calibri" w:hAnsi="Calibri"/>
                <w:b w:val="0"/>
                <w:i w:val="0"/>
                <w:color w:val="222222"/>
                <w:sz w:val="17"/>
              </w:rPr>
              <w:t>Services take-rate</w:t>
            </w:r>
          </w:p>
        </w:tc>
        <w:tc>
          <w:tcPr>
            <w:tcW w:type="dxa" w:w="2880"/>
          </w:tcPr>
          <w:p>
            <w:pPr>
              <w:spacing w:after="20" w:before="20"/>
              <w:jc w:val="center"/>
            </w:pPr>
            <w:r/>
            <w:r>
              <w:rPr>
                <w:rFonts w:ascii="Calibri" w:hAnsi="Calibri"/>
                <w:b w:val="0"/>
                <w:i w:val="0"/>
                <w:color w:val="222222"/>
                <w:sz w:val="17"/>
              </w:rPr>
              <w:t>Downside to the annuity</w:t>
            </w:r>
          </w:p>
        </w:tc>
      </w:tr>
      <w:tr>
        <w:tc>
          <w:tcPr>
            <w:tcW w:type="dxa" w:w="3312"/>
            <w:shd w:val="clear" w:fill="F2F7F7"/>
          </w:tcPr>
          <w:p>
            <w:pPr>
              <w:spacing w:after="20" w:before="20"/>
              <w:jc w:val="left"/>
            </w:pPr>
            <w:r/>
            <w:r>
              <w:rPr>
                <w:rFonts w:ascii="Calibri" w:hAnsi="Calibri"/>
                <w:b w:val="0"/>
                <w:i w:val="0"/>
                <w:color w:val="222222"/>
                <w:sz w:val="17"/>
              </w:rPr>
              <w:t>Google TAC ruling</w:t>
            </w:r>
          </w:p>
        </w:tc>
        <w:tc>
          <w:tcPr>
            <w:tcW w:type="dxa" w:w="3744"/>
            <w:shd w:val="clear" w:fill="F2F7F7"/>
          </w:tcPr>
          <w:p>
            <w:pPr>
              <w:spacing w:after="20" w:before="20"/>
              <w:jc w:val="center"/>
            </w:pPr>
            <w:r/>
            <w:r>
              <w:rPr>
                <w:rFonts w:ascii="Calibri" w:hAnsi="Calibri"/>
                <w:b w:val="0"/>
                <w:i w:val="0"/>
                <w:color w:val="222222"/>
                <w:sz w:val="17"/>
              </w:rPr>
              <w:t>Services revenue line</w:t>
            </w:r>
          </w:p>
        </w:tc>
        <w:tc>
          <w:tcPr>
            <w:tcW w:type="dxa" w:w="2880"/>
            <w:shd w:val="clear" w:fill="F2F7F7"/>
          </w:tcPr>
          <w:p>
            <w:pPr>
              <w:spacing w:after="20" w:before="20"/>
              <w:jc w:val="center"/>
            </w:pPr>
            <w:r/>
            <w:r>
              <w:rPr>
                <w:rFonts w:ascii="Calibri" w:hAnsi="Calibri"/>
                <w:b w:val="0"/>
                <w:i w:val="0"/>
                <w:color w:val="222222"/>
                <w:sz w:val="17"/>
              </w:rPr>
              <w:t>Discrete downside</w:t>
            </w:r>
          </w:p>
        </w:tc>
      </w:tr>
      <w:tr>
        <w:tc>
          <w:tcPr>
            <w:tcW w:type="dxa" w:w="3312"/>
          </w:tcPr>
          <w:p>
            <w:pPr>
              <w:spacing w:after="20" w:before="20"/>
              <w:jc w:val="left"/>
            </w:pPr>
            <w:r/>
            <w:r>
              <w:rPr>
                <w:rFonts w:ascii="Calibri" w:hAnsi="Calibri"/>
                <w:b w:val="0"/>
                <w:i w:val="0"/>
                <w:color w:val="222222"/>
                <w:sz w:val="17"/>
              </w:rPr>
              <w:t>US dollar (DXY)</w:t>
            </w:r>
          </w:p>
        </w:tc>
        <w:tc>
          <w:tcPr>
            <w:tcW w:type="dxa" w:w="3744"/>
          </w:tcPr>
          <w:p>
            <w:pPr>
              <w:spacing w:after="20" w:before="20"/>
              <w:jc w:val="center"/>
            </w:pPr>
            <w:r/>
            <w:r>
              <w:rPr>
                <w:rFonts w:ascii="Calibri" w:hAnsi="Calibri"/>
                <w:b w:val="0"/>
                <w:i w:val="0"/>
                <w:color w:val="222222"/>
                <w:sz w:val="17"/>
              </w:rPr>
              <w:t>Reported revenue translation</w:t>
            </w:r>
          </w:p>
        </w:tc>
        <w:tc>
          <w:tcPr>
            <w:tcW w:type="dxa" w:w="2880"/>
          </w:tcPr>
          <w:p>
            <w:pPr>
              <w:spacing w:after="20" w:before="20"/>
              <w:jc w:val="center"/>
            </w:pPr>
            <w:r/>
            <w:r>
              <w:rPr>
                <w:rFonts w:ascii="Calibri" w:hAnsi="Calibri"/>
                <w:b w:val="0"/>
                <w:i w:val="0"/>
                <w:color w:val="222222"/>
                <w:sz w:val="17"/>
              </w:rPr>
              <w:t>Mild headwind when strong</w:t>
            </w:r>
          </w:p>
        </w:tc>
      </w:tr>
      <w:tr>
        <w:tc>
          <w:tcPr>
            <w:tcW w:type="dxa" w:w="3312"/>
            <w:shd w:val="clear" w:fill="F2F7F7"/>
          </w:tcPr>
          <w:p>
            <w:pPr>
              <w:spacing w:after="20" w:before="20"/>
              <w:jc w:val="left"/>
            </w:pPr>
            <w:r/>
            <w:r>
              <w:rPr>
                <w:rFonts w:ascii="Calibri" w:hAnsi="Calibri"/>
                <w:b w:val="0"/>
                <w:i w:val="0"/>
                <w:color w:val="222222"/>
                <w:sz w:val="17"/>
              </w:rPr>
              <w:t>Long-term rates</w:t>
            </w:r>
          </w:p>
        </w:tc>
        <w:tc>
          <w:tcPr>
            <w:tcW w:type="dxa" w:w="3744"/>
            <w:shd w:val="clear" w:fill="F2F7F7"/>
          </w:tcPr>
          <w:p>
            <w:pPr>
              <w:spacing w:after="20" w:before="20"/>
              <w:jc w:val="center"/>
            </w:pPr>
            <w:r/>
            <w:r>
              <w:rPr>
                <w:rFonts w:ascii="Calibri" w:hAnsi="Calibri"/>
                <w:b w:val="0"/>
                <w:i w:val="0"/>
                <w:color w:val="222222"/>
                <w:sz w:val="17"/>
              </w:rPr>
              <w:t>Discount rate / WACC</w:t>
            </w:r>
          </w:p>
        </w:tc>
        <w:tc>
          <w:tcPr>
            <w:tcW w:type="dxa" w:w="2880"/>
            <w:shd w:val="clear" w:fill="F2F7F7"/>
          </w:tcPr>
          <w:p>
            <w:pPr>
              <w:spacing w:after="20" w:before="20"/>
              <w:jc w:val="center"/>
            </w:pPr>
            <w:r/>
            <w:r>
              <w:rPr>
                <w:rFonts w:ascii="Calibri" w:hAnsi="Calibri"/>
                <w:b w:val="0"/>
                <w:i w:val="0"/>
                <w:color w:val="222222"/>
                <w:sz w:val="17"/>
              </w:rPr>
              <w:t>Higher rates → lower DCF</w:t>
            </w:r>
          </w:p>
        </w:tc>
      </w:tr>
    </w:tbl>
    <w:p>
      <w:pPr>
        <w:spacing w:after="40"/>
      </w:pPr>
    </w:p>
    <w:p>
      <w:pPr>
        <w:spacing w:before="160" w:after="40"/>
      </w:pPr>
      <w:r>
        <w:rPr>
          <w:b/>
          <w:color w:val="2A8F8F"/>
          <w:sz w:val="23"/>
        </w:rPr>
        <w:t>1.9  DCF sensitivity — WACC × terminal growth</w:t>
      </w:r>
    </w:p>
    <w:p>
      <w:pPr>
        <w:spacing w:after="80" w:line="254" w:lineRule="auto"/>
      </w:pPr>
      <w:r>
        <w:rPr>
          <w:color w:val="222222"/>
          <w:sz w:val="20"/>
        </w:rPr>
        <w:t>Because the terminal value is 77% of enterprise value, the DCF is ultimately a bet on the spread between the discount rate and the terminal growth rate. The grid shows fair value per share across a WACC range of 8.5%–10.5% and a terminal-g range of 2.5%–4.5%. The base case (9.5% WACC, 3.5% g) is shaded. Even at the most generous corner of the grid the DCF does not reach spot — which is the honest way to say that the market's price embeds durability beyond what a five-year explicit model plus a perpetuity can capture.</w:t>
      </w:r>
    </w:p>
    <w:p>
      <w:pPr>
        <w:jc w:val="center"/>
      </w:pPr>
      <w:r>
        <w:drawing>
          <wp:inline xmlns:a="http://schemas.openxmlformats.org/drawingml/2006/main" xmlns:pic="http://schemas.openxmlformats.org/drawingml/2006/picture">
            <wp:extent cx="5120640" cy="3177163"/>
            <wp:docPr id="4" name="Picture 4"/>
            <wp:cNvGraphicFramePr>
              <a:graphicFrameLocks noChangeAspect="1"/>
            </wp:cNvGraphicFramePr>
            <a:graphic>
              <a:graphicData uri="http://schemas.openxmlformats.org/drawingml/2006/picture">
                <pic:pic>
                  <pic:nvPicPr>
                    <pic:cNvPr id="0" name="sensitivity_AAPL.png"/>
                    <pic:cNvPicPr/>
                  </pic:nvPicPr>
                  <pic:blipFill>
                    <a:blip r:embed="rId12"/>
                    <a:stretch>
                      <a:fillRect/>
                    </a:stretch>
                  </pic:blipFill>
                  <pic:spPr>
                    <a:xfrm>
                      <a:off x="0" y="0"/>
                      <a:ext cx="5120640" cy="3177163"/>
                    </a:xfrm>
                    <a:prstGeom prst="rect"/>
                  </pic:spPr>
                </pic:pic>
              </a:graphicData>
            </a:graphic>
          </wp:inline>
        </w:drawing>
      </w:r>
    </w:p>
    <w:p>
      <w:pPr>
        <w:spacing w:after="120"/>
        <w:jc w:val="center"/>
      </w:pPr>
      <w:r>
        <w:rPr>
          <w:i/>
          <w:color w:val="2A8F8F"/>
          <w:sz w:val="17"/>
        </w:rPr>
        <w:t>DCF fair value per share across WACC × terminal g. Base case shaded; Ke = rf + β·ERP = 10.0%.</w:t>
      </w:r>
    </w:p>
    <w:p>
      <w:pPr>
        <w:spacing w:before="240" w:after="60"/>
        <w:pBdr>
          <w:bottom w:val="single" w:sz="6" w:space="2" w:color="B0894B"/>
        </w:pBdr>
      </w:pPr>
      <w:r>
        <w:rPr>
          <w:b/>
          <w:color w:val="1B5E5E"/>
          <w:sz w:val="28"/>
        </w:rPr>
        <w:t>2  Technical and price structure</w:t>
      </w:r>
    </w:p>
    <w:p>
      <w:pPr>
        <w:spacing w:after="80" w:line="254" w:lineRule="auto"/>
      </w:pPr>
      <w:r>
        <w:rPr>
          <w:color w:val="222222"/>
          <w:sz w:val="20"/>
        </w:rPr>
        <w:t>Where the fundamentals say expensive, the tape says trending. The stock trades above its rising 50-, 100- and 200-day moving averages, the classic posture of an established uptrend, and momentum has stayed firm. For a probabilistic study the technical read matters mainly as context for the Monte Carlo: a name in a strong uptrend with contained realized volatility produces a forward cone centred near spot with moderate width, which is what §3 shows. We read the moving-average stack as support beneath the current price rather than as a signal.</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168"/>
            <w:shd w:val="clear" w:fill="2A8F8F"/>
          </w:tcPr>
          <w:p>
            <w:pPr>
              <w:spacing w:after="20" w:before="20"/>
              <w:jc w:val="left"/>
            </w:pPr>
            <w:r/>
            <w:r>
              <w:rPr>
                <w:rFonts w:ascii="Calibri" w:hAnsi="Calibri"/>
                <w:b/>
                <w:i w:val="0"/>
                <w:color w:val="FFFFFF"/>
                <w:sz w:val="18"/>
              </w:rPr>
              <w:t>Indicator</w:t>
            </w:r>
          </w:p>
        </w:tc>
        <w:tc>
          <w:tcPr>
            <w:tcW w:type="dxa" w:w="3312"/>
            <w:shd w:val="clear" w:fill="2A8F8F"/>
          </w:tcPr>
          <w:p>
            <w:pPr>
              <w:spacing w:after="20" w:before="20"/>
              <w:jc w:val="center"/>
            </w:pPr>
            <w:r/>
            <w:r>
              <w:rPr>
                <w:rFonts w:ascii="Calibri" w:hAnsi="Calibri"/>
                <w:b/>
                <w:i w:val="0"/>
                <w:color w:val="FFFFFF"/>
                <w:sz w:val="18"/>
              </w:rPr>
              <w:t>Reading</w:t>
            </w:r>
          </w:p>
        </w:tc>
        <w:tc>
          <w:tcPr>
            <w:tcW w:type="dxa" w:w="3456"/>
            <w:shd w:val="clear" w:fill="2A8F8F"/>
          </w:tcPr>
          <w:p>
            <w:pPr>
              <w:spacing w:after="20" w:before="20"/>
              <w:jc w:val="center"/>
            </w:pPr>
            <w:r/>
            <w:r>
              <w:rPr>
                <w:rFonts w:ascii="Calibri" w:hAnsi="Calibri"/>
                <w:b/>
                <w:i w:val="0"/>
                <w:color w:val="FFFFFF"/>
                <w:sz w:val="18"/>
              </w:rPr>
              <w:t>Interpretation</w:t>
            </w:r>
          </w:p>
        </w:tc>
      </w:tr>
      <w:tr>
        <w:tc>
          <w:tcPr>
            <w:tcW w:type="dxa" w:w="3168"/>
          </w:tcPr>
          <w:p>
            <w:pPr>
              <w:spacing w:after="20" w:before="20"/>
              <w:jc w:val="left"/>
            </w:pPr>
            <w:r/>
            <w:r>
              <w:rPr>
                <w:rFonts w:ascii="Calibri" w:hAnsi="Calibri"/>
                <w:b w:val="0"/>
                <w:i w:val="0"/>
                <w:color w:val="222222"/>
                <w:sz w:val="17"/>
              </w:rPr>
              <w:t>Price vs 50-day MA</w:t>
            </w:r>
          </w:p>
        </w:tc>
        <w:tc>
          <w:tcPr>
            <w:tcW w:type="dxa" w:w="3312"/>
          </w:tcPr>
          <w:p>
            <w:pPr>
              <w:spacing w:after="20" w:before="20"/>
              <w:jc w:val="center"/>
            </w:pPr>
            <w:r/>
            <w:r>
              <w:rPr>
                <w:rFonts w:ascii="Calibri" w:hAnsi="Calibri"/>
                <w:b w:val="0"/>
                <w:i w:val="0"/>
                <w:color w:val="222222"/>
                <w:sz w:val="17"/>
              </w:rPr>
              <w:t>Above</w:t>
            </w:r>
          </w:p>
        </w:tc>
        <w:tc>
          <w:tcPr>
            <w:tcW w:type="dxa" w:w="3456"/>
          </w:tcPr>
          <w:p>
            <w:pPr>
              <w:spacing w:after="20" w:before="20"/>
              <w:jc w:val="center"/>
            </w:pPr>
            <w:r/>
            <w:r>
              <w:rPr>
                <w:rFonts w:ascii="Calibri" w:hAnsi="Calibri"/>
                <w:b w:val="0"/>
                <w:i w:val="0"/>
                <w:color w:val="222222"/>
                <w:sz w:val="17"/>
              </w:rPr>
              <w:t>Short-term uptrend intact</w:t>
            </w:r>
          </w:p>
        </w:tc>
      </w:tr>
      <w:tr>
        <w:tc>
          <w:tcPr>
            <w:tcW w:type="dxa" w:w="3168"/>
            <w:shd w:val="clear" w:fill="F2F7F7"/>
          </w:tcPr>
          <w:p>
            <w:pPr>
              <w:spacing w:after="20" w:before="20"/>
              <w:jc w:val="left"/>
            </w:pPr>
            <w:r/>
            <w:r>
              <w:rPr>
                <w:rFonts w:ascii="Calibri" w:hAnsi="Calibri"/>
                <w:b w:val="0"/>
                <w:i w:val="0"/>
                <w:color w:val="222222"/>
                <w:sz w:val="17"/>
              </w:rPr>
              <w:t>Price vs 200-day MA</w:t>
            </w:r>
          </w:p>
        </w:tc>
        <w:tc>
          <w:tcPr>
            <w:tcW w:type="dxa" w:w="3312"/>
            <w:shd w:val="clear" w:fill="F2F7F7"/>
          </w:tcPr>
          <w:p>
            <w:pPr>
              <w:spacing w:after="20" w:before="20"/>
              <w:jc w:val="center"/>
            </w:pPr>
            <w:r/>
            <w:r>
              <w:rPr>
                <w:rFonts w:ascii="Calibri" w:hAnsi="Calibri"/>
                <w:b w:val="0"/>
                <w:i w:val="0"/>
                <w:color w:val="222222"/>
                <w:sz w:val="17"/>
              </w:rPr>
              <w:t>Above</w:t>
            </w:r>
          </w:p>
        </w:tc>
        <w:tc>
          <w:tcPr>
            <w:tcW w:type="dxa" w:w="3456"/>
            <w:shd w:val="clear" w:fill="F2F7F7"/>
          </w:tcPr>
          <w:p>
            <w:pPr>
              <w:spacing w:after="20" w:before="20"/>
              <w:jc w:val="center"/>
            </w:pPr>
            <w:r/>
            <w:r>
              <w:rPr>
                <w:rFonts w:ascii="Calibri" w:hAnsi="Calibri"/>
                <w:b w:val="0"/>
                <w:i w:val="0"/>
                <w:color w:val="222222"/>
                <w:sz w:val="17"/>
              </w:rPr>
              <w:t>Primary uptrend intact</w:t>
            </w:r>
          </w:p>
        </w:tc>
      </w:tr>
      <w:tr>
        <w:tc>
          <w:tcPr>
            <w:tcW w:type="dxa" w:w="3168"/>
          </w:tcPr>
          <w:p>
            <w:pPr>
              <w:spacing w:after="20" w:before="20"/>
              <w:jc w:val="left"/>
            </w:pPr>
            <w:r/>
            <w:r>
              <w:rPr>
                <w:rFonts w:ascii="Calibri" w:hAnsi="Calibri"/>
                <w:b w:val="0"/>
                <w:i w:val="0"/>
                <w:color w:val="222222"/>
                <w:sz w:val="17"/>
              </w:rPr>
              <w:t>MA stack (50 / 100 / 200)</w:t>
            </w:r>
          </w:p>
        </w:tc>
        <w:tc>
          <w:tcPr>
            <w:tcW w:type="dxa" w:w="3312"/>
          </w:tcPr>
          <w:p>
            <w:pPr>
              <w:spacing w:after="20" w:before="20"/>
              <w:jc w:val="center"/>
            </w:pPr>
            <w:r/>
            <w:r>
              <w:rPr>
                <w:rFonts w:ascii="Calibri" w:hAnsi="Calibri"/>
                <w:b w:val="0"/>
                <w:i w:val="0"/>
                <w:color w:val="222222"/>
                <w:sz w:val="17"/>
              </w:rPr>
              <w:t>Rising and stacked</w:t>
            </w:r>
          </w:p>
        </w:tc>
        <w:tc>
          <w:tcPr>
            <w:tcW w:type="dxa" w:w="3456"/>
          </w:tcPr>
          <w:p>
            <w:pPr>
              <w:spacing w:after="20" w:before="20"/>
              <w:jc w:val="center"/>
            </w:pPr>
            <w:r/>
            <w:r>
              <w:rPr>
                <w:rFonts w:ascii="Calibri" w:hAnsi="Calibri"/>
                <w:b w:val="0"/>
                <w:i w:val="0"/>
                <w:color w:val="222222"/>
                <w:sz w:val="17"/>
              </w:rPr>
              <w:t>Trend-supportive</w:t>
            </w:r>
          </w:p>
        </w:tc>
      </w:tr>
      <w:tr>
        <w:tc>
          <w:tcPr>
            <w:tcW w:type="dxa" w:w="3168"/>
            <w:shd w:val="clear" w:fill="F2F7F7"/>
          </w:tcPr>
          <w:p>
            <w:pPr>
              <w:spacing w:after="20" w:before="20"/>
              <w:jc w:val="left"/>
            </w:pPr>
            <w:r/>
            <w:r>
              <w:rPr>
                <w:rFonts w:ascii="Calibri" w:hAnsi="Calibri"/>
                <w:b w:val="0"/>
                <w:i w:val="0"/>
                <w:color w:val="222222"/>
                <w:sz w:val="17"/>
              </w:rPr>
              <w:t>Trailing realized volatility</w:t>
            </w:r>
          </w:p>
        </w:tc>
        <w:tc>
          <w:tcPr>
            <w:tcW w:type="dxa" w:w="3312"/>
            <w:shd w:val="clear" w:fill="F2F7F7"/>
          </w:tcPr>
          <w:p>
            <w:pPr>
              <w:spacing w:after="20" w:before="20"/>
              <w:jc w:val="center"/>
            </w:pPr>
            <w:r/>
            <w:r>
              <w:rPr>
                <w:rFonts w:ascii="Calibri" w:hAnsi="Calibri"/>
                <w:b w:val="0"/>
                <w:i w:val="0"/>
                <w:color w:val="222222"/>
                <w:sz w:val="17"/>
              </w:rPr>
              <w:t>≈ 28% annualized</w:t>
            </w:r>
          </w:p>
        </w:tc>
        <w:tc>
          <w:tcPr>
            <w:tcW w:type="dxa" w:w="3456"/>
            <w:shd w:val="clear" w:fill="F2F7F7"/>
          </w:tcPr>
          <w:p>
            <w:pPr>
              <w:spacing w:after="20" w:before="20"/>
              <w:jc w:val="center"/>
            </w:pPr>
            <w:r/>
            <w:r>
              <w:rPr>
                <w:rFonts w:ascii="Calibri" w:hAnsi="Calibri"/>
                <w:b w:val="0"/>
                <w:i w:val="0"/>
                <w:color w:val="222222"/>
                <w:sz w:val="17"/>
              </w:rPr>
              <w:t>Moderate; sets the cone width</w:t>
            </w:r>
          </w:p>
        </w:tc>
      </w:tr>
      <w:tr>
        <w:tc>
          <w:tcPr>
            <w:tcW w:type="dxa" w:w="3168"/>
          </w:tcPr>
          <w:p>
            <w:pPr>
              <w:spacing w:after="20" w:before="20"/>
              <w:jc w:val="left"/>
            </w:pPr>
            <w:r/>
            <w:r>
              <w:rPr>
                <w:rFonts w:ascii="Calibri" w:hAnsi="Calibri"/>
                <w:b w:val="0"/>
                <w:i w:val="0"/>
                <w:color w:val="222222"/>
                <w:sz w:val="17"/>
              </w:rPr>
              <w:t>Posture</w:t>
            </w:r>
          </w:p>
        </w:tc>
        <w:tc>
          <w:tcPr>
            <w:tcW w:type="dxa" w:w="3312"/>
          </w:tcPr>
          <w:p>
            <w:pPr>
              <w:spacing w:after="20" w:before="20"/>
              <w:jc w:val="center"/>
            </w:pPr>
            <w:r/>
            <w:r>
              <w:rPr>
                <w:rFonts w:ascii="Calibri" w:hAnsi="Calibri"/>
                <w:b w:val="0"/>
                <w:i w:val="0"/>
                <w:color w:val="222222"/>
                <w:sz w:val="17"/>
              </w:rPr>
              <w:t>Constructive</w:t>
            </w:r>
          </w:p>
        </w:tc>
        <w:tc>
          <w:tcPr>
            <w:tcW w:type="dxa" w:w="3456"/>
          </w:tcPr>
          <w:p>
            <w:pPr>
              <w:spacing w:after="20" w:before="20"/>
              <w:jc w:val="center"/>
            </w:pPr>
            <w:r/>
            <w:r>
              <w:rPr>
                <w:rFonts w:ascii="Calibri" w:hAnsi="Calibri"/>
                <w:b w:val="0"/>
                <w:i w:val="0"/>
                <w:color w:val="222222"/>
                <w:sz w:val="17"/>
              </w:rPr>
              <w:t>Price and fundamental value diverge</w:t>
            </w:r>
          </w:p>
        </w:tc>
      </w:tr>
    </w:tbl>
    <w:p>
      <w:pPr>
        <w:spacing w:after="40"/>
      </w:pPr>
    </w:p>
    <w:p>
      <w:pPr>
        <w:jc w:val="center"/>
      </w:pPr>
      <w:r>
        <w:drawing>
          <wp:inline xmlns:a="http://schemas.openxmlformats.org/drawingml/2006/main" xmlns:pic="http://schemas.openxmlformats.org/drawingml/2006/picture">
            <wp:extent cx="5943600" cy="2873241"/>
            <wp:docPr id="5" name="Picture 5"/>
            <wp:cNvGraphicFramePr>
              <a:graphicFrameLocks noChangeAspect="1"/>
            </wp:cNvGraphicFramePr>
            <a:graphic>
              <a:graphicData uri="http://schemas.openxmlformats.org/drawingml/2006/picture">
                <pic:pic>
                  <pic:nvPicPr>
                    <pic:cNvPr id="0" name="technical_AAPL.png"/>
                    <pic:cNvPicPr/>
                  </pic:nvPicPr>
                  <pic:blipFill>
                    <a:blip r:embed="rId13"/>
                    <a:stretch>
                      <a:fillRect/>
                    </a:stretch>
                  </pic:blipFill>
                  <pic:spPr>
                    <a:xfrm>
                      <a:off x="0" y="0"/>
                      <a:ext cx="5943600" cy="2873241"/>
                    </a:xfrm>
                    <a:prstGeom prst="rect"/>
                  </pic:spPr>
                </pic:pic>
              </a:graphicData>
            </a:graphic>
          </wp:inline>
        </w:drawing>
      </w:r>
    </w:p>
    <w:p>
      <w:pPr>
        <w:spacing w:after="120"/>
        <w:jc w:val="center"/>
      </w:pPr>
      <w:r>
        <w:rPr>
          <w:i/>
          <w:color w:val="2A8F8F"/>
          <w:sz w:val="17"/>
        </w:rPr>
        <w:t>Price and moving-average stack, last 400 sessions. Price sits above a rising 50/100/200-day stack.</w:t>
      </w:r>
    </w:p>
    <w:p>
      <w:pPr>
        <w:spacing w:before="240" w:after="60"/>
        <w:pBdr>
          <w:bottom w:val="single" w:sz="6" w:space="2" w:color="B0894B"/>
        </w:pBdr>
      </w:pPr>
      <w:r>
        <w:rPr>
          <w:b/>
          <w:color w:val="1B5E5E"/>
          <w:sz w:val="28"/>
        </w:rPr>
        <w:t>3  Monte Carlo — a probabilistic price map</w:t>
      </w:r>
    </w:p>
    <w:p>
      <w:pPr>
        <w:spacing w:after="60" w:line="254" w:lineRule="auto"/>
      </w:pPr>
      <w:r>
        <w:rPr>
          <w:color w:val="222222"/>
          <w:sz w:val="20"/>
        </w:rPr>
        <w:t xml:space="preserve">We simulate 50,000 three-month price paths (seed 42) with the house YZ-HAR engine: width is set by a pooled log-HAR variance cascade on a gap-aware Yang-Zhang volatility proxy, innovations are unit-variance Student-t(5) for honest tails, and a sixteen-factor stack — seven continuous drivers and nine discrete events — layers on top. </w:t>
      </w:r>
    </w:p>
    <w:p>
      <w:pPr>
        <w:spacing w:after="80" w:line="254" w:lineRule="auto"/>
      </w:pPr>
      <w:r>
        <w:rPr>
          <w:color w:val="222222"/>
          <w:sz w:val="20"/>
        </w:rPr>
        <w:t>By design the paths diffuse from spot, and the §1 value gap is kept out of the drift — the fundamental NAV gap lives in §1, not here; §3 maps where price could go from today, not where value sits.</w:t>
      </w:r>
    </w:p>
    <w:p>
      <w:pPr>
        <w:spacing w:after="80" w:line="254" w:lineRule="auto"/>
      </w:pPr>
      <w:r>
        <w:rPr>
          <w:color w:val="222222"/>
          <w:sz w:val="20"/>
        </w:rPr>
        <w:t>Apple is an international name, so the engine runs with zero secular drift; the mild downside tilt in the read below comes from the event skew (regulatory, China-share and Google-TAC events carry more downside than the AI/Services events carry upside), not from any embedded view on valuation. Diffusion volatility is the YZ-HAR estimate, annualized ≈ 28%.</w:t>
      </w:r>
    </w:p>
    <w:p>
      <w:pPr>
        <w:spacing w:before="80" w:after="40"/>
      </w:pPr>
      <w:r>
        <w:rPr>
          <w:b/>
          <w:color w:val="1B5E5E"/>
          <w:sz w:val="21"/>
        </w:rPr>
        <w:t>The probability read (T+60)</w:t>
      </w:r>
    </w:p>
    <w:tbl>
      <w:tblPr>
        <w:tblStyle w:val="TableGrid"/>
        <w:tblW w:type="auto" w:w="0"/>
        <w:jc w:val="center"/>
        <w:tblLayout w:type="fixed"/>
        <w:tblLook w:firstColumn="1" w:firstRow="1" w:lastColumn="0" w:lastRow="0" w:noHBand="0" w:noVBand="1" w:val="04A0"/>
      </w:tblPr>
      <w:tblGrid>
        <w:gridCol w:w="4968"/>
        <w:gridCol w:w="4968"/>
      </w:tblGrid>
      <w:tr>
        <w:tc>
          <w:tcPr>
            <w:tcW w:type="dxa" w:w="5040"/>
            <w:shd w:val="clear" w:fill="2A8F8F"/>
          </w:tcPr>
          <w:p>
            <w:pPr>
              <w:spacing w:after="20" w:before="20"/>
              <w:jc w:val="left"/>
            </w:pPr>
            <w:r/>
            <w:r>
              <w:rPr>
                <w:rFonts w:ascii="Calibri" w:hAnsi="Calibri"/>
                <w:b/>
                <w:i w:val="0"/>
                <w:color w:val="FFFFFF"/>
                <w:sz w:val="18"/>
              </w:rPr>
              <w:t>The probability read — T+60</w:t>
            </w:r>
          </w:p>
        </w:tc>
        <w:tc>
          <w:tcPr>
            <w:tcW w:type="dxa" w:w="4896"/>
            <w:shd w:val="clear" w:fill="2A8F8F"/>
          </w:tcPr>
          <w:p>
            <w:pPr>
              <w:spacing w:after="20" w:before="20"/>
              <w:jc w:val="center"/>
            </w:pPr>
            <w:r/>
            <w:r>
              <w:rPr>
                <w:rFonts w:ascii="Calibri" w:hAnsi="Calibri"/>
                <w:b/>
                <w:i w:val="0"/>
                <w:color w:val="FFFFFF"/>
                <w:sz w:val="18"/>
              </w:rPr>
              <w:t>Value</w:t>
            </w:r>
          </w:p>
        </w:tc>
      </w:tr>
      <w:tr>
        <w:tc>
          <w:tcPr>
            <w:tcW w:type="dxa" w:w="5040"/>
          </w:tcPr>
          <w:p>
            <w:pPr>
              <w:spacing w:after="20" w:before="20"/>
              <w:jc w:val="left"/>
            </w:pPr>
            <w:r/>
            <w:r>
              <w:rPr>
                <w:rFonts w:ascii="Calibri" w:hAnsi="Calibri"/>
                <w:b w:val="0"/>
                <w:i w:val="0"/>
                <w:color w:val="222222"/>
                <w:sz w:val="18"/>
              </w:rPr>
              <w:t>P(price above spot)</w:t>
            </w:r>
          </w:p>
        </w:tc>
        <w:tc>
          <w:tcPr>
            <w:tcW w:type="dxa" w:w="4896"/>
          </w:tcPr>
          <w:p>
            <w:pPr>
              <w:spacing w:after="20" w:before="20"/>
              <w:jc w:val="center"/>
            </w:pPr>
            <w:r/>
            <w:r>
              <w:rPr>
                <w:rFonts w:ascii="Calibri" w:hAnsi="Calibri"/>
                <w:b w:val="0"/>
                <w:i w:val="0"/>
                <w:color w:val="222222"/>
                <w:sz w:val="18"/>
              </w:rPr>
              <w:t>40.2%</w:t>
            </w:r>
          </w:p>
        </w:tc>
      </w:tr>
      <w:tr>
        <w:tc>
          <w:tcPr>
            <w:tcW w:type="dxa" w:w="5040"/>
            <w:shd w:val="clear" w:fill="F2F7F7"/>
          </w:tcPr>
          <w:p>
            <w:pPr>
              <w:spacing w:after="20" w:before="20"/>
              <w:jc w:val="left"/>
            </w:pPr>
            <w:r/>
            <w:r>
              <w:rPr>
                <w:rFonts w:ascii="Calibri" w:hAnsi="Calibri"/>
                <w:b w:val="0"/>
                <w:i w:val="0"/>
                <w:color w:val="222222"/>
                <w:sz w:val="18"/>
              </w:rPr>
              <w:t>P(+10%)  vs  P(−10%)</w:t>
            </w:r>
          </w:p>
        </w:tc>
        <w:tc>
          <w:tcPr>
            <w:tcW w:type="dxa" w:w="4896"/>
            <w:shd w:val="clear" w:fill="F2F7F7"/>
          </w:tcPr>
          <w:p>
            <w:pPr>
              <w:spacing w:after="20" w:before="20"/>
              <w:jc w:val="center"/>
            </w:pPr>
            <w:r/>
            <w:r>
              <w:rPr>
                <w:rFonts w:ascii="Calibri" w:hAnsi="Calibri"/>
                <w:b w:val="0"/>
                <w:i w:val="0"/>
                <w:color w:val="222222"/>
                <w:sz w:val="18"/>
              </w:rPr>
              <w:t>18%  vs  30%  (odds 0.59)</w:t>
            </w:r>
          </w:p>
        </w:tc>
      </w:tr>
      <w:tr>
        <w:tc>
          <w:tcPr>
            <w:tcW w:type="dxa" w:w="5040"/>
          </w:tcPr>
          <w:p>
            <w:pPr>
              <w:spacing w:after="20" w:before="20"/>
              <w:jc w:val="left"/>
            </w:pPr>
            <w:r/>
            <w:r>
              <w:rPr>
                <w:rFonts w:ascii="Calibri" w:hAnsi="Calibri"/>
                <w:b w:val="0"/>
                <w:i w:val="0"/>
                <w:color w:val="222222"/>
                <w:sz w:val="18"/>
              </w:rPr>
              <w:t>Median level  /  % move</w:t>
            </w:r>
          </w:p>
        </w:tc>
        <w:tc>
          <w:tcPr>
            <w:tcW w:type="dxa" w:w="4896"/>
          </w:tcPr>
          <w:p>
            <w:pPr>
              <w:spacing w:after="20" w:before="20"/>
              <w:jc w:val="center"/>
            </w:pPr>
            <w:r/>
            <w:r>
              <w:rPr>
                <w:rFonts w:ascii="Calibri" w:hAnsi="Calibri"/>
                <w:b w:val="0"/>
                <w:i w:val="0"/>
                <w:color w:val="222222"/>
                <w:sz w:val="18"/>
              </w:rPr>
              <w:t>$303  (-3.4%)</w:t>
            </w:r>
          </w:p>
        </w:tc>
      </w:tr>
      <w:tr>
        <w:tc>
          <w:tcPr>
            <w:tcW w:type="dxa" w:w="5040"/>
            <w:shd w:val="clear" w:fill="F2F7F7"/>
          </w:tcPr>
          <w:p>
            <w:pPr>
              <w:spacing w:after="20" w:before="20"/>
              <w:jc w:val="left"/>
            </w:pPr>
            <w:r/>
            <w:r>
              <w:rPr>
                <w:rFonts w:ascii="Calibri" w:hAnsi="Calibri"/>
                <w:b w:val="0"/>
                <w:i w:val="0"/>
                <w:color w:val="222222"/>
                <w:sz w:val="18"/>
              </w:rPr>
              <w:t>50% band (25th–75th)</w:t>
            </w:r>
          </w:p>
        </w:tc>
        <w:tc>
          <w:tcPr>
            <w:tcW w:type="dxa" w:w="4896"/>
            <w:shd w:val="clear" w:fill="F2F7F7"/>
          </w:tcPr>
          <w:p>
            <w:pPr>
              <w:spacing w:after="20" w:before="20"/>
              <w:jc w:val="center"/>
            </w:pPr>
            <w:r/>
            <w:r>
              <w:rPr>
                <w:rFonts w:ascii="Calibri" w:hAnsi="Calibri"/>
                <w:b w:val="0"/>
                <w:i w:val="0"/>
                <w:color w:val="222222"/>
                <w:sz w:val="18"/>
              </w:rPr>
              <w:t>$276 – $333   (-12.0%, 6%)</w:t>
            </w:r>
          </w:p>
        </w:tc>
      </w:tr>
      <w:tr>
        <w:tc>
          <w:tcPr>
            <w:tcW w:type="dxa" w:w="5040"/>
          </w:tcPr>
          <w:p>
            <w:pPr>
              <w:spacing w:after="20" w:before="20"/>
              <w:jc w:val="left"/>
            </w:pPr>
            <w:r/>
            <w:r>
              <w:rPr>
                <w:rFonts w:ascii="Calibri" w:hAnsi="Calibri"/>
                <w:b w:val="0"/>
                <w:i w:val="0"/>
                <w:color w:val="222222"/>
                <w:sz w:val="18"/>
              </w:rPr>
              <w:t>Touch(+10%)  /  Touch(−10%)</w:t>
            </w:r>
          </w:p>
        </w:tc>
        <w:tc>
          <w:tcPr>
            <w:tcW w:type="dxa" w:w="4896"/>
          </w:tcPr>
          <w:p>
            <w:pPr>
              <w:spacing w:after="20" w:before="20"/>
              <w:jc w:val="center"/>
            </w:pPr>
            <w:r/>
            <w:r>
              <w:rPr>
                <w:rFonts w:ascii="Calibri" w:hAnsi="Calibri"/>
                <w:b w:val="0"/>
                <w:i w:val="0"/>
                <w:color w:val="222222"/>
                <w:sz w:val="18"/>
              </w:rPr>
              <w:t>37%  /  50%</w:t>
            </w:r>
          </w:p>
        </w:tc>
      </w:tr>
    </w:tbl>
    <w:p>
      <w:pPr>
        <w:spacing w:after="40"/>
      </w:pPr>
    </w:p>
    <w:p>
      <w:pPr>
        <w:spacing w:after="80" w:line="254" w:lineRule="auto"/>
      </w:pPr>
      <w:r>
        <w:rPr>
          <w:color w:val="222222"/>
          <w:sz w:val="18"/>
        </w:rPr>
        <w:t>Read it plainly: over three months the distribution is close to a coin-flip on direction, with a mild downside lean — the median sits a few percent below spot and a 10% fall is somewhat more likely to be touched than a 10% rise. That skew is the event stack, not a valuation view.</w:t>
      </w:r>
    </w:p>
    <w:p>
      <w:pPr>
        <w:jc w:val="center"/>
      </w:pPr>
      <w:r>
        <w:drawing>
          <wp:inline xmlns:a="http://schemas.openxmlformats.org/drawingml/2006/main" xmlns:pic="http://schemas.openxmlformats.org/drawingml/2006/picture">
            <wp:extent cx="5943600" cy="3003539"/>
            <wp:docPr id="6" name="Picture 6"/>
            <wp:cNvGraphicFramePr>
              <a:graphicFrameLocks noChangeAspect="1"/>
            </wp:cNvGraphicFramePr>
            <a:graphic>
              <a:graphicData uri="http://schemas.openxmlformats.org/drawingml/2006/picture">
                <pic:pic>
                  <pic:nvPicPr>
                    <pic:cNvPr id="0" name="fan_AAPL.png"/>
                    <pic:cNvPicPr/>
                  </pic:nvPicPr>
                  <pic:blipFill>
                    <a:blip r:embed="rId14"/>
                    <a:stretch>
                      <a:fillRect/>
                    </a:stretch>
                  </pic:blipFill>
                  <pic:spPr>
                    <a:xfrm>
                      <a:off x="0" y="0"/>
                      <a:ext cx="5943600" cy="3003539"/>
                    </a:xfrm>
                    <a:prstGeom prst="rect"/>
                  </pic:spPr>
                </pic:pic>
              </a:graphicData>
            </a:graphic>
          </wp:inline>
        </w:drawing>
      </w:r>
    </w:p>
    <w:p>
      <w:pPr>
        <w:spacing w:after="120"/>
        <w:jc w:val="center"/>
      </w:pPr>
      <w:r>
        <w:rPr>
          <w:i/>
          <w:color w:val="2A8F8F"/>
          <w:sz w:val="17"/>
        </w:rPr>
        <w:t>Forward price cone — 50,000 paths, zero drift. Lead with the 25–75% interquartile band; the 5–95% band is the tail.</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880"/>
            <w:shd w:val="clear" w:fill="2A8F8F"/>
          </w:tcPr>
          <w:p>
            <w:pPr>
              <w:spacing w:after="20" w:before="20"/>
              <w:jc w:val="left"/>
            </w:pPr>
            <w:r/>
            <w:r>
              <w:rPr>
                <w:rFonts w:ascii="Calibri" w:hAnsi="Calibri"/>
                <w:b/>
                <w:i w:val="0"/>
                <w:color w:val="FFFFFF"/>
                <w:sz w:val="18"/>
              </w:rPr>
              <w:t>Percentile (USD)</w:t>
            </w:r>
          </w:p>
        </w:tc>
        <w:tc>
          <w:tcPr>
            <w:tcW w:type="dxa" w:w="1411"/>
            <w:shd w:val="clear" w:fill="2A8F8F"/>
          </w:tcPr>
          <w:p>
            <w:pPr>
              <w:spacing w:after="20" w:before="20"/>
              <w:jc w:val="center"/>
            </w:pPr>
            <w:r/>
            <w:r>
              <w:rPr>
                <w:rFonts w:ascii="Calibri" w:hAnsi="Calibri"/>
                <w:b/>
                <w:i w:val="0"/>
                <w:color w:val="FFFFFF"/>
                <w:sz w:val="18"/>
              </w:rPr>
              <w:t>5th</w:t>
            </w:r>
          </w:p>
        </w:tc>
        <w:tc>
          <w:tcPr>
            <w:tcW w:type="dxa" w:w="1411"/>
            <w:shd w:val="clear" w:fill="2A8F8F"/>
          </w:tcPr>
          <w:p>
            <w:pPr>
              <w:spacing w:after="20" w:before="20"/>
              <w:jc w:val="center"/>
            </w:pPr>
            <w:r/>
            <w:r>
              <w:rPr>
                <w:rFonts w:ascii="Calibri" w:hAnsi="Calibri"/>
                <w:b/>
                <w:i w:val="0"/>
                <w:color w:val="FFFFFF"/>
                <w:sz w:val="18"/>
              </w:rPr>
              <w:t>25th</w:t>
            </w:r>
          </w:p>
        </w:tc>
        <w:tc>
          <w:tcPr>
            <w:tcW w:type="dxa" w:w="1411"/>
            <w:shd w:val="clear" w:fill="2A8F8F"/>
          </w:tcPr>
          <w:p>
            <w:pPr>
              <w:spacing w:after="20" w:before="20"/>
              <w:jc w:val="center"/>
            </w:pPr>
            <w:r/>
            <w:r>
              <w:rPr>
                <w:rFonts w:ascii="Calibri" w:hAnsi="Calibri"/>
                <w:b/>
                <w:i w:val="0"/>
                <w:color w:val="FFFFFF"/>
                <w:sz w:val="18"/>
              </w:rPr>
              <w:t>50th</w:t>
            </w:r>
          </w:p>
        </w:tc>
        <w:tc>
          <w:tcPr>
            <w:tcW w:type="dxa" w:w="1411"/>
            <w:shd w:val="clear" w:fill="2A8F8F"/>
          </w:tcPr>
          <w:p>
            <w:pPr>
              <w:spacing w:after="20" w:before="20"/>
              <w:jc w:val="center"/>
            </w:pPr>
            <w:r/>
            <w:r>
              <w:rPr>
                <w:rFonts w:ascii="Calibri" w:hAnsi="Calibri"/>
                <w:b/>
                <w:i w:val="0"/>
                <w:color w:val="FFFFFF"/>
                <w:sz w:val="18"/>
              </w:rPr>
              <w:t>75th</w:t>
            </w:r>
          </w:p>
        </w:tc>
        <w:tc>
          <w:tcPr>
            <w:tcW w:type="dxa" w:w="1411"/>
            <w:shd w:val="clear" w:fill="2A8F8F"/>
          </w:tcPr>
          <w:p>
            <w:pPr>
              <w:spacing w:after="20" w:before="20"/>
              <w:jc w:val="center"/>
            </w:pPr>
            <w:r/>
            <w:r>
              <w:rPr>
                <w:rFonts w:ascii="Calibri" w:hAnsi="Calibri"/>
                <w:b/>
                <w:i w:val="0"/>
                <w:color w:val="FFFFFF"/>
                <w:sz w:val="18"/>
              </w:rPr>
              <w:t>95th</w:t>
            </w:r>
          </w:p>
        </w:tc>
      </w:tr>
      <w:tr>
        <w:tc>
          <w:tcPr>
            <w:tcW w:type="dxa" w:w="2880"/>
          </w:tcPr>
          <w:p>
            <w:pPr>
              <w:spacing w:after="20" w:before="20"/>
              <w:jc w:val="left"/>
            </w:pPr>
            <w:r/>
            <w:r>
              <w:rPr>
                <w:rFonts w:ascii="Calibri" w:hAnsi="Calibri"/>
                <w:b w:val="0"/>
                <w:i w:val="0"/>
                <w:color w:val="222222"/>
                <w:sz w:val="18"/>
              </w:rPr>
              <w:t>T+20</w:t>
            </w:r>
          </w:p>
        </w:tc>
        <w:tc>
          <w:tcPr>
            <w:tcW w:type="dxa" w:w="1411"/>
          </w:tcPr>
          <w:p>
            <w:pPr>
              <w:spacing w:after="20" w:before="20"/>
              <w:jc w:val="center"/>
            </w:pPr>
            <w:r/>
            <w:r>
              <w:rPr>
                <w:rFonts w:ascii="Calibri" w:hAnsi="Calibri"/>
                <w:b w:val="0"/>
                <w:i w:val="0"/>
                <w:color w:val="222222"/>
                <w:sz w:val="18"/>
              </w:rPr>
              <w:t>$267</w:t>
            </w:r>
          </w:p>
        </w:tc>
        <w:tc>
          <w:tcPr>
            <w:tcW w:type="dxa" w:w="1411"/>
          </w:tcPr>
          <w:p>
            <w:pPr>
              <w:spacing w:after="20" w:before="20"/>
              <w:jc w:val="center"/>
            </w:pPr>
            <w:r/>
            <w:r>
              <w:rPr>
                <w:rFonts w:ascii="Calibri" w:hAnsi="Calibri"/>
                <w:b w:val="0"/>
                <w:i w:val="0"/>
                <w:color w:val="222222"/>
                <w:sz w:val="18"/>
              </w:rPr>
              <w:t>$293</w:t>
            </w:r>
          </w:p>
        </w:tc>
        <w:tc>
          <w:tcPr>
            <w:tcW w:type="dxa" w:w="1411"/>
          </w:tcPr>
          <w:p>
            <w:pPr>
              <w:spacing w:after="20" w:before="20"/>
              <w:jc w:val="center"/>
            </w:pPr>
            <w:r/>
            <w:r>
              <w:rPr>
                <w:rFonts w:ascii="Calibri" w:hAnsi="Calibri"/>
                <w:b w:val="0"/>
                <w:i w:val="0"/>
                <w:color w:val="222222"/>
                <w:sz w:val="18"/>
              </w:rPr>
              <w:t>$310</w:t>
            </w:r>
          </w:p>
        </w:tc>
        <w:tc>
          <w:tcPr>
            <w:tcW w:type="dxa" w:w="1411"/>
          </w:tcPr>
          <w:p>
            <w:pPr>
              <w:spacing w:after="20" w:before="20"/>
              <w:jc w:val="center"/>
            </w:pPr>
            <w:r/>
            <w:r>
              <w:rPr>
                <w:rFonts w:ascii="Calibri" w:hAnsi="Calibri"/>
                <w:b w:val="0"/>
                <w:i w:val="0"/>
                <w:color w:val="222222"/>
                <w:sz w:val="18"/>
              </w:rPr>
              <w:t>$327</w:t>
            </w:r>
          </w:p>
        </w:tc>
        <w:tc>
          <w:tcPr>
            <w:tcW w:type="dxa" w:w="1411"/>
          </w:tcPr>
          <w:p>
            <w:pPr>
              <w:spacing w:after="20" w:before="20"/>
              <w:jc w:val="center"/>
            </w:pPr>
            <w:r/>
            <w:r>
              <w:rPr>
                <w:rFonts w:ascii="Calibri" w:hAnsi="Calibri"/>
                <w:b w:val="0"/>
                <w:i w:val="0"/>
                <w:color w:val="222222"/>
                <w:sz w:val="18"/>
              </w:rPr>
              <w:t>$356</w:t>
            </w:r>
          </w:p>
        </w:tc>
      </w:tr>
      <w:tr>
        <w:tc>
          <w:tcPr>
            <w:tcW w:type="dxa" w:w="2880"/>
            <w:shd w:val="clear" w:fill="F2F7F7"/>
          </w:tcPr>
          <w:p>
            <w:pPr>
              <w:spacing w:after="20" w:before="20"/>
              <w:jc w:val="left"/>
            </w:pPr>
            <w:r/>
            <w:r>
              <w:rPr>
                <w:rFonts w:ascii="Calibri" w:hAnsi="Calibri"/>
                <w:b w:val="0"/>
                <w:i w:val="0"/>
                <w:color w:val="222222"/>
                <w:sz w:val="18"/>
              </w:rPr>
              <w:t>T+60</w:t>
            </w:r>
          </w:p>
        </w:tc>
        <w:tc>
          <w:tcPr>
            <w:tcW w:type="dxa" w:w="1411"/>
            <w:shd w:val="clear" w:fill="F2F7F7"/>
          </w:tcPr>
          <w:p>
            <w:pPr>
              <w:spacing w:after="20" w:before="20"/>
              <w:jc w:val="center"/>
            </w:pPr>
            <w:r/>
            <w:r>
              <w:rPr>
                <w:rFonts w:ascii="Calibri" w:hAnsi="Calibri"/>
                <w:b w:val="0"/>
                <w:i w:val="0"/>
                <w:color w:val="222222"/>
                <w:sz w:val="18"/>
              </w:rPr>
              <w:t>$237</w:t>
            </w:r>
          </w:p>
        </w:tc>
        <w:tc>
          <w:tcPr>
            <w:tcW w:type="dxa" w:w="1411"/>
            <w:shd w:val="clear" w:fill="F2F7F7"/>
          </w:tcPr>
          <w:p>
            <w:pPr>
              <w:spacing w:after="20" w:before="20"/>
              <w:jc w:val="center"/>
            </w:pPr>
            <w:r/>
            <w:r>
              <w:rPr>
                <w:rFonts w:ascii="Calibri" w:hAnsi="Calibri"/>
                <w:b w:val="0"/>
                <w:i w:val="0"/>
                <w:color w:val="222222"/>
                <w:sz w:val="18"/>
              </w:rPr>
              <w:t>$276</w:t>
            </w:r>
          </w:p>
        </w:tc>
        <w:tc>
          <w:tcPr>
            <w:tcW w:type="dxa" w:w="1411"/>
            <w:shd w:val="clear" w:fill="F2F7F7"/>
          </w:tcPr>
          <w:p>
            <w:pPr>
              <w:spacing w:after="20" w:before="20"/>
              <w:jc w:val="center"/>
            </w:pPr>
            <w:r/>
            <w:r>
              <w:rPr>
                <w:rFonts w:ascii="Calibri" w:hAnsi="Calibri"/>
                <w:b w:val="0"/>
                <w:i w:val="0"/>
                <w:color w:val="222222"/>
                <w:sz w:val="18"/>
              </w:rPr>
              <w:t>$303</w:t>
            </w:r>
          </w:p>
        </w:tc>
        <w:tc>
          <w:tcPr>
            <w:tcW w:type="dxa" w:w="1411"/>
            <w:shd w:val="clear" w:fill="F2F7F7"/>
          </w:tcPr>
          <w:p>
            <w:pPr>
              <w:spacing w:after="20" w:before="20"/>
              <w:jc w:val="center"/>
            </w:pPr>
            <w:r/>
            <w:r>
              <w:rPr>
                <w:rFonts w:ascii="Calibri" w:hAnsi="Calibri"/>
                <w:b w:val="0"/>
                <w:i w:val="0"/>
                <w:color w:val="222222"/>
                <w:sz w:val="18"/>
              </w:rPr>
              <w:t>$333</w:t>
            </w:r>
          </w:p>
        </w:tc>
        <w:tc>
          <w:tcPr>
            <w:tcW w:type="dxa" w:w="1411"/>
            <w:shd w:val="clear" w:fill="F2F7F7"/>
          </w:tcPr>
          <w:p>
            <w:pPr>
              <w:spacing w:after="20" w:before="20"/>
              <w:jc w:val="center"/>
            </w:pPr>
            <w:r/>
            <w:r>
              <w:rPr>
                <w:rFonts w:ascii="Calibri" w:hAnsi="Calibri"/>
                <w:b w:val="0"/>
                <w:i w:val="0"/>
                <w:color w:val="222222"/>
                <w:sz w:val="18"/>
              </w:rPr>
              <w:t>$386</w:t>
            </w:r>
          </w:p>
        </w:tc>
      </w:tr>
    </w:tbl>
    <w:p>
      <w:pPr>
        <w:spacing w:after="40"/>
      </w:pPr>
    </w:p>
    <w:tbl>
      <w:tblPr>
        <w:tblW w:type="auto" w:w="0"/>
        <w:jc w:val="center"/>
        <w:tblLayout w:type="fixed"/>
        <w:tblLook w:firstColumn="1" w:firstRow="1" w:lastColumn="0" w:lastRow="0" w:noHBand="0" w:noVBand="1" w:val="04A0"/>
      </w:tblPr>
      <w:tblGrid>
        <w:gridCol w:w="4968"/>
        <w:gridCol w:w="4968"/>
      </w:tblGrid>
      <w:tr>
        <w:tc>
          <w:tcPr>
            <w:tcW w:type="dxa" w:w="4896"/>
          </w:tcPr>
          <w:p>
            <w:pPr>
              <w:jc w:val="center"/>
            </w:pPr>
            <w:r/>
            <w:r>
              <w:drawing>
                <wp:inline xmlns:a="http://schemas.openxmlformats.org/drawingml/2006/main" xmlns:pic="http://schemas.openxmlformats.org/drawingml/2006/picture">
                  <wp:extent cx="2926080" cy="1903463"/>
                  <wp:docPr id="7" name="Picture 7"/>
                  <wp:cNvGraphicFramePr>
                    <a:graphicFrameLocks noChangeAspect="1"/>
                  </wp:cNvGraphicFramePr>
                  <a:graphic>
                    <a:graphicData uri="http://schemas.openxmlformats.org/drawingml/2006/picture">
                      <pic:pic>
                        <pic:nvPicPr>
                          <pic:cNvPr id="0" name="dist_t20_AAPL.png"/>
                          <pic:cNvPicPr/>
                        </pic:nvPicPr>
                        <pic:blipFill>
                          <a:blip r:embed="rId15"/>
                          <a:stretch>
                            <a:fillRect/>
                          </a:stretch>
                        </pic:blipFill>
                        <pic:spPr>
                          <a:xfrm>
                            <a:off x="0" y="0"/>
                            <a:ext cx="2926080" cy="1903463"/>
                          </a:xfrm>
                          <a:prstGeom prst="rect"/>
                        </pic:spPr>
                      </pic:pic>
                    </a:graphicData>
                  </a:graphic>
                </wp:inline>
              </w:drawing>
            </w:r>
          </w:p>
          <w:p>
            <w:pPr>
              <w:jc w:val="center"/>
            </w:pPr>
            <w:r>
              <w:rPr>
                <w:i/>
                <w:color w:val="2A8F8F"/>
                <w:sz w:val="16"/>
              </w:rPr>
              <w:t>T+20 terminal distribution</w:t>
            </w:r>
          </w:p>
        </w:tc>
        <w:tc>
          <w:tcPr>
            <w:tcW w:type="dxa" w:w="4896"/>
          </w:tcPr>
          <w:p>
            <w:pPr>
              <w:jc w:val="center"/>
            </w:pPr>
            <w:r/>
            <w:r>
              <w:drawing>
                <wp:inline xmlns:a="http://schemas.openxmlformats.org/drawingml/2006/main" xmlns:pic="http://schemas.openxmlformats.org/drawingml/2006/picture">
                  <wp:extent cx="2926080" cy="1901952"/>
                  <wp:docPr id="8" name="Picture 8"/>
                  <wp:cNvGraphicFramePr>
                    <a:graphicFrameLocks noChangeAspect="1"/>
                  </wp:cNvGraphicFramePr>
                  <a:graphic>
                    <a:graphicData uri="http://schemas.openxmlformats.org/drawingml/2006/picture">
                      <pic:pic>
                        <pic:nvPicPr>
                          <pic:cNvPr id="0" name="dist_t60_AAPL.png"/>
                          <pic:cNvPicPr/>
                        </pic:nvPicPr>
                        <pic:blipFill>
                          <a:blip r:embed="rId16"/>
                          <a:stretch>
                            <a:fillRect/>
                          </a:stretch>
                        </pic:blipFill>
                        <pic:spPr>
                          <a:xfrm>
                            <a:off x="0" y="0"/>
                            <a:ext cx="2926080" cy="1901952"/>
                          </a:xfrm>
                          <a:prstGeom prst="rect"/>
                        </pic:spPr>
                      </pic:pic>
                    </a:graphicData>
                  </a:graphic>
                </wp:inline>
              </w:drawing>
            </w:r>
          </w:p>
          <w:p>
            <w:pPr>
              <w:jc w:val="center"/>
            </w:pPr>
            <w:r>
              <w:rPr>
                <w:i/>
                <w:color w:val="2A8F8F"/>
                <w:sz w:val="16"/>
              </w:rPr>
              <w:t>T+60 terminal distribution</w:t>
            </w:r>
          </w:p>
        </w:tc>
      </w:tr>
    </w:tbl>
    <w:p>
      <w:pPr>
        <w:spacing w:after="40"/>
      </w:pPr>
    </w:p>
    <w:p>
      <w:pPr>
        <w:spacing w:before="40" w:after="40"/>
      </w:pPr>
      <w:r>
        <w:rPr>
          <w:b/>
          <w:color w:val="1B5E5E"/>
          <w:sz w:val="20"/>
        </w:rPr>
        <w:t>Touch-probability ladders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312"/>
            <w:shd w:val="clear" w:fill="2A8F8F"/>
          </w:tcPr>
          <w:p>
            <w:pPr>
              <w:spacing w:after="20" w:before="20"/>
              <w:jc w:val="left"/>
            </w:pPr>
            <w:r/>
            <w:r>
              <w:rPr>
                <w:rFonts w:ascii="Calibri" w:hAnsi="Calibri"/>
                <w:b/>
                <w:i w:val="0"/>
                <w:color w:val="FFFFFF"/>
                <w:sz w:val="18"/>
              </w:rPr>
              <w:t>Level (USD)</w:t>
            </w:r>
          </w:p>
        </w:tc>
        <w:tc>
          <w:tcPr>
            <w:tcW w:type="dxa" w:w="3312"/>
            <w:shd w:val="clear" w:fill="2A8F8F"/>
          </w:tcPr>
          <w:p>
            <w:pPr>
              <w:spacing w:after="20" w:before="20"/>
              <w:jc w:val="center"/>
            </w:pPr>
            <w:r/>
            <w:r>
              <w:rPr>
                <w:rFonts w:ascii="Calibri" w:hAnsi="Calibri"/>
                <w:b/>
                <w:i w:val="0"/>
                <w:color w:val="FFFFFF"/>
                <w:sz w:val="18"/>
              </w:rPr>
              <w:t>Touch by T+20</w:t>
            </w:r>
          </w:p>
        </w:tc>
        <w:tc>
          <w:tcPr>
            <w:tcW w:type="dxa" w:w="3312"/>
            <w:shd w:val="clear" w:fill="2A8F8F"/>
          </w:tcPr>
          <w:p>
            <w:pPr>
              <w:spacing w:after="20" w:before="20"/>
              <w:jc w:val="center"/>
            </w:pPr>
            <w:r/>
            <w:r>
              <w:rPr>
                <w:rFonts w:ascii="Calibri" w:hAnsi="Calibri"/>
                <w:b/>
                <w:i w:val="0"/>
                <w:color w:val="FFFFFF"/>
                <w:sz w:val="18"/>
              </w:rPr>
              <w:t>Touch by T+60</w:t>
            </w:r>
          </w:p>
        </w:tc>
      </w:tr>
      <w:tr>
        <w:tc>
          <w:tcPr>
            <w:tcW w:type="dxa" w:w="3312"/>
          </w:tcPr>
          <w:p>
            <w:pPr>
              <w:spacing w:after="20" w:before="20"/>
              <w:jc w:val="left"/>
            </w:pPr>
            <w:r/>
            <w:r>
              <w:rPr>
                <w:rFonts w:ascii="Calibri" w:hAnsi="Calibri"/>
                <w:b w:val="0"/>
                <w:i w:val="0"/>
                <w:color w:val="222222"/>
                <w:sz w:val="18"/>
              </w:rPr>
              <w:t>250</w:t>
            </w:r>
          </w:p>
        </w:tc>
        <w:tc>
          <w:tcPr>
            <w:tcW w:type="dxa" w:w="3312"/>
          </w:tcPr>
          <w:p>
            <w:pPr>
              <w:spacing w:after="20" w:before="20"/>
              <w:jc w:val="center"/>
            </w:pPr>
            <w:r/>
            <w:r>
              <w:rPr>
                <w:rFonts w:ascii="Calibri" w:hAnsi="Calibri"/>
                <w:b w:val="0"/>
                <w:i w:val="0"/>
                <w:color w:val="222222"/>
                <w:sz w:val="18"/>
              </w:rPr>
              <w:t>2%</w:t>
            </w:r>
          </w:p>
        </w:tc>
        <w:tc>
          <w:tcPr>
            <w:tcW w:type="dxa" w:w="3312"/>
          </w:tcPr>
          <w:p>
            <w:pPr>
              <w:spacing w:after="20" w:before="20"/>
              <w:jc w:val="center"/>
            </w:pPr>
            <w:r/>
            <w:r>
              <w:rPr>
                <w:rFonts w:ascii="Calibri" w:hAnsi="Calibri"/>
                <w:b w:val="0"/>
                <w:i w:val="0"/>
                <w:color w:val="222222"/>
                <w:sz w:val="18"/>
              </w:rPr>
              <w:t>15%</w:t>
            </w:r>
          </w:p>
        </w:tc>
      </w:tr>
      <w:tr>
        <w:tc>
          <w:tcPr>
            <w:tcW w:type="dxa" w:w="3312"/>
            <w:shd w:val="clear" w:fill="F2F7F7"/>
          </w:tcPr>
          <w:p>
            <w:pPr>
              <w:spacing w:after="20" w:before="20"/>
              <w:jc w:val="left"/>
            </w:pPr>
            <w:r/>
            <w:r>
              <w:rPr>
                <w:rFonts w:ascii="Calibri" w:hAnsi="Calibri"/>
                <w:b w:val="0"/>
                <w:i w:val="0"/>
                <w:color w:val="222222"/>
                <w:sz w:val="18"/>
              </w:rPr>
              <w:t>266</w:t>
            </w:r>
          </w:p>
        </w:tc>
        <w:tc>
          <w:tcPr>
            <w:tcW w:type="dxa" w:w="3312"/>
            <w:shd w:val="clear" w:fill="F2F7F7"/>
          </w:tcPr>
          <w:p>
            <w:pPr>
              <w:spacing w:after="20" w:before="20"/>
              <w:jc w:val="center"/>
            </w:pPr>
            <w:r/>
            <w:r>
              <w:rPr>
                <w:rFonts w:ascii="Calibri" w:hAnsi="Calibri"/>
                <w:b w:val="0"/>
                <w:i w:val="0"/>
                <w:color w:val="222222"/>
                <w:sz w:val="18"/>
              </w:rPr>
              <w:t>7%</w:t>
            </w:r>
          </w:p>
        </w:tc>
        <w:tc>
          <w:tcPr>
            <w:tcW w:type="dxa" w:w="3312"/>
            <w:shd w:val="clear" w:fill="F2F7F7"/>
          </w:tcPr>
          <w:p>
            <w:pPr>
              <w:spacing w:after="20" w:before="20"/>
              <w:jc w:val="center"/>
            </w:pPr>
            <w:r/>
            <w:r>
              <w:rPr>
                <w:rFonts w:ascii="Calibri" w:hAnsi="Calibri"/>
                <w:b w:val="0"/>
                <w:i w:val="0"/>
                <w:color w:val="222222"/>
                <w:sz w:val="18"/>
              </w:rPr>
              <w:t>29%</w:t>
            </w:r>
          </w:p>
        </w:tc>
      </w:tr>
      <w:tr>
        <w:tc>
          <w:tcPr>
            <w:tcW w:type="dxa" w:w="3312"/>
          </w:tcPr>
          <w:p>
            <w:pPr>
              <w:spacing w:after="20" w:before="20"/>
              <w:jc w:val="left"/>
            </w:pPr>
            <w:r/>
            <w:r>
              <w:rPr>
                <w:rFonts w:ascii="Calibri" w:hAnsi="Calibri"/>
                <w:b w:val="0"/>
                <w:i w:val="0"/>
                <w:color w:val="222222"/>
                <w:sz w:val="18"/>
              </w:rPr>
              <w:t>282</w:t>
            </w:r>
          </w:p>
        </w:tc>
        <w:tc>
          <w:tcPr>
            <w:tcW w:type="dxa" w:w="3312"/>
          </w:tcPr>
          <w:p>
            <w:pPr>
              <w:spacing w:after="20" w:before="20"/>
              <w:jc w:val="center"/>
            </w:pPr>
            <w:r/>
            <w:r>
              <w:rPr>
                <w:rFonts w:ascii="Calibri" w:hAnsi="Calibri"/>
                <w:b w:val="0"/>
                <w:i w:val="0"/>
                <w:color w:val="222222"/>
                <w:sz w:val="18"/>
              </w:rPr>
              <w:t>21%</w:t>
            </w:r>
          </w:p>
        </w:tc>
        <w:tc>
          <w:tcPr>
            <w:tcW w:type="dxa" w:w="3312"/>
          </w:tcPr>
          <w:p>
            <w:pPr>
              <w:spacing w:after="20" w:before="20"/>
              <w:jc w:val="center"/>
            </w:pPr>
            <w:r/>
            <w:r>
              <w:rPr>
                <w:rFonts w:ascii="Calibri" w:hAnsi="Calibri"/>
                <w:b w:val="0"/>
                <w:i w:val="0"/>
                <w:color w:val="222222"/>
                <w:sz w:val="18"/>
              </w:rPr>
              <w:t>50%</w:t>
            </w:r>
          </w:p>
        </w:tc>
      </w:tr>
      <w:tr>
        <w:tc>
          <w:tcPr>
            <w:tcW w:type="dxa" w:w="3312"/>
            <w:shd w:val="clear" w:fill="F2F7F7"/>
          </w:tcPr>
          <w:p>
            <w:pPr>
              <w:spacing w:after="20" w:before="20"/>
              <w:jc w:val="left"/>
            </w:pPr>
            <w:r/>
            <w:r>
              <w:rPr>
                <w:rFonts w:ascii="Calibri" w:hAnsi="Calibri"/>
                <w:b w:val="0"/>
                <w:i w:val="0"/>
                <w:color w:val="222222"/>
                <w:sz w:val="18"/>
              </w:rPr>
              <w:t>297</w:t>
            </w:r>
          </w:p>
        </w:tc>
        <w:tc>
          <w:tcPr>
            <w:tcW w:type="dxa" w:w="3312"/>
            <w:shd w:val="clear" w:fill="F2F7F7"/>
          </w:tcPr>
          <w:p>
            <w:pPr>
              <w:spacing w:after="20" w:before="20"/>
              <w:jc w:val="center"/>
            </w:pPr>
            <w:r/>
            <w:r>
              <w:rPr>
                <w:rFonts w:ascii="Calibri" w:hAnsi="Calibri"/>
                <w:b w:val="0"/>
                <w:i w:val="0"/>
                <w:color w:val="222222"/>
                <w:sz w:val="18"/>
              </w:rPr>
              <w:t>47%</w:t>
            </w:r>
          </w:p>
        </w:tc>
        <w:tc>
          <w:tcPr>
            <w:tcW w:type="dxa" w:w="3312"/>
            <w:shd w:val="clear" w:fill="F2F7F7"/>
          </w:tcPr>
          <w:p>
            <w:pPr>
              <w:spacing w:after="20" w:before="20"/>
              <w:jc w:val="center"/>
            </w:pPr>
            <w:r/>
            <w:r>
              <w:rPr>
                <w:rFonts w:ascii="Calibri" w:hAnsi="Calibri"/>
                <w:b w:val="0"/>
                <w:i w:val="0"/>
                <w:color w:val="222222"/>
                <w:sz w:val="18"/>
              </w:rPr>
              <w:t>72%</w:t>
            </w:r>
          </w:p>
        </w:tc>
      </w:tr>
      <w:tr>
        <w:tc>
          <w:tcPr>
            <w:tcW w:type="dxa" w:w="3312"/>
          </w:tcPr>
          <w:p>
            <w:pPr>
              <w:spacing w:after="20" w:before="20"/>
              <w:jc w:val="left"/>
            </w:pPr>
            <w:r/>
            <w:r>
              <w:rPr>
                <w:rFonts w:ascii="Calibri" w:hAnsi="Calibri"/>
                <w:b w:val="0"/>
                <w:i w:val="0"/>
                <w:color w:val="222222"/>
                <w:sz w:val="18"/>
              </w:rPr>
              <w:t>329</w:t>
            </w:r>
          </w:p>
        </w:tc>
        <w:tc>
          <w:tcPr>
            <w:tcW w:type="dxa" w:w="3312"/>
          </w:tcPr>
          <w:p>
            <w:pPr>
              <w:spacing w:after="20" w:before="20"/>
              <w:jc w:val="center"/>
            </w:pPr>
            <w:r/>
            <w:r>
              <w:rPr>
                <w:rFonts w:ascii="Calibri" w:hAnsi="Calibri"/>
                <w:b w:val="0"/>
                <w:i w:val="0"/>
                <w:color w:val="222222"/>
                <w:sz w:val="18"/>
              </w:rPr>
              <w:t>41%</w:t>
            </w:r>
          </w:p>
        </w:tc>
        <w:tc>
          <w:tcPr>
            <w:tcW w:type="dxa" w:w="3312"/>
          </w:tcPr>
          <w:p>
            <w:pPr>
              <w:spacing w:after="20" w:before="20"/>
              <w:jc w:val="center"/>
            </w:pPr>
            <w:r/>
            <w:r>
              <w:rPr>
                <w:rFonts w:ascii="Calibri" w:hAnsi="Calibri"/>
                <w:b w:val="0"/>
                <w:i w:val="0"/>
                <w:color w:val="222222"/>
                <w:sz w:val="18"/>
              </w:rPr>
              <w:t>60%</w:t>
            </w:r>
          </w:p>
        </w:tc>
      </w:tr>
      <w:tr>
        <w:tc>
          <w:tcPr>
            <w:tcW w:type="dxa" w:w="3312"/>
            <w:shd w:val="clear" w:fill="F2F7F7"/>
          </w:tcPr>
          <w:p>
            <w:pPr>
              <w:spacing w:after="20" w:before="20"/>
              <w:jc w:val="left"/>
            </w:pPr>
            <w:r/>
            <w:r>
              <w:rPr>
                <w:rFonts w:ascii="Calibri" w:hAnsi="Calibri"/>
                <w:b w:val="0"/>
                <w:i w:val="0"/>
                <w:color w:val="222222"/>
                <w:sz w:val="18"/>
              </w:rPr>
              <w:t>344</w:t>
            </w:r>
          </w:p>
        </w:tc>
        <w:tc>
          <w:tcPr>
            <w:tcW w:type="dxa" w:w="3312"/>
            <w:shd w:val="clear" w:fill="F2F7F7"/>
          </w:tcPr>
          <w:p>
            <w:pPr>
              <w:spacing w:after="20" w:before="20"/>
              <w:jc w:val="center"/>
            </w:pPr>
            <w:r/>
            <w:r>
              <w:rPr>
                <w:rFonts w:ascii="Calibri" w:hAnsi="Calibri"/>
                <w:b w:val="0"/>
                <w:i w:val="0"/>
                <w:color w:val="222222"/>
                <w:sz w:val="18"/>
              </w:rPr>
              <w:t>18%</w:t>
            </w:r>
          </w:p>
        </w:tc>
        <w:tc>
          <w:tcPr>
            <w:tcW w:type="dxa" w:w="3312"/>
            <w:shd w:val="clear" w:fill="F2F7F7"/>
          </w:tcPr>
          <w:p>
            <w:pPr>
              <w:spacing w:after="20" w:before="20"/>
              <w:jc w:val="center"/>
            </w:pPr>
            <w:r/>
            <w:r>
              <w:rPr>
                <w:rFonts w:ascii="Calibri" w:hAnsi="Calibri"/>
                <w:b w:val="0"/>
                <w:i w:val="0"/>
                <w:color w:val="222222"/>
                <w:sz w:val="18"/>
              </w:rPr>
              <w:t>38%</w:t>
            </w:r>
          </w:p>
        </w:tc>
      </w:tr>
      <w:tr>
        <w:tc>
          <w:tcPr>
            <w:tcW w:type="dxa" w:w="3312"/>
          </w:tcPr>
          <w:p>
            <w:pPr>
              <w:spacing w:after="20" w:before="20"/>
              <w:jc w:val="left"/>
            </w:pPr>
            <w:r/>
            <w:r>
              <w:rPr>
                <w:rFonts w:ascii="Calibri" w:hAnsi="Calibri"/>
                <w:b w:val="0"/>
                <w:i w:val="0"/>
                <w:color w:val="222222"/>
                <w:sz w:val="18"/>
              </w:rPr>
              <w:t>360</w:t>
            </w:r>
          </w:p>
        </w:tc>
        <w:tc>
          <w:tcPr>
            <w:tcW w:type="dxa" w:w="3312"/>
          </w:tcPr>
          <w:p>
            <w:pPr>
              <w:spacing w:after="20" w:before="20"/>
              <w:jc w:val="center"/>
            </w:pPr>
            <w:r/>
            <w:r>
              <w:rPr>
                <w:rFonts w:ascii="Calibri" w:hAnsi="Calibri"/>
                <w:b w:val="0"/>
                <w:i w:val="0"/>
                <w:color w:val="222222"/>
                <w:sz w:val="18"/>
              </w:rPr>
              <w:t>7%</w:t>
            </w:r>
          </w:p>
        </w:tc>
        <w:tc>
          <w:tcPr>
            <w:tcW w:type="dxa" w:w="3312"/>
          </w:tcPr>
          <w:p>
            <w:pPr>
              <w:spacing w:after="20" w:before="20"/>
              <w:jc w:val="center"/>
            </w:pPr>
            <w:r/>
            <w:r>
              <w:rPr>
                <w:rFonts w:ascii="Calibri" w:hAnsi="Calibri"/>
                <w:b w:val="0"/>
                <w:i w:val="0"/>
                <w:color w:val="222222"/>
                <w:sz w:val="18"/>
              </w:rPr>
              <w:t>23%</w:t>
            </w:r>
          </w:p>
        </w:tc>
      </w:tr>
      <w:tr>
        <w:tc>
          <w:tcPr>
            <w:tcW w:type="dxa" w:w="3312"/>
            <w:shd w:val="clear" w:fill="F2F7F7"/>
          </w:tcPr>
          <w:p>
            <w:pPr>
              <w:spacing w:after="20" w:before="20"/>
              <w:jc w:val="left"/>
            </w:pPr>
            <w:r/>
            <w:r>
              <w:rPr>
                <w:rFonts w:ascii="Calibri" w:hAnsi="Calibri"/>
                <w:b w:val="0"/>
                <w:i w:val="0"/>
                <w:color w:val="222222"/>
                <w:sz w:val="18"/>
              </w:rPr>
              <w:t>376</w:t>
            </w:r>
          </w:p>
        </w:tc>
        <w:tc>
          <w:tcPr>
            <w:tcW w:type="dxa" w:w="3312"/>
            <w:shd w:val="clear" w:fill="F2F7F7"/>
          </w:tcPr>
          <w:p>
            <w:pPr>
              <w:spacing w:after="20" w:before="20"/>
              <w:jc w:val="center"/>
            </w:pPr>
            <w:r/>
            <w:r>
              <w:rPr>
                <w:rFonts w:ascii="Calibri" w:hAnsi="Calibri"/>
                <w:b w:val="0"/>
                <w:i w:val="0"/>
                <w:color w:val="222222"/>
                <w:sz w:val="18"/>
              </w:rPr>
              <w:t>3%</w:t>
            </w:r>
          </w:p>
        </w:tc>
        <w:tc>
          <w:tcPr>
            <w:tcW w:type="dxa" w:w="3312"/>
            <w:shd w:val="clear" w:fill="F2F7F7"/>
          </w:tcPr>
          <w:p>
            <w:pPr>
              <w:spacing w:after="20" w:before="20"/>
              <w:jc w:val="center"/>
            </w:pPr>
            <w:r/>
            <w:r>
              <w:rPr>
                <w:rFonts w:ascii="Calibri" w:hAnsi="Calibri"/>
                <w:b w:val="0"/>
                <w:i w:val="0"/>
                <w:color w:val="222222"/>
                <w:sz w:val="18"/>
              </w:rPr>
              <w:t>13%</w:t>
            </w:r>
          </w:p>
        </w:tc>
      </w:tr>
    </w:tbl>
    <w:p>
      <w:pPr>
        <w:spacing w:after="40"/>
      </w:pPr>
    </w:p>
    <w:tbl>
      <w:tblPr>
        <w:tblW w:type="auto" w:w="0"/>
        <w:jc w:val="center"/>
        <w:tblLayout w:type="fixed"/>
        <w:tblLook w:firstColumn="1" w:firstRow="1" w:lastColumn="0" w:lastRow="0" w:noHBand="0" w:noVBand="1" w:val="04A0"/>
      </w:tblPr>
      <w:tblGrid>
        <w:gridCol w:w="4968"/>
        <w:gridCol w:w="4968"/>
      </w:tblGrid>
      <w:tr>
        <w:tc>
          <w:tcPr>
            <w:tcW w:type="dxa" w:w="4896"/>
          </w:tcPr>
          <w:p>
            <w:pPr>
              <w:jc w:val="center"/>
            </w:pPr>
            <w:r/>
            <w:r>
              <w:drawing>
                <wp:inline xmlns:a="http://schemas.openxmlformats.org/drawingml/2006/main" xmlns:pic="http://schemas.openxmlformats.org/drawingml/2006/picture">
                  <wp:extent cx="2926080" cy="1843430"/>
                  <wp:docPr id="9" name="Picture 9"/>
                  <wp:cNvGraphicFramePr>
                    <a:graphicFrameLocks noChangeAspect="1"/>
                  </wp:cNvGraphicFramePr>
                  <a:graphic>
                    <a:graphicData uri="http://schemas.openxmlformats.org/drawingml/2006/picture">
                      <pic:pic>
                        <pic:nvPicPr>
                          <pic:cNvPr id="0" name="touch_t20_AAPL.png"/>
                          <pic:cNvPicPr/>
                        </pic:nvPicPr>
                        <pic:blipFill>
                          <a:blip r:embed="rId17"/>
                          <a:stretch>
                            <a:fillRect/>
                          </a:stretch>
                        </pic:blipFill>
                        <pic:spPr>
                          <a:xfrm>
                            <a:off x="0" y="0"/>
                            <a:ext cx="2926080" cy="1843430"/>
                          </a:xfrm>
                          <a:prstGeom prst="rect"/>
                        </pic:spPr>
                      </pic:pic>
                    </a:graphicData>
                  </a:graphic>
                </wp:inline>
              </w:drawing>
            </w:r>
          </w:p>
        </w:tc>
        <w:tc>
          <w:tcPr>
            <w:tcW w:type="dxa" w:w="4896"/>
          </w:tcPr>
          <w:p>
            <w:pPr>
              <w:jc w:val="center"/>
            </w:pPr>
            <w:r/>
            <w:r>
              <w:drawing>
                <wp:inline xmlns:a="http://schemas.openxmlformats.org/drawingml/2006/main" xmlns:pic="http://schemas.openxmlformats.org/drawingml/2006/picture">
                  <wp:extent cx="2926080" cy="1843430"/>
                  <wp:docPr id="10" name="Picture 10"/>
                  <wp:cNvGraphicFramePr>
                    <a:graphicFrameLocks noChangeAspect="1"/>
                  </wp:cNvGraphicFramePr>
                  <a:graphic>
                    <a:graphicData uri="http://schemas.openxmlformats.org/drawingml/2006/picture">
                      <pic:pic>
                        <pic:nvPicPr>
                          <pic:cNvPr id="0" name="touch_t60_AAPL.png"/>
                          <pic:cNvPicPr/>
                        </pic:nvPicPr>
                        <pic:blipFill>
                          <a:blip r:embed="rId18"/>
                          <a:stretch>
                            <a:fillRect/>
                          </a:stretch>
                        </pic:blipFill>
                        <pic:spPr>
                          <a:xfrm>
                            <a:off x="0" y="0"/>
                            <a:ext cx="2926080" cy="1843430"/>
                          </a:xfrm>
                          <a:prstGeom prst="rect"/>
                        </pic:spPr>
                      </pic:pic>
                    </a:graphicData>
                  </a:graphic>
                </wp:inline>
              </w:drawing>
            </w:r>
          </w:p>
        </w:tc>
      </w:tr>
    </w:tbl>
    <w:p>
      <w:pPr>
        <w:spacing w:after="40"/>
      </w:pPr>
    </w:p>
    <w:p>
      <w:pPr>
        <w:spacing w:before="240" w:after="60"/>
        <w:pBdr>
          <w:bottom w:val="single" w:sz="6" w:space="2" w:color="B0894B"/>
        </w:pBdr>
      </w:pPr>
      <w:r>
        <w:rPr>
          <w:b/>
          <w:color w:val="1B5E5E"/>
          <w:sz w:val="28"/>
        </w:rPr>
        <w:t>4  Comparison of the lenses, and a verdict</w:t>
      </w:r>
    </w:p>
    <w:p>
      <w:pPr>
        <w:spacing w:after="80" w:line="254" w:lineRule="auto"/>
      </w:pPr>
      <w:r>
        <w:rPr>
          <w:color w:val="222222"/>
          <w:sz w:val="20"/>
        </w:rPr>
        <w:t>Four fundamental lenses, one technical read and a three-month distribution point in a consistent direction: on modelled fundamentals Apple is richly valued, while the tape is in an uptrend and the near-term distribution is close to even. The consolidated DCF ($152) and the segment SOTP ($184) — the two cash-and-asset lenses — bracket the low end; the multiple and normalized lenses ($249–$253) bracket the high end; the weighted central is $208, and spot is 51% above it. Our verdict is not a rating — it is a description: the market is capitalising a durability and an AI-and-Services optionality that our explicit five-year models deliberately do not, and the $90-odd spread between the lens families is the price of that optionality. A reader who believes Services keeps compounding and the moat holds will lean on the multiple lenses; a reader who discounts strictly on modelled cash flows will lean on the DCF. We show both, and the distribution, and let the reader weigh them.</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744"/>
            <w:shd w:val="clear" w:fill="2A8F8F"/>
          </w:tcPr>
          <w:p>
            <w:pPr>
              <w:spacing w:after="20" w:before="20"/>
              <w:jc w:val="left"/>
            </w:pPr>
            <w:r/>
            <w:r>
              <w:rPr>
                <w:rFonts w:ascii="Calibri" w:hAnsi="Calibri"/>
                <w:b/>
                <w:i w:val="0"/>
                <w:color w:val="FFFFFF"/>
                <w:sz w:val="18"/>
              </w:rPr>
              <w:t>Lens / read</w:t>
            </w:r>
          </w:p>
        </w:tc>
        <w:tc>
          <w:tcPr>
            <w:tcW w:type="dxa" w:w="2304"/>
            <w:shd w:val="clear" w:fill="2A8F8F"/>
          </w:tcPr>
          <w:p>
            <w:pPr>
              <w:spacing w:after="20" w:before="20"/>
              <w:jc w:val="center"/>
            </w:pPr>
            <w:r/>
            <w:r>
              <w:rPr>
                <w:rFonts w:ascii="Calibri" w:hAnsi="Calibri"/>
                <w:b/>
                <w:i w:val="0"/>
                <w:color w:val="FFFFFF"/>
                <w:sz w:val="18"/>
              </w:rPr>
              <w:t>Figure</w:t>
            </w:r>
          </w:p>
        </w:tc>
        <w:tc>
          <w:tcPr>
            <w:tcW w:type="dxa" w:w="3888"/>
            <w:shd w:val="clear" w:fill="2A8F8F"/>
          </w:tcPr>
          <w:p>
            <w:pPr>
              <w:spacing w:after="20" w:before="20"/>
              <w:jc w:val="center"/>
            </w:pPr>
            <w:r/>
            <w:r>
              <w:rPr>
                <w:rFonts w:ascii="Calibri" w:hAnsi="Calibri"/>
                <w:b/>
                <w:i w:val="0"/>
                <w:color w:val="FFFFFF"/>
                <w:sz w:val="18"/>
              </w:rPr>
              <w:t>What it privileges</w:t>
            </w:r>
          </w:p>
        </w:tc>
      </w:tr>
      <w:tr>
        <w:tc>
          <w:tcPr>
            <w:tcW w:type="dxa" w:w="3744"/>
          </w:tcPr>
          <w:p>
            <w:pPr>
              <w:spacing w:after="20" w:before="20"/>
              <w:jc w:val="left"/>
            </w:pPr>
            <w:r/>
            <w:r>
              <w:rPr>
                <w:rFonts w:ascii="Calibri" w:hAnsi="Calibri"/>
                <w:b w:val="0"/>
                <w:i w:val="0"/>
                <w:color w:val="222222"/>
                <w:sz w:val="18"/>
              </w:rPr>
              <w:t>Consolidated DCF</w:t>
            </w:r>
          </w:p>
        </w:tc>
        <w:tc>
          <w:tcPr>
            <w:tcW w:type="dxa" w:w="2304"/>
          </w:tcPr>
          <w:p>
            <w:pPr>
              <w:spacing w:after="20" w:before="20"/>
              <w:jc w:val="center"/>
            </w:pPr>
            <w:r/>
            <w:r>
              <w:rPr>
                <w:rFonts w:ascii="Calibri" w:hAnsi="Calibri"/>
                <w:b w:val="0"/>
                <w:i w:val="0"/>
                <w:color w:val="222222"/>
                <w:sz w:val="18"/>
              </w:rPr>
              <w:t>$152</w:t>
            </w:r>
          </w:p>
        </w:tc>
        <w:tc>
          <w:tcPr>
            <w:tcW w:type="dxa" w:w="3888"/>
          </w:tcPr>
          <w:p>
            <w:pPr>
              <w:spacing w:after="20" w:before="20"/>
              <w:jc w:val="center"/>
            </w:pPr>
            <w:r/>
            <w:r>
              <w:rPr>
                <w:rFonts w:ascii="Calibri" w:hAnsi="Calibri"/>
                <w:b w:val="0"/>
                <w:i w:val="0"/>
                <w:color w:val="222222"/>
                <w:sz w:val="18"/>
              </w:rPr>
              <w:t>Explicit modelled cash flows</w:t>
            </w:r>
          </w:p>
        </w:tc>
      </w:tr>
      <w:tr>
        <w:tc>
          <w:tcPr>
            <w:tcW w:type="dxa" w:w="3744"/>
            <w:shd w:val="clear" w:fill="F2F7F7"/>
          </w:tcPr>
          <w:p>
            <w:pPr>
              <w:spacing w:after="20" w:before="20"/>
              <w:jc w:val="left"/>
            </w:pPr>
            <w:r/>
            <w:r>
              <w:rPr>
                <w:rFonts w:ascii="Calibri" w:hAnsi="Calibri"/>
                <w:b w:val="0"/>
                <w:i w:val="0"/>
                <w:color w:val="222222"/>
                <w:sz w:val="18"/>
              </w:rPr>
              <w:t>Segment sum-of-the-parts</w:t>
            </w:r>
          </w:p>
        </w:tc>
        <w:tc>
          <w:tcPr>
            <w:tcW w:type="dxa" w:w="2304"/>
            <w:shd w:val="clear" w:fill="F2F7F7"/>
          </w:tcPr>
          <w:p>
            <w:pPr>
              <w:spacing w:after="20" w:before="20"/>
              <w:jc w:val="center"/>
            </w:pPr>
            <w:r/>
            <w:r>
              <w:rPr>
                <w:rFonts w:ascii="Calibri" w:hAnsi="Calibri"/>
                <w:b w:val="0"/>
                <w:i w:val="0"/>
                <w:color w:val="222222"/>
                <w:sz w:val="18"/>
              </w:rPr>
              <w:t>$184</w:t>
            </w:r>
          </w:p>
        </w:tc>
        <w:tc>
          <w:tcPr>
            <w:tcW w:type="dxa" w:w="3888"/>
            <w:shd w:val="clear" w:fill="F2F7F7"/>
          </w:tcPr>
          <w:p>
            <w:pPr>
              <w:spacing w:after="20" w:before="20"/>
              <w:jc w:val="center"/>
            </w:pPr>
            <w:r/>
            <w:r>
              <w:rPr>
                <w:rFonts w:ascii="Calibri" w:hAnsi="Calibri"/>
                <w:b w:val="0"/>
                <w:i w:val="0"/>
                <w:color w:val="222222"/>
                <w:sz w:val="18"/>
              </w:rPr>
              <w:t>Standalone segment economics</w:t>
            </w:r>
          </w:p>
        </w:tc>
      </w:tr>
      <w:tr>
        <w:tc>
          <w:tcPr>
            <w:tcW w:type="dxa" w:w="3744"/>
          </w:tcPr>
          <w:p>
            <w:pPr>
              <w:spacing w:after="20" w:before="20"/>
              <w:jc w:val="left"/>
            </w:pPr>
            <w:r/>
            <w:r>
              <w:rPr>
                <w:rFonts w:ascii="Calibri" w:hAnsi="Calibri"/>
                <w:b w:val="0"/>
                <w:i w:val="0"/>
                <w:color w:val="222222"/>
                <w:sz w:val="18"/>
              </w:rPr>
              <w:t>Relative multiples</w:t>
            </w:r>
          </w:p>
        </w:tc>
        <w:tc>
          <w:tcPr>
            <w:tcW w:type="dxa" w:w="2304"/>
          </w:tcPr>
          <w:p>
            <w:pPr>
              <w:spacing w:after="20" w:before="20"/>
              <w:jc w:val="center"/>
            </w:pPr>
            <w:r/>
            <w:r>
              <w:rPr>
                <w:rFonts w:ascii="Calibri" w:hAnsi="Calibri"/>
                <w:b w:val="0"/>
                <w:i w:val="0"/>
                <w:color w:val="222222"/>
                <w:sz w:val="18"/>
              </w:rPr>
              <w:t>$249</w:t>
            </w:r>
          </w:p>
        </w:tc>
        <w:tc>
          <w:tcPr>
            <w:tcW w:type="dxa" w:w="3888"/>
          </w:tcPr>
          <w:p>
            <w:pPr>
              <w:spacing w:after="20" w:before="20"/>
              <w:jc w:val="center"/>
            </w:pPr>
            <w:r/>
            <w:r>
              <w:rPr>
                <w:rFonts w:ascii="Calibri" w:hAnsi="Calibri"/>
                <w:b w:val="0"/>
                <w:i w:val="0"/>
                <w:color w:val="222222"/>
                <w:sz w:val="18"/>
              </w:rPr>
              <w:t>Market pricing of quality</w:t>
            </w:r>
          </w:p>
        </w:tc>
      </w:tr>
      <w:tr>
        <w:tc>
          <w:tcPr>
            <w:tcW w:type="dxa" w:w="3744"/>
            <w:shd w:val="clear" w:fill="F2F7F7"/>
          </w:tcPr>
          <w:p>
            <w:pPr>
              <w:spacing w:after="20" w:before="20"/>
              <w:jc w:val="left"/>
            </w:pPr>
            <w:r/>
            <w:r>
              <w:rPr>
                <w:rFonts w:ascii="Calibri" w:hAnsi="Calibri"/>
                <w:b w:val="0"/>
                <w:i w:val="0"/>
                <w:color w:val="222222"/>
                <w:sz w:val="18"/>
              </w:rPr>
              <w:t>Normalized earnings</w:t>
            </w:r>
          </w:p>
        </w:tc>
        <w:tc>
          <w:tcPr>
            <w:tcW w:type="dxa" w:w="2304"/>
            <w:shd w:val="clear" w:fill="F2F7F7"/>
          </w:tcPr>
          <w:p>
            <w:pPr>
              <w:spacing w:after="20" w:before="20"/>
              <w:jc w:val="center"/>
            </w:pPr>
            <w:r/>
            <w:r>
              <w:rPr>
                <w:rFonts w:ascii="Calibri" w:hAnsi="Calibri"/>
                <w:b w:val="0"/>
                <w:i w:val="0"/>
                <w:color w:val="222222"/>
                <w:sz w:val="18"/>
              </w:rPr>
              <w:t>$253</w:t>
            </w:r>
          </w:p>
        </w:tc>
        <w:tc>
          <w:tcPr>
            <w:tcW w:type="dxa" w:w="3888"/>
            <w:shd w:val="clear" w:fill="F2F7F7"/>
          </w:tcPr>
          <w:p>
            <w:pPr>
              <w:spacing w:after="20" w:before="20"/>
              <w:jc w:val="center"/>
            </w:pPr>
            <w:r/>
            <w:r>
              <w:rPr>
                <w:rFonts w:ascii="Calibri" w:hAnsi="Calibri"/>
                <w:b w:val="0"/>
                <w:i w:val="0"/>
                <w:color w:val="222222"/>
                <w:sz w:val="18"/>
              </w:rPr>
              <w:t>Through-cycle margin</w:t>
            </w:r>
          </w:p>
        </w:tc>
      </w:tr>
      <w:tr>
        <w:tc>
          <w:tcPr>
            <w:tcW w:type="dxa" w:w="3744"/>
          </w:tcPr>
          <w:p>
            <w:pPr>
              <w:spacing w:after="20" w:before="20"/>
              <w:jc w:val="left"/>
            </w:pPr>
            <w:r/>
            <w:r>
              <w:rPr>
                <w:rFonts w:ascii="Calibri" w:hAnsi="Calibri"/>
                <w:b w:val="0"/>
                <w:i w:val="0"/>
                <w:color w:val="222222"/>
                <w:sz w:val="18"/>
              </w:rPr>
              <w:t>Weighted central</w:t>
            </w:r>
          </w:p>
        </w:tc>
        <w:tc>
          <w:tcPr>
            <w:tcW w:type="dxa" w:w="2304"/>
          </w:tcPr>
          <w:p>
            <w:pPr>
              <w:spacing w:after="20" w:before="20"/>
              <w:jc w:val="center"/>
            </w:pPr>
            <w:r/>
            <w:r>
              <w:rPr>
                <w:rFonts w:ascii="Calibri" w:hAnsi="Calibri"/>
                <w:b w:val="0"/>
                <w:i w:val="0"/>
                <w:color w:val="222222"/>
                <w:sz w:val="18"/>
              </w:rPr>
              <w:t>$208</w:t>
            </w:r>
          </w:p>
        </w:tc>
        <w:tc>
          <w:tcPr>
            <w:tcW w:type="dxa" w:w="3888"/>
          </w:tcPr>
          <w:p>
            <w:pPr>
              <w:spacing w:after="20" w:before="20"/>
              <w:jc w:val="center"/>
            </w:pPr>
            <w:r/>
            <w:r>
              <w:rPr>
                <w:rFonts w:ascii="Calibri" w:hAnsi="Calibri"/>
                <w:b w:val="0"/>
                <w:i w:val="0"/>
                <w:color w:val="222222"/>
                <w:sz w:val="18"/>
              </w:rPr>
              <w:t>Blend of the four</w:t>
            </w:r>
          </w:p>
        </w:tc>
      </w:tr>
      <w:tr>
        <w:tc>
          <w:tcPr>
            <w:tcW w:type="dxa" w:w="3744"/>
            <w:shd w:val="clear" w:fill="F2F7F7"/>
          </w:tcPr>
          <w:p>
            <w:pPr>
              <w:spacing w:after="20" w:before="20"/>
              <w:jc w:val="left"/>
            </w:pPr>
            <w:r/>
            <w:r>
              <w:rPr>
                <w:rFonts w:ascii="Calibri" w:hAnsi="Calibri"/>
                <w:b w:val="0"/>
                <w:i w:val="0"/>
                <w:color w:val="222222"/>
                <w:sz w:val="18"/>
              </w:rPr>
              <w:t>Monte Carlo median (3-mo)</w:t>
            </w:r>
          </w:p>
        </w:tc>
        <w:tc>
          <w:tcPr>
            <w:tcW w:type="dxa" w:w="2304"/>
            <w:shd w:val="clear" w:fill="F2F7F7"/>
          </w:tcPr>
          <w:p>
            <w:pPr>
              <w:spacing w:after="20" w:before="20"/>
              <w:jc w:val="center"/>
            </w:pPr>
            <w:r/>
            <w:r>
              <w:rPr>
                <w:rFonts w:ascii="Calibri" w:hAnsi="Calibri"/>
                <w:b w:val="0"/>
                <w:i w:val="0"/>
                <w:color w:val="222222"/>
                <w:sz w:val="18"/>
              </w:rPr>
              <w:t>$303</w:t>
            </w:r>
          </w:p>
        </w:tc>
        <w:tc>
          <w:tcPr>
            <w:tcW w:type="dxa" w:w="3888"/>
            <w:shd w:val="clear" w:fill="F2F7F7"/>
          </w:tcPr>
          <w:p>
            <w:pPr>
              <w:spacing w:after="20" w:before="20"/>
              <w:jc w:val="center"/>
            </w:pPr>
            <w:r/>
            <w:r>
              <w:rPr>
                <w:rFonts w:ascii="Calibri" w:hAnsi="Calibri"/>
                <w:b w:val="0"/>
                <w:i w:val="0"/>
                <w:color w:val="222222"/>
                <w:sz w:val="18"/>
              </w:rPr>
              <w:t>Where price may sit near-term</w:t>
            </w:r>
          </w:p>
        </w:tc>
      </w:tr>
      <w:tr>
        <w:tc>
          <w:tcPr>
            <w:tcW w:type="dxa" w:w="3744"/>
          </w:tcPr>
          <w:p>
            <w:pPr>
              <w:spacing w:after="20" w:before="20"/>
              <w:jc w:val="left"/>
            </w:pPr>
            <w:r/>
            <w:r>
              <w:rPr>
                <w:rFonts w:ascii="Calibri" w:hAnsi="Calibri"/>
                <w:b w:val="0"/>
                <w:i w:val="0"/>
                <w:color w:val="222222"/>
                <w:sz w:val="18"/>
              </w:rPr>
              <w:t>Spot</w:t>
            </w:r>
          </w:p>
        </w:tc>
        <w:tc>
          <w:tcPr>
            <w:tcW w:type="dxa" w:w="2304"/>
          </w:tcPr>
          <w:p>
            <w:pPr>
              <w:spacing w:after="20" w:before="20"/>
              <w:jc w:val="center"/>
            </w:pPr>
            <w:r/>
            <w:r>
              <w:rPr>
                <w:rFonts w:ascii="Calibri" w:hAnsi="Calibri"/>
                <w:b w:val="0"/>
                <w:i w:val="0"/>
                <w:color w:val="222222"/>
                <w:sz w:val="18"/>
              </w:rPr>
              <w:t>$313.09</w:t>
            </w:r>
          </w:p>
        </w:tc>
        <w:tc>
          <w:tcPr>
            <w:tcW w:type="dxa" w:w="3888"/>
          </w:tcPr>
          <w:p>
            <w:pPr>
              <w:spacing w:after="20" w:before="20"/>
              <w:jc w:val="center"/>
            </w:pPr>
            <w:r/>
            <w:r>
              <w:rPr>
                <w:rFonts w:ascii="Calibri" w:hAnsi="Calibri"/>
                <w:b w:val="0"/>
                <w:i w:val="0"/>
                <w:color w:val="222222"/>
                <w:sz w:val="18"/>
              </w:rPr>
              <w:t>The market's answer today</w:t>
            </w:r>
          </w:p>
        </w:tc>
      </w:tr>
    </w:tbl>
    <w:p>
      <w:pPr>
        <w:spacing w:after="40"/>
      </w:pPr>
    </w:p>
    <w:p>
      <w:pPr>
        <w:spacing w:before="240" w:after="60"/>
        <w:pBdr>
          <w:bottom w:val="single" w:sz="6" w:space="2" w:color="B0894B"/>
        </w:pBdr>
      </w:pPr>
      <w:r>
        <w:rPr>
          <w:b/>
          <w:color w:val="1B5E5E"/>
          <w:sz w:val="28"/>
        </w:rPr>
        <w:t>5  Catalysts to watch</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456"/>
            <w:shd w:val="clear" w:fill="2A8F8F"/>
          </w:tcPr>
          <w:p>
            <w:pPr>
              <w:spacing w:after="20" w:before="20"/>
              <w:jc w:val="left"/>
            </w:pPr>
            <w:r/>
            <w:r>
              <w:rPr>
                <w:rFonts w:ascii="Calibri" w:hAnsi="Calibri"/>
                <w:b/>
                <w:i w:val="0"/>
                <w:color w:val="FFFFFF"/>
                <w:sz w:val="18"/>
              </w:rPr>
              <w:t>Catalyst</w:t>
            </w:r>
          </w:p>
        </w:tc>
        <w:tc>
          <w:tcPr>
            <w:tcW w:type="dxa" w:w="4320"/>
            <w:shd w:val="clear" w:fill="2A8F8F"/>
          </w:tcPr>
          <w:p>
            <w:pPr>
              <w:spacing w:after="20" w:before="20"/>
              <w:jc w:val="center"/>
            </w:pPr>
            <w:r/>
            <w:r>
              <w:rPr>
                <w:rFonts w:ascii="Calibri" w:hAnsi="Calibri"/>
                <w:b/>
                <w:i w:val="0"/>
                <w:color w:val="FFFFFF"/>
                <w:sz w:val="18"/>
              </w:rPr>
              <w:t>Why it matters</w:t>
            </w:r>
          </w:p>
        </w:tc>
        <w:tc>
          <w:tcPr>
            <w:tcW w:type="dxa" w:w="2160"/>
            <w:shd w:val="clear" w:fill="2A8F8F"/>
          </w:tcPr>
          <w:p>
            <w:pPr>
              <w:spacing w:after="20" w:before="20"/>
              <w:jc w:val="center"/>
            </w:pPr>
            <w:r/>
            <w:r>
              <w:rPr>
                <w:rFonts w:ascii="Calibri" w:hAnsi="Calibri"/>
                <w:b/>
                <w:i w:val="0"/>
                <w:color w:val="FFFFFF"/>
                <w:sz w:val="18"/>
              </w:rPr>
              <w:t>Skew</w:t>
            </w:r>
          </w:p>
        </w:tc>
      </w:tr>
      <w:tr>
        <w:tc>
          <w:tcPr>
            <w:tcW w:type="dxa" w:w="3456"/>
          </w:tcPr>
          <w:p>
            <w:pPr>
              <w:spacing w:after="20" w:before="20"/>
              <w:jc w:val="left"/>
            </w:pPr>
            <w:r/>
            <w:r>
              <w:rPr>
                <w:rFonts w:ascii="Calibri" w:hAnsi="Calibri"/>
                <w:b w:val="0"/>
                <w:i w:val="0"/>
                <w:color w:val="222222"/>
                <w:sz w:val="18"/>
              </w:rPr>
              <w:t>Quarterly Services growth print</w:t>
            </w:r>
          </w:p>
        </w:tc>
        <w:tc>
          <w:tcPr>
            <w:tcW w:type="dxa" w:w="4320"/>
          </w:tcPr>
          <w:p>
            <w:pPr>
              <w:spacing w:after="20" w:before="20"/>
              <w:jc w:val="center"/>
            </w:pPr>
            <w:r/>
            <w:r>
              <w:rPr>
                <w:rFonts w:ascii="Calibri" w:hAnsi="Calibri"/>
                <w:b w:val="0"/>
                <w:i w:val="0"/>
                <w:color w:val="222222"/>
                <w:sz w:val="18"/>
              </w:rPr>
              <w:t>Sustains or challenges the SOTP premium</w:t>
            </w:r>
          </w:p>
        </w:tc>
        <w:tc>
          <w:tcPr>
            <w:tcW w:type="dxa" w:w="2160"/>
          </w:tcPr>
          <w:p>
            <w:pPr>
              <w:spacing w:after="20" w:before="20"/>
              <w:jc w:val="center"/>
            </w:pPr>
            <w:r/>
            <w:r>
              <w:rPr>
                <w:rFonts w:ascii="Calibri" w:hAnsi="Calibri"/>
                <w:b w:val="0"/>
                <w:i w:val="0"/>
                <w:color w:val="222222"/>
                <w:sz w:val="18"/>
              </w:rPr>
              <w:t>Two-sided</w:t>
            </w:r>
          </w:p>
        </w:tc>
      </w:tr>
      <w:tr>
        <w:tc>
          <w:tcPr>
            <w:tcW w:type="dxa" w:w="3456"/>
            <w:shd w:val="clear" w:fill="F2F7F7"/>
          </w:tcPr>
          <w:p>
            <w:pPr>
              <w:spacing w:after="20" w:before="20"/>
              <w:jc w:val="left"/>
            </w:pPr>
            <w:r/>
            <w:r>
              <w:rPr>
                <w:rFonts w:ascii="Calibri" w:hAnsi="Calibri"/>
                <w:b w:val="0"/>
                <w:i w:val="0"/>
                <w:color w:val="222222"/>
                <w:sz w:val="18"/>
              </w:rPr>
              <w:t>iPhone AI upgrade-cycle evidence</w:t>
            </w:r>
          </w:p>
        </w:tc>
        <w:tc>
          <w:tcPr>
            <w:tcW w:type="dxa" w:w="4320"/>
            <w:shd w:val="clear" w:fill="F2F7F7"/>
          </w:tcPr>
          <w:p>
            <w:pPr>
              <w:spacing w:after="20" w:before="20"/>
              <w:jc w:val="center"/>
            </w:pPr>
            <w:r/>
            <w:r>
              <w:rPr>
                <w:rFonts w:ascii="Calibri" w:hAnsi="Calibri"/>
                <w:b w:val="0"/>
                <w:i w:val="0"/>
                <w:color w:val="222222"/>
                <w:sz w:val="18"/>
              </w:rPr>
              <w:t>Drives near-term units and Services attach</w:t>
            </w:r>
          </w:p>
        </w:tc>
        <w:tc>
          <w:tcPr>
            <w:tcW w:type="dxa" w:w="2160"/>
            <w:shd w:val="clear" w:fill="F2F7F7"/>
          </w:tcPr>
          <w:p>
            <w:pPr>
              <w:spacing w:after="20" w:before="20"/>
              <w:jc w:val="center"/>
            </w:pPr>
            <w:r/>
            <w:r>
              <w:rPr>
                <w:rFonts w:ascii="Calibri" w:hAnsi="Calibri"/>
                <w:b w:val="0"/>
                <w:i w:val="0"/>
                <w:color w:val="222222"/>
                <w:sz w:val="18"/>
              </w:rPr>
              <w:t>Upside if it lands</w:t>
            </w:r>
          </w:p>
        </w:tc>
      </w:tr>
      <w:tr>
        <w:tc>
          <w:tcPr>
            <w:tcW w:type="dxa" w:w="3456"/>
          </w:tcPr>
          <w:p>
            <w:pPr>
              <w:spacing w:after="20" w:before="20"/>
              <w:jc w:val="left"/>
            </w:pPr>
            <w:r/>
            <w:r>
              <w:rPr>
                <w:rFonts w:ascii="Calibri" w:hAnsi="Calibri"/>
                <w:b w:val="0"/>
                <w:i w:val="0"/>
                <w:color w:val="222222"/>
                <w:sz w:val="18"/>
              </w:rPr>
              <w:t>Gross-margin trajectory</w:t>
            </w:r>
          </w:p>
        </w:tc>
        <w:tc>
          <w:tcPr>
            <w:tcW w:type="dxa" w:w="4320"/>
          </w:tcPr>
          <w:p>
            <w:pPr>
              <w:spacing w:after="20" w:before="20"/>
              <w:jc w:val="center"/>
            </w:pPr>
            <w:r/>
            <w:r>
              <w:rPr>
                <w:rFonts w:ascii="Calibri" w:hAnsi="Calibri"/>
                <w:b w:val="0"/>
                <w:i w:val="0"/>
                <w:color w:val="222222"/>
                <w:sz w:val="18"/>
              </w:rPr>
              <w:t>Each point is several $/sh of DCF value</w:t>
            </w:r>
          </w:p>
        </w:tc>
        <w:tc>
          <w:tcPr>
            <w:tcW w:type="dxa" w:w="2160"/>
          </w:tcPr>
          <w:p>
            <w:pPr>
              <w:spacing w:after="20" w:before="20"/>
              <w:jc w:val="center"/>
            </w:pPr>
            <w:r/>
            <w:r>
              <w:rPr>
                <w:rFonts w:ascii="Calibri" w:hAnsi="Calibri"/>
                <w:b w:val="0"/>
                <w:i w:val="0"/>
                <w:color w:val="222222"/>
                <w:sz w:val="18"/>
              </w:rPr>
              <w:t>Two-sided</w:t>
            </w:r>
          </w:p>
        </w:tc>
      </w:tr>
      <w:tr>
        <w:tc>
          <w:tcPr>
            <w:tcW w:type="dxa" w:w="3456"/>
            <w:shd w:val="clear" w:fill="F2F7F7"/>
          </w:tcPr>
          <w:p>
            <w:pPr>
              <w:spacing w:after="20" w:before="20"/>
              <w:jc w:val="left"/>
            </w:pPr>
            <w:r/>
            <w:r>
              <w:rPr>
                <w:rFonts w:ascii="Calibri" w:hAnsi="Calibri"/>
                <w:b w:val="0"/>
                <w:i w:val="0"/>
                <w:color w:val="222222"/>
                <w:sz w:val="18"/>
              </w:rPr>
              <w:t>App Store / antitrust rulings</w:t>
            </w:r>
          </w:p>
        </w:tc>
        <w:tc>
          <w:tcPr>
            <w:tcW w:type="dxa" w:w="4320"/>
            <w:shd w:val="clear" w:fill="F2F7F7"/>
          </w:tcPr>
          <w:p>
            <w:pPr>
              <w:spacing w:after="20" w:before="20"/>
              <w:jc w:val="center"/>
            </w:pPr>
            <w:r/>
            <w:r>
              <w:rPr>
                <w:rFonts w:ascii="Calibri" w:hAnsi="Calibri"/>
                <w:b w:val="0"/>
                <w:i w:val="0"/>
                <w:color w:val="222222"/>
                <w:sz w:val="18"/>
              </w:rPr>
              <w:t>Directly hits the Services take-rate</w:t>
            </w:r>
          </w:p>
        </w:tc>
        <w:tc>
          <w:tcPr>
            <w:tcW w:type="dxa" w:w="2160"/>
            <w:shd w:val="clear" w:fill="F2F7F7"/>
          </w:tcPr>
          <w:p>
            <w:pPr>
              <w:spacing w:after="20" w:before="20"/>
              <w:jc w:val="center"/>
            </w:pPr>
            <w:r/>
            <w:r>
              <w:rPr>
                <w:rFonts w:ascii="Calibri" w:hAnsi="Calibri"/>
                <w:b w:val="0"/>
                <w:i w:val="0"/>
                <w:color w:val="222222"/>
                <w:sz w:val="18"/>
              </w:rPr>
              <w:t>Downside</w:t>
            </w:r>
          </w:p>
        </w:tc>
      </w:tr>
      <w:tr>
        <w:tc>
          <w:tcPr>
            <w:tcW w:type="dxa" w:w="3456"/>
          </w:tcPr>
          <w:p>
            <w:pPr>
              <w:spacing w:after="20" w:before="20"/>
              <w:jc w:val="left"/>
            </w:pPr>
            <w:r/>
            <w:r>
              <w:rPr>
                <w:rFonts w:ascii="Calibri" w:hAnsi="Calibri"/>
                <w:b w:val="0"/>
                <w:i w:val="0"/>
                <w:color w:val="222222"/>
                <w:sz w:val="18"/>
              </w:rPr>
              <w:t>Google TAC / search deal outcome</w:t>
            </w:r>
          </w:p>
        </w:tc>
        <w:tc>
          <w:tcPr>
            <w:tcW w:type="dxa" w:w="4320"/>
          </w:tcPr>
          <w:p>
            <w:pPr>
              <w:spacing w:after="20" w:before="20"/>
              <w:jc w:val="center"/>
            </w:pPr>
            <w:r/>
            <w:r>
              <w:rPr>
                <w:rFonts w:ascii="Calibri" w:hAnsi="Calibri"/>
                <w:b w:val="0"/>
                <w:i w:val="0"/>
                <w:color w:val="222222"/>
                <w:sz w:val="18"/>
              </w:rPr>
              <w:t>A discrete Services revenue line</w:t>
            </w:r>
          </w:p>
        </w:tc>
        <w:tc>
          <w:tcPr>
            <w:tcW w:type="dxa" w:w="2160"/>
          </w:tcPr>
          <w:p>
            <w:pPr>
              <w:spacing w:after="20" w:before="20"/>
              <w:jc w:val="center"/>
            </w:pPr>
            <w:r/>
            <w:r>
              <w:rPr>
                <w:rFonts w:ascii="Calibri" w:hAnsi="Calibri"/>
                <w:b w:val="0"/>
                <w:i w:val="0"/>
                <w:color w:val="222222"/>
                <w:sz w:val="18"/>
              </w:rPr>
              <w:t>Downside</w:t>
            </w:r>
          </w:p>
        </w:tc>
      </w:tr>
      <w:tr>
        <w:tc>
          <w:tcPr>
            <w:tcW w:type="dxa" w:w="3456"/>
            <w:shd w:val="clear" w:fill="F2F7F7"/>
          </w:tcPr>
          <w:p>
            <w:pPr>
              <w:spacing w:after="20" w:before="20"/>
              <w:jc w:val="left"/>
            </w:pPr>
            <w:r/>
            <w:r>
              <w:rPr>
                <w:rFonts w:ascii="Calibri" w:hAnsi="Calibri"/>
                <w:b w:val="0"/>
                <w:i w:val="0"/>
                <w:color w:val="222222"/>
                <w:sz w:val="18"/>
              </w:rPr>
              <w:t>China share &amp; trade policy</w:t>
            </w:r>
          </w:p>
        </w:tc>
        <w:tc>
          <w:tcPr>
            <w:tcW w:type="dxa" w:w="4320"/>
            <w:shd w:val="clear" w:fill="F2F7F7"/>
          </w:tcPr>
          <w:p>
            <w:pPr>
              <w:spacing w:after="20" w:before="20"/>
              <w:jc w:val="center"/>
            </w:pPr>
            <w:r/>
            <w:r>
              <w:rPr>
                <w:rFonts w:ascii="Calibri" w:hAnsi="Calibri"/>
                <w:b w:val="0"/>
                <w:i w:val="0"/>
                <w:color w:val="222222"/>
                <w:sz w:val="18"/>
              </w:rPr>
              <w:t>Units, margin and supply continuity</w:t>
            </w:r>
          </w:p>
        </w:tc>
        <w:tc>
          <w:tcPr>
            <w:tcW w:type="dxa" w:w="2160"/>
            <w:shd w:val="clear" w:fill="F2F7F7"/>
          </w:tcPr>
          <w:p>
            <w:pPr>
              <w:spacing w:after="20" w:before="20"/>
              <w:jc w:val="center"/>
            </w:pPr>
            <w:r/>
            <w:r>
              <w:rPr>
                <w:rFonts w:ascii="Calibri" w:hAnsi="Calibri"/>
                <w:b w:val="0"/>
                <w:i w:val="0"/>
                <w:color w:val="222222"/>
                <w:sz w:val="18"/>
              </w:rPr>
              <w:t>Tail-risk, two-sided</w:t>
            </w:r>
          </w:p>
        </w:tc>
      </w:tr>
      <w:tr>
        <w:tc>
          <w:tcPr>
            <w:tcW w:type="dxa" w:w="3456"/>
          </w:tcPr>
          <w:p>
            <w:pPr>
              <w:spacing w:after="20" w:before="20"/>
              <w:jc w:val="left"/>
            </w:pPr>
            <w:r/>
            <w:r>
              <w:rPr>
                <w:rFonts w:ascii="Calibri" w:hAnsi="Calibri"/>
                <w:b w:val="0"/>
                <w:i w:val="0"/>
                <w:color w:val="222222"/>
                <w:sz w:val="18"/>
              </w:rPr>
              <w:t>Capital-return refresh</w:t>
            </w:r>
          </w:p>
        </w:tc>
        <w:tc>
          <w:tcPr>
            <w:tcW w:type="dxa" w:w="4320"/>
          </w:tcPr>
          <w:p>
            <w:pPr>
              <w:spacing w:after="20" w:before="20"/>
              <w:jc w:val="center"/>
            </w:pPr>
            <w:r/>
            <w:r>
              <w:rPr>
                <w:rFonts w:ascii="Calibri" w:hAnsi="Calibri"/>
                <w:b w:val="0"/>
                <w:i w:val="0"/>
                <w:color w:val="222222"/>
                <w:sz w:val="18"/>
              </w:rPr>
              <w:t>Buyback pace shrinks the share count</w:t>
            </w:r>
          </w:p>
        </w:tc>
        <w:tc>
          <w:tcPr>
            <w:tcW w:type="dxa" w:w="2160"/>
          </w:tcPr>
          <w:p>
            <w:pPr>
              <w:spacing w:after="20" w:before="20"/>
              <w:jc w:val="center"/>
            </w:pPr>
            <w:r/>
            <w:r>
              <w:rPr>
                <w:rFonts w:ascii="Calibri" w:hAnsi="Calibri"/>
                <w:b w:val="0"/>
                <w:i w:val="0"/>
                <w:color w:val="222222"/>
                <w:sz w:val="18"/>
              </w:rPr>
              <w:t>Modest upside</w:t>
            </w:r>
          </w:p>
        </w:tc>
      </w:tr>
    </w:tbl>
    <w:p>
      <w:pPr>
        <w:spacing w:after="40"/>
      </w:pPr>
    </w:p>
    <w:p>
      <w:pPr>
        <w:spacing w:before="240" w:after="60"/>
        <w:pBdr>
          <w:bottom w:val="single" w:sz="6" w:space="2" w:color="B0894B"/>
        </w:pBdr>
      </w:pPr>
      <w:r>
        <w:rPr>
          <w:b/>
          <w:color w:val="1B5E5E"/>
          <w:sz w:val="28"/>
        </w:rPr>
        <w:t>6  Reading the probability zones</w:t>
      </w:r>
    </w:p>
    <w:p>
      <w:pPr>
        <w:spacing w:after="80" w:line="254" w:lineRule="auto"/>
      </w:pPr>
      <w:r>
        <w:rPr>
          <w:color w:val="222222"/>
          <w:sz w:val="20"/>
        </w:rPr>
        <w:t>The cone is not a forecast of one path; it is a map of where price could travel and with what likelihood. The interquartile (25th–75th) band — $276 to $333 at T+60 — is where half the paths end, and is the band to reason with; the 5th–95th band ($237–$386) is the tail region, not the expectation. At T+20 the same bands are roughly $293–$327 (interquartile) and $267–$356 (5–95%) — narrower, because width scales with the square root of time.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168"/>
            <w:shd w:val="clear" w:fill="2A8F8F"/>
          </w:tcPr>
          <w:p>
            <w:pPr>
              <w:spacing w:after="20" w:before="20"/>
              <w:jc w:val="left"/>
            </w:pPr>
            <w:r/>
            <w:r>
              <w:rPr>
                <w:rFonts w:ascii="Calibri" w:hAnsi="Calibri"/>
                <w:b/>
                <w:i w:val="0"/>
                <w:color w:val="FFFFFF"/>
                <w:sz w:val="18"/>
              </w:rPr>
              <w:t>Zone (T+60)</w:t>
            </w:r>
          </w:p>
        </w:tc>
        <w:tc>
          <w:tcPr>
            <w:tcW w:type="dxa" w:w="3168"/>
            <w:shd w:val="clear" w:fill="2A8F8F"/>
          </w:tcPr>
          <w:p>
            <w:pPr>
              <w:spacing w:after="20" w:before="20"/>
              <w:jc w:val="center"/>
            </w:pPr>
            <w:r/>
            <w:r>
              <w:rPr>
                <w:rFonts w:ascii="Calibri" w:hAnsi="Calibri"/>
                <w:b/>
                <w:i w:val="0"/>
                <w:color w:val="FFFFFF"/>
                <w:sz w:val="18"/>
              </w:rPr>
              <w:t>Range (USD)</w:t>
            </w:r>
          </w:p>
        </w:tc>
        <w:tc>
          <w:tcPr>
            <w:tcW w:type="dxa" w:w="3600"/>
            <w:shd w:val="clear" w:fill="2A8F8F"/>
          </w:tcPr>
          <w:p>
            <w:pPr>
              <w:spacing w:after="20" w:before="20"/>
              <w:jc w:val="center"/>
            </w:pPr>
            <w:r/>
            <w:r>
              <w:rPr>
                <w:rFonts w:ascii="Calibri" w:hAnsi="Calibri"/>
                <w:b/>
                <w:i w:val="0"/>
                <w:color w:val="FFFFFF"/>
                <w:sz w:val="18"/>
              </w:rPr>
              <w:t>Meaning</w:t>
            </w:r>
          </w:p>
        </w:tc>
      </w:tr>
      <w:tr>
        <w:tc>
          <w:tcPr>
            <w:tcW w:type="dxa" w:w="3168"/>
          </w:tcPr>
          <w:p>
            <w:pPr>
              <w:spacing w:after="20" w:before="20"/>
              <w:jc w:val="left"/>
            </w:pPr>
            <w:r/>
            <w:r>
              <w:rPr>
                <w:rFonts w:ascii="Calibri" w:hAnsi="Calibri"/>
                <w:b w:val="0"/>
                <w:i w:val="0"/>
                <w:color w:val="222222"/>
                <w:sz w:val="18"/>
              </w:rPr>
              <w:t>Interquartile (25th–75th)</w:t>
            </w:r>
          </w:p>
        </w:tc>
        <w:tc>
          <w:tcPr>
            <w:tcW w:type="dxa" w:w="3168"/>
          </w:tcPr>
          <w:p>
            <w:pPr>
              <w:spacing w:after="20" w:before="20"/>
              <w:jc w:val="center"/>
            </w:pPr>
            <w:r/>
            <w:r>
              <w:rPr>
                <w:rFonts w:ascii="Calibri" w:hAnsi="Calibri"/>
                <w:b w:val="0"/>
                <w:i w:val="0"/>
                <w:color w:val="222222"/>
                <w:sz w:val="18"/>
              </w:rPr>
              <w:t>$276 – $333</w:t>
            </w:r>
          </w:p>
        </w:tc>
        <w:tc>
          <w:tcPr>
            <w:tcW w:type="dxa" w:w="3600"/>
          </w:tcPr>
          <w:p>
            <w:pPr>
              <w:spacing w:after="20" w:before="20"/>
              <w:jc w:val="center"/>
            </w:pPr>
            <w:r/>
            <w:r>
              <w:rPr>
                <w:rFonts w:ascii="Calibri" w:hAnsi="Calibri"/>
                <w:b w:val="0"/>
                <w:i w:val="0"/>
                <w:color w:val="222222"/>
                <w:sz w:val="18"/>
              </w:rPr>
              <w:t>Half of paths end here — the working band</w:t>
            </w:r>
          </w:p>
        </w:tc>
      </w:tr>
      <w:tr>
        <w:tc>
          <w:tcPr>
            <w:tcW w:type="dxa" w:w="3168"/>
            <w:shd w:val="clear" w:fill="F2F7F7"/>
          </w:tcPr>
          <w:p>
            <w:pPr>
              <w:spacing w:after="20" w:before="20"/>
              <w:jc w:val="left"/>
            </w:pPr>
            <w:r/>
            <w:r>
              <w:rPr>
                <w:rFonts w:ascii="Calibri" w:hAnsi="Calibri"/>
                <w:b w:val="0"/>
                <w:i w:val="0"/>
                <w:color w:val="222222"/>
                <w:sz w:val="18"/>
              </w:rPr>
              <w:t>Median</w:t>
            </w:r>
          </w:p>
        </w:tc>
        <w:tc>
          <w:tcPr>
            <w:tcW w:type="dxa" w:w="3168"/>
            <w:shd w:val="clear" w:fill="F2F7F7"/>
          </w:tcPr>
          <w:p>
            <w:pPr>
              <w:spacing w:after="20" w:before="20"/>
              <w:jc w:val="center"/>
            </w:pPr>
            <w:r/>
            <w:r>
              <w:rPr>
                <w:rFonts w:ascii="Calibri" w:hAnsi="Calibri"/>
                <w:b w:val="0"/>
                <w:i w:val="0"/>
                <w:color w:val="222222"/>
                <w:sz w:val="18"/>
              </w:rPr>
              <w:t>$303</w:t>
            </w:r>
          </w:p>
        </w:tc>
        <w:tc>
          <w:tcPr>
            <w:tcW w:type="dxa" w:w="3600"/>
            <w:shd w:val="clear" w:fill="F2F7F7"/>
          </w:tcPr>
          <w:p>
            <w:pPr>
              <w:spacing w:after="20" w:before="20"/>
              <w:jc w:val="center"/>
            </w:pPr>
            <w:r/>
            <w:r>
              <w:rPr>
                <w:rFonts w:ascii="Calibri" w:hAnsi="Calibri"/>
                <w:b w:val="0"/>
                <w:i w:val="0"/>
                <w:color w:val="222222"/>
                <w:sz w:val="18"/>
              </w:rPr>
              <w:t>-3.4% vs spot</w:t>
            </w:r>
          </w:p>
        </w:tc>
      </w:tr>
      <w:tr>
        <w:tc>
          <w:tcPr>
            <w:tcW w:type="dxa" w:w="3168"/>
          </w:tcPr>
          <w:p>
            <w:pPr>
              <w:spacing w:after="20" w:before="20"/>
              <w:jc w:val="left"/>
            </w:pPr>
            <w:r/>
            <w:r>
              <w:rPr>
                <w:rFonts w:ascii="Calibri" w:hAnsi="Calibri"/>
                <w:b w:val="0"/>
                <w:i w:val="0"/>
                <w:color w:val="222222"/>
                <w:sz w:val="18"/>
              </w:rPr>
              <w:t>5th–95th</w:t>
            </w:r>
          </w:p>
        </w:tc>
        <w:tc>
          <w:tcPr>
            <w:tcW w:type="dxa" w:w="3168"/>
          </w:tcPr>
          <w:p>
            <w:pPr>
              <w:spacing w:after="20" w:before="20"/>
              <w:jc w:val="center"/>
            </w:pPr>
            <w:r/>
            <w:r>
              <w:rPr>
                <w:rFonts w:ascii="Calibri" w:hAnsi="Calibri"/>
                <w:b w:val="0"/>
                <w:i w:val="0"/>
                <w:color w:val="222222"/>
                <w:sz w:val="18"/>
              </w:rPr>
              <w:t>$237 – $386</w:t>
            </w:r>
          </w:p>
        </w:tc>
        <w:tc>
          <w:tcPr>
            <w:tcW w:type="dxa" w:w="3600"/>
          </w:tcPr>
          <w:p>
            <w:pPr>
              <w:spacing w:after="20" w:before="20"/>
              <w:jc w:val="center"/>
            </w:pPr>
            <w:r/>
            <w:r>
              <w:rPr>
                <w:rFonts w:ascii="Calibri" w:hAnsi="Calibri"/>
                <w:b w:val="0"/>
                <w:i w:val="0"/>
                <w:color w:val="222222"/>
                <w:sz w:val="18"/>
              </w:rPr>
              <w:t>Tail region, not the expectation</w:t>
            </w:r>
          </w:p>
        </w:tc>
      </w:tr>
      <w:tr>
        <w:tc>
          <w:tcPr>
            <w:tcW w:type="dxa" w:w="3168"/>
            <w:shd w:val="clear" w:fill="F2F7F7"/>
          </w:tcPr>
          <w:p>
            <w:pPr>
              <w:spacing w:after="20" w:before="20"/>
              <w:jc w:val="left"/>
            </w:pPr>
            <w:r/>
            <w:r>
              <w:rPr>
                <w:rFonts w:ascii="Calibri" w:hAnsi="Calibri"/>
                <w:b w:val="0"/>
                <w:i w:val="0"/>
                <w:color w:val="222222"/>
                <w:sz w:val="18"/>
              </w:rPr>
              <w:t>Above spot</w:t>
            </w:r>
          </w:p>
        </w:tc>
        <w:tc>
          <w:tcPr>
            <w:tcW w:type="dxa" w:w="3168"/>
            <w:shd w:val="clear" w:fill="F2F7F7"/>
          </w:tcPr>
          <w:p>
            <w:pPr>
              <w:spacing w:after="20" w:before="20"/>
              <w:jc w:val="center"/>
            </w:pPr>
            <w:r/>
            <w:r>
              <w:rPr>
                <w:rFonts w:ascii="Calibri" w:hAnsi="Calibri"/>
                <w:b w:val="0"/>
                <w:i w:val="0"/>
                <w:color w:val="222222"/>
                <w:sz w:val="18"/>
              </w:rPr>
              <w:t>≥ $313</w:t>
            </w:r>
          </w:p>
        </w:tc>
        <w:tc>
          <w:tcPr>
            <w:tcW w:type="dxa" w:w="3600"/>
            <w:shd w:val="clear" w:fill="F2F7F7"/>
          </w:tcPr>
          <w:p>
            <w:pPr>
              <w:spacing w:after="20" w:before="20"/>
              <w:jc w:val="center"/>
            </w:pPr>
            <w:r/>
            <w:r>
              <w:rPr>
                <w:rFonts w:ascii="Calibri" w:hAnsi="Calibri"/>
                <w:b w:val="0"/>
                <w:i w:val="0"/>
                <w:color w:val="222222"/>
                <w:sz w:val="18"/>
              </w:rPr>
              <w:t>40.2% of paths</w:t>
            </w:r>
          </w:p>
        </w:tc>
      </w:tr>
    </w:tbl>
    <w:p>
      <w:pPr>
        <w:spacing w:after="40"/>
      </w:pPr>
    </w:p>
    <w:p>
      <w:pPr>
        <w:spacing w:before="240" w:after="60"/>
        <w:pBdr>
          <w:bottom w:val="single" w:sz="6" w:space="2" w:color="B0894B"/>
        </w:pBdr>
      </w:pPr>
      <w:r>
        <w:rPr>
          <w:b/>
          <w:color w:val="1B5E5E"/>
          <w:sz w:val="28"/>
        </w:rPr>
        <w:t>7  Caveats and what would change our mind</w:t>
      </w:r>
    </w:p>
    <w:p>
      <w:pPr>
        <w:spacing w:after="80" w:line="254" w:lineRule="auto"/>
      </w:pPr>
      <w:r>
        <w:rPr>
          <w:color w:val="222222"/>
          <w:sz w:val="20"/>
        </w:rPr>
        <w:t>This is a model, and every model is a set of assumptions. The DCF is dominated by its terminal value, so it is ultimately a bet on the WACC-minus-g spread; a materially lower cost of capital or higher durable growth would lift it toward the multiple lenses. The SOTP depends on the Services margin and multiple we assign; if Services is more annuity-like than we credit, the segment value — and the justified price — rises. The relative and normalized lenses assume the mega-cap quality premium persists; a regime in which that premium compresses would pull them toward the DCF. On the Monte Carlo, the engine models price, not value, and encodes subjective event probabilities; the mild downside skew would flip if the AI-cycle evidence arrived faster than the regulatory overhang resolved. What would change our mind on the central tension: durable evidence that Services can hold a mid-teens growth rate and its take-rate through the regulatory cycle would justify the market's premium; evidence that the take-rate is capped and hardware is ex-growth would vindicate the DCF. We hold both possibilities open, which is why the output is a range and a distribution rather than a number.</w:t>
      </w:r>
    </w:p>
    <w:p>
      <w:pPr>
        <w:spacing w:before="240" w:after="60"/>
        <w:pBdr>
          <w:bottom w:val="single" w:sz="6" w:space="2" w:color="B0894B"/>
        </w:pBdr>
      </w:pPr>
      <w:r>
        <w:rPr>
          <w:b/>
          <w:color w:val="1B5E5E"/>
          <w:sz w:val="28"/>
        </w:rPr>
        <w:t>Appendix A  Financial statements</w:t>
      </w:r>
    </w:p>
    <w:p>
      <w:pPr>
        <w:spacing w:before="160" w:after="40"/>
      </w:pPr>
      <w:r>
        <w:rPr>
          <w:b/>
          <w:color w:val="2A8F8F"/>
          <w:sz w:val="23"/>
        </w:rPr>
        <w:t>A.1  Income statement (consolidated, USD bn) — 3 years actual + 5-year forecast</w:t>
      </w:r>
    </w:p>
    <w:tbl>
      <w:tblPr>
        <w:tblStyle w:val="TableGrid"/>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448"/>
            <w:shd w:val="clear" w:fill="2A8F8F"/>
          </w:tcPr>
          <w:p>
            <w:pPr>
              <w:spacing w:after="20" w:before="20"/>
              <w:jc w:val="left"/>
            </w:pPr>
            <w:r/>
            <w:r>
              <w:rPr>
                <w:rFonts w:ascii="Calibri" w:hAnsi="Calibri"/>
                <w:b/>
                <w:i w:val="0"/>
                <w:color w:val="FFFFFF"/>
                <w:sz w:val="18"/>
              </w:rPr>
              <w:t>USD bn</w:t>
            </w:r>
          </w:p>
        </w:tc>
        <w:tc>
          <w:tcPr>
            <w:tcW w:type="dxa" w:w="950"/>
            <w:shd w:val="clear" w:fill="2A8F8F"/>
          </w:tcPr>
          <w:p>
            <w:pPr>
              <w:spacing w:after="20" w:before="20"/>
              <w:jc w:val="center"/>
            </w:pPr>
            <w:r/>
            <w:r>
              <w:rPr>
                <w:rFonts w:ascii="Calibri" w:hAnsi="Calibri"/>
                <w:b/>
                <w:i w:val="0"/>
                <w:color w:val="FFFFFF"/>
                <w:sz w:val="18"/>
              </w:rPr>
              <w:t>FY23</w:t>
            </w:r>
          </w:p>
        </w:tc>
        <w:tc>
          <w:tcPr>
            <w:tcW w:type="dxa" w:w="950"/>
            <w:shd w:val="clear" w:fill="2A8F8F"/>
          </w:tcPr>
          <w:p>
            <w:pPr>
              <w:spacing w:after="20" w:before="20"/>
              <w:jc w:val="center"/>
            </w:pPr>
            <w:r/>
            <w:r>
              <w:rPr>
                <w:rFonts w:ascii="Calibri" w:hAnsi="Calibri"/>
                <w:b/>
                <w:i w:val="0"/>
                <w:color w:val="FFFFFF"/>
                <w:sz w:val="18"/>
              </w:rPr>
              <w:t>FY24</w:t>
            </w:r>
          </w:p>
        </w:tc>
        <w:tc>
          <w:tcPr>
            <w:tcW w:type="dxa" w:w="950"/>
            <w:shd w:val="clear" w:fill="2A8F8F"/>
          </w:tcPr>
          <w:p>
            <w:pPr>
              <w:spacing w:after="20" w:before="20"/>
              <w:jc w:val="center"/>
            </w:pPr>
            <w:r/>
            <w:r>
              <w:rPr>
                <w:rFonts w:ascii="Calibri" w:hAnsi="Calibri"/>
                <w:b/>
                <w:i w:val="0"/>
                <w:color w:val="FFFFFF"/>
                <w:sz w:val="18"/>
              </w:rPr>
              <w:t>FY25</w:t>
            </w:r>
          </w:p>
        </w:tc>
        <w:tc>
          <w:tcPr>
            <w:tcW w:type="dxa" w:w="950"/>
            <w:shd w:val="clear" w:fill="2A8F8F"/>
          </w:tcPr>
          <w:p>
            <w:pPr>
              <w:spacing w:after="20" w:before="20"/>
              <w:jc w:val="center"/>
            </w:pPr>
            <w:r/>
            <w:r>
              <w:rPr>
                <w:rFonts w:ascii="Calibri" w:hAnsi="Calibri"/>
                <w:b/>
                <w:i w:val="0"/>
                <w:color w:val="FFFFFF"/>
                <w:sz w:val="18"/>
              </w:rPr>
              <w:t>FY26E</w:t>
            </w:r>
          </w:p>
        </w:tc>
        <w:tc>
          <w:tcPr>
            <w:tcW w:type="dxa" w:w="950"/>
            <w:shd w:val="clear" w:fill="2A8F8F"/>
          </w:tcPr>
          <w:p>
            <w:pPr>
              <w:spacing w:after="20" w:before="20"/>
              <w:jc w:val="center"/>
            </w:pPr>
            <w:r/>
            <w:r>
              <w:rPr>
                <w:rFonts w:ascii="Calibri" w:hAnsi="Calibri"/>
                <w:b/>
                <w:i w:val="0"/>
                <w:color w:val="FFFFFF"/>
                <w:sz w:val="18"/>
              </w:rPr>
              <w:t>FY27E</w:t>
            </w:r>
          </w:p>
        </w:tc>
        <w:tc>
          <w:tcPr>
            <w:tcW w:type="dxa" w:w="950"/>
            <w:shd w:val="clear" w:fill="2A8F8F"/>
          </w:tcPr>
          <w:p>
            <w:pPr>
              <w:spacing w:after="20" w:before="20"/>
              <w:jc w:val="center"/>
            </w:pPr>
            <w:r/>
            <w:r>
              <w:rPr>
                <w:rFonts w:ascii="Calibri" w:hAnsi="Calibri"/>
                <w:b/>
                <w:i w:val="0"/>
                <w:color w:val="FFFFFF"/>
                <w:sz w:val="18"/>
              </w:rPr>
              <w:t>FY28E</w:t>
            </w:r>
          </w:p>
        </w:tc>
        <w:tc>
          <w:tcPr>
            <w:tcW w:type="dxa" w:w="950"/>
            <w:shd w:val="clear" w:fill="2A8F8F"/>
          </w:tcPr>
          <w:p>
            <w:pPr>
              <w:spacing w:after="20" w:before="20"/>
              <w:jc w:val="center"/>
            </w:pPr>
            <w:r/>
            <w:r>
              <w:rPr>
                <w:rFonts w:ascii="Calibri" w:hAnsi="Calibri"/>
                <w:b/>
                <w:i w:val="0"/>
                <w:color w:val="FFFFFF"/>
                <w:sz w:val="18"/>
              </w:rPr>
              <w:t>FY29E</w:t>
            </w:r>
          </w:p>
        </w:tc>
        <w:tc>
          <w:tcPr>
            <w:tcW w:type="dxa" w:w="950"/>
            <w:shd w:val="clear" w:fill="2A8F8F"/>
          </w:tcPr>
          <w:p>
            <w:pPr>
              <w:spacing w:after="20" w:before="20"/>
              <w:jc w:val="center"/>
            </w:pPr>
            <w:r/>
            <w:r>
              <w:rPr>
                <w:rFonts w:ascii="Calibri" w:hAnsi="Calibri"/>
                <w:b/>
                <w:i w:val="0"/>
                <w:color w:val="FFFFFF"/>
                <w:sz w:val="18"/>
              </w:rPr>
              <w:t>FY30E</w:t>
            </w:r>
          </w:p>
        </w:tc>
      </w:tr>
      <w:tr>
        <w:tc>
          <w:tcPr>
            <w:tcW w:type="dxa" w:w="2448"/>
          </w:tcPr>
          <w:p>
            <w:pPr>
              <w:spacing w:after="20" w:before="20"/>
              <w:jc w:val="left"/>
            </w:pPr>
            <w:r/>
            <w:r>
              <w:rPr>
                <w:rFonts w:ascii="Calibri" w:hAnsi="Calibri"/>
                <w:b w:val="0"/>
                <w:i w:val="0"/>
                <w:color w:val="222222"/>
                <w:sz w:val="16"/>
              </w:rPr>
              <w:t>Revenue</w:t>
            </w:r>
          </w:p>
        </w:tc>
        <w:tc>
          <w:tcPr>
            <w:tcW w:type="dxa" w:w="950"/>
          </w:tcPr>
          <w:p>
            <w:pPr>
              <w:spacing w:after="20" w:before="20"/>
              <w:jc w:val="center"/>
            </w:pPr>
            <w:r/>
            <w:r>
              <w:rPr>
                <w:rFonts w:ascii="Calibri" w:hAnsi="Calibri"/>
                <w:b w:val="0"/>
                <w:i w:val="0"/>
                <w:color w:val="222222"/>
                <w:sz w:val="16"/>
              </w:rPr>
              <w:t>$383</w:t>
            </w:r>
          </w:p>
        </w:tc>
        <w:tc>
          <w:tcPr>
            <w:tcW w:type="dxa" w:w="950"/>
          </w:tcPr>
          <w:p>
            <w:pPr>
              <w:spacing w:after="20" w:before="20"/>
              <w:jc w:val="center"/>
            </w:pPr>
            <w:r/>
            <w:r>
              <w:rPr>
                <w:rFonts w:ascii="Calibri" w:hAnsi="Calibri"/>
                <w:b w:val="0"/>
                <w:i w:val="0"/>
                <w:color w:val="222222"/>
                <w:sz w:val="16"/>
              </w:rPr>
              <w:t>$391</w:t>
            </w:r>
          </w:p>
        </w:tc>
        <w:tc>
          <w:tcPr>
            <w:tcW w:type="dxa" w:w="950"/>
          </w:tcPr>
          <w:p>
            <w:pPr>
              <w:spacing w:after="20" w:before="20"/>
              <w:jc w:val="center"/>
            </w:pPr>
            <w:r/>
            <w:r>
              <w:rPr>
                <w:rFonts w:ascii="Calibri" w:hAnsi="Calibri"/>
                <w:b w:val="0"/>
                <w:i w:val="0"/>
                <w:color w:val="222222"/>
                <w:sz w:val="16"/>
              </w:rPr>
              <w:t>$416</w:t>
            </w:r>
          </w:p>
        </w:tc>
        <w:tc>
          <w:tcPr>
            <w:tcW w:type="dxa" w:w="950"/>
          </w:tcPr>
          <w:p>
            <w:pPr>
              <w:spacing w:after="20" w:before="20"/>
              <w:jc w:val="center"/>
            </w:pPr>
            <w:r/>
            <w:r>
              <w:rPr>
                <w:rFonts w:ascii="Calibri" w:hAnsi="Calibri"/>
                <w:b w:val="0"/>
                <w:i w:val="0"/>
                <w:color w:val="222222"/>
                <w:sz w:val="16"/>
              </w:rPr>
              <w:t>$442</w:t>
            </w:r>
          </w:p>
        </w:tc>
        <w:tc>
          <w:tcPr>
            <w:tcW w:type="dxa" w:w="950"/>
          </w:tcPr>
          <w:p>
            <w:pPr>
              <w:spacing w:after="20" w:before="20"/>
              <w:jc w:val="center"/>
            </w:pPr>
            <w:r/>
            <w:r>
              <w:rPr>
                <w:rFonts w:ascii="Calibri" w:hAnsi="Calibri"/>
                <w:b w:val="0"/>
                <w:i w:val="0"/>
                <w:color w:val="222222"/>
                <w:sz w:val="16"/>
              </w:rPr>
              <w:t>$466</w:t>
            </w:r>
          </w:p>
        </w:tc>
        <w:tc>
          <w:tcPr>
            <w:tcW w:type="dxa" w:w="950"/>
          </w:tcPr>
          <w:p>
            <w:pPr>
              <w:spacing w:after="20" w:before="20"/>
              <w:jc w:val="center"/>
            </w:pPr>
            <w:r/>
            <w:r>
              <w:rPr>
                <w:rFonts w:ascii="Calibri" w:hAnsi="Calibri"/>
                <w:b w:val="0"/>
                <w:i w:val="0"/>
                <w:color w:val="222222"/>
                <w:sz w:val="16"/>
              </w:rPr>
              <w:t>$491</w:t>
            </w:r>
          </w:p>
        </w:tc>
        <w:tc>
          <w:tcPr>
            <w:tcW w:type="dxa" w:w="950"/>
          </w:tcPr>
          <w:p>
            <w:pPr>
              <w:spacing w:after="20" w:before="20"/>
              <w:jc w:val="center"/>
            </w:pPr>
            <w:r/>
            <w:r>
              <w:rPr>
                <w:rFonts w:ascii="Calibri" w:hAnsi="Calibri"/>
                <w:b w:val="0"/>
                <w:i w:val="0"/>
                <w:color w:val="222222"/>
                <w:sz w:val="16"/>
              </w:rPr>
              <w:t>$515</w:t>
            </w:r>
          </w:p>
        </w:tc>
        <w:tc>
          <w:tcPr>
            <w:tcW w:type="dxa" w:w="950"/>
          </w:tcPr>
          <w:p>
            <w:pPr>
              <w:spacing w:after="20" w:before="20"/>
              <w:jc w:val="center"/>
            </w:pPr>
            <w:r/>
            <w:r>
              <w:rPr>
                <w:rFonts w:ascii="Calibri" w:hAnsi="Calibri"/>
                <w:b w:val="0"/>
                <w:i w:val="0"/>
                <w:color w:val="222222"/>
                <w:sz w:val="16"/>
              </w:rPr>
              <w:t>$540</w:t>
            </w:r>
          </w:p>
        </w:tc>
      </w:tr>
      <w:tr>
        <w:tc>
          <w:tcPr>
            <w:tcW w:type="dxa" w:w="2448"/>
            <w:shd w:val="clear" w:fill="F2F7F7"/>
          </w:tcPr>
          <w:p>
            <w:pPr>
              <w:spacing w:after="20" w:before="20"/>
              <w:jc w:val="left"/>
            </w:pPr>
            <w:r/>
            <w:r>
              <w:rPr>
                <w:rFonts w:ascii="Calibri" w:hAnsi="Calibri"/>
                <w:b w:val="0"/>
                <w:i w:val="0"/>
                <w:color w:val="222222"/>
                <w:sz w:val="16"/>
              </w:rPr>
              <w:t>Gross profit</w:t>
            </w:r>
          </w:p>
        </w:tc>
        <w:tc>
          <w:tcPr>
            <w:tcW w:type="dxa" w:w="950"/>
            <w:shd w:val="clear" w:fill="F2F7F7"/>
          </w:tcPr>
          <w:p>
            <w:pPr>
              <w:spacing w:after="20" w:before="20"/>
              <w:jc w:val="center"/>
            </w:pPr>
            <w:r/>
            <w:r>
              <w:rPr>
                <w:rFonts w:ascii="Calibri" w:hAnsi="Calibri"/>
                <w:b w:val="0"/>
                <w:i w:val="0"/>
                <w:color w:val="222222"/>
                <w:sz w:val="16"/>
              </w:rPr>
              <w:t>$169</w:t>
            </w:r>
          </w:p>
        </w:tc>
        <w:tc>
          <w:tcPr>
            <w:tcW w:type="dxa" w:w="950"/>
            <w:shd w:val="clear" w:fill="F2F7F7"/>
          </w:tcPr>
          <w:p>
            <w:pPr>
              <w:spacing w:after="20" w:before="20"/>
              <w:jc w:val="center"/>
            </w:pPr>
            <w:r/>
            <w:r>
              <w:rPr>
                <w:rFonts w:ascii="Calibri" w:hAnsi="Calibri"/>
                <w:b w:val="0"/>
                <w:i w:val="0"/>
                <w:color w:val="222222"/>
                <w:sz w:val="16"/>
              </w:rPr>
              <w:t>$181</w:t>
            </w:r>
          </w:p>
        </w:tc>
        <w:tc>
          <w:tcPr>
            <w:tcW w:type="dxa" w:w="950"/>
            <w:shd w:val="clear" w:fill="F2F7F7"/>
          </w:tcPr>
          <w:p>
            <w:pPr>
              <w:spacing w:after="20" w:before="20"/>
              <w:jc w:val="center"/>
            </w:pPr>
            <w:r/>
            <w:r>
              <w:rPr>
                <w:rFonts w:ascii="Calibri" w:hAnsi="Calibri"/>
                <w:b w:val="0"/>
                <w:i w:val="0"/>
                <w:color w:val="222222"/>
                <w:sz w:val="16"/>
              </w:rPr>
              <w:t>$195</w:t>
            </w:r>
          </w:p>
        </w:tc>
        <w:tc>
          <w:tcPr>
            <w:tcW w:type="dxa" w:w="950"/>
            <w:shd w:val="clear" w:fill="F2F7F7"/>
          </w:tcPr>
          <w:p>
            <w:pPr>
              <w:spacing w:after="20" w:before="20"/>
              <w:jc w:val="center"/>
            </w:pPr>
            <w:r/>
            <w:r>
              <w:rPr>
                <w:rFonts w:ascii="Calibri" w:hAnsi="Calibri"/>
                <w:b w:val="0"/>
                <w:i w:val="0"/>
                <w:color w:val="222222"/>
                <w:sz w:val="16"/>
              </w:rPr>
              <w:t>$207</w:t>
            </w:r>
          </w:p>
        </w:tc>
        <w:tc>
          <w:tcPr>
            <w:tcW w:type="dxa" w:w="950"/>
            <w:shd w:val="clear" w:fill="F2F7F7"/>
          </w:tcPr>
          <w:p>
            <w:pPr>
              <w:spacing w:after="20" w:before="20"/>
              <w:jc w:val="center"/>
            </w:pPr>
            <w:r/>
            <w:r>
              <w:rPr>
                <w:rFonts w:ascii="Calibri" w:hAnsi="Calibri"/>
                <w:b w:val="0"/>
                <w:i w:val="0"/>
                <w:color w:val="222222"/>
                <w:sz w:val="16"/>
              </w:rPr>
              <w:t>$220</w:t>
            </w:r>
          </w:p>
        </w:tc>
        <w:tc>
          <w:tcPr>
            <w:tcW w:type="dxa" w:w="950"/>
            <w:shd w:val="clear" w:fill="F2F7F7"/>
          </w:tcPr>
          <w:p>
            <w:pPr>
              <w:spacing w:after="20" w:before="20"/>
              <w:jc w:val="center"/>
            </w:pPr>
            <w:r/>
            <w:r>
              <w:rPr>
                <w:rFonts w:ascii="Calibri" w:hAnsi="Calibri"/>
                <w:b w:val="0"/>
                <w:i w:val="0"/>
                <w:color w:val="222222"/>
                <w:sz w:val="16"/>
              </w:rPr>
              <w:t>$233</w:t>
            </w:r>
          </w:p>
        </w:tc>
        <w:tc>
          <w:tcPr>
            <w:tcW w:type="dxa" w:w="950"/>
            <w:shd w:val="clear" w:fill="F2F7F7"/>
          </w:tcPr>
          <w:p>
            <w:pPr>
              <w:spacing w:after="20" w:before="20"/>
              <w:jc w:val="center"/>
            </w:pPr>
            <w:r/>
            <w:r>
              <w:rPr>
                <w:rFonts w:ascii="Calibri" w:hAnsi="Calibri"/>
                <w:b w:val="0"/>
                <w:i w:val="0"/>
                <w:color w:val="222222"/>
                <w:sz w:val="16"/>
              </w:rPr>
              <w:t>$246</w:t>
            </w:r>
          </w:p>
        </w:tc>
        <w:tc>
          <w:tcPr>
            <w:tcW w:type="dxa" w:w="950"/>
            <w:shd w:val="clear" w:fill="F2F7F7"/>
          </w:tcPr>
          <w:p>
            <w:pPr>
              <w:spacing w:after="20" w:before="20"/>
              <w:jc w:val="center"/>
            </w:pPr>
            <w:r/>
            <w:r>
              <w:rPr>
                <w:rFonts w:ascii="Calibri" w:hAnsi="Calibri"/>
                <w:b w:val="0"/>
                <w:i w:val="0"/>
                <w:color w:val="222222"/>
                <w:sz w:val="16"/>
              </w:rPr>
              <w:t>$259</w:t>
            </w:r>
          </w:p>
        </w:tc>
      </w:tr>
      <w:tr>
        <w:tc>
          <w:tcPr>
            <w:tcW w:type="dxa" w:w="2448"/>
          </w:tcPr>
          <w:p>
            <w:pPr>
              <w:spacing w:after="20" w:before="20"/>
              <w:jc w:val="left"/>
            </w:pPr>
            <w:r/>
            <w:r>
              <w:rPr>
                <w:rFonts w:ascii="Calibri" w:hAnsi="Calibri"/>
                <w:b w:val="0"/>
                <w:i w:val="0"/>
                <w:color w:val="222222"/>
                <w:sz w:val="16"/>
              </w:rPr>
              <w:t>Operating income (EBIT)</w:t>
            </w:r>
          </w:p>
        </w:tc>
        <w:tc>
          <w:tcPr>
            <w:tcW w:type="dxa" w:w="950"/>
          </w:tcPr>
          <w:p>
            <w:pPr>
              <w:spacing w:after="20" w:before="20"/>
              <w:jc w:val="center"/>
            </w:pPr>
            <w:r/>
            <w:r>
              <w:rPr>
                <w:rFonts w:ascii="Calibri" w:hAnsi="Calibri"/>
                <w:b w:val="0"/>
                <w:i w:val="0"/>
                <w:color w:val="222222"/>
                <w:sz w:val="16"/>
              </w:rPr>
              <w:t>$114</w:t>
            </w:r>
          </w:p>
        </w:tc>
        <w:tc>
          <w:tcPr>
            <w:tcW w:type="dxa" w:w="950"/>
          </w:tcPr>
          <w:p>
            <w:pPr>
              <w:spacing w:after="20" w:before="20"/>
              <w:jc w:val="center"/>
            </w:pPr>
            <w:r/>
            <w:r>
              <w:rPr>
                <w:rFonts w:ascii="Calibri" w:hAnsi="Calibri"/>
                <w:b w:val="0"/>
                <w:i w:val="0"/>
                <w:color w:val="222222"/>
                <w:sz w:val="16"/>
              </w:rPr>
              <w:t>$123</w:t>
            </w:r>
          </w:p>
        </w:tc>
        <w:tc>
          <w:tcPr>
            <w:tcW w:type="dxa" w:w="950"/>
          </w:tcPr>
          <w:p>
            <w:pPr>
              <w:spacing w:after="20" w:before="20"/>
              <w:jc w:val="center"/>
            </w:pPr>
            <w:r/>
            <w:r>
              <w:rPr>
                <w:rFonts w:ascii="Calibri" w:hAnsi="Calibri"/>
                <w:b w:val="0"/>
                <w:i w:val="0"/>
                <w:color w:val="222222"/>
                <w:sz w:val="16"/>
              </w:rPr>
              <w:t>$133</w:t>
            </w:r>
          </w:p>
        </w:tc>
        <w:tc>
          <w:tcPr>
            <w:tcW w:type="dxa" w:w="950"/>
          </w:tcPr>
          <w:p>
            <w:pPr>
              <w:spacing w:after="20" w:before="20"/>
              <w:jc w:val="center"/>
            </w:pPr>
            <w:r/>
            <w:r>
              <w:rPr>
                <w:rFonts w:ascii="Calibri" w:hAnsi="Calibri"/>
                <w:b w:val="0"/>
                <w:i w:val="0"/>
                <w:color w:val="222222"/>
                <w:sz w:val="16"/>
              </w:rPr>
              <w:t>$144</w:t>
            </w:r>
          </w:p>
        </w:tc>
        <w:tc>
          <w:tcPr>
            <w:tcW w:type="dxa" w:w="950"/>
          </w:tcPr>
          <w:p>
            <w:pPr>
              <w:spacing w:after="20" w:before="20"/>
              <w:jc w:val="center"/>
            </w:pPr>
            <w:r/>
            <w:r>
              <w:rPr>
                <w:rFonts w:ascii="Calibri" w:hAnsi="Calibri"/>
                <w:b w:val="0"/>
                <w:i w:val="0"/>
                <w:color w:val="222222"/>
                <w:sz w:val="16"/>
              </w:rPr>
              <w:t>$154</w:t>
            </w:r>
          </w:p>
        </w:tc>
        <w:tc>
          <w:tcPr>
            <w:tcW w:type="dxa" w:w="950"/>
          </w:tcPr>
          <w:p>
            <w:pPr>
              <w:spacing w:after="20" w:before="20"/>
              <w:jc w:val="center"/>
            </w:pPr>
            <w:r/>
            <w:r>
              <w:rPr>
                <w:rFonts w:ascii="Calibri" w:hAnsi="Calibri"/>
                <w:b w:val="0"/>
                <w:i w:val="0"/>
                <w:color w:val="222222"/>
                <w:sz w:val="16"/>
              </w:rPr>
              <w:t>$165</w:t>
            </w:r>
          </w:p>
        </w:tc>
        <w:tc>
          <w:tcPr>
            <w:tcW w:type="dxa" w:w="950"/>
          </w:tcPr>
          <w:p>
            <w:pPr>
              <w:spacing w:after="20" w:before="20"/>
              <w:jc w:val="center"/>
            </w:pPr>
            <w:r/>
            <w:r>
              <w:rPr>
                <w:rFonts w:ascii="Calibri" w:hAnsi="Calibri"/>
                <w:b w:val="0"/>
                <w:i w:val="0"/>
                <w:color w:val="222222"/>
                <w:sz w:val="16"/>
              </w:rPr>
              <w:t>$175</w:t>
            </w:r>
          </w:p>
        </w:tc>
        <w:tc>
          <w:tcPr>
            <w:tcW w:type="dxa" w:w="950"/>
          </w:tcPr>
          <w:p>
            <w:pPr>
              <w:spacing w:after="20" w:before="20"/>
              <w:jc w:val="center"/>
            </w:pPr>
            <w:r/>
            <w:r>
              <w:rPr>
                <w:rFonts w:ascii="Calibri" w:hAnsi="Calibri"/>
                <w:b w:val="0"/>
                <w:i w:val="0"/>
                <w:color w:val="222222"/>
                <w:sz w:val="16"/>
              </w:rPr>
              <w:t>$186</w:t>
            </w:r>
          </w:p>
        </w:tc>
      </w:tr>
      <w:tr>
        <w:tc>
          <w:tcPr>
            <w:tcW w:type="dxa" w:w="2448"/>
            <w:shd w:val="clear" w:fill="F2F7F7"/>
          </w:tcPr>
          <w:p>
            <w:pPr>
              <w:spacing w:after="20" w:before="20"/>
              <w:jc w:val="left"/>
            </w:pPr>
            <w:r/>
            <w:r>
              <w:rPr>
                <w:rFonts w:ascii="Calibri" w:hAnsi="Calibri"/>
                <w:b w:val="0"/>
                <w:i w:val="0"/>
                <w:color w:val="222222"/>
                <w:sz w:val="16"/>
              </w:rPr>
              <w:t>EBIT margin</w:t>
            </w:r>
          </w:p>
        </w:tc>
        <w:tc>
          <w:tcPr>
            <w:tcW w:type="dxa" w:w="950"/>
            <w:shd w:val="clear" w:fill="F2F7F7"/>
          </w:tcPr>
          <w:p>
            <w:pPr>
              <w:spacing w:after="20" w:before="20"/>
              <w:jc w:val="center"/>
            </w:pPr>
            <w:r/>
            <w:r>
              <w:rPr>
                <w:rFonts w:ascii="Calibri" w:hAnsi="Calibri"/>
                <w:b w:val="0"/>
                <w:i w:val="0"/>
                <w:color w:val="222222"/>
                <w:sz w:val="16"/>
              </w:rPr>
              <w:t>29.8%</w:t>
            </w:r>
          </w:p>
        </w:tc>
        <w:tc>
          <w:tcPr>
            <w:tcW w:type="dxa" w:w="950"/>
            <w:shd w:val="clear" w:fill="F2F7F7"/>
          </w:tcPr>
          <w:p>
            <w:pPr>
              <w:spacing w:after="20" w:before="20"/>
              <w:jc w:val="center"/>
            </w:pPr>
            <w:r/>
            <w:r>
              <w:rPr>
                <w:rFonts w:ascii="Calibri" w:hAnsi="Calibri"/>
                <w:b w:val="0"/>
                <w:i w:val="0"/>
                <w:color w:val="222222"/>
                <w:sz w:val="16"/>
              </w:rPr>
              <w:t>31.5%</w:t>
            </w:r>
          </w:p>
        </w:tc>
        <w:tc>
          <w:tcPr>
            <w:tcW w:type="dxa" w:w="950"/>
            <w:shd w:val="clear" w:fill="F2F7F7"/>
          </w:tcPr>
          <w:p>
            <w:pPr>
              <w:spacing w:after="20" w:before="20"/>
              <w:jc w:val="center"/>
            </w:pPr>
            <w:r/>
            <w:r>
              <w:rPr>
                <w:rFonts w:ascii="Calibri" w:hAnsi="Calibri"/>
                <w:b w:val="0"/>
                <w:i w:val="0"/>
                <w:color w:val="222222"/>
                <w:sz w:val="16"/>
              </w:rPr>
              <w:t>32.0%</w:t>
            </w:r>
          </w:p>
        </w:tc>
        <w:tc>
          <w:tcPr>
            <w:tcW w:type="dxa" w:w="950"/>
            <w:shd w:val="clear" w:fill="F2F7F7"/>
          </w:tcPr>
          <w:p>
            <w:pPr>
              <w:spacing w:after="20" w:before="20"/>
              <w:jc w:val="center"/>
            </w:pPr>
            <w:r/>
            <w:r>
              <w:rPr>
                <w:rFonts w:ascii="Calibri" w:hAnsi="Calibri"/>
                <w:b w:val="0"/>
                <w:i w:val="0"/>
                <w:color w:val="222222"/>
                <w:sz w:val="16"/>
              </w:rPr>
              <w:t>32.5%</w:t>
            </w:r>
          </w:p>
        </w:tc>
        <w:tc>
          <w:tcPr>
            <w:tcW w:type="dxa" w:w="950"/>
            <w:shd w:val="clear" w:fill="F2F7F7"/>
          </w:tcPr>
          <w:p>
            <w:pPr>
              <w:spacing w:after="20" w:before="20"/>
              <w:jc w:val="center"/>
            </w:pPr>
            <w:r/>
            <w:r>
              <w:rPr>
                <w:rFonts w:ascii="Calibri" w:hAnsi="Calibri"/>
                <w:b w:val="0"/>
                <w:i w:val="0"/>
                <w:color w:val="222222"/>
                <w:sz w:val="16"/>
              </w:rPr>
              <w:t>33.0%</w:t>
            </w:r>
          </w:p>
        </w:tc>
        <w:tc>
          <w:tcPr>
            <w:tcW w:type="dxa" w:w="950"/>
            <w:shd w:val="clear" w:fill="F2F7F7"/>
          </w:tcPr>
          <w:p>
            <w:pPr>
              <w:spacing w:after="20" w:before="20"/>
              <w:jc w:val="center"/>
            </w:pPr>
            <w:r/>
            <w:r>
              <w:rPr>
                <w:rFonts w:ascii="Calibri" w:hAnsi="Calibri"/>
                <w:b w:val="0"/>
                <w:i w:val="0"/>
                <w:color w:val="222222"/>
                <w:sz w:val="16"/>
              </w:rPr>
              <w:t>33.5%</w:t>
            </w:r>
          </w:p>
        </w:tc>
        <w:tc>
          <w:tcPr>
            <w:tcW w:type="dxa" w:w="950"/>
            <w:shd w:val="clear" w:fill="F2F7F7"/>
          </w:tcPr>
          <w:p>
            <w:pPr>
              <w:spacing w:after="20" w:before="20"/>
              <w:jc w:val="center"/>
            </w:pPr>
            <w:r/>
            <w:r>
              <w:rPr>
                <w:rFonts w:ascii="Calibri" w:hAnsi="Calibri"/>
                <w:b w:val="0"/>
                <w:i w:val="0"/>
                <w:color w:val="222222"/>
                <w:sz w:val="16"/>
              </w:rPr>
              <w:t>34.0%</w:t>
            </w:r>
          </w:p>
        </w:tc>
        <w:tc>
          <w:tcPr>
            <w:tcW w:type="dxa" w:w="950"/>
            <w:shd w:val="clear" w:fill="F2F7F7"/>
          </w:tcPr>
          <w:p>
            <w:pPr>
              <w:spacing w:after="20" w:before="20"/>
              <w:jc w:val="center"/>
            </w:pPr>
            <w:r/>
            <w:r>
              <w:rPr>
                <w:rFonts w:ascii="Calibri" w:hAnsi="Calibri"/>
                <w:b w:val="0"/>
                <w:i w:val="0"/>
                <w:color w:val="222222"/>
                <w:sz w:val="16"/>
              </w:rPr>
              <w:t>34.5%</w:t>
            </w:r>
          </w:p>
        </w:tc>
      </w:tr>
      <w:tr>
        <w:tc>
          <w:tcPr>
            <w:tcW w:type="dxa" w:w="2448"/>
          </w:tcPr>
          <w:p>
            <w:pPr>
              <w:spacing w:after="20" w:before="20"/>
              <w:jc w:val="left"/>
            </w:pPr>
            <w:r/>
            <w:r>
              <w:rPr>
                <w:rFonts w:ascii="Calibri" w:hAnsi="Calibri"/>
                <w:b w:val="0"/>
                <w:i w:val="0"/>
                <w:color w:val="222222"/>
                <w:sz w:val="16"/>
              </w:rPr>
              <w:t>D&amp;A</w:t>
            </w:r>
          </w:p>
        </w:tc>
        <w:tc>
          <w:tcPr>
            <w:tcW w:type="dxa" w:w="950"/>
          </w:tcPr>
          <w:p>
            <w:pPr>
              <w:spacing w:after="20" w:before="20"/>
              <w:jc w:val="center"/>
            </w:pPr>
            <w:r/>
            <w:r>
              <w:rPr>
                <w:rFonts w:ascii="Calibri" w:hAnsi="Calibri"/>
                <w:b w:val="0"/>
                <w:i w:val="0"/>
                <w:color w:val="222222"/>
                <w:sz w:val="16"/>
              </w:rPr>
              <w:t>$12</w:t>
            </w:r>
          </w:p>
        </w:tc>
        <w:tc>
          <w:tcPr>
            <w:tcW w:type="dxa" w:w="950"/>
          </w:tcPr>
          <w:p>
            <w:pPr>
              <w:spacing w:after="20" w:before="20"/>
              <w:jc w:val="center"/>
            </w:pPr>
            <w:r/>
            <w:r>
              <w:rPr>
                <w:rFonts w:ascii="Calibri" w:hAnsi="Calibri"/>
                <w:b w:val="0"/>
                <w:i w:val="0"/>
                <w:color w:val="222222"/>
                <w:sz w:val="16"/>
              </w:rPr>
              <w:t>$11</w:t>
            </w:r>
          </w:p>
        </w:tc>
        <w:tc>
          <w:tcPr>
            <w:tcW w:type="dxa" w:w="950"/>
          </w:tcPr>
          <w:p>
            <w:pPr>
              <w:spacing w:after="20" w:before="20"/>
              <w:jc w:val="center"/>
            </w:pPr>
            <w:r/>
            <w:r>
              <w:rPr>
                <w:rFonts w:ascii="Calibri" w:hAnsi="Calibri"/>
                <w:b w:val="0"/>
                <w:i w:val="0"/>
                <w:color w:val="222222"/>
                <w:sz w:val="16"/>
              </w:rPr>
              <w:t>$12</w:t>
            </w:r>
          </w:p>
        </w:tc>
        <w:tc>
          <w:tcPr>
            <w:tcW w:type="dxa" w:w="950"/>
          </w:tcPr>
          <w:p>
            <w:pPr>
              <w:spacing w:after="20" w:before="20"/>
              <w:jc w:val="center"/>
            </w:pPr>
            <w:r/>
            <w:r>
              <w:rPr>
                <w:rFonts w:ascii="Calibri" w:hAnsi="Calibri"/>
                <w:b w:val="0"/>
                <w:i w:val="0"/>
                <w:color w:val="222222"/>
                <w:sz w:val="16"/>
              </w:rPr>
              <w:t>$12</w:t>
            </w:r>
          </w:p>
        </w:tc>
        <w:tc>
          <w:tcPr>
            <w:tcW w:type="dxa" w:w="950"/>
          </w:tcPr>
          <w:p>
            <w:pPr>
              <w:spacing w:after="20" w:before="20"/>
              <w:jc w:val="center"/>
            </w:pPr>
            <w:r/>
            <w:r>
              <w:rPr>
                <w:rFonts w:ascii="Calibri" w:hAnsi="Calibri"/>
                <w:b w:val="0"/>
                <w:i w:val="0"/>
                <w:color w:val="222222"/>
                <w:sz w:val="16"/>
              </w:rPr>
              <w:t>$13</w:t>
            </w:r>
          </w:p>
        </w:tc>
        <w:tc>
          <w:tcPr>
            <w:tcW w:type="dxa" w:w="950"/>
          </w:tcPr>
          <w:p>
            <w:pPr>
              <w:spacing w:after="20" w:before="20"/>
              <w:jc w:val="center"/>
            </w:pPr>
            <w:r/>
            <w:r>
              <w:rPr>
                <w:rFonts w:ascii="Calibri" w:hAnsi="Calibri"/>
                <w:b w:val="0"/>
                <w:i w:val="0"/>
                <w:color w:val="222222"/>
                <w:sz w:val="16"/>
              </w:rPr>
              <w:t>$14</w:t>
            </w:r>
          </w:p>
        </w:tc>
        <w:tc>
          <w:tcPr>
            <w:tcW w:type="dxa" w:w="950"/>
          </w:tcPr>
          <w:p>
            <w:pPr>
              <w:spacing w:after="20" w:before="20"/>
              <w:jc w:val="center"/>
            </w:pPr>
            <w:r/>
            <w:r>
              <w:rPr>
                <w:rFonts w:ascii="Calibri" w:hAnsi="Calibri"/>
                <w:b w:val="0"/>
                <w:i w:val="0"/>
                <w:color w:val="222222"/>
                <w:sz w:val="16"/>
              </w:rPr>
              <w:t>$15</w:t>
            </w:r>
          </w:p>
        </w:tc>
        <w:tc>
          <w:tcPr>
            <w:tcW w:type="dxa" w:w="950"/>
          </w:tcPr>
          <w:p>
            <w:pPr>
              <w:spacing w:after="20" w:before="20"/>
              <w:jc w:val="center"/>
            </w:pPr>
            <w:r/>
            <w:r>
              <w:rPr>
                <w:rFonts w:ascii="Calibri" w:hAnsi="Calibri"/>
                <w:b w:val="0"/>
                <w:i w:val="0"/>
                <w:color w:val="222222"/>
                <w:sz w:val="16"/>
              </w:rPr>
              <w:t>$15</w:t>
            </w:r>
          </w:p>
        </w:tc>
      </w:tr>
      <w:tr>
        <w:tc>
          <w:tcPr>
            <w:tcW w:type="dxa" w:w="2448"/>
            <w:shd w:val="clear" w:fill="F2F7F7"/>
          </w:tcPr>
          <w:p>
            <w:pPr>
              <w:spacing w:after="20" w:before="20"/>
              <w:jc w:val="left"/>
            </w:pPr>
            <w:r/>
            <w:r>
              <w:rPr>
                <w:rFonts w:ascii="Calibri" w:hAnsi="Calibri"/>
                <w:b w:val="0"/>
                <w:i w:val="0"/>
                <w:color w:val="222222"/>
                <w:sz w:val="16"/>
              </w:rPr>
              <w:t>EBITDA</w:t>
            </w:r>
          </w:p>
        </w:tc>
        <w:tc>
          <w:tcPr>
            <w:tcW w:type="dxa" w:w="950"/>
            <w:shd w:val="clear" w:fill="F2F7F7"/>
          </w:tcPr>
          <w:p>
            <w:pPr>
              <w:spacing w:after="20" w:before="20"/>
              <w:jc w:val="center"/>
            </w:pPr>
            <w:r/>
            <w:r>
              <w:rPr>
                <w:rFonts w:ascii="Calibri" w:hAnsi="Calibri"/>
                <w:b w:val="0"/>
                <w:i w:val="0"/>
                <w:color w:val="222222"/>
                <w:sz w:val="16"/>
              </w:rPr>
              <w:t>$126</w:t>
            </w:r>
          </w:p>
        </w:tc>
        <w:tc>
          <w:tcPr>
            <w:tcW w:type="dxa" w:w="950"/>
            <w:shd w:val="clear" w:fill="F2F7F7"/>
          </w:tcPr>
          <w:p>
            <w:pPr>
              <w:spacing w:after="20" w:before="20"/>
              <w:jc w:val="center"/>
            </w:pPr>
            <w:r/>
            <w:r>
              <w:rPr>
                <w:rFonts w:ascii="Calibri" w:hAnsi="Calibri"/>
                <w:b w:val="0"/>
                <w:i w:val="0"/>
                <w:color w:val="222222"/>
                <w:sz w:val="16"/>
              </w:rPr>
              <w:t>$135</w:t>
            </w:r>
          </w:p>
        </w:tc>
        <w:tc>
          <w:tcPr>
            <w:tcW w:type="dxa" w:w="950"/>
            <w:shd w:val="clear" w:fill="F2F7F7"/>
          </w:tcPr>
          <w:p>
            <w:pPr>
              <w:spacing w:after="20" w:before="20"/>
              <w:jc w:val="center"/>
            </w:pPr>
            <w:r/>
            <w:r>
              <w:rPr>
                <w:rFonts w:ascii="Calibri" w:hAnsi="Calibri"/>
                <w:b w:val="0"/>
                <w:i w:val="0"/>
                <w:color w:val="222222"/>
                <w:sz w:val="16"/>
              </w:rPr>
              <w:t>$145</w:t>
            </w:r>
          </w:p>
        </w:tc>
        <w:tc>
          <w:tcPr>
            <w:tcW w:type="dxa" w:w="950"/>
            <w:shd w:val="clear" w:fill="F2F7F7"/>
          </w:tcPr>
          <w:p>
            <w:pPr>
              <w:spacing w:after="20" w:before="20"/>
              <w:jc w:val="center"/>
            </w:pPr>
            <w:r/>
            <w:r>
              <w:rPr>
                <w:rFonts w:ascii="Calibri" w:hAnsi="Calibri"/>
                <w:b w:val="0"/>
                <w:i w:val="0"/>
                <w:color w:val="222222"/>
                <w:sz w:val="16"/>
              </w:rPr>
              <w:t>$156</w:t>
            </w:r>
          </w:p>
        </w:tc>
        <w:tc>
          <w:tcPr>
            <w:tcW w:type="dxa" w:w="950"/>
            <w:shd w:val="clear" w:fill="F2F7F7"/>
          </w:tcPr>
          <w:p>
            <w:pPr>
              <w:spacing w:after="20" w:before="20"/>
              <w:jc w:val="center"/>
            </w:pPr>
            <w:r/>
            <w:r>
              <w:rPr>
                <w:rFonts w:ascii="Calibri" w:hAnsi="Calibri"/>
                <w:b w:val="0"/>
                <w:i w:val="0"/>
                <w:color w:val="222222"/>
                <w:sz w:val="16"/>
              </w:rPr>
              <w:t>$167</w:t>
            </w:r>
          </w:p>
        </w:tc>
        <w:tc>
          <w:tcPr>
            <w:tcW w:type="dxa" w:w="950"/>
            <w:shd w:val="clear" w:fill="F2F7F7"/>
          </w:tcPr>
          <w:p>
            <w:pPr>
              <w:spacing w:after="20" w:before="20"/>
              <w:jc w:val="center"/>
            </w:pPr>
            <w:r/>
            <w:r>
              <w:rPr>
                <w:rFonts w:ascii="Calibri" w:hAnsi="Calibri"/>
                <w:b w:val="0"/>
                <w:i w:val="0"/>
                <w:color w:val="222222"/>
                <w:sz w:val="16"/>
              </w:rPr>
              <w:t>$178</w:t>
            </w:r>
          </w:p>
        </w:tc>
        <w:tc>
          <w:tcPr>
            <w:tcW w:type="dxa" w:w="950"/>
            <w:shd w:val="clear" w:fill="F2F7F7"/>
          </w:tcPr>
          <w:p>
            <w:pPr>
              <w:spacing w:after="20" w:before="20"/>
              <w:jc w:val="center"/>
            </w:pPr>
            <w:r/>
            <w:r>
              <w:rPr>
                <w:rFonts w:ascii="Calibri" w:hAnsi="Calibri"/>
                <w:b w:val="0"/>
                <w:i w:val="0"/>
                <w:color w:val="222222"/>
                <w:sz w:val="16"/>
              </w:rPr>
              <w:t>$190</w:t>
            </w:r>
          </w:p>
        </w:tc>
        <w:tc>
          <w:tcPr>
            <w:tcW w:type="dxa" w:w="950"/>
            <w:shd w:val="clear" w:fill="F2F7F7"/>
          </w:tcPr>
          <w:p>
            <w:pPr>
              <w:spacing w:after="20" w:before="20"/>
              <w:jc w:val="center"/>
            </w:pPr>
            <w:r/>
            <w:r>
              <w:rPr>
                <w:rFonts w:ascii="Calibri" w:hAnsi="Calibri"/>
                <w:b w:val="0"/>
                <w:i w:val="0"/>
                <w:color w:val="222222"/>
                <w:sz w:val="16"/>
              </w:rPr>
              <w:t>$201</w:t>
            </w:r>
          </w:p>
        </w:tc>
      </w:tr>
      <w:tr>
        <w:tc>
          <w:tcPr>
            <w:tcW w:type="dxa" w:w="2448"/>
          </w:tcPr>
          <w:p>
            <w:pPr>
              <w:spacing w:after="20" w:before="20"/>
              <w:jc w:val="left"/>
            </w:pPr>
            <w:r/>
            <w:r>
              <w:rPr>
                <w:rFonts w:ascii="Calibri" w:hAnsi="Calibri"/>
                <w:b w:val="0"/>
                <w:i w:val="0"/>
                <w:color w:val="222222"/>
                <w:sz w:val="16"/>
              </w:rPr>
              <w:t>Pre-tax income</w:t>
            </w:r>
          </w:p>
        </w:tc>
        <w:tc>
          <w:tcPr>
            <w:tcW w:type="dxa" w:w="950"/>
          </w:tcPr>
          <w:p>
            <w:pPr>
              <w:spacing w:after="20" w:before="20"/>
              <w:jc w:val="center"/>
            </w:pPr>
            <w:r/>
            <w:r>
              <w:rPr>
                <w:rFonts w:ascii="Calibri" w:hAnsi="Calibri"/>
                <w:b w:val="0"/>
                <w:i w:val="0"/>
                <w:color w:val="222222"/>
                <w:sz w:val="16"/>
              </w:rPr>
              <w:t>$114</w:t>
            </w:r>
          </w:p>
        </w:tc>
        <w:tc>
          <w:tcPr>
            <w:tcW w:type="dxa" w:w="950"/>
          </w:tcPr>
          <w:p>
            <w:pPr>
              <w:spacing w:after="20" w:before="20"/>
              <w:jc w:val="center"/>
            </w:pPr>
            <w:r/>
            <w:r>
              <w:rPr>
                <w:rFonts w:ascii="Calibri" w:hAnsi="Calibri"/>
                <w:b w:val="0"/>
                <w:i w:val="0"/>
                <w:color w:val="222222"/>
                <w:sz w:val="16"/>
              </w:rPr>
              <w:t>$123</w:t>
            </w:r>
          </w:p>
        </w:tc>
        <w:tc>
          <w:tcPr>
            <w:tcW w:type="dxa" w:w="950"/>
          </w:tcPr>
          <w:p>
            <w:pPr>
              <w:spacing w:after="20" w:before="20"/>
              <w:jc w:val="center"/>
            </w:pPr>
            <w:r/>
            <w:r>
              <w:rPr>
                <w:rFonts w:ascii="Calibri" w:hAnsi="Calibri"/>
                <w:b w:val="0"/>
                <w:i w:val="0"/>
                <w:color w:val="222222"/>
                <w:sz w:val="16"/>
              </w:rPr>
              <w:t>$133</w:t>
            </w:r>
          </w:p>
        </w:tc>
        <w:tc>
          <w:tcPr>
            <w:tcW w:type="dxa" w:w="950"/>
          </w:tcPr>
          <w:p>
            <w:pPr>
              <w:spacing w:after="20" w:before="20"/>
              <w:jc w:val="center"/>
            </w:pPr>
            <w:r/>
            <w:r>
              <w:rPr>
                <w:rFonts w:ascii="Calibri" w:hAnsi="Calibri"/>
                <w:b w:val="0"/>
                <w:i w:val="0"/>
                <w:color w:val="222222"/>
                <w:sz w:val="16"/>
              </w:rPr>
              <w:t>$144</w:t>
            </w:r>
          </w:p>
        </w:tc>
        <w:tc>
          <w:tcPr>
            <w:tcW w:type="dxa" w:w="950"/>
          </w:tcPr>
          <w:p>
            <w:pPr>
              <w:spacing w:after="20" w:before="20"/>
              <w:jc w:val="center"/>
            </w:pPr>
            <w:r/>
            <w:r>
              <w:rPr>
                <w:rFonts w:ascii="Calibri" w:hAnsi="Calibri"/>
                <w:b w:val="0"/>
                <w:i w:val="0"/>
                <w:color w:val="222222"/>
                <w:sz w:val="16"/>
              </w:rPr>
              <w:t>$154</w:t>
            </w:r>
          </w:p>
        </w:tc>
        <w:tc>
          <w:tcPr>
            <w:tcW w:type="dxa" w:w="950"/>
          </w:tcPr>
          <w:p>
            <w:pPr>
              <w:spacing w:after="20" w:before="20"/>
              <w:jc w:val="center"/>
            </w:pPr>
            <w:r/>
            <w:r>
              <w:rPr>
                <w:rFonts w:ascii="Calibri" w:hAnsi="Calibri"/>
                <w:b w:val="0"/>
                <w:i w:val="0"/>
                <w:color w:val="222222"/>
                <w:sz w:val="16"/>
              </w:rPr>
              <w:t>$165</w:t>
            </w:r>
          </w:p>
        </w:tc>
        <w:tc>
          <w:tcPr>
            <w:tcW w:type="dxa" w:w="950"/>
          </w:tcPr>
          <w:p>
            <w:pPr>
              <w:spacing w:after="20" w:before="20"/>
              <w:jc w:val="center"/>
            </w:pPr>
            <w:r/>
            <w:r>
              <w:rPr>
                <w:rFonts w:ascii="Calibri" w:hAnsi="Calibri"/>
                <w:b w:val="0"/>
                <w:i w:val="0"/>
                <w:color w:val="222222"/>
                <w:sz w:val="16"/>
              </w:rPr>
              <w:t>$175</w:t>
            </w:r>
          </w:p>
        </w:tc>
        <w:tc>
          <w:tcPr>
            <w:tcW w:type="dxa" w:w="950"/>
          </w:tcPr>
          <w:p>
            <w:pPr>
              <w:spacing w:after="20" w:before="20"/>
              <w:jc w:val="center"/>
            </w:pPr>
            <w:r/>
            <w:r>
              <w:rPr>
                <w:rFonts w:ascii="Calibri" w:hAnsi="Calibri"/>
                <w:b w:val="0"/>
                <w:i w:val="0"/>
                <w:color w:val="222222"/>
                <w:sz w:val="16"/>
              </w:rPr>
              <w:t>$186</w:t>
            </w:r>
          </w:p>
        </w:tc>
      </w:tr>
      <w:tr>
        <w:tc>
          <w:tcPr>
            <w:tcW w:type="dxa" w:w="2448"/>
            <w:shd w:val="clear" w:fill="F2F7F7"/>
          </w:tcPr>
          <w:p>
            <w:pPr>
              <w:spacing w:after="20" w:before="20"/>
              <w:jc w:val="left"/>
            </w:pPr>
            <w:r/>
            <w:r>
              <w:rPr>
                <w:rFonts w:ascii="Calibri" w:hAnsi="Calibri"/>
                <w:b w:val="0"/>
                <w:i w:val="0"/>
                <w:color w:val="222222"/>
                <w:sz w:val="16"/>
              </w:rPr>
              <w:t>Income tax</w:t>
            </w:r>
          </w:p>
        </w:tc>
        <w:tc>
          <w:tcPr>
            <w:tcW w:type="dxa" w:w="950"/>
            <w:shd w:val="clear" w:fill="F2F7F7"/>
          </w:tcPr>
          <w:p>
            <w:pPr>
              <w:spacing w:after="20" w:before="20"/>
              <w:jc w:val="center"/>
            </w:pPr>
            <w:r/>
            <w:r>
              <w:rPr>
                <w:rFonts w:ascii="Calibri" w:hAnsi="Calibri"/>
                <w:b w:val="0"/>
                <w:i w:val="0"/>
                <w:color w:val="222222"/>
                <w:sz w:val="16"/>
              </w:rPr>
              <w:t>$17</w:t>
            </w:r>
          </w:p>
        </w:tc>
        <w:tc>
          <w:tcPr>
            <w:tcW w:type="dxa" w:w="950"/>
            <w:shd w:val="clear" w:fill="F2F7F7"/>
          </w:tcPr>
          <w:p>
            <w:pPr>
              <w:spacing w:after="20" w:before="20"/>
              <w:jc w:val="center"/>
            </w:pPr>
            <w:r/>
            <w:r>
              <w:rPr>
                <w:rFonts w:ascii="Calibri" w:hAnsi="Calibri"/>
                <w:b w:val="0"/>
                <w:i w:val="0"/>
                <w:color w:val="222222"/>
                <w:sz w:val="16"/>
              </w:rPr>
              <w:t>$30</w:t>
            </w:r>
          </w:p>
        </w:tc>
        <w:tc>
          <w:tcPr>
            <w:tcW w:type="dxa" w:w="950"/>
            <w:shd w:val="clear" w:fill="F2F7F7"/>
          </w:tcPr>
          <w:p>
            <w:pPr>
              <w:spacing w:after="20" w:before="20"/>
              <w:jc w:val="center"/>
            </w:pPr>
            <w:r/>
            <w:r>
              <w:rPr>
                <w:rFonts w:ascii="Calibri" w:hAnsi="Calibri"/>
                <w:b w:val="0"/>
                <w:i w:val="0"/>
                <w:color w:val="222222"/>
                <w:sz w:val="16"/>
              </w:rPr>
              <w:t>$21</w:t>
            </w:r>
          </w:p>
        </w:tc>
        <w:tc>
          <w:tcPr>
            <w:tcW w:type="dxa" w:w="950"/>
            <w:shd w:val="clear" w:fill="F2F7F7"/>
          </w:tcPr>
          <w:p>
            <w:pPr>
              <w:spacing w:after="20" w:before="20"/>
              <w:jc w:val="center"/>
            </w:pPr>
            <w:r/>
            <w:r>
              <w:rPr>
                <w:rFonts w:ascii="Calibri" w:hAnsi="Calibri"/>
                <w:b w:val="0"/>
                <w:i w:val="0"/>
                <w:color w:val="222222"/>
                <w:sz w:val="16"/>
              </w:rPr>
              <w:t>$23</w:t>
            </w:r>
          </w:p>
        </w:tc>
        <w:tc>
          <w:tcPr>
            <w:tcW w:type="dxa" w:w="950"/>
            <w:shd w:val="clear" w:fill="F2F7F7"/>
          </w:tcPr>
          <w:p>
            <w:pPr>
              <w:spacing w:after="20" w:before="20"/>
              <w:jc w:val="center"/>
            </w:pPr>
            <w:r/>
            <w:r>
              <w:rPr>
                <w:rFonts w:ascii="Calibri" w:hAnsi="Calibri"/>
                <w:b w:val="0"/>
                <w:i w:val="0"/>
                <w:color w:val="222222"/>
                <w:sz w:val="16"/>
              </w:rPr>
              <w:t>$25</w:t>
            </w:r>
          </w:p>
        </w:tc>
        <w:tc>
          <w:tcPr>
            <w:tcW w:type="dxa" w:w="950"/>
            <w:shd w:val="clear" w:fill="F2F7F7"/>
          </w:tcPr>
          <w:p>
            <w:pPr>
              <w:spacing w:after="20" w:before="20"/>
              <w:jc w:val="center"/>
            </w:pPr>
            <w:r/>
            <w:r>
              <w:rPr>
                <w:rFonts w:ascii="Calibri" w:hAnsi="Calibri"/>
                <w:b w:val="0"/>
                <w:i w:val="0"/>
                <w:color w:val="222222"/>
                <w:sz w:val="16"/>
              </w:rPr>
              <w:t>$26</w:t>
            </w:r>
          </w:p>
        </w:tc>
        <w:tc>
          <w:tcPr>
            <w:tcW w:type="dxa" w:w="950"/>
            <w:shd w:val="clear" w:fill="F2F7F7"/>
          </w:tcPr>
          <w:p>
            <w:pPr>
              <w:spacing w:after="20" w:before="20"/>
              <w:jc w:val="center"/>
            </w:pPr>
            <w:r/>
            <w:r>
              <w:rPr>
                <w:rFonts w:ascii="Calibri" w:hAnsi="Calibri"/>
                <w:b w:val="0"/>
                <w:i w:val="0"/>
                <w:color w:val="222222"/>
                <w:sz w:val="16"/>
              </w:rPr>
              <w:t>$28</w:t>
            </w:r>
          </w:p>
        </w:tc>
        <w:tc>
          <w:tcPr>
            <w:tcW w:type="dxa" w:w="950"/>
            <w:shd w:val="clear" w:fill="F2F7F7"/>
          </w:tcPr>
          <w:p>
            <w:pPr>
              <w:spacing w:after="20" w:before="20"/>
              <w:jc w:val="center"/>
            </w:pPr>
            <w:r/>
            <w:r>
              <w:rPr>
                <w:rFonts w:ascii="Calibri" w:hAnsi="Calibri"/>
                <w:b w:val="0"/>
                <w:i w:val="0"/>
                <w:color w:val="222222"/>
                <w:sz w:val="16"/>
              </w:rPr>
              <w:t>$30</w:t>
            </w:r>
          </w:p>
        </w:tc>
      </w:tr>
      <w:tr>
        <w:tc>
          <w:tcPr>
            <w:tcW w:type="dxa" w:w="2448"/>
          </w:tcPr>
          <w:p>
            <w:pPr>
              <w:spacing w:after="20" w:before="20"/>
              <w:jc w:val="left"/>
            </w:pPr>
            <w:r/>
            <w:r>
              <w:rPr>
                <w:rFonts w:ascii="Calibri" w:hAnsi="Calibri"/>
                <w:b w:val="0"/>
                <w:i w:val="0"/>
                <w:color w:val="222222"/>
                <w:sz w:val="16"/>
              </w:rPr>
              <w:t>Net income</w:t>
            </w:r>
          </w:p>
        </w:tc>
        <w:tc>
          <w:tcPr>
            <w:tcW w:type="dxa" w:w="950"/>
          </w:tcPr>
          <w:p>
            <w:pPr>
              <w:spacing w:after="20" w:before="20"/>
              <w:jc w:val="center"/>
            </w:pPr>
            <w:r/>
            <w:r>
              <w:rPr>
                <w:rFonts w:ascii="Calibri" w:hAnsi="Calibri"/>
                <w:b w:val="0"/>
                <w:i w:val="0"/>
                <w:color w:val="222222"/>
                <w:sz w:val="16"/>
              </w:rPr>
              <w:t>$97</w:t>
            </w:r>
          </w:p>
        </w:tc>
        <w:tc>
          <w:tcPr>
            <w:tcW w:type="dxa" w:w="950"/>
          </w:tcPr>
          <w:p>
            <w:pPr>
              <w:spacing w:after="20" w:before="20"/>
              <w:jc w:val="center"/>
            </w:pPr>
            <w:r/>
            <w:r>
              <w:rPr>
                <w:rFonts w:ascii="Calibri" w:hAnsi="Calibri"/>
                <w:b w:val="0"/>
                <w:i w:val="0"/>
                <w:color w:val="222222"/>
                <w:sz w:val="16"/>
              </w:rPr>
              <w:t>$94</w:t>
            </w:r>
          </w:p>
        </w:tc>
        <w:tc>
          <w:tcPr>
            <w:tcW w:type="dxa" w:w="950"/>
          </w:tcPr>
          <w:p>
            <w:pPr>
              <w:spacing w:after="20" w:before="20"/>
              <w:jc w:val="center"/>
            </w:pPr>
            <w:r/>
            <w:r>
              <w:rPr>
                <w:rFonts w:ascii="Calibri" w:hAnsi="Calibri"/>
                <w:b w:val="0"/>
                <w:i w:val="0"/>
                <w:color w:val="222222"/>
                <w:sz w:val="16"/>
              </w:rPr>
              <w:t>$112</w:t>
            </w:r>
          </w:p>
        </w:tc>
        <w:tc>
          <w:tcPr>
            <w:tcW w:type="dxa" w:w="950"/>
          </w:tcPr>
          <w:p>
            <w:pPr>
              <w:spacing w:after="20" w:before="20"/>
              <w:jc w:val="center"/>
            </w:pPr>
            <w:r/>
            <w:r>
              <w:rPr>
                <w:rFonts w:ascii="Calibri" w:hAnsi="Calibri"/>
                <w:b w:val="0"/>
                <w:i w:val="0"/>
                <w:color w:val="222222"/>
                <w:sz w:val="16"/>
              </w:rPr>
              <w:t>$121</w:t>
            </w:r>
          </w:p>
        </w:tc>
        <w:tc>
          <w:tcPr>
            <w:tcW w:type="dxa" w:w="950"/>
          </w:tcPr>
          <w:p>
            <w:pPr>
              <w:spacing w:after="20" w:before="20"/>
              <w:jc w:val="center"/>
            </w:pPr>
            <w:r/>
            <w:r>
              <w:rPr>
                <w:rFonts w:ascii="Calibri" w:hAnsi="Calibri"/>
                <w:b w:val="0"/>
                <w:i w:val="0"/>
                <w:color w:val="222222"/>
                <w:sz w:val="16"/>
              </w:rPr>
              <w:t>$129</w:t>
            </w:r>
          </w:p>
        </w:tc>
        <w:tc>
          <w:tcPr>
            <w:tcW w:type="dxa" w:w="950"/>
          </w:tcPr>
          <w:p>
            <w:pPr>
              <w:spacing w:after="20" w:before="20"/>
              <w:jc w:val="center"/>
            </w:pPr>
            <w:r/>
            <w:r>
              <w:rPr>
                <w:rFonts w:ascii="Calibri" w:hAnsi="Calibri"/>
                <w:b w:val="0"/>
                <w:i w:val="0"/>
                <w:color w:val="222222"/>
                <w:sz w:val="16"/>
              </w:rPr>
              <w:t>$138</w:t>
            </w:r>
          </w:p>
        </w:tc>
        <w:tc>
          <w:tcPr>
            <w:tcW w:type="dxa" w:w="950"/>
          </w:tcPr>
          <w:p>
            <w:pPr>
              <w:spacing w:after="20" w:before="20"/>
              <w:jc w:val="center"/>
            </w:pPr>
            <w:r/>
            <w:r>
              <w:rPr>
                <w:rFonts w:ascii="Calibri" w:hAnsi="Calibri"/>
                <w:b w:val="0"/>
                <w:i w:val="0"/>
                <w:color w:val="222222"/>
                <w:sz w:val="16"/>
              </w:rPr>
              <w:t>$147</w:t>
            </w:r>
          </w:p>
        </w:tc>
        <w:tc>
          <w:tcPr>
            <w:tcW w:type="dxa" w:w="950"/>
          </w:tcPr>
          <w:p>
            <w:pPr>
              <w:spacing w:after="20" w:before="20"/>
              <w:jc w:val="center"/>
            </w:pPr>
            <w:r/>
            <w:r>
              <w:rPr>
                <w:rFonts w:ascii="Calibri" w:hAnsi="Calibri"/>
                <w:b w:val="0"/>
                <w:i w:val="0"/>
                <w:color w:val="222222"/>
                <w:sz w:val="16"/>
              </w:rPr>
              <w:t>$156</w:t>
            </w:r>
          </w:p>
        </w:tc>
      </w:tr>
      <w:tr>
        <w:tc>
          <w:tcPr>
            <w:tcW w:type="dxa" w:w="2448"/>
            <w:shd w:val="clear" w:fill="F2F7F7"/>
          </w:tcPr>
          <w:p>
            <w:pPr>
              <w:spacing w:after="20" w:before="20"/>
              <w:jc w:val="left"/>
            </w:pPr>
            <w:r/>
            <w:r>
              <w:rPr>
                <w:rFonts w:ascii="Calibri" w:hAnsi="Calibri"/>
                <w:b w:val="0"/>
                <w:i w:val="0"/>
                <w:color w:val="222222"/>
                <w:sz w:val="16"/>
              </w:rPr>
              <w:t>Diluted shares (bn)</w:t>
            </w:r>
          </w:p>
        </w:tc>
        <w:tc>
          <w:tcPr>
            <w:tcW w:type="dxa" w:w="950"/>
            <w:shd w:val="clear" w:fill="F2F7F7"/>
          </w:tcPr>
          <w:p>
            <w:pPr>
              <w:spacing w:after="20" w:before="20"/>
              <w:jc w:val="center"/>
            </w:pPr>
            <w:r/>
            <w:r>
              <w:rPr>
                <w:rFonts w:ascii="Calibri" w:hAnsi="Calibri"/>
                <w:b w:val="0"/>
                <w:i w:val="0"/>
                <w:color w:val="222222"/>
                <w:sz w:val="16"/>
              </w:rPr>
              <w:t>15.81</w:t>
            </w:r>
          </w:p>
        </w:tc>
        <w:tc>
          <w:tcPr>
            <w:tcW w:type="dxa" w:w="950"/>
            <w:shd w:val="clear" w:fill="F2F7F7"/>
          </w:tcPr>
          <w:p>
            <w:pPr>
              <w:spacing w:after="20" w:before="20"/>
              <w:jc w:val="center"/>
            </w:pPr>
            <w:r/>
            <w:r>
              <w:rPr>
                <w:rFonts w:ascii="Calibri" w:hAnsi="Calibri"/>
                <w:b w:val="0"/>
                <w:i w:val="0"/>
                <w:color w:val="222222"/>
                <w:sz w:val="16"/>
              </w:rPr>
              <w:t>15.41</w:t>
            </w:r>
          </w:p>
        </w:tc>
        <w:tc>
          <w:tcPr>
            <w:tcW w:type="dxa" w:w="950"/>
            <w:shd w:val="clear" w:fill="F2F7F7"/>
          </w:tcPr>
          <w:p>
            <w:pPr>
              <w:spacing w:after="20" w:before="20"/>
              <w:jc w:val="center"/>
            </w:pPr>
            <w:r/>
            <w:r>
              <w:rPr>
                <w:rFonts w:ascii="Calibri" w:hAnsi="Calibri"/>
                <w:b w:val="0"/>
                <w:i w:val="0"/>
                <w:color w:val="222222"/>
                <w:sz w:val="16"/>
              </w:rPr>
              <w:t>15.00</w:t>
            </w:r>
          </w:p>
        </w:tc>
        <w:tc>
          <w:tcPr>
            <w:tcW w:type="dxa" w:w="950"/>
            <w:shd w:val="clear" w:fill="F2F7F7"/>
          </w:tcPr>
          <w:p>
            <w:pPr>
              <w:spacing w:after="20" w:before="20"/>
              <w:jc w:val="center"/>
            </w:pPr>
            <w:r/>
            <w:r>
              <w:rPr>
                <w:rFonts w:ascii="Calibri" w:hAnsi="Calibri"/>
                <w:b w:val="0"/>
                <w:i w:val="0"/>
                <w:color w:val="222222"/>
                <w:sz w:val="16"/>
              </w:rPr>
              <w:t>14.55</w:t>
            </w:r>
          </w:p>
        </w:tc>
        <w:tc>
          <w:tcPr>
            <w:tcW w:type="dxa" w:w="950"/>
            <w:shd w:val="clear" w:fill="F2F7F7"/>
          </w:tcPr>
          <w:p>
            <w:pPr>
              <w:spacing w:after="20" w:before="20"/>
              <w:jc w:val="center"/>
            </w:pPr>
            <w:r/>
            <w:r>
              <w:rPr>
                <w:rFonts w:ascii="Calibri" w:hAnsi="Calibri"/>
                <w:b w:val="0"/>
                <w:i w:val="0"/>
                <w:color w:val="222222"/>
                <w:sz w:val="16"/>
              </w:rPr>
              <w:t>14.15</w:t>
            </w:r>
          </w:p>
        </w:tc>
        <w:tc>
          <w:tcPr>
            <w:tcW w:type="dxa" w:w="950"/>
            <w:shd w:val="clear" w:fill="F2F7F7"/>
          </w:tcPr>
          <w:p>
            <w:pPr>
              <w:spacing w:after="20" w:before="20"/>
              <w:jc w:val="center"/>
            </w:pPr>
            <w:r/>
            <w:r>
              <w:rPr>
                <w:rFonts w:ascii="Calibri" w:hAnsi="Calibri"/>
                <w:b w:val="0"/>
                <w:i w:val="0"/>
                <w:color w:val="222222"/>
                <w:sz w:val="16"/>
              </w:rPr>
              <w:t>13.80</w:t>
            </w:r>
          </w:p>
        </w:tc>
        <w:tc>
          <w:tcPr>
            <w:tcW w:type="dxa" w:w="950"/>
            <w:shd w:val="clear" w:fill="F2F7F7"/>
          </w:tcPr>
          <w:p>
            <w:pPr>
              <w:spacing w:after="20" w:before="20"/>
              <w:jc w:val="center"/>
            </w:pPr>
            <w:r/>
            <w:r>
              <w:rPr>
                <w:rFonts w:ascii="Calibri" w:hAnsi="Calibri"/>
                <w:b w:val="0"/>
                <w:i w:val="0"/>
                <w:color w:val="222222"/>
                <w:sz w:val="16"/>
              </w:rPr>
              <w:t>13.50</w:t>
            </w:r>
          </w:p>
        </w:tc>
        <w:tc>
          <w:tcPr>
            <w:tcW w:type="dxa" w:w="950"/>
            <w:shd w:val="clear" w:fill="F2F7F7"/>
          </w:tcPr>
          <w:p>
            <w:pPr>
              <w:spacing w:after="20" w:before="20"/>
              <w:jc w:val="center"/>
            </w:pPr>
            <w:r/>
            <w:r>
              <w:rPr>
                <w:rFonts w:ascii="Calibri" w:hAnsi="Calibri"/>
                <w:b w:val="0"/>
                <w:i w:val="0"/>
                <w:color w:val="222222"/>
                <w:sz w:val="16"/>
              </w:rPr>
              <w:t>13.25</w:t>
            </w:r>
          </w:p>
        </w:tc>
      </w:tr>
      <w:tr>
        <w:tc>
          <w:tcPr>
            <w:tcW w:type="dxa" w:w="2448"/>
          </w:tcPr>
          <w:p>
            <w:pPr>
              <w:spacing w:after="20" w:before="20"/>
              <w:jc w:val="left"/>
            </w:pPr>
            <w:r/>
            <w:r>
              <w:rPr>
                <w:rFonts w:ascii="Calibri" w:hAnsi="Calibri"/>
                <w:b w:val="0"/>
                <w:i w:val="0"/>
                <w:color w:val="222222"/>
                <w:sz w:val="16"/>
              </w:rPr>
              <w:t>Diluted EPS (USD)</w:t>
            </w:r>
          </w:p>
        </w:tc>
        <w:tc>
          <w:tcPr>
            <w:tcW w:type="dxa" w:w="950"/>
          </w:tcPr>
          <w:p>
            <w:pPr>
              <w:spacing w:after="20" w:before="20"/>
              <w:jc w:val="center"/>
            </w:pPr>
            <w:r/>
            <w:r>
              <w:rPr>
                <w:rFonts w:ascii="Calibri" w:hAnsi="Calibri"/>
                <w:b w:val="0"/>
                <w:i w:val="0"/>
                <w:color w:val="222222"/>
                <w:sz w:val="16"/>
              </w:rPr>
              <w:t>$6.13</w:t>
            </w:r>
          </w:p>
        </w:tc>
        <w:tc>
          <w:tcPr>
            <w:tcW w:type="dxa" w:w="950"/>
          </w:tcPr>
          <w:p>
            <w:pPr>
              <w:spacing w:after="20" w:before="20"/>
              <w:jc w:val="center"/>
            </w:pPr>
            <w:r/>
            <w:r>
              <w:rPr>
                <w:rFonts w:ascii="Calibri" w:hAnsi="Calibri"/>
                <w:b w:val="0"/>
                <w:i w:val="0"/>
                <w:color w:val="222222"/>
                <w:sz w:val="16"/>
              </w:rPr>
              <w:t>$6.08</w:t>
            </w:r>
          </w:p>
        </w:tc>
        <w:tc>
          <w:tcPr>
            <w:tcW w:type="dxa" w:w="950"/>
          </w:tcPr>
          <w:p>
            <w:pPr>
              <w:spacing w:after="20" w:before="20"/>
              <w:jc w:val="center"/>
            </w:pPr>
            <w:r/>
            <w:r>
              <w:rPr>
                <w:rFonts w:ascii="Calibri" w:hAnsi="Calibri"/>
                <w:b w:val="0"/>
                <w:i w:val="0"/>
                <w:color w:val="222222"/>
                <w:sz w:val="16"/>
              </w:rPr>
              <w:t>$7.47</w:t>
            </w:r>
          </w:p>
        </w:tc>
        <w:tc>
          <w:tcPr>
            <w:tcW w:type="dxa" w:w="950"/>
          </w:tcPr>
          <w:p>
            <w:pPr>
              <w:spacing w:after="20" w:before="20"/>
              <w:jc w:val="center"/>
            </w:pPr>
            <w:r/>
            <w:r>
              <w:rPr>
                <w:rFonts w:ascii="Calibri" w:hAnsi="Calibri"/>
                <w:b w:val="0"/>
                <w:i w:val="0"/>
                <w:color w:val="222222"/>
                <w:sz w:val="16"/>
              </w:rPr>
              <w:t>$8.29</w:t>
            </w:r>
          </w:p>
        </w:tc>
        <w:tc>
          <w:tcPr>
            <w:tcW w:type="dxa" w:w="950"/>
          </w:tcPr>
          <w:p>
            <w:pPr>
              <w:spacing w:after="20" w:before="20"/>
              <w:jc w:val="center"/>
            </w:pPr>
            <w:r/>
            <w:r>
              <w:rPr>
                <w:rFonts w:ascii="Calibri" w:hAnsi="Calibri"/>
                <w:b w:val="0"/>
                <w:i w:val="0"/>
                <w:color w:val="222222"/>
                <w:sz w:val="16"/>
              </w:rPr>
              <w:t>$9.13</w:t>
            </w:r>
          </w:p>
        </w:tc>
        <w:tc>
          <w:tcPr>
            <w:tcW w:type="dxa" w:w="950"/>
          </w:tcPr>
          <w:p>
            <w:pPr>
              <w:spacing w:after="20" w:before="20"/>
              <w:jc w:val="center"/>
            </w:pPr>
            <w:r/>
            <w:r>
              <w:rPr>
                <w:rFonts w:ascii="Calibri" w:hAnsi="Calibri"/>
                <w:b w:val="0"/>
                <w:i w:val="0"/>
                <w:color w:val="222222"/>
                <w:sz w:val="16"/>
              </w:rPr>
              <w:t>$10.01</w:t>
            </w:r>
          </w:p>
        </w:tc>
        <w:tc>
          <w:tcPr>
            <w:tcW w:type="dxa" w:w="950"/>
          </w:tcPr>
          <w:p>
            <w:pPr>
              <w:spacing w:after="20" w:before="20"/>
              <w:jc w:val="center"/>
            </w:pPr>
            <w:r/>
            <w:r>
              <w:rPr>
                <w:rFonts w:ascii="Calibri" w:hAnsi="Calibri"/>
                <w:b w:val="0"/>
                <w:i w:val="0"/>
                <w:color w:val="222222"/>
                <w:sz w:val="16"/>
              </w:rPr>
              <w:t>$10.90</w:t>
            </w:r>
          </w:p>
        </w:tc>
        <w:tc>
          <w:tcPr>
            <w:tcW w:type="dxa" w:w="950"/>
          </w:tcPr>
          <w:p>
            <w:pPr>
              <w:spacing w:after="20" w:before="20"/>
              <w:jc w:val="center"/>
            </w:pPr>
            <w:r/>
            <w:r>
              <w:rPr>
                <w:rFonts w:ascii="Calibri" w:hAnsi="Calibri"/>
                <w:b w:val="0"/>
                <w:i w:val="0"/>
                <w:color w:val="222222"/>
                <w:sz w:val="16"/>
              </w:rPr>
              <w:t>$11.80</w:t>
            </w:r>
          </w:p>
        </w:tc>
      </w:tr>
    </w:tbl>
    <w:p>
      <w:pPr>
        <w:spacing w:after="40"/>
      </w:pPr>
    </w:p>
    <w:p>
      <w:pPr>
        <w:spacing w:before="160" w:after="40"/>
      </w:pPr>
      <w:r>
        <w:rPr>
          <w:b/>
          <w:color w:val="2A8F8F"/>
          <w:sz w:val="23"/>
        </w:rPr>
        <w:t>A.2  Balance sheet (consolidated, USD bn) — 3 years actual + 5-year forecast</w:t>
      </w:r>
    </w:p>
    <w:tbl>
      <w:tblPr>
        <w:tblStyle w:val="TableGrid"/>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448"/>
            <w:shd w:val="clear" w:fill="2A8F8F"/>
          </w:tcPr>
          <w:p>
            <w:pPr>
              <w:spacing w:after="20" w:before="20"/>
              <w:jc w:val="left"/>
            </w:pPr>
            <w:r/>
            <w:r>
              <w:rPr>
                <w:rFonts w:ascii="Calibri" w:hAnsi="Calibri"/>
                <w:b/>
                <w:i w:val="0"/>
                <w:color w:val="FFFFFF"/>
                <w:sz w:val="18"/>
              </w:rPr>
              <w:t>USD bn</w:t>
            </w:r>
          </w:p>
        </w:tc>
        <w:tc>
          <w:tcPr>
            <w:tcW w:type="dxa" w:w="950"/>
            <w:shd w:val="clear" w:fill="2A8F8F"/>
          </w:tcPr>
          <w:p>
            <w:pPr>
              <w:spacing w:after="20" w:before="20"/>
              <w:jc w:val="center"/>
            </w:pPr>
            <w:r/>
            <w:r>
              <w:rPr>
                <w:rFonts w:ascii="Calibri" w:hAnsi="Calibri"/>
                <w:b/>
                <w:i w:val="0"/>
                <w:color w:val="FFFFFF"/>
                <w:sz w:val="18"/>
              </w:rPr>
              <w:t>FY23</w:t>
            </w:r>
          </w:p>
        </w:tc>
        <w:tc>
          <w:tcPr>
            <w:tcW w:type="dxa" w:w="950"/>
            <w:shd w:val="clear" w:fill="2A8F8F"/>
          </w:tcPr>
          <w:p>
            <w:pPr>
              <w:spacing w:after="20" w:before="20"/>
              <w:jc w:val="center"/>
            </w:pPr>
            <w:r/>
            <w:r>
              <w:rPr>
                <w:rFonts w:ascii="Calibri" w:hAnsi="Calibri"/>
                <w:b/>
                <w:i w:val="0"/>
                <w:color w:val="FFFFFF"/>
                <w:sz w:val="18"/>
              </w:rPr>
              <w:t>FY24</w:t>
            </w:r>
          </w:p>
        </w:tc>
        <w:tc>
          <w:tcPr>
            <w:tcW w:type="dxa" w:w="950"/>
            <w:shd w:val="clear" w:fill="2A8F8F"/>
          </w:tcPr>
          <w:p>
            <w:pPr>
              <w:spacing w:after="20" w:before="20"/>
              <w:jc w:val="center"/>
            </w:pPr>
            <w:r/>
            <w:r>
              <w:rPr>
                <w:rFonts w:ascii="Calibri" w:hAnsi="Calibri"/>
                <w:b/>
                <w:i w:val="0"/>
                <w:color w:val="FFFFFF"/>
                <w:sz w:val="18"/>
              </w:rPr>
              <w:t>FY25</w:t>
            </w:r>
          </w:p>
        </w:tc>
        <w:tc>
          <w:tcPr>
            <w:tcW w:type="dxa" w:w="950"/>
            <w:shd w:val="clear" w:fill="2A8F8F"/>
          </w:tcPr>
          <w:p>
            <w:pPr>
              <w:spacing w:after="20" w:before="20"/>
              <w:jc w:val="center"/>
            </w:pPr>
            <w:r/>
            <w:r>
              <w:rPr>
                <w:rFonts w:ascii="Calibri" w:hAnsi="Calibri"/>
                <w:b/>
                <w:i w:val="0"/>
                <w:color w:val="FFFFFF"/>
                <w:sz w:val="18"/>
              </w:rPr>
              <w:t>FY26E</w:t>
            </w:r>
          </w:p>
        </w:tc>
        <w:tc>
          <w:tcPr>
            <w:tcW w:type="dxa" w:w="950"/>
            <w:shd w:val="clear" w:fill="2A8F8F"/>
          </w:tcPr>
          <w:p>
            <w:pPr>
              <w:spacing w:after="20" w:before="20"/>
              <w:jc w:val="center"/>
            </w:pPr>
            <w:r/>
            <w:r>
              <w:rPr>
                <w:rFonts w:ascii="Calibri" w:hAnsi="Calibri"/>
                <w:b/>
                <w:i w:val="0"/>
                <w:color w:val="FFFFFF"/>
                <w:sz w:val="18"/>
              </w:rPr>
              <w:t>FY27E</w:t>
            </w:r>
          </w:p>
        </w:tc>
        <w:tc>
          <w:tcPr>
            <w:tcW w:type="dxa" w:w="950"/>
            <w:shd w:val="clear" w:fill="2A8F8F"/>
          </w:tcPr>
          <w:p>
            <w:pPr>
              <w:spacing w:after="20" w:before="20"/>
              <w:jc w:val="center"/>
            </w:pPr>
            <w:r/>
            <w:r>
              <w:rPr>
                <w:rFonts w:ascii="Calibri" w:hAnsi="Calibri"/>
                <w:b/>
                <w:i w:val="0"/>
                <w:color w:val="FFFFFF"/>
                <w:sz w:val="18"/>
              </w:rPr>
              <w:t>FY28E</w:t>
            </w:r>
          </w:p>
        </w:tc>
        <w:tc>
          <w:tcPr>
            <w:tcW w:type="dxa" w:w="950"/>
            <w:shd w:val="clear" w:fill="2A8F8F"/>
          </w:tcPr>
          <w:p>
            <w:pPr>
              <w:spacing w:after="20" w:before="20"/>
              <w:jc w:val="center"/>
            </w:pPr>
            <w:r/>
            <w:r>
              <w:rPr>
                <w:rFonts w:ascii="Calibri" w:hAnsi="Calibri"/>
                <w:b/>
                <w:i w:val="0"/>
                <w:color w:val="FFFFFF"/>
                <w:sz w:val="18"/>
              </w:rPr>
              <w:t>FY29E</w:t>
            </w:r>
          </w:p>
        </w:tc>
        <w:tc>
          <w:tcPr>
            <w:tcW w:type="dxa" w:w="950"/>
            <w:shd w:val="clear" w:fill="2A8F8F"/>
          </w:tcPr>
          <w:p>
            <w:pPr>
              <w:spacing w:after="20" w:before="20"/>
              <w:jc w:val="center"/>
            </w:pPr>
            <w:r/>
            <w:r>
              <w:rPr>
                <w:rFonts w:ascii="Calibri" w:hAnsi="Calibri"/>
                <w:b/>
                <w:i w:val="0"/>
                <w:color w:val="FFFFFF"/>
                <w:sz w:val="18"/>
              </w:rPr>
              <w:t>FY30E</w:t>
            </w:r>
          </w:p>
        </w:tc>
      </w:tr>
      <w:tr>
        <w:tc>
          <w:tcPr>
            <w:tcW w:type="dxa" w:w="2448"/>
          </w:tcPr>
          <w:p>
            <w:pPr>
              <w:spacing w:after="20" w:before="20"/>
              <w:jc w:val="left"/>
            </w:pPr>
            <w:r/>
            <w:r>
              <w:rPr>
                <w:rFonts w:ascii="Calibri" w:hAnsi="Calibri"/>
                <w:b w:val="0"/>
                <w:i w:val="0"/>
                <w:color w:val="222222"/>
                <w:sz w:val="16"/>
              </w:rPr>
              <w:t>Cash &amp; securities</w:t>
            </w:r>
          </w:p>
        </w:tc>
        <w:tc>
          <w:tcPr>
            <w:tcW w:type="dxa" w:w="950"/>
          </w:tcPr>
          <w:p>
            <w:pPr>
              <w:spacing w:after="20" w:before="20"/>
              <w:jc w:val="center"/>
            </w:pPr>
            <w:r/>
            <w:r>
              <w:rPr>
                <w:rFonts w:ascii="Calibri" w:hAnsi="Calibri"/>
                <w:b w:val="0"/>
                <w:i w:val="0"/>
                <w:color w:val="222222"/>
                <w:sz w:val="16"/>
              </w:rPr>
              <w:t>$166</w:t>
            </w:r>
          </w:p>
        </w:tc>
        <w:tc>
          <w:tcPr>
            <w:tcW w:type="dxa" w:w="950"/>
          </w:tcPr>
          <w:p>
            <w:pPr>
              <w:spacing w:after="20" w:before="20"/>
              <w:jc w:val="center"/>
            </w:pPr>
            <w:r/>
            <w:r>
              <w:rPr>
                <w:rFonts w:ascii="Calibri" w:hAnsi="Calibri"/>
                <w:b w:val="0"/>
                <w:i w:val="0"/>
                <w:color w:val="222222"/>
                <w:sz w:val="16"/>
              </w:rPr>
              <w:t>$141</w:t>
            </w:r>
          </w:p>
        </w:tc>
        <w:tc>
          <w:tcPr>
            <w:tcW w:type="dxa" w:w="950"/>
          </w:tcPr>
          <w:p>
            <w:pPr>
              <w:spacing w:after="20" w:before="20"/>
              <w:jc w:val="center"/>
            </w:pPr>
            <w:r/>
            <w:r>
              <w:rPr>
                <w:rFonts w:ascii="Calibri" w:hAnsi="Calibri"/>
                <w:b w:val="0"/>
                <w:i w:val="0"/>
                <w:color w:val="222222"/>
                <w:sz w:val="16"/>
              </w:rPr>
              <w:t>$132</w:t>
            </w:r>
          </w:p>
        </w:tc>
        <w:tc>
          <w:tcPr>
            <w:tcW w:type="dxa" w:w="950"/>
          </w:tcPr>
          <w:p>
            <w:pPr>
              <w:spacing w:after="20" w:before="20"/>
              <w:jc w:val="center"/>
            </w:pPr>
            <w:r/>
            <w:r>
              <w:rPr>
                <w:rFonts w:ascii="Calibri" w:hAnsi="Calibri"/>
                <w:b w:val="0"/>
                <w:i w:val="0"/>
                <w:color w:val="222222"/>
                <w:sz w:val="16"/>
              </w:rPr>
              <w:t>$132</w:t>
            </w:r>
          </w:p>
        </w:tc>
        <w:tc>
          <w:tcPr>
            <w:tcW w:type="dxa" w:w="950"/>
          </w:tcPr>
          <w:p>
            <w:pPr>
              <w:spacing w:after="20" w:before="20"/>
              <w:jc w:val="center"/>
            </w:pPr>
            <w:r/>
            <w:r>
              <w:rPr>
                <w:rFonts w:ascii="Calibri" w:hAnsi="Calibri"/>
                <w:b w:val="0"/>
                <w:i w:val="0"/>
                <w:color w:val="222222"/>
                <w:sz w:val="16"/>
              </w:rPr>
              <w:t>$132</w:t>
            </w:r>
          </w:p>
        </w:tc>
        <w:tc>
          <w:tcPr>
            <w:tcW w:type="dxa" w:w="950"/>
          </w:tcPr>
          <w:p>
            <w:pPr>
              <w:spacing w:after="20" w:before="20"/>
              <w:jc w:val="center"/>
            </w:pPr>
            <w:r/>
            <w:r>
              <w:rPr>
                <w:rFonts w:ascii="Calibri" w:hAnsi="Calibri"/>
                <w:b w:val="0"/>
                <w:i w:val="0"/>
                <w:color w:val="222222"/>
                <w:sz w:val="16"/>
              </w:rPr>
              <w:t>$132</w:t>
            </w:r>
          </w:p>
        </w:tc>
        <w:tc>
          <w:tcPr>
            <w:tcW w:type="dxa" w:w="950"/>
          </w:tcPr>
          <w:p>
            <w:pPr>
              <w:spacing w:after="20" w:before="20"/>
              <w:jc w:val="center"/>
            </w:pPr>
            <w:r/>
            <w:r>
              <w:rPr>
                <w:rFonts w:ascii="Calibri" w:hAnsi="Calibri"/>
                <w:b w:val="0"/>
                <w:i w:val="0"/>
                <w:color w:val="222222"/>
                <w:sz w:val="16"/>
              </w:rPr>
              <w:t>$132</w:t>
            </w:r>
          </w:p>
        </w:tc>
        <w:tc>
          <w:tcPr>
            <w:tcW w:type="dxa" w:w="950"/>
          </w:tcPr>
          <w:p>
            <w:pPr>
              <w:spacing w:after="20" w:before="20"/>
              <w:jc w:val="center"/>
            </w:pPr>
            <w:r/>
            <w:r>
              <w:rPr>
                <w:rFonts w:ascii="Calibri" w:hAnsi="Calibri"/>
                <w:b w:val="0"/>
                <w:i w:val="0"/>
                <w:color w:val="222222"/>
                <w:sz w:val="16"/>
              </w:rPr>
              <w:t>$132</w:t>
            </w:r>
          </w:p>
        </w:tc>
      </w:tr>
      <w:tr>
        <w:tc>
          <w:tcPr>
            <w:tcW w:type="dxa" w:w="2448"/>
            <w:shd w:val="clear" w:fill="F2F7F7"/>
          </w:tcPr>
          <w:p>
            <w:pPr>
              <w:spacing w:after="20" w:before="20"/>
              <w:jc w:val="left"/>
            </w:pPr>
            <w:r/>
            <w:r>
              <w:rPr>
                <w:rFonts w:ascii="Calibri" w:hAnsi="Calibri"/>
                <w:b w:val="0"/>
                <w:i w:val="0"/>
                <w:color w:val="222222"/>
                <w:sz w:val="16"/>
              </w:rPr>
              <w:t>Other assets</w:t>
            </w:r>
          </w:p>
        </w:tc>
        <w:tc>
          <w:tcPr>
            <w:tcW w:type="dxa" w:w="950"/>
            <w:shd w:val="clear" w:fill="F2F7F7"/>
          </w:tcPr>
          <w:p>
            <w:pPr>
              <w:spacing w:after="20" w:before="20"/>
              <w:jc w:val="center"/>
            </w:pPr>
            <w:r/>
            <w:r>
              <w:rPr>
                <w:rFonts w:ascii="Calibri" w:hAnsi="Calibri"/>
                <w:b w:val="0"/>
                <w:i w:val="0"/>
                <w:color w:val="222222"/>
                <w:sz w:val="16"/>
              </w:rPr>
              <w:t>$187</w:t>
            </w:r>
          </w:p>
        </w:tc>
        <w:tc>
          <w:tcPr>
            <w:tcW w:type="dxa" w:w="950"/>
            <w:shd w:val="clear" w:fill="F2F7F7"/>
          </w:tcPr>
          <w:p>
            <w:pPr>
              <w:spacing w:after="20" w:before="20"/>
              <w:jc w:val="center"/>
            </w:pPr>
            <w:r/>
            <w:r>
              <w:rPr>
                <w:rFonts w:ascii="Calibri" w:hAnsi="Calibri"/>
                <w:b w:val="0"/>
                <w:i w:val="0"/>
                <w:color w:val="222222"/>
                <w:sz w:val="16"/>
              </w:rPr>
              <w:t>$224</w:t>
            </w:r>
          </w:p>
        </w:tc>
        <w:tc>
          <w:tcPr>
            <w:tcW w:type="dxa" w:w="950"/>
            <w:shd w:val="clear" w:fill="F2F7F7"/>
          </w:tcPr>
          <w:p>
            <w:pPr>
              <w:spacing w:after="20" w:before="20"/>
              <w:jc w:val="center"/>
            </w:pPr>
            <w:r/>
            <w:r>
              <w:rPr>
                <w:rFonts w:ascii="Calibri" w:hAnsi="Calibri"/>
                <w:b w:val="0"/>
                <w:i w:val="0"/>
                <w:color w:val="222222"/>
                <w:sz w:val="16"/>
              </w:rPr>
              <w:t>$213</w:t>
            </w:r>
          </w:p>
        </w:tc>
        <w:tc>
          <w:tcPr>
            <w:tcW w:type="dxa" w:w="950"/>
            <w:shd w:val="clear" w:fill="F2F7F7"/>
          </w:tcPr>
          <w:p>
            <w:pPr>
              <w:spacing w:after="20" w:before="20"/>
              <w:jc w:val="center"/>
            </w:pPr>
            <w:r/>
            <w:r>
              <w:rPr>
                <w:rFonts w:ascii="Calibri" w:hAnsi="Calibri"/>
                <w:b w:val="0"/>
                <w:i w:val="0"/>
                <w:color w:val="222222"/>
                <w:sz w:val="16"/>
              </w:rPr>
              <w:t>$217</w:t>
            </w:r>
          </w:p>
        </w:tc>
        <w:tc>
          <w:tcPr>
            <w:tcW w:type="dxa" w:w="950"/>
            <w:shd w:val="clear" w:fill="F2F7F7"/>
          </w:tcPr>
          <w:p>
            <w:pPr>
              <w:spacing w:after="20" w:before="20"/>
              <w:jc w:val="center"/>
            </w:pPr>
            <w:r/>
            <w:r>
              <w:rPr>
                <w:rFonts w:ascii="Calibri" w:hAnsi="Calibri"/>
                <w:b w:val="0"/>
                <w:i w:val="0"/>
                <w:color w:val="222222"/>
                <w:sz w:val="16"/>
              </w:rPr>
              <w:t>$221</w:t>
            </w:r>
          </w:p>
        </w:tc>
        <w:tc>
          <w:tcPr>
            <w:tcW w:type="dxa" w:w="950"/>
            <w:shd w:val="clear" w:fill="F2F7F7"/>
          </w:tcPr>
          <w:p>
            <w:pPr>
              <w:spacing w:after="20" w:before="20"/>
              <w:jc w:val="center"/>
            </w:pPr>
            <w:r/>
            <w:r>
              <w:rPr>
                <w:rFonts w:ascii="Calibri" w:hAnsi="Calibri"/>
                <w:b w:val="0"/>
                <w:i w:val="0"/>
                <w:color w:val="222222"/>
                <w:sz w:val="16"/>
              </w:rPr>
              <w:t>$226</w:t>
            </w:r>
          </w:p>
        </w:tc>
        <w:tc>
          <w:tcPr>
            <w:tcW w:type="dxa" w:w="950"/>
            <w:shd w:val="clear" w:fill="F2F7F7"/>
          </w:tcPr>
          <w:p>
            <w:pPr>
              <w:spacing w:after="20" w:before="20"/>
              <w:jc w:val="center"/>
            </w:pPr>
            <w:r/>
            <w:r>
              <w:rPr>
                <w:rFonts w:ascii="Calibri" w:hAnsi="Calibri"/>
                <w:b w:val="0"/>
                <w:i w:val="0"/>
                <w:color w:val="222222"/>
                <w:sz w:val="16"/>
              </w:rPr>
              <w:t>$230</w:t>
            </w:r>
          </w:p>
        </w:tc>
        <w:tc>
          <w:tcPr>
            <w:tcW w:type="dxa" w:w="950"/>
            <w:shd w:val="clear" w:fill="F2F7F7"/>
          </w:tcPr>
          <w:p>
            <w:pPr>
              <w:spacing w:after="20" w:before="20"/>
              <w:jc w:val="center"/>
            </w:pPr>
            <w:r/>
            <w:r>
              <w:rPr>
                <w:rFonts w:ascii="Calibri" w:hAnsi="Calibri"/>
                <w:b w:val="0"/>
                <w:i w:val="0"/>
                <w:color w:val="222222"/>
                <w:sz w:val="16"/>
              </w:rPr>
              <w:t>$235</w:t>
            </w:r>
          </w:p>
        </w:tc>
      </w:tr>
      <w:tr>
        <w:tc>
          <w:tcPr>
            <w:tcW w:type="dxa" w:w="2448"/>
          </w:tcPr>
          <w:p>
            <w:pPr>
              <w:spacing w:after="20" w:before="20"/>
              <w:jc w:val="left"/>
            </w:pPr>
            <w:r/>
            <w:r>
              <w:rPr>
                <w:rFonts w:ascii="Calibri" w:hAnsi="Calibri"/>
                <w:b w:val="0"/>
                <w:i w:val="0"/>
                <w:color w:val="222222"/>
                <w:sz w:val="16"/>
              </w:rPr>
              <w:t>Total assets</w:t>
            </w:r>
          </w:p>
        </w:tc>
        <w:tc>
          <w:tcPr>
            <w:tcW w:type="dxa" w:w="950"/>
          </w:tcPr>
          <w:p>
            <w:pPr>
              <w:spacing w:after="20" w:before="20"/>
              <w:jc w:val="center"/>
            </w:pPr>
            <w:r/>
            <w:r>
              <w:rPr>
                <w:rFonts w:ascii="Calibri" w:hAnsi="Calibri"/>
                <w:b w:val="0"/>
                <w:i w:val="0"/>
                <w:color w:val="222222"/>
                <w:sz w:val="16"/>
              </w:rPr>
              <w:t>$353</w:t>
            </w:r>
          </w:p>
        </w:tc>
        <w:tc>
          <w:tcPr>
            <w:tcW w:type="dxa" w:w="950"/>
          </w:tcPr>
          <w:p>
            <w:pPr>
              <w:spacing w:after="20" w:before="20"/>
              <w:jc w:val="center"/>
            </w:pPr>
            <w:r/>
            <w:r>
              <w:rPr>
                <w:rFonts w:ascii="Calibri" w:hAnsi="Calibri"/>
                <w:b w:val="0"/>
                <w:i w:val="0"/>
                <w:color w:val="222222"/>
                <w:sz w:val="16"/>
              </w:rPr>
              <w:t>$365</w:t>
            </w:r>
          </w:p>
        </w:tc>
        <w:tc>
          <w:tcPr>
            <w:tcW w:type="dxa" w:w="950"/>
          </w:tcPr>
          <w:p>
            <w:pPr>
              <w:spacing w:after="20" w:before="20"/>
              <w:jc w:val="center"/>
            </w:pPr>
            <w:r/>
            <w:r>
              <w:rPr>
                <w:rFonts w:ascii="Calibri" w:hAnsi="Calibri"/>
                <w:b w:val="0"/>
                <w:i w:val="0"/>
                <w:color w:val="222222"/>
                <w:sz w:val="16"/>
              </w:rPr>
              <w:t>$345</w:t>
            </w:r>
          </w:p>
        </w:tc>
        <w:tc>
          <w:tcPr>
            <w:tcW w:type="dxa" w:w="950"/>
          </w:tcPr>
          <w:p>
            <w:pPr>
              <w:spacing w:after="20" w:before="20"/>
              <w:jc w:val="center"/>
            </w:pPr>
            <w:r/>
            <w:r>
              <w:rPr>
                <w:rFonts w:ascii="Calibri" w:hAnsi="Calibri"/>
                <w:b w:val="0"/>
                <w:i w:val="0"/>
                <w:color w:val="222222"/>
                <w:sz w:val="16"/>
              </w:rPr>
              <w:t>$349</w:t>
            </w:r>
          </w:p>
        </w:tc>
        <w:tc>
          <w:tcPr>
            <w:tcW w:type="dxa" w:w="950"/>
          </w:tcPr>
          <w:p>
            <w:pPr>
              <w:spacing w:after="20" w:before="20"/>
              <w:jc w:val="center"/>
            </w:pPr>
            <w:r/>
            <w:r>
              <w:rPr>
                <w:rFonts w:ascii="Calibri" w:hAnsi="Calibri"/>
                <w:b w:val="0"/>
                <w:i w:val="0"/>
                <w:color w:val="222222"/>
                <w:sz w:val="16"/>
              </w:rPr>
              <w:t>$354</w:t>
            </w:r>
          </w:p>
        </w:tc>
        <w:tc>
          <w:tcPr>
            <w:tcW w:type="dxa" w:w="950"/>
          </w:tcPr>
          <w:p>
            <w:pPr>
              <w:spacing w:after="20" w:before="20"/>
              <w:jc w:val="center"/>
            </w:pPr>
            <w:r/>
            <w:r>
              <w:rPr>
                <w:rFonts w:ascii="Calibri" w:hAnsi="Calibri"/>
                <w:b w:val="0"/>
                <w:i w:val="0"/>
                <w:color w:val="222222"/>
                <w:sz w:val="16"/>
              </w:rPr>
              <w:t>$358</w:t>
            </w:r>
          </w:p>
        </w:tc>
        <w:tc>
          <w:tcPr>
            <w:tcW w:type="dxa" w:w="950"/>
          </w:tcPr>
          <w:p>
            <w:pPr>
              <w:spacing w:after="20" w:before="20"/>
              <w:jc w:val="center"/>
            </w:pPr>
            <w:r/>
            <w:r>
              <w:rPr>
                <w:rFonts w:ascii="Calibri" w:hAnsi="Calibri"/>
                <w:b w:val="0"/>
                <w:i w:val="0"/>
                <w:color w:val="222222"/>
                <w:sz w:val="16"/>
              </w:rPr>
              <w:t>$363</w:t>
            </w:r>
          </w:p>
        </w:tc>
        <w:tc>
          <w:tcPr>
            <w:tcW w:type="dxa" w:w="950"/>
          </w:tcPr>
          <w:p>
            <w:pPr>
              <w:spacing w:after="20" w:before="20"/>
              <w:jc w:val="center"/>
            </w:pPr>
            <w:r/>
            <w:r>
              <w:rPr>
                <w:rFonts w:ascii="Calibri" w:hAnsi="Calibri"/>
                <w:b w:val="0"/>
                <w:i w:val="0"/>
                <w:color w:val="222222"/>
                <w:sz w:val="16"/>
              </w:rPr>
              <w:t>$367</w:t>
            </w:r>
          </w:p>
        </w:tc>
      </w:tr>
      <w:tr>
        <w:tc>
          <w:tcPr>
            <w:tcW w:type="dxa" w:w="2448"/>
            <w:shd w:val="clear" w:fill="F2F7F7"/>
          </w:tcPr>
          <w:p>
            <w:pPr>
              <w:spacing w:after="20" w:before="20"/>
              <w:jc w:val="left"/>
            </w:pPr>
            <w:r/>
            <w:r>
              <w:rPr>
                <w:rFonts w:ascii="Calibri" w:hAnsi="Calibri"/>
                <w:b w:val="0"/>
                <w:i w:val="0"/>
                <w:color w:val="222222"/>
                <w:sz w:val="16"/>
              </w:rPr>
              <w:t>Total debt</w:t>
            </w:r>
          </w:p>
        </w:tc>
        <w:tc>
          <w:tcPr>
            <w:tcW w:type="dxa" w:w="950"/>
            <w:shd w:val="clear" w:fill="F2F7F7"/>
          </w:tcPr>
          <w:p>
            <w:pPr>
              <w:spacing w:after="20" w:before="20"/>
              <w:jc w:val="center"/>
            </w:pPr>
            <w:r/>
            <w:r>
              <w:rPr>
                <w:rFonts w:ascii="Calibri" w:hAnsi="Calibri"/>
                <w:b w:val="0"/>
                <w:i w:val="0"/>
                <w:color w:val="222222"/>
                <w:sz w:val="16"/>
              </w:rPr>
              <w:t>$111</w:t>
            </w:r>
          </w:p>
        </w:tc>
        <w:tc>
          <w:tcPr>
            <w:tcW w:type="dxa" w:w="950"/>
            <w:shd w:val="clear" w:fill="F2F7F7"/>
          </w:tcPr>
          <w:p>
            <w:pPr>
              <w:spacing w:after="20" w:before="20"/>
              <w:jc w:val="center"/>
            </w:pPr>
            <w:r/>
            <w:r>
              <w:rPr>
                <w:rFonts w:ascii="Calibri" w:hAnsi="Calibri"/>
                <w:b w:val="0"/>
                <w:i w:val="0"/>
                <w:color w:val="222222"/>
                <w:sz w:val="16"/>
              </w:rPr>
              <w:t>$107</w:t>
            </w:r>
          </w:p>
        </w:tc>
        <w:tc>
          <w:tcPr>
            <w:tcW w:type="dxa" w:w="950"/>
            <w:shd w:val="clear" w:fill="F2F7F7"/>
          </w:tcPr>
          <w:p>
            <w:pPr>
              <w:spacing w:after="20" w:before="20"/>
              <w:jc w:val="center"/>
            </w:pPr>
            <w:r/>
            <w:r>
              <w:rPr>
                <w:rFonts w:ascii="Calibri" w:hAnsi="Calibri"/>
                <w:b w:val="0"/>
                <w:i w:val="0"/>
                <w:color w:val="222222"/>
                <w:sz w:val="16"/>
              </w:rPr>
              <w:t>$98</w:t>
            </w:r>
          </w:p>
        </w:tc>
        <w:tc>
          <w:tcPr>
            <w:tcW w:type="dxa" w:w="950"/>
            <w:shd w:val="clear" w:fill="F2F7F7"/>
          </w:tcPr>
          <w:p>
            <w:pPr>
              <w:spacing w:after="20" w:before="20"/>
              <w:jc w:val="center"/>
            </w:pPr>
            <w:r/>
            <w:r>
              <w:rPr>
                <w:rFonts w:ascii="Calibri" w:hAnsi="Calibri"/>
                <w:b w:val="0"/>
                <w:i w:val="0"/>
                <w:color w:val="222222"/>
                <w:sz w:val="16"/>
              </w:rPr>
              <w:t>$98</w:t>
            </w:r>
          </w:p>
        </w:tc>
        <w:tc>
          <w:tcPr>
            <w:tcW w:type="dxa" w:w="950"/>
            <w:shd w:val="clear" w:fill="F2F7F7"/>
          </w:tcPr>
          <w:p>
            <w:pPr>
              <w:spacing w:after="20" w:before="20"/>
              <w:jc w:val="center"/>
            </w:pPr>
            <w:r/>
            <w:r>
              <w:rPr>
                <w:rFonts w:ascii="Calibri" w:hAnsi="Calibri"/>
                <w:b w:val="0"/>
                <w:i w:val="0"/>
                <w:color w:val="222222"/>
                <w:sz w:val="16"/>
              </w:rPr>
              <w:t>$98</w:t>
            </w:r>
          </w:p>
        </w:tc>
        <w:tc>
          <w:tcPr>
            <w:tcW w:type="dxa" w:w="950"/>
            <w:shd w:val="clear" w:fill="F2F7F7"/>
          </w:tcPr>
          <w:p>
            <w:pPr>
              <w:spacing w:after="20" w:before="20"/>
              <w:jc w:val="center"/>
            </w:pPr>
            <w:r/>
            <w:r>
              <w:rPr>
                <w:rFonts w:ascii="Calibri" w:hAnsi="Calibri"/>
                <w:b w:val="0"/>
                <w:i w:val="0"/>
                <w:color w:val="222222"/>
                <w:sz w:val="16"/>
              </w:rPr>
              <w:t>$98</w:t>
            </w:r>
          </w:p>
        </w:tc>
        <w:tc>
          <w:tcPr>
            <w:tcW w:type="dxa" w:w="950"/>
            <w:shd w:val="clear" w:fill="F2F7F7"/>
          </w:tcPr>
          <w:p>
            <w:pPr>
              <w:spacing w:after="20" w:before="20"/>
              <w:jc w:val="center"/>
            </w:pPr>
            <w:r/>
            <w:r>
              <w:rPr>
                <w:rFonts w:ascii="Calibri" w:hAnsi="Calibri"/>
                <w:b w:val="0"/>
                <w:i w:val="0"/>
                <w:color w:val="222222"/>
                <w:sz w:val="16"/>
              </w:rPr>
              <w:t>$98</w:t>
            </w:r>
          </w:p>
        </w:tc>
        <w:tc>
          <w:tcPr>
            <w:tcW w:type="dxa" w:w="950"/>
            <w:shd w:val="clear" w:fill="F2F7F7"/>
          </w:tcPr>
          <w:p>
            <w:pPr>
              <w:spacing w:after="20" w:before="20"/>
              <w:jc w:val="center"/>
            </w:pPr>
            <w:r/>
            <w:r>
              <w:rPr>
                <w:rFonts w:ascii="Calibri" w:hAnsi="Calibri"/>
                <w:b w:val="0"/>
                <w:i w:val="0"/>
                <w:color w:val="222222"/>
                <w:sz w:val="16"/>
              </w:rPr>
              <w:t>$98</w:t>
            </w:r>
          </w:p>
        </w:tc>
      </w:tr>
      <w:tr>
        <w:tc>
          <w:tcPr>
            <w:tcW w:type="dxa" w:w="2448"/>
          </w:tcPr>
          <w:p>
            <w:pPr>
              <w:spacing w:after="20" w:before="20"/>
              <w:jc w:val="left"/>
            </w:pPr>
            <w:r/>
            <w:r>
              <w:rPr>
                <w:rFonts w:ascii="Calibri" w:hAnsi="Calibri"/>
                <w:b w:val="0"/>
                <w:i w:val="0"/>
                <w:color w:val="222222"/>
                <w:sz w:val="16"/>
              </w:rPr>
              <w:t>Other liabilities</w:t>
            </w:r>
          </w:p>
        </w:tc>
        <w:tc>
          <w:tcPr>
            <w:tcW w:type="dxa" w:w="950"/>
          </w:tcPr>
          <w:p>
            <w:pPr>
              <w:spacing w:after="20" w:before="20"/>
              <w:jc w:val="center"/>
            </w:pPr>
            <w:r/>
            <w:r>
              <w:rPr>
                <w:rFonts w:ascii="Calibri" w:hAnsi="Calibri"/>
                <w:b w:val="0"/>
                <w:i w:val="0"/>
                <w:color w:val="222222"/>
                <w:sz w:val="16"/>
              </w:rPr>
              <w:t>$179</w:t>
            </w:r>
          </w:p>
        </w:tc>
        <w:tc>
          <w:tcPr>
            <w:tcW w:type="dxa" w:w="950"/>
          </w:tcPr>
          <w:p>
            <w:pPr>
              <w:spacing w:after="20" w:before="20"/>
              <w:jc w:val="center"/>
            </w:pPr>
            <w:r/>
            <w:r>
              <w:rPr>
                <w:rFonts w:ascii="Calibri" w:hAnsi="Calibri"/>
                <w:b w:val="0"/>
                <w:i w:val="0"/>
                <w:color w:val="222222"/>
                <w:sz w:val="16"/>
              </w:rPr>
              <w:t>$201</w:t>
            </w:r>
          </w:p>
        </w:tc>
        <w:tc>
          <w:tcPr>
            <w:tcW w:type="dxa" w:w="950"/>
          </w:tcPr>
          <w:p>
            <w:pPr>
              <w:spacing w:after="20" w:before="20"/>
              <w:jc w:val="center"/>
            </w:pPr>
            <w:r/>
            <w:r>
              <w:rPr>
                <w:rFonts w:ascii="Calibri" w:hAnsi="Calibri"/>
                <w:b w:val="0"/>
                <w:i w:val="0"/>
                <w:color w:val="222222"/>
                <w:sz w:val="16"/>
              </w:rPr>
              <w:t>$186</w:t>
            </w:r>
          </w:p>
        </w:tc>
        <w:tc>
          <w:tcPr>
            <w:tcW w:type="dxa" w:w="950"/>
          </w:tcPr>
          <w:p>
            <w:pPr>
              <w:spacing w:after="20" w:before="20"/>
              <w:jc w:val="center"/>
            </w:pPr>
            <w:r/>
            <w:r>
              <w:rPr>
                <w:rFonts w:ascii="Calibri" w:hAnsi="Calibri"/>
                <w:b w:val="0"/>
                <w:i w:val="0"/>
                <w:color w:val="222222"/>
                <w:sz w:val="16"/>
              </w:rPr>
              <w:t>$186</w:t>
            </w:r>
          </w:p>
        </w:tc>
        <w:tc>
          <w:tcPr>
            <w:tcW w:type="dxa" w:w="950"/>
          </w:tcPr>
          <w:p>
            <w:pPr>
              <w:spacing w:after="20" w:before="20"/>
              <w:jc w:val="center"/>
            </w:pPr>
            <w:r/>
            <w:r>
              <w:rPr>
                <w:rFonts w:ascii="Calibri" w:hAnsi="Calibri"/>
                <w:b w:val="0"/>
                <w:i w:val="0"/>
                <w:color w:val="222222"/>
                <w:sz w:val="16"/>
              </w:rPr>
              <w:t>$186</w:t>
            </w:r>
          </w:p>
        </w:tc>
        <w:tc>
          <w:tcPr>
            <w:tcW w:type="dxa" w:w="950"/>
          </w:tcPr>
          <w:p>
            <w:pPr>
              <w:spacing w:after="20" w:before="20"/>
              <w:jc w:val="center"/>
            </w:pPr>
            <w:r/>
            <w:r>
              <w:rPr>
                <w:rFonts w:ascii="Calibri" w:hAnsi="Calibri"/>
                <w:b w:val="0"/>
                <w:i w:val="0"/>
                <w:color w:val="222222"/>
                <w:sz w:val="16"/>
              </w:rPr>
              <w:t>$186</w:t>
            </w:r>
          </w:p>
        </w:tc>
        <w:tc>
          <w:tcPr>
            <w:tcW w:type="dxa" w:w="950"/>
          </w:tcPr>
          <w:p>
            <w:pPr>
              <w:spacing w:after="20" w:before="20"/>
              <w:jc w:val="center"/>
            </w:pPr>
            <w:r/>
            <w:r>
              <w:rPr>
                <w:rFonts w:ascii="Calibri" w:hAnsi="Calibri"/>
                <w:b w:val="0"/>
                <w:i w:val="0"/>
                <w:color w:val="222222"/>
                <w:sz w:val="16"/>
              </w:rPr>
              <w:t>$186</w:t>
            </w:r>
          </w:p>
        </w:tc>
        <w:tc>
          <w:tcPr>
            <w:tcW w:type="dxa" w:w="950"/>
          </w:tcPr>
          <w:p>
            <w:pPr>
              <w:spacing w:after="20" w:before="20"/>
              <w:jc w:val="center"/>
            </w:pPr>
            <w:r/>
            <w:r>
              <w:rPr>
                <w:rFonts w:ascii="Calibri" w:hAnsi="Calibri"/>
                <w:b w:val="0"/>
                <w:i w:val="0"/>
                <w:color w:val="222222"/>
                <w:sz w:val="16"/>
              </w:rPr>
              <w:t>$186</w:t>
            </w:r>
          </w:p>
        </w:tc>
      </w:tr>
      <w:tr>
        <w:tc>
          <w:tcPr>
            <w:tcW w:type="dxa" w:w="2448"/>
            <w:shd w:val="clear" w:fill="F2F7F7"/>
          </w:tcPr>
          <w:p>
            <w:pPr>
              <w:spacing w:after="20" w:before="20"/>
              <w:jc w:val="left"/>
            </w:pPr>
            <w:r/>
            <w:r>
              <w:rPr>
                <w:rFonts w:ascii="Calibri" w:hAnsi="Calibri"/>
                <w:b w:val="0"/>
                <w:i w:val="0"/>
                <w:color w:val="222222"/>
                <w:sz w:val="16"/>
              </w:rPr>
              <w:t>Shareholders' equity</w:t>
            </w:r>
          </w:p>
        </w:tc>
        <w:tc>
          <w:tcPr>
            <w:tcW w:type="dxa" w:w="950"/>
            <w:shd w:val="clear" w:fill="F2F7F7"/>
          </w:tcPr>
          <w:p>
            <w:pPr>
              <w:spacing w:after="20" w:before="20"/>
              <w:jc w:val="center"/>
            </w:pPr>
            <w:r/>
            <w:r>
              <w:rPr>
                <w:rFonts w:ascii="Calibri" w:hAnsi="Calibri"/>
                <w:b w:val="0"/>
                <w:i w:val="0"/>
                <w:color w:val="222222"/>
                <w:sz w:val="16"/>
              </w:rPr>
              <w:t>$62</w:t>
            </w:r>
          </w:p>
        </w:tc>
        <w:tc>
          <w:tcPr>
            <w:tcW w:type="dxa" w:w="950"/>
            <w:shd w:val="clear" w:fill="F2F7F7"/>
          </w:tcPr>
          <w:p>
            <w:pPr>
              <w:spacing w:after="20" w:before="20"/>
              <w:jc w:val="center"/>
            </w:pPr>
            <w:r/>
            <w:r>
              <w:rPr>
                <w:rFonts w:ascii="Calibri" w:hAnsi="Calibri"/>
                <w:b w:val="0"/>
                <w:i w:val="0"/>
                <w:color w:val="222222"/>
                <w:sz w:val="16"/>
              </w:rPr>
              <w:t>$57</w:t>
            </w:r>
          </w:p>
        </w:tc>
        <w:tc>
          <w:tcPr>
            <w:tcW w:type="dxa" w:w="950"/>
            <w:shd w:val="clear" w:fill="F2F7F7"/>
          </w:tcPr>
          <w:p>
            <w:pPr>
              <w:spacing w:after="20" w:before="20"/>
              <w:jc w:val="center"/>
            </w:pPr>
            <w:r/>
            <w:r>
              <w:rPr>
                <w:rFonts w:ascii="Calibri" w:hAnsi="Calibri"/>
                <w:b w:val="0"/>
                <w:i w:val="0"/>
                <w:color w:val="222222"/>
                <w:sz w:val="16"/>
              </w:rPr>
              <w:t>$61</w:t>
            </w:r>
          </w:p>
        </w:tc>
        <w:tc>
          <w:tcPr>
            <w:tcW w:type="dxa" w:w="950"/>
            <w:shd w:val="clear" w:fill="F2F7F7"/>
          </w:tcPr>
          <w:p>
            <w:pPr>
              <w:spacing w:after="20" w:before="20"/>
              <w:jc w:val="center"/>
            </w:pPr>
            <w:r/>
            <w:r>
              <w:rPr>
                <w:rFonts w:ascii="Calibri" w:hAnsi="Calibri"/>
                <w:b w:val="0"/>
                <w:i w:val="0"/>
                <w:color w:val="222222"/>
                <w:sz w:val="16"/>
              </w:rPr>
              <w:t>$67</w:t>
            </w:r>
          </w:p>
        </w:tc>
        <w:tc>
          <w:tcPr>
            <w:tcW w:type="dxa" w:w="950"/>
            <w:shd w:val="clear" w:fill="F2F7F7"/>
          </w:tcPr>
          <w:p>
            <w:pPr>
              <w:spacing w:after="20" w:before="20"/>
              <w:jc w:val="center"/>
            </w:pPr>
            <w:r/>
            <w:r>
              <w:rPr>
                <w:rFonts w:ascii="Calibri" w:hAnsi="Calibri"/>
                <w:b w:val="0"/>
                <w:i w:val="0"/>
                <w:color w:val="222222"/>
                <w:sz w:val="16"/>
              </w:rPr>
              <w:t>$73</w:t>
            </w:r>
          </w:p>
        </w:tc>
        <w:tc>
          <w:tcPr>
            <w:tcW w:type="dxa" w:w="950"/>
            <w:shd w:val="clear" w:fill="F2F7F7"/>
          </w:tcPr>
          <w:p>
            <w:pPr>
              <w:spacing w:after="20" w:before="20"/>
              <w:jc w:val="center"/>
            </w:pPr>
            <w:r/>
            <w:r>
              <w:rPr>
                <w:rFonts w:ascii="Calibri" w:hAnsi="Calibri"/>
                <w:b w:val="0"/>
                <w:i w:val="0"/>
                <w:color w:val="222222"/>
                <w:sz w:val="16"/>
              </w:rPr>
              <w:t>$80</w:t>
            </w:r>
          </w:p>
        </w:tc>
        <w:tc>
          <w:tcPr>
            <w:tcW w:type="dxa" w:w="950"/>
            <w:shd w:val="clear" w:fill="F2F7F7"/>
          </w:tcPr>
          <w:p>
            <w:pPr>
              <w:spacing w:after="20" w:before="20"/>
              <w:jc w:val="center"/>
            </w:pPr>
            <w:r/>
            <w:r>
              <w:rPr>
                <w:rFonts w:ascii="Calibri" w:hAnsi="Calibri"/>
                <w:b w:val="0"/>
                <w:i w:val="0"/>
                <w:color w:val="222222"/>
                <w:sz w:val="16"/>
              </w:rPr>
              <w:t>$88</w:t>
            </w:r>
          </w:p>
        </w:tc>
        <w:tc>
          <w:tcPr>
            <w:tcW w:type="dxa" w:w="950"/>
            <w:shd w:val="clear" w:fill="F2F7F7"/>
          </w:tcPr>
          <w:p>
            <w:pPr>
              <w:spacing w:after="20" w:before="20"/>
              <w:jc w:val="center"/>
            </w:pPr>
            <w:r/>
            <w:r>
              <w:rPr>
                <w:rFonts w:ascii="Calibri" w:hAnsi="Calibri"/>
                <w:b w:val="0"/>
                <w:i w:val="0"/>
                <w:color w:val="222222"/>
                <w:sz w:val="16"/>
              </w:rPr>
              <w:t>$96</w:t>
            </w:r>
          </w:p>
        </w:tc>
      </w:tr>
    </w:tbl>
    <w:p>
      <w:pPr>
        <w:spacing w:after="40"/>
      </w:pPr>
    </w:p>
    <w:p>
      <w:pPr>
        <w:spacing w:after="80" w:line="254" w:lineRule="auto"/>
      </w:pPr>
      <w:r>
        <w:rPr>
          <w:color w:val="222222"/>
          <w:sz w:val="17"/>
        </w:rPr>
        <w:t>Apple returns close to all of its free cash flow to shareholders, so book equity stays roughly flat as buybacks offset retained earnings; the forecast retains a nominal 5% of net income and holds cash and debt near FY2025 levels, consistent with the company's stated capital-return posture. Balance-sheet detail is illustrative and secondary to the cash-flow and valuation build.</w:t>
      </w:r>
    </w:p>
    <w:p>
      <w:pPr>
        <w:spacing w:before="160" w:after="40"/>
      </w:pPr>
      <w:r>
        <w:rPr>
          <w:b/>
          <w:color w:val="2A8F8F"/>
          <w:sz w:val="23"/>
        </w:rPr>
        <w:t>A.3  Cash flow (consolidated, USD bn) — 5-year forecast</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3600"/>
            <w:shd w:val="clear" w:fill="2A8F8F"/>
          </w:tcPr>
          <w:p>
            <w:pPr>
              <w:spacing w:after="20" w:before="20"/>
              <w:jc w:val="left"/>
            </w:pPr>
            <w:r/>
            <w:r>
              <w:rPr>
                <w:rFonts w:ascii="Calibri" w:hAnsi="Calibri"/>
                <w:b/>
                <w:i w:val="0"/>
                <w:color w:val="FFFFFF"/>
                <w:sz w:val="18"/>
              </w:rPr>
              <w:t>USD bn</w:t>
            </w:r>
          </w:p>
        </w:tc>
        <w:tc>
          <w:tcPr>
            <w:tcW w:type="dxa" w:w="1267"/>
            <w:shd w:val="clear" w:fill="2A8F8F"/>
          </w:tcPr>
          <w:p>
            <w:pPr>
              <w:spacing w:after="20" w:before="20"/>
              <w:jc w:val="center"/>
            </w:pPr>
            <w:r/>
            <w:r>
              <w:rPr>
                <w:rFonts w:ascii="Calibri" w:hAnsi="Calibri"/>
                <w:b/>
                <w:i w:val="0"/>
                <w:color w:val="FFFFFF"/>
                <w:sz w:val="18"/>
              </w:rPr>
              <w:t>FY26E</w:t>
            </w:r>
          </w:p>
        </w:tc>
        <w:tc>
          <w:tcPr>
            <w:tcW w:type="dxa" w:w="1267"/>
            <w:shd w:val="clear" w:fill="2A8F8F"/>
          </w:tcPr>
          <w:p>
            <w:pPr>
              <w:spacing w:after="20" w:before="20"/>
              <w:jc w:val="center"/>
            </w:pPr>
            <w:r/>
            <w:r>
              <w:rPr>
                <w:rFonts w:ascii="Calibri" w:hAnsi="Calibri"/>
                <w:b/>
                <w:i w:val="0"/>
                <w:color w:val="FFFFFF"/>
                <w:sz w:val="18"/>
              </w:rPr>
              <w:t>FY27E</w:t>
            </w:r>
          </w:p>
        </w:tc>
        <w:tc>
          <w:tcPr>
            <w:tcW w:type="dxa" w:w="1267"/>
            <w:shd w:val="clear" w:fill="2A8F8F"/>
          </w:tcPr>
          <w:p>
            <w:pPr>
              <w:spacing w:after="20" w:before="20"/>
              <w:jc w:val="center"/>
            </w:pPr>
            <w:r/>
            <w:r>
              <w:rPr>
                <w:rFonts w:ascii="Calibri" w:hAnsi="Calibri"/>
                <w:b/>
                <w:i w:val="0"/>
                <w:color w:val="FFFFFF"/>
                <w:sz w:val="18"/>
              </w:rPr>
              <w:t>FY28E</w:t>
            </w:r>
          </w:p>
        </w:tc>
        <w:tc>
          <w:tcPr>
            <w:tcW w:type="dxa" w:w="1267"/>
            <w:shd w:val="clear" w:fill="2A8F8F"/>
          </w:tcPr>
          <w:p>
            <w:pPr>
              <w:spacing w:after="20" w:before="20"/>
              <w:jc w:val="center"/>
            </w:pPr>
            <w:r/>
            <w:r>
              <w:rPr>
                <w:rFonts w:ascii="Calibri" w:hAnsi="Calibri"/>
                <w:b/>
                <w:i w:val="0"/>
                <w:color w:val="FFFFFF"/>
                <w:sz w:val="18"/>
              </w:rPr>
              <w:t>FY29E</w:t>
            </w:r>
          </w:p>
        </w:tc>
        <w:tc>
          <w:tcPr>
            <w:tcW w:type="dxa" w:w="1267"/>
            <w:shd w:val="clear" w:fill="2A8F8F"/>
          </w:tcPr>
          <w:p>
            <w:pPr>
              <w:spacing w:after="20" w:before="20"/>
              <w:jc w:val="center"/>
            </w:pPr>
            <w:r/>
            <w:r>
              <w:rPr>
                <w:rFonts w:ascii="Calibri" w:hAnsi="Calibri"/>
                <w:b/>
                <w:i w:val="0"/>
                <w:color w:val="FFFFFF"/>
                <w:sz w:val="18"/>
              </w:rPr>
              <w:t>FY30E</w:t>
            </w:r>
          </w:p>
        </w:tc>
      </w:tr>
      <w:tr>
        <w:tc>
          <w:tcPr>
            <w:tcW w:type="dxa" w:w="3600"/>
          </w:tcPr>
          <w:p>
            <w:pPr>
              <w:spacing w:after="20" w:before="20"/>
              <w:jc w:val="left"/>
            </w:pPr>
            <w:r/>
            <w:r>
              <w:rPr>
                <w:rFonts w:ascii="Calibri" w:hAnsi="Calibri"/>
                <w:b w:val="0"/>
                <w:i w:val="0"/>
                <w:color w:val="222222"/>
                <w:sz w:val="17"/>
              </w:rPr>
              <w:t>Net income</w:t>
            </w:r>
          </w:p>
        </w:tc>
        <w:tc>
          <w:tcPr>
            <w:tcW w:type="dxa" w:w="1267"/>
          </w:tcPr>
          <w:p>
            <w:pPr>
              <w:spacing w:after="20" w:before="20"/>
              <w:jc w:val="center"/>
            </w:pPr>
            <w:r/>
            <w:r>
              <w:rPr>
                <w:rFonts w:ascii="Calibri" w:hAnsi="Calibri"/>
                <w:b w:val="0"/>
                <w:i w:val="0"/>
                <w:color w:val="222222"/>
                <w:sz w:val="17"/>
              </w:rPr>
              <w:t>$121</w:t>
            </w:r>
          </w:p>
        </w:tc>
        <w:tc>
          <w:tcPr>
            <w:tcW w:type="dxa" w:w="1267"/>
          </w:tcPr>
          <w:p>
            <w:pPr>
              <w:spacing w:after="20" w:before="20"/>
              <w:jc w:val="center"/>
            </w:pPr>
            <w:r/>
            <w:r>
              <w:rPr>
                <w:rFonts w:ascii="Calibri" w:hAnsi="Calibri"/>
                <w:b w:val="0"/>
                <w:i w:val="0"/>
                <w:color w:val="222222"/>
                <w:sz w:val="17"/>
              </w:rPr>
              <w:t>$129</w:t>
            </w:r>
          </w:p>
        </w:tc>
        <w:tc>
          <w:tcPr>
            <w:tcW w:type="dxa" w:w="1267"/>
          </w:tcPr>
          <w:p>
            <w:pPr>
              <w:spacing w:after="20" w:before="20"/>
              <w:jc w:val="center"/>
            </w:pPr>
            <w:r/>
            <w:r>
              <w:rPr>
                <w:rFonts w:ascii="Calibri" w:hAnsi="Calibri"/>
                <w:b w:val="0"/>
                <w:i w:val="0"/>
                <w:color w:val="222222"/>
                <w:sz w:val="17"/>
              </w:rPr>
              <w:t>$138</w:t>
            </w:r>
          </w:p>
        </w:tc>
        <w:tc>
          <w:tcPr>
            <w:tcW w:type="dxa" w:w="1267"/>
          </w:tcPr>
          <w:p>
            <w:pPr>
              <w:spacing w:after="20" w:before="20"/>
              <w:jc w:val="center"/>
            </w:pPr>
            <w:r/>
            <w:r>
              <w:rPr>
                <w:rFonts w:ascii="Calibri" w:hAnsi="Calibri"/>
                <w:b w:val="0"/>
                <w:i w:val="0"/>
                <w:color w:val="222222"/>
                <w:sz w:val="17"/>
              </w:rPr>
              <w:t>$147</w:t>
            </w:r>
          </w:p>
        </w:tc>
        <w:tc>
          <w:tcPr>
            <w:tcW w:type="dxa" w:w="1267"/>
          </w:tcPr>
          <w:p>
            <w:pPr>
              <w:spacing w:after="20" w:before="20"/>
              <w:jc w:val="center"/>
            </w:pPr>
            <w:r/>
            <w:r>
              <w:rPr>
                <w:rFonts w:ascii="Calibri" w:hAnsi="Calibri"/>
                <w:b w:val="0"/>
                <w:i w:val="0"/>
                <w:color w:val="222222"/>
                <w:sz w:val="17"/>
              </w:rPr>
              <w:t>$156</w:t>
            </w:r>
          </w:p>
        </w:tc>
      </w:tr>
      <w:tr>
        <w:tc>
          <w:tcPr>
            <w:tcW w:type="dxa" w:w="3600"/>
            <w:shd w:val="clear" w:fill="F2F7F7"/>
          </w:tcPr>
          <w:p>
            <w:pPr>
              <w:spacing w:after="20" w:before="20"/>
              <w:jc w:val="left"/>
            </w:pPr>
            <w:r/>
            <w:r>
              <w:rPr>
                <w:rFonts w:ascii="Calibri" w:hAnsi="Calibri"/>
                <w:b w:val="0"/>
                <w:i w:val="0"/>
                <w:color w:val="222222"/>
                <w:sz w:val="17"/>
              </w:rPr>
              <w:t>+ D&amp;A</w:t>
            </w:r>
          </w:p>
        </w:tc>
        <w:tc>
          <w:tcPr>
            <w:tcW w:type="dxa" w:w="1267"/>
            <w:shd w:val="clear" w:fill="F2F7F7"/>
          </w:tcPr>
          <w:p>
            <w:pPr>
              <w:spacing w:after="20" w:before="20"/>
              <w:jc w:val="center"/>
            </w:pPr>
            <w:r/>
            <w:r>
              <w:rPr>
                <w:rFonts w:ascii="Calibri" w:hAnsi="Calibri"/>
                <w:b w:val="0"/>
                <w:i w:val="0"/>
                <w:color w:val="222222"/>
                <w:sz w:val="17"/>
              </w:rPr>
              <w:t>$12</w:t>
            </w:r>
          </w:p>
        </w:tc>
        <w:tc>
          <w:tcPr>
            <w:tcW w:type="dxa" w:w="1267"/>
            <w:shd w:val="clear" w:fill="F2F7F7"/>
          </w:tcPr>
          <w:p>
            <w:pPr>
              <w:spacing w:after="20" w:before="20"/>
              <w:jc w:val="center"/>
            </w:pPr>
            <w:r/>
            <w:r>
              <w:rPr>
                <w:rFonts w:ascii="Calibri" w:hAnsi="Calibri"/>
                <w:b w:val="0"/>
                <w:i w:val="0"/>
                <w:color w:val="222222"/>
                <w:sz w:val="17"/>
              </w:rPr>
              <w:t>$13</w:t>
            </w:r>
          </w:p>
        </w:tc>
        <w:tc>
          <w:tcPr>
            <w:tcW w:type="dxa" w:w="1267"/>
            <w:shd w:val="clear" w:fill="F2F7F7"/>
          </w:tcPr>
          <w:p>
            <w:pPr>
              <w:spacing w:after="20" w:before="20"/>
              <w:jc w:val="center"/>
            </w:pPr>
            <w:r/>
            <w:r>
              <w:rPr>
                <w:rFonts w:ascii="Calibri" w:hAnsi="Calibri"/>
                <w:b w:val="0"/>
                <w:i w:val="0"/>
                <w:color w:val="222222"/>
                <w:sz w:val="17"/>
              </w:rPr>
              <w:t>$14</w:t>
            </w:r>
          </w:p>
        </w:tc>
        <w:tc>
          <w:tcPr>
            <w:tcW w:type="dxa" w:w="1267"/>
            <w:shd w:val="clear" w:fill="F2F7F7"/>
          </w:tcPr>
          <w:p>
            <w:pPr>
              <w:spacing w:after="20" w:before="20"/>
              <w:jc w:val="center"/>
            </w:pPr>
            <w:r/>
            <w:r>
              <w:rPr>
                <w:rFonts w:ascii="Calibri" w:hAnsi="Calibri"/>
                <w:b w:val="0"/>
                <w:i w:val="0"/>
                <w:color w:val="222222"/>
                <w:sz w:val="17"/>
              </w:rPr>
              <w:t>$15</w:t>
            </w:r>
          </w:p>
        </w:tc>
        <w:tc>
          <w:tcPr>
            <w:tcW w:type="dxa" w:w="1267"/>
            <w:shd w:val="clear" w:fill="F2F7F7"/>
          </w:tcPr>
          <w:p>
            <w:pPr>
              <w:spacing w:after="20" w:before="20"/>
              <w:jc w:val="center"/>
            </w:pPr>
            <w:r/>
            <w:r>
              <w:rPr>
                <w:rFonts w:ascii="Calibri" w:hAnsi="Calibri"/>
                <w:b w:val="0"/>
                <w:i w:val="0"/>
                <w:color w:val="222222"/>
                <w:sz w:val="17"/>
              </w:rPr>
              <w:t>$15</w:t>
            </w:r>
          </w:p>
        </w:tc>
      </w:tr>
      <w:tr>
        <w:tc>
          <w:tcPr>
            <w:tcW w:type="dxa" w:w="3600"/>
          </w:tcPr>
          <w:p>
            <w:pPr>
              <w:spacing w:after="20" w:before="20"/>
              <w:jc w:val="left"/>
            </w:pPr>
            <w:r/>
            <w:r>
              <w:rPr>
                <w:rFonts w:ascii="Calibri" w:hAnsi="Calibri"/>
                <w:b w:val="0"/>
                <w:i w:val="0"/>
                <w:color w:val="222222"/>
                <w:sz w:val="17"/>
              </w:rPr>
              <w:t>− Δ working capital</w:t>
            </w:r>
          </w:p>
        </w:tc>
        <w:tc>
          <w:tcPr>
            <w:tcW w:type="dxa" w:w="1267"/>
          </w:tcPr>
          <w:p>
            <w:pPr>
              <w:spacing w:after="20" w:before="20"/>
              <w:jc w:val="center"/>
            </w:pPr>
            <w:r/>
            <w:r>
              <w:rPr>
                <w:rFonts w:ascii="Calibri" w:hAnsi="Calibri"/>
                <w:b w:val="0"/>
                <w:i w:val="0"/>
                <w:color w:val="222222"/>
                <w:sz w:val="17"/>
              </w:rPr>
              <w:t>($2)</w:t>
            </w:r>
          </w:p>
        </w:tc>
        <w:tc>
          <w:tcPr>
            <w:tcW w:type="dxa" w:w="1267"/>
          </w:tcPr>
          <w:p>
            <w:pPr>
              <w:spacing w:after="20" w:before="20"/>
              <w:jc w:val="center"/>
            </w:pPr>
            <w:r/>
            <w:r>
              <w:rPr>
                <w:rFonts w:ascii="Calibri" w:hAnsi="Calibri"/>
                <w:b w:val="0"/>
                <w:i w:val="0"/>
                <w:color w:val="222222"/>
                <w:sz w:val="17"/>
              </w:rPr>
              <w:t>($2)</w:t>
            </w:r>
          </w:p>
        </w:tc>
        <w:tc>
          <w:tcPr>
            <w:tcW w:type="dxa" w:w="1267"/>
          </w:tcPr>
          <w:p>
            <w:pPr>
              <w:spacing w:after="20" w:before="20"/>
              <w:jc w:val="center"/>
            </w:pPr>
            <w:r/>
            <w:r>
              <w:rPr>
                <w:rFonts w:ascii="Calibri" w:hAnsi="Calibri"/>
                <w:b w:val="0"/>
                <w:i w:val="0"/>
                <w:color w:val="222222"/>
                <w:sz w:val="17"/>
              </w:rPr>
              <w:t>($2)</w:t>
            </w:r>
          </w:p>
        </w:tc>
        <w:tc>
          <w:tcPr>
            <w:tcW w:type="dxa" w:w="1267"/>
          </w:tcPr>
          <w:p>
            <w:pPr>
              <w:spacing w:after="20" w:before="20"/>
              <w:jc w:val="center"/>
            </w:pPr>
            <w:r/>
            <w:r>
              <w:rPr>
                <w:rFonts w:ascii="Calibri" w:hAnsi="Calibri"/>
                <w:b w:val="0"/>
                <w:i w:val="0"/>
                <w:color w:val="222222"/>
                <w:sz w:val="17"/>
              </w:rPr>
              <w:t>($2)</w:t>
            </w:r>
          </w:p>
        </w:tc>
        <w:tc>
          <w:tcPr>
            <w:tcW w:type="dxa" w:w="1267"/>
          </w:tcPr>
          <w:p>
            <w:pPr>
              <w:spacing w:after="20" w:before="20"/>
              <w:jc w:val="center"/>
            </w:pPr>
            <w:r/>
            <w:r>
              <w:rPr>
                <w:rFonts w:ascii="Calibri" w:hAnsi="Calibri"/>
                <w:b w:val="0"/>
                <w:i w:val="0"/>
                <w:color w:val="222222"/>
                <w:sz w:val="17"/>
              </w:rPr>
              <w:t>($2)</w:t>
            </w:r>
          </w:p>
        </w:tc>
      </w:tr>
      <w:tr>
        <w:tc>
          <w:tcPr>
            <w:tcW w:type="dxa" w:w="3600"/>
            <w:shd w:val="clear" w:fill="F2F7F7"/>
          </w:tcPr>
          <w:p>
            <w:pPr>
              <w:spacing w:after="20" w:before="20"/>
              <w:jc w:val="left"/>
            </w:pPr>
            <w:r/>
            <w:r>
              <w:rPr>
                <w:rFonts w:ascii="Calibri" w:hAnsi="Calibri"/>
                <w:b w:val="0"/>
                <w:i w:val="0"/>
                <w:color w:val="222222"/>
                <w:sz w:val="17"/>
              </w:rPr>
              <w:t>Operating cash flow</w:t>
            </w:r>
          </w:p>
        </w:tc>
        <w:tc>
          <w:tcPr>
            <w:tcW w:type="dxa" w:w="1267"/>
            <w:shd w:val="clear" w:fill="F2F7F7"/>
          </w:tcPr>
          <w:p>
            <w:pPr>
              <w:spacing w:after="20" w:before="20"/>
              <w:jc w:val="center"/>
            </w:pPr>
            <w:r/>
            <w:r>
              <w:rPr>
                <w:rFonts w:ascii="Calibri" w:hAnsi="Calibri"/>
                <w:b w:val="0"/>
                <w:i w:val="0"/>
                <w:color w:val="222222"/>
                <w:sz w:val="17"/>
              </w:rPr>
              <w:t>$131</w:t>
            </w:r>
          </w:p>
        </w:tc>
        <w:tc>
          <w:tcPr>
            <w:tcW w:type="dxa" w:w="1267"/>
            <w:shd w:val="clear" w:fill="F2F7F7"/>
          </w:tcPr>
          <w:p>
            <w:pPr>
              <w:spacing w:after="20" w:before="20"/>
              <w:jc w:val="center"/>
            </w:pPr>
            <w:r/>
            <w:r>
              <w:rPr>
                <w:rFonts w:ascii="Calibri" w:hAnsi="Calibri"/>
                <w:b w:val="0"/>
                <w:i w:val="0"/>
                <w:color w:val="222222"/>
                <w:sz w:val="17"/>
              </w:rPr>
              <w:t>$140</w:t>
            </w:r>
          </w:p>
        </w:tc>
        <w:tc>
          <w:tcPr>
            <w:tcW w:type="dxa" w:w="1267"/>
            <w:shd w:val="clear" w:fill="F2F7F7"/>
          </w:tcPr>
          <w:p>
            <w:pPr>
              <w:spacing w:after="20" w:before="20"/>
              <w:jc w:val="center"/>
            </w:pPr>
            <w:r/>
            <w:r>
              <w:rPr>
                <w:rFonts w:ascii="Calibri" w:hAnsi="Calibri"/>
                <w:b w:val="0"/>
                <w:i w:val="0"/>
                <w:color w:val="222222"/>
                <w:sz w:val="17"/>
              </w:rPr>
              <w:t>$150</w:t>
            </w:r>
          </w:p>
        </w:tc>
        <w:tc>
          <w:tcPr>
            <w:tcW w:type="dxa" w:w="1267"/>
            <w:shd w:val="clear" w:fill="F2F7F7"/>
          </w:tcPr>
          <w:p>
            <w:pPr>
              <w:spacing w:after="20" w:before="20"/>
              <w:jc w:val="center"/>
            </w:pPr>
            <w:r/>
            <w:r>
              <w:rPr>
                <w:rFonts w:ascii="Calibri" w:hAnsi="Calibri"/>
                <w:b w:val="0"/>
                <w:i w:val="0"/>
                <w:color w:val="222222"/>
                <w:sz w:val="17"/>
              </w:rPr>
              <w:t>$160</w:t>
            </w:r>
          </w:p>
        </w:tc>
        <w:tc>
          <w:tcPr>
            <w:tcW w:type="dxa" w:w="1267"/>
            <w:shd w:val="clear" w:fill="F2F7F7"/>
          </w:tcPr>
          <w:p>
            <w:pPr>
              <w:spacing w:after="20" w:before="20"/>
              <w:jc w:val="center"/>
            </w:pPr>
            <w:r/>
            <w:r>
              <w:rPr>
                <w:rFonts w:ascii="Calibri" w:hAnsi="Calibri"/>
                <w:b w:val="0"/>
                <w:i w:val="0"/>
                <w:color w:val="222222"/>
                <w:sz w:val="17"/>
              </w:rPr>
              <w:t>$170</w:t>
            </w:r>
          </w:p>
        </w:tc>
      </w:tr>
      <w:tr>
        <w:tc>
          <w:tcPr>
            <w:tcW w:type="dxa" w:w="3600"/>
          </w:tcPr>
          <w:p>
            <w:pPr>
              <w:spacing w:after="20" w:before="20"/>
              <w:jc w:val="left"/>
            </w:pPr>
            <w:r/>
            <w:r>
              <w:rPr>
                <w:rFonts w:ascii="Calibri" w:hAnsi="Calibri"/>
                <w:b w:val="0"/>
                <w:i w:val="0"/>
                <w:color w:val="222222"/>
                <w:sz w:val="17"/>
              </w:rPr>
              <w:t>− Capex</w:t>
            </w:r>
          </w:p>
        </w:tc>
        <w:tc>
          <w:tcPr>
            <w:tcW w:type="dxa" w:w="1267"/>
          </w:tcPr>
          <w:p>
            <w:pPr>
              <w:spacing w:after="20" w:before="20"/>
              <w:jc w:val="center"/>
            </w:pPr>
            <w:r/>
            <w:r>
              <w:rPr>
                <w:rFonts w:ascii="Calibri" w:hAnsi="Calibri"/>
                <w:b w:val="0"/>
                <w:i w:val="0"/>
                <w:color w:val="222222"/>
                <w:sz w:val="17"/>
              </w:rPr>
              <w:t>($12)</w:t>
            </w:r>
          </w:p>
        </w:tc>
        <w:tc>
          <w:tcPr>
            <w:tcW w:type="dxa" w:w="1267"/>
          </w:tcPr>
          <w:p>
            <w:pPr>
              <w:spacing w:after="20" w:before="20"/>
              <w:jc w:val="center"/>
            </w:pPr>
            <w:r/>
            <w:r>
              <w:rPr>
                <w:rFonts w:ascii="Calibri" w:hAnsi="Calibri"/>
                <w:b w:val="0"/>
                <w:i w:val="0"/>
                <w:color w:val="222222"/>
                <w:sz w:val="17"/>
              </w:rPr>
              <w:t>($13)</w:t>
            </w:r>
          </w:p>
        </w:tc>
        <w:tc>
          <w:tcPr>
            <w:tcW w:type="dxa" w:w="1267"/>
          </w:tcPr>
          <w:p>
            <w:pPr>
              <w:spacing w:after="20" w:before="20"/>
              <w:jc w:val="center"/>
            </w:pPr>
            <w:r/>
            <w:r>
              <w:rPr>
                <w:rFonts w:ascii="Calibri" w:hAnsi="Calibri"/>
                <w:b w:val="0"/>
                <w:i w:val="0"/>
                <w:color w:val="222222"/>
                <w:sz w:val="17"/>
              </w:rPr>
              <w:t>($14)</w:t>
            </w:r>
          </w:p>
        </w:tc>
        <w:tc>
          <w:tcPr>
            <w:tcW w:type="dxa" w:w="1267"/>
          </w:tcPr>
          <w:p>
            <w:pPr>
              <w:spacing w:after="20" w:before="20"/>
              <w:jc w:val="center"/>
            </w:pPr>
            <w:r/>
            <w:r>
              <w:rPr>
                <w:rFonts w:ascii="Calibri" w:hAnsi="Calibri"/>
                <w:b w:val="0"/>
                <w:i w:val="0"/>
                <w:color w:val="222222"/>
                <w:sz w:val="17"/>
              </w:rPr>
              <w:t>($14)</w:t>
            </w:r>
          </w:p>
        </w:tc>
        <w:tc>
          <w:tcPr>
            <w:tcW w:type="dxa" w:w="1267"/>
          </w:tcPr>
          <w:p>
            <w:pPr>
              <w:spacing w:after="20" w:before="20"/>
              <w:jc w:val="center"/>
            </w:pPr>
            <w:r/>
            <w:r>
              <w:rPr>
                <w:rFonts w:ascii="Calibri" w:hAnsi="Calibri"/>
                <w:b w:val="0"/>
                <w:i w:val="0"/>
                <w:color w:val="222222"/>
                <w:sz w:val="17"/>
              </w:rPr>
              <w:t>($14)</w:t>
            </w:r>
          </w:p>
        </w:tc>
      </w:tr>
      <w:tr>
        <w:tc>
          <w:tcPr>
            <w:tcW w:type="dxa" w:w="3600"/>
            <w:shd w:val="clear" w:fill="F2F7F7"/>
          </w:tcPr>
          <w:p>
            <w:pPr>
              <w:spacing w:after="20" w:before="20"/>
              <w:jc w:val="left"/>
            </w:pPr>
            <w:r/>
            <w:r>
              <w:rPr>
                <w:rFonts w:ascii="Calibri" w:hAnsi="Calibri"/>
                <w:b w:val="0"/>
                <w:i w:val="0"/>
                <w:color w:val="222222"/>
                <w:sz w:val="17"/>
              </w:rPr>
              <w:t>Free cash flow</w:t>
            </w:r>
          </w:p>
        </w:tc>
        <w:tc>
          <w:tcPr>
            <w:tcW w:type="dxa" w:w="1267"/>
            <w:shd w:val="clear" w:fill="F2F7F7"/>
          </w:tcPr>
          <w:p>
            <w:pPr>
              <w:spacing w:after="20" w:before="20"/>
              <w:jc w:val="center"/>
            </w:pPr>
            <w:r/>
            <w:r>
              <w:rPr>
                <w:rFonts w:ascii="Calibri" w:hAnsi="Calibri"/>
                <w:b w:val="0"/>
                <w:i w:val="0"/>
                <w:color w:val="222222"/>
                <w:sz w:val="17"/>
              </w:rPr>
              <w:t>$119</w:t>
            </w:r>
          </w:p>
        </w:tc>
        <w:tc>
          <w:tcPr>
            <w:tcW w:type="dxa" w:w="1267"/>
            <w:shd w:val="clear" w:fill="F2F7F7"/>
          </w:tcPr>
          <w:p>
            <w:pPr>
              <w:spacing w:after="20" w:before="20"/>
              <w:jc w:val="center"/>
            </w:pPr>
            <w:r/>
            <w:r>
              <w:rPr>
                <w:rFonts w:ascii="Calibri" w:hAnsi="Calibri"/>
                <w:b w:val="0"/>
                <w:i w:val="0"/>
                <w:color w:val="222222"/>
                <w:sz w:val="17"/>
              </w:rPr>
              <w:t>$127</w:t>
            </w:r>
          </w:p>
        </w:tc>
        <w:tc>
          <w:tcPr>
            <w:tcW w:type="dxa" w:w="1267"/>
            <w:shd w:val="clear" w:fill="F2F7F7"/>
          </w:tcPr>
          <w:p>
            <w:pPr>
              <w:spacing w:after="20" w:before="20"/>
              <w:jc w:val="center"/>
            </w:pPr>
            <w:r/>
            <w:r>
              <w:rPr>
                <w:rFonts w:ascii="Calibri" w:hAnsi="Calibri"/>
                <w:b w:val="0"/>
                <w:i w:val="0"/>
                <w:color w:val="222222"/>
                <w:sz w:val="17"/>
              </w:rPr>
              <w:t>$137</w:t>
            </w:r>
          </w:p>
        </w:tc>
        <w:tc>
          <w:tcPr>
            <w:tcW w:type="dxa" w:w="1267"/>
            <w:shd w:val="clear" w:fill="F2F7F7"/>
          </w:tcPr>
          <w:p>
            <w:pPr>
              <w:spacing w:after="20" w:before="20"/>
              <w:jc w:val="center"/>
            </w:pPr>
            <w:r/>
            <w:r>
              <w:rPr>
                <w:rFonts w:ascii="Calibri" w:hAnsi="Calibri"/>
                <w:b w:val="0"/>
                <w:i w:val="0"/>
                <w:color w:val="222222"/>
                <w:sz w:val="17"/>
              </w:rPr>
              <w:t>$146</w:t>
            </w:r>
          </w:p>
        </w:tc>
        <w:tc>
          <w:tcPr>
            <w:tcW w:type="dxa" w:w="1267"/>
            <w:shd w:val="clear" w:fill="F2F7F7"/>
          </w:tcPr>
          <w:p>
            <w:pPr>
              <w:spacing w:after="20" w:before="20"/>
              <w:jc w:val="center"/>
            </w:pPr>
            <w:r/>
            <w:r>
              <w:rPr>
                <w:rFonts w:ascii="Calibri" w:hAnsi="Calibri"/>
                <w:b w:val="0"/>
                <w:i w:val="0"/>
                <w:color w:val="222222"/>
                <w:sz w:val="17"/>
              </w:rPr>
              <w:t>$155</w:t>
            </w:r>
          </w:p>
        </w:tc>
      </w:tr>
      <w:tr>
        <w:tc>
          <w:tcPr>
            <w:tcW w:type="dxa" w:w="3600"/>
          </w:tcPr>
          <w:p>
            <w:pPr>
              <w:spacing w:after="20" w:before="20"/>
              <w:jc w:val="left"/>
            </w:pPr>
            <w:r/>
            <w:r>
              <w:rPr>
                <w:rFonts w:ascii="Calibri" w:hAnsi="Calibri"/>
                <w:b w:val="0"/>
                <w:i w:val="0"/>
                <w:color w:val="222222"/>
                <w:sz w:val="17"/>
              </w:rPr>
              <w:t>Capital returned</w:t>
            </w:r>
          </w:p>
        </w:tc>
        <w:tc>
          <w:tcPr>
            <w:tcW w:type="dxa" w:w="1267"/>
          </w:tcPr>
          <w:p>
            <w:pPr>
              <w:spacing w:after="20" w:before="20"/>
              <w:jc w:val="center"/>
            </w:pPr>
            <w:r/>
            <w:r>
              <w:rPr>
                <w:rFonts w:ascii="Calibri" w:hAnsi="Calibri"/>
                <w:b w:val="0"/>
                <w:i w:val="0"/>
                <w:color w:val="222222"/>
                <w:sz w:val="17"/>
              </w:rPr>
              <w:t>($113)</w:t>
            </w:r>
          </w:p>
        </w:tc>
        <w:tc>
          <w:tcPr>
            <w:tcW w:type="dxa" w:w="1267"/>
          </w:tcPr>
          <w:p>
            <w:pPr>
              <w:spacing w:after="20" w:before="20"/>
              <w:jc w:val="center"/>
            </w:pPr>
            <w:r/>
            <w:r>
              <w:rPr>
                <w:rFonts w:ascii="Calibri" w:hAnsi="Calibri"/>
                <w:b w:val="0"/>
                <w:i w:val="0"/>
                <w:color w:val="222222"/>
                <w:sz w:val="17"/>
              </w:rPr>
              <w:t>($121)</w:t>
            </w:r>
          </w:p>
        </w:tc>
        <w:tc>
          <w:tcPr>
            <w:tcW w:type="dxa" w:w="1267"/>
          </w:tcPr>
          <w:p>
            <w:pPr>
              <w:spacing w:after="20" w:before="20"/>
              <w:jc w:val="center"/>
            </w:pPr>
            <w:r/>
            <w:r>
              <w:rPr>
                <w:rFonts w:ascii="Calibri" w:hAnsi="Calibri"/>
                <w:b w:val="0"/>
                <w:i w:val="0"/>
                <w:color w:val="222222"/>
                <w:sz w:val="17"/>
              </w:rPr>
              <w:t>($130)</w:t>
            </w:r>
          </w:p>
        </w:tc>
        <w:tc>
          <w:tcPr>
            <w:tcW w:type="dxa" w:w="1267"/>
          </w:tcPr>
          <w:p>
            <w:pPr>
              <w:spacing w:after="20" w:before="20"/>
              <w:jc w:val="center"/>
            </w:pPr>
            <w:r/>
            <w:r>
              <w:rPr>
                <w:rFonts w:ascii="Calibri" w:hAnsi="Calibri"/>
                <w:b w:val="0"/>
                <w:i w:val="0"/>
                <w:color w:val="222222"/>
                <w:sz w:val="17"/>
              </w:rPr>
              <w:t>($138)</w:t>
            </w:r>
          </w:p>
        </w:tc>
        <w:tc>
          <w:tcPr>
            <w:tcW w:type="dxa" w:w="1267"/>
          </w:tcPr>
          <w:p>
            <w:pPr>
              <w:spacing w:after="20" w:before="20"/>
              <w:jc w:val="center"/>
            </w:pPr>
            <w:r/>
            <w:r>
              <w:rPr>
                <w:rFonts w:ascii="Calibri" w:hAnsi="Calibri"/>
                <w:b w:val="0"/>
                <w:i w:val="0"/>
                <w:color w:val="222222"/>
                <w:sz w:val="17"/>
              </w:rPr>
              <w:t>($147)</w:t>
            </w:r>
          </w:p>
        </w:tc>
      </w:tr>
    </w:tbl>
    <w:p>
      <w:pPr>
        <w:spacing w:after="40"/>
      </w:pPr>
    </w:p>
    <w:p>
      <w:pPr>
        <w:spacing w:before="240" w:after="60"/>
        <w:pBdr>
          <w:bottom w:val="single" w:sz="6" w:space="2" w:color="B0894B"/>
        </w:pBdr>
      </w:pPr>
      <w:r>
        <w:rPr>
          <w:b/>
          <w:color w:val="1B5E5E"/>
          <w:sz w:val="28"/>
        </w:rPr>
        <w:t>Appendix B  Peer set, sector structure, and risks</w:t>
      </w:r>
    </w:p>
    <w:p>
      <w:pPr>
        <w:spacing w:after="80" w:line="254" w:lineRule="auto"/>
      </w:pPr>
      <w:r>
        <w:rPr>
          <w:color w:val="222222"/>
          <w:sz w:val="20"/>
        </w:rPr>
        <w:t>Apple sits within the US mega-cap technology cohort, which trades at a premium to the broad market on the strength of durable franchises, high returns on capital and secular growth. Within the cohort Apple is the highest-quality cash machine but among the slower growers, which is why its forward multiple sits above the median but below the AI-capex-levered names. The peer table is context for the relative lens, not a recommendation.</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024"/>
            <w:shd w:val="clear" w:fill="2A8F8F"/>
          </w:tcPr>
          <w:p>
            <w:pPr>
              <w:spacing w:after="20" w:before="20"/>
              <w:jc w:val="left"/>
            </w:pPr>
            <w:r/>
            <w:r>
              <w:rPr>
                <w:rFonts w:ascii="Calibri" w:hAnsi="Calibri"/>
                <w:b/>
                <w:i w:val="0"/>
                <w:color w:val="FFFFFF"/>
                <w:sz w:val="18"/>
              </w:rPr>
              <w:t>Company</w:t>
            </w:r>
          </w:p>
        </w:tc>
        <w:tc>
          <w:tcPr>
            <w:tcW w:type="dxa" w:w="1728"/>
            <w:shd w:val="clear" w:fill="2A8F8F"/>
          </w:tcPr>
          <w:p>
            <w:pPr>
              <w:spacing w:after="20" w:before="20"/>
              <w:jc w:val="center"/>
            </w:pPr>
            <w:r/>
            <w:r>
              <w:rPr>
                <w:rFonts w:ascii="Calibri" w:hAnsi="Calibri"/>
                <w:b/>
                <w:i w:val="0"/>
                <w:color w:val="FFFFFF"/>
                <w:sz w:val="18"/>
              </w:rPr>
              <w:t>Fwd P/E (×)</w:t>
            </w:r>
          </w:p>
        </w:tc>
        <w:tc>
          <w:tcPr>
            <w:tcW w:type="dxa" w:w="1872"/>
            <w:shd w:val="clear" w:fill="2A8F8F"/>
          </w:tcPr>
          <w:p>
            <w:pPr>
              <w:spacing w:after="20" w:before="20"/>
              <w:jc w:val="center"/>
            </w:pPr>
            <w:r/>
            <w:r>
              <w:rPr>
                <w:rFonts w:ascii="Calibri" w:hAnsi="Calibri"/>
                <w:b/>
                <w:i w:val="0"/>
                <w:color w:val="FFFFFF"/>
                <w:sz w:val="18"/>
              </w:rPr>
              <w:t>EV/EBITDA (×)</w:t>
            </w:r>
          </w:p>
        </w:tc>
        <w:tc>
          <w:tcPr>
            <w:tcW w:type="dxa" w:w="1872"/>
            <w:shd w:val="clear" w:fill="2A8F8F"/>
          </w:tcPr>
          <w:p>
            <w:pPr>
              <w:spacing w:after="20" w:before="20"/>
              <w:jc w:val="center"/>
            </w:pPr>
            <w:r/>
            <w:r>
              <w:rPr>
                <w:rFonts w:ascii="Calibri" w:hAnsi="Calibri"/>
                <w:b/>
                <w:i w:val="0"/>
                <w:color w:val="FFFFFF"/>
                <w:sz w:val="18"/>
              </w:rPr>
              <w:t>Revenue growth</w:t>
            </w:r>
          </w:p>
        </w:tc>
        <w:tc>
          <w:tcPr>
            <w:tcW w:type="dxa" w:w="2160"/>
            <w:shd w:val="clear" w:fill="2A8F8F"/>
          </w:tcPr>
          <w:p>
            <w:pPr>
              <w:spacing w:after="20" w:before="20"/>
              <w:jc w:val="center"/>
            </w:pPr>
            <w:r/>
            <w:r>
              <w:rPr>
                <w:rFonts w:ascii="Calibri" w:hAnsi="Calibri"/>
                <w:b/>
                <w:i w:val="0"/>
                <w:color w:val="FFFFFF"/>
                <w:sz w:val="18"/>
              </w:rPr>
              <w:t>Note</w:t>
            </w:r>
          </w:p>
        </w:tc>
      </w:tr>
      <w:tr>
        <w:tc>
          <w:tcPr>
            <w:tcW w:type="dxa" w:w="3024"/>
          </w:tcPr>
          <w:p>
            <w:pPr>
              <w:spacing w:after="20" w:before="20"/>
              <w:jc w:val="left"/>
            </w:pPr>
            <w:r/>
            <w:r>
              <w:rPr>
                <w:rFonts w:ascii="Calibri" w:hAnsi="Calibri"/>
                <w:b w:val="0"/>
                <w:i w:val="0"/>
                <w:color w:val="222222"/>
                <w:sz w:val="17"/>
              </w:rPr>
              <w:t>Apple (AAPL)</w:t>
            </w:r>
          </w:p>
        </w:tc>
        <w:tc>
          <w:tcPr>
            <w:tcW w:type="dxa" w:w="1728"/>
          </w:tcPr>
          <w:p>
            <w:pPr>
              <w:spacing w:after="20" w:before="20"/>
              <w:jc w:val="center"/>
            </w:pPr>
            <w:r/>
            <w:r>
              <w:rPr>
                <w:rFonts w:ascii="Calibri" w:hAnsi="Calibri"/>
                <w:b w:val="0"/>
                <w:i w:val="0"/>
                <w:color w:val="222222"/>
                <w:sz w:val="17"/>
              </w:rPr>
              <w:t>38×</w:t>
            </w:r>
          </w:p>
        </w:tc>
        <w:tc>
          <w:tcPr>
            <w:tcW w:type="dxa" w:w="1872"/>
          </w:tcPr>
          <w:p>
            <w:pPr>
              <w:spacing w:after="20" w:before="20"/>
              <w:jc w:val="center"/>
            </w:pPr>
            <w:r/>
            <w:r>
              <w:rPr>
                <w:rFonts w:ascii="Calibri" w:hAnsi="Calibri"/>
                <w:b w:val="0"/>
                <w:i w:val="0"/>
                <w:color w:val="222222"/>
                <w:sz w:val="17"/>
              </w:rPr>
              <w:t>27×</w:t>
            </w:r>
          </w:p>
        </w:tc>
        <w:tc>
          <w:tcPr>
            <w:tcW w:type="dxa" w:w="1872"/>
          </w:tcPr>
          <w:p>
            <w:pPr>
              <w:spacing w:after="20" w:before="20"/>
              <w:jc w:val="center"/>
            </w:pPr>
            <w:r/>
            <w:r>
              <w:rPr>
                <w:rFonts w:ascii="Calibri" w:hAnsi="Calibri"/>
                <w:b w:val="0"/>
                <w:i w:val="0"/>
                <w:color w:val="222222"/>
                <w:sz w:val="17"/>
              </w:rPr>
              <w:t>low-single</w:t>
            </w:r>
          </w:p>
        </w:tc>
        <w:tc>
          <w:tcPr>
            <w:tcW w:type="dxa" w:w="2160"/>
          </w:tcPr>
          <w:p>
            <w:pPr>
              <w:spacing w:after="20" w:before="20"/>
              <w:jc w:val="center"/>
            </w:pPr>
            <w:r/>
            <w:r>
              <w:rPr>
                <w:rFonts w:ascii="Calibri" w:hAnsi="Calibri"/>
                <w:b w:val="0"/>
                <w:i w:val="0"/>
                <w:color w:val="222222"/>
                <w:sz w:val="17"/>
              </w:rPr>
              <w:t>Subject; quality anchor</w:t>
            </w:r>
          </w:p>
        </w:tc>
      </w:tr>
      <w:tr>
        <w:tc>
          <w:tcPr>
            <w:tcW w:type="dxa" w:w="3024"/>
            <w:shd w:val="clear" w:fill="F2F7F7"/>
          </w:tcPr>
          <w:p>
            <w:pPr>
              <w:spacing w:after="20" w:before="20"/>
              <w:jc w:val="left"/>
            </w:pPr>
            <w:r/>
            <w:r>
              <w:rPr>
                <w:rFonts w:ascii="Calibri" w:hAnsi="Calibri"/>
                <w:b w:val="0"/>
                <w:i w:val="0"/>
                <w:color w:val="222222"/>
                <w:sz w:val="17"/>
              </w:rPr>
              <w:t>Microsoft (MSFT)</w:t>
            </w:r>
          </w:p>
        </w:tc>
        <w:tc>
          <w:tcPr>
            <w:tcW w:type="dxa" w:w="1728"/>
            <w:shd w:val="clear" w:fill="F2F7F7"/>
          </w:tcPr>
          <w:p>
            <w:pPr>
              <w:spacing w:after="20" w:before="20"/>
              <w:jc w:val="center"/>
            </w:pPr>
            <w:r/>
            <w:r>
              <w:rPr>
                <w:rFonts w:ascii="Calibri" w:hAnsi="Calibri"/>
                <w:b w:val="0"/>
                <w:i w:val="0"/>
                <w:color w:val="222222"/>
                <w:sz w:val="17"/>
              </w:rPr>
              <w:t>32×</w:t>
            </w:r>
          </w:p>
        </w:tc>
        <w:tc>
          <w:tcPr>
            <w:tcW w:type="dxa" w:w="1872"/>
            <w:shd w:val="clear" w:fill="F2F7F7"/>
          </w:tcPr>
          <w:p>
            <w:pPr>
              <w:spacing w:after="20" w:before="20"/>
              <w:jc w:val="center"/>
            </w:pPr>
            <w:r/>
            <w:r>
              <w:rPr>
                <w:rFonts w:ascii="Calibri" w:hAnsi="Calibri"/>
                <w:b w:val="0"/>
                <w:i w:val="0"/>
                <w:color w:val="222222"/>
                <w:sz w:val="17"/>
              </w:rPr>
              <w:t>22×</w:t>
            </w:r>
          </w:p>
        </w:tc>
        <w:tc>
          <w:tcPr>
            <w:tcW w:type="dxa" w:w="1872"/>
            <w:shd w:val="clear" w:fill="F2F7F7"/>
          </w:tcPr>
          <w:p>
            <w:pPr>
              <w:spacing w:after="20" w:before="20"/>
              <w:jc w:val="center"/>
            </w:pPr>
            <w:r/>
            <w:r>
              <w:rPr>
                <w:rFonts w:ascii="Calibri" w:hAnsi="Calibri"/>
                <w:b w:val="0"/>
                <w:i w:val="0"/>
                <w:color w:val="222222"/>
                <w:sz w:val="17"/>
              </w:rPr>
              <w:t>low-double</w:t>
            </w:r>
          </w:p>
        </w:tc>
        <w:tc>
          <w:tcPr>
            <w:tcW w:type="dxa" w:w="2160"/>
            <w:shd w:val="clear" w:fill="F2F7F7"/>
          </w:tcPr>
          <w:p>
            <w:pPr>
              <w:spacing w:after="20" w:before="20"/>
              <w:jc w:val="center"/>
            </w:pPr>
            <w:r/>
            <w:r>
              <w:rPr>
                <w:rFonts w:ascii="Calibri" w:hAnsi="Calibri"/>
                <w:b w:val="0"/>
                <w:i w:val="0"/>
                <w:color w:val="222222"/>
                <w:sz w:val="17"/>
              </w:rPr>
              <w:t>Cloud &amp; AI</w:t>
            </w:r>
          </w:p>
        </w:tc>
      </w:tr>
      <w:tr>
        <w:tc>
          <w:tcPr>
            <w:tcW w:type="dxa" w:w="3024"/>
          </w:tcPr>
          <w:p>
            <w:pPr>
              <w:spacing w:after="20" w:before="20"/>
              <w:jc w:val="left"/>
            </w:pPr>
            <w:r/>
            <w:r>
              <w:rPr>
                <w:rFonts w:ascii="Calibri" w:hAnsi="Calibri"/>
                <w:b w:val="0"/>
                <w:i w:val="0"/>
                <w:color w:val="222222"/>
                <w:sz w:val="17"/>
              </w:rPr>
              <w:t>Alphabet (GOOGL)</w:t>
            </w:r>
          </w:p>
        </w:tc>
        <w:tc>
          <w:tcPr>
            <w:tcW w:type="dxa" w:w="1728"/>
          </w:tcPr>
          <w:p>
            <w:pPr>
              <w:spacing w:after="20" w:before="20"/>
              <w:jc w:val="center"/>
            </w:pPr>
            <w:r/>
            <w:r>
              <w:rPr>
                <w:rFonts w:ascii="Calibri" w:hAnsi="Calibri"/>
                <w:b w:val="0"/>
                <w:i w:val="0"/>
                <w:color w:val="222222"/>
                <w:sz w:val="17"/>
              </w:rPr>
              <w:t>22×</w:t>
            </w:r>
          </w:p>
        </w:tc>
        <w:tc>
          <w:tcPr>
            <w:tcW w:type="dxa" w:w="1872"/>
          </w:tcPr>
          <w:p>
            <w:pPr>
              <w:spacing w:after="20" w:before="20"/>
              <w:jc w:val="center"/>
            </w:pPr>
            <w:r/>
            <w:r>
              <w:rPr>
                <w:rFonts w:ascii="Calibri" w:hAnsi="Calibri"/>
                <w:b w:val="0"/>
                <w:i w:val="0"/>
                <w:color w:val="222222"/>
                <w:sz w:val="17"/>
              </w:rPr>
              <w:t>15×</w:t>
            </w:r>
          </w:p>
        </w:tc>
        <w:tc>
          <w:tcPr>
            <w:tcW w:type="dxa" w:w="1872"/>
          </w:tcPr>
          <w:p>
            <w:pPr>
              <w:spacing w:after="20" w:before="20"/>
              <w:jc w:val="center"/>
            </w:pPr>
            <w:r/>
            <w:r>
              <w:rPr>
                <w:rFonts w:ascii="Calibri" w:hAnsi="Calibri"/>
                <w:b w:val="0"/>
                <w:i w:val="0"/>
                <w:color w:val="222222"/>
                <w:sz w:val="17"/>
              </w:rPr>
              <w:t>low-double</w:t>
            </w:r>
          </w:p>
        </w:tc>
        <w:tc>
          <w:tcPr>
            <w:tcW w:type="dxa" w:w="2160"/>
          </w:tcPr>
          <w:p>
            <w:pPr>
              <w:spacing w:after="20" w:before="20"/>
              <w:jc w:val="center"/>
            </w:pPr>
            <w:r/>
            <w:r>
              <w:rPr>
                <w:rFonts w:ascii="Calibri" w:hAnsi="Calibri"/>
                <w:b w:val="0"/>
                <w:i w:val="0"/>
                <w:color w:val="222222"/>
                <w:sz w:val="17"/>
              </w:rPr>
              <w:t>Search &amp; cloud</w:t>
            </w:r>
          </w:p>
        </w:tc>
      </w:tr>
      <w:tr>
        <w:tc>
          <w:tcPr>
            <w:tcW w:type="dxa" w:w="3024"/>
            <w:shd w:val="clear" w:fill="F2F7F7"/>
          </w:tcPr>
          <w:p>
            <w:pPr>
              <w:spacing w:after="20" w:before="20"/>
              <w:jc w:val="left"/>
            </w:pPr>
            <w:r/>
            <w:r>
              <w:rPr>
                <w:rFonts w:ascii="Calibri" w:hAnsi="Calibri"/>
                <w:b w:val="0"/>
                <w:i w:val="0"/>
                <w:color w:val="222222"/>
                <w:sz w:val="17"/>
              </w:rPr>
              <w:t>Amazon (AMZN)</w:t>
            </w:r>
          </w:p>
        </w:tc>
        <w:tc>
          <w:tcPr>
            <w:tcW w:type="dxa" w:w="1728"/>
            <w:shd w:val="clear" w:fill="F2F7F7"/>
          </w:tcPr>
          <w:p>
            <w:pPr>
              <w:spacing w:after="20" w:before="20"/>
              <w:jc w:val="center"/>
            </w:pPr>
            <w:r/>
            <w:r>
              <w:rPr>
                <w:rFonts w:ascii="Calibri" w:hAnsi="Calibri"/>
                <w:b w:val="0"/>
                <w:i w:val="0"/>
                <w:color w:val="222222"/>
                <w:sz w:val="17"/>
              </w:rPr>
              <w:t>34×</w:t>
            </w:r>
          </w:p>
        </w:tc>
        <w:tc>
          <w:tcPr>
            <w:tcW w:type="dxa" w:w="1872"/>
            <w:shd w:val="clear" w:fill="F2F7F7"/>
          </w:tcPr>
          <w:p>
            <w:pPr>
              <w:spacing w:after="20" w:before="20"/>
              <w:jc w:val="center"/>
            </w:pPr>
            <w:r/>
            <w:r>
              <w:rPr>
                <w:rFonts w:ascii="Calibri" w:hAnsi="Calibri"/>
                <w:b w:val="0"/>
                <w:i w:val="0"/>
                <w:color w:val="222222"/>
                <w:sz w:val="17"/>
              </w:rPr>
              <w:t>16×</w:t>
            </w:r>
          </w:p>
        </w:tc>
        <w:tc>
          <w:tcPr>
            <w:tcW w:type="dxa" w:w="1872"/>
            <w:shd w:val="clear" w:fill="F2F7F7"/>
          </w:tcPr>
          <w:p>
            <w:pPr>
              <w:spacing w:after="20" w:before="20"/>
              <w:jc w:val="center"/>
            </w:pPr>
            <w:r/>
            <w:r>
              <w:rPr>
                <w:rFonts w:ascii="Calibri" w:hAnsi="Calibri"/>
                <w:b w:val="0"/>
                <w:i w:val="0"/>
                <w:color w:val="222222"/>
                <w:sz w:val="17"/>
              </w:rPr>
              <w:t>low-double</w:t>
            </w:r>
          </w:p>
        </w:tc>
        <w:tc>
          <w:tcPr>
            <w:tcW w:type="dxa" w:w="2160"/>
            <w:shd w:val="clear" w:fill="F2F7F7"/>
          </w:tcPr>
          <w:p>
            <w:pPr>
              <w:spacing w:after="20" w:before="20"/>
              <w:jc w:val="center"/>
            </w:pPr>
            <w:r/>
            <w:r>
              <w:rPr>
                <w:rFonts w:ascii="Calibri" w:hAnsi="Calibri"/>
                <w:b w:val="0"/>
                <w:i w:val="0"/>
                <w:color w:val="222222"/>
                <w:sz w:val="17"/>
              </w:rPr>
              <w:t>Retail &amp; AWS</w:t>
            </w:r>
          </w:p>
        </w:tc>
      </w:tr>
      <w:tr>
        <w:tc>
          <w:tcPr>
            <w:tcW w:type="dxa" w:w="3024"/>
          </w:tcPr>
          <w:p>
            <w:pPr>
              <w:spacing w:after="20" w:before="20"/>
              <w:jc w:val="left"/>
            </w:pPr>
            <w:r/>
            <w:r>
              <w:rPr>
                <w:rFonts w:ascii="Calibri" w:hAnsi="Calibri"/>
                <w:b w:val="0"/>
                <w:i w:val="0"/>
                <w:color w:val="222222"/>
                <w:sz w:val="17"/>
              </w:rPr>
              <w:t>Nvidia (NVDA)</w:t>
            </w:r>
          </w:p>
        </w:tc>
        <w:tc>
          <w:tcPr>
            <w:tcW w:type="dxa" w:w="1728"/>
          </w:tcPr>
          <w:p>
            <w:pPr>
              <w:spacing w:after="20" w:before="20"/>
              <w:jc w:val="center"/>
            </w:pPr>
            <w:r/>
            <w:r>
              <w:rPr>
                <w:rFonts w:ascii="Calibri" w:hAnsi="Calibri"/>
                <w:b w:val="0"/>
                <w:i w:val="0"/>
                <w:color w:val="222222"/>
                <w:sz w:val="17"/>
              </w:rPr>
              <w:t>34×</w:t>
            </w:r>
          </w:p>
        </w:tc>
        <w:tc>
          <w:tcPr>
            <w:tcW w:type="dxa" w:w="1872"/>
          </w:tcPr>
          <w:p>
            <w:pPr>
              <w:spacing w:after="20" w:before="20"/>
              <w:jc w:val="center"/>
            </w:pPr>
            <w:r/>
            <w:r>
              <w:rPr>
                <w:rFonts w:ascii="Calibri" w:hAnsi="Calibri"/>
                <w:b w:val="0"/>
                <w:i w:val="0"/>
                <w:color w:val="222222"/>
                <w:sz w:val="17"/>
              </w:rPr>
              <w:t>30×</w:t>
            </w:r>
          </w:p>
        </w:tc>
        <w:tc>
          <w:tcPr>
            <w:tcW w:type="dxa" w:w="1872"/>
          </w:tcPr>
          <w:p>
            <w:pPr>
              <w:spacing w:after="20" w:before="20"/>
              <w:jc w:val="center"/>
            </w:pPr>
            <w:r/>
            <w:r>
              <w:rPr>
                <w:rFonts w:ascii="Calibri" w:hAnsi="Calibri"/>
                <w:b w:val="0"/>
                <w:i w:val="0"/>
                <w:color w:val="222222"/>
                <w:sz w:val="17"/>
              </w:rPr>
              <w:t>high</w:t>
            </w:r>
          </w:p>
        </w:tc>
        <w:tc>
          <w:tcPr>
            <w:tcW w:type="dxa" w:w="2160"/>
          </w:tcPr>
          <w:p>
            <w:pPr>
              <w:spacing w:after="20" w:before="20"/>
              <w:jc w:val="center"/>
            </w:pPr>
            <w:r/>
            <w:r>
              <w:rPr>
                <w:rFonts w:ascii="Calibri" w:hAnsi="Calibri"/>
                <w:b w:val="0"/>
                <w:i w:val="0"/>
                <w:color w:val="222222"/>
                <w:sz w:val="17"/>
              </w:rPr>
              <w:t>AI compute</w:t>
            </w:r>
          </w:p>
        </w:tc>
      </w:tr>
      <w:tr>
        <w:tc>
          <w:tcPr>
            <w:tcW w:type="dxa" w:w="3024"/>
            <w:shd w:val="clear" w:fill="F2F7F7"/>
          </w:tcPr>
          <w:p>
            <w:pPr>
              <w:spacing w:after="20" w:before="20"/>
              <w:jc w:val="left"/>
            </w:pPr>
            <w:r/>
            <w:r>
              <w:rPr>
                <w:rFonts w:ascii="Calibri" w:hAnsi="Calibri"/>
                <w:b w:val="0"/>
                <w:i w:val="0"/>
                <w:color w:val="222222"/>
                <w:sz w:val="17"/>
              </w:rPr>
              <w:t>Meta (META)</w:t>
            </w:r>
          </w:p>
        </w:tc>
        <w:tc>
          <w:tcPr>
            <w:tcW w:type="dxa" w:w="1728"/>
            <w:shd w:val="clear" w:fill="F2F7F7"/>
          </w:tcPr>
          <w:p>
            <w:pPr>
              <w:spacing w:after="20" w:before="20"/>
              <w:jc w:val="center"/>
            </w:pPr>
            <w:r/>
            <w:r>
              <w:rPr>
                <w:rFonts w:ascii="Calibri" w:hAnsi="Calibri"/>
                <w:b w:val="0"/>
                <w:i w:val="0"/>
                <w:color w:val="222222"/>
                <w:sz w:val="17"/>
              </w:rPr>
              <w:t>24×</w:t>
            </w:r>
          </w:p>
        </w:tc>
        <w:tc>
          <w:tcPr>
            <w:tcW w:type="dxa" w:w="1872"/>
            <w:shd w:val="clear" w:fill="F2F7F7"/>
          </w:tcPr>
          <w:p>
            <w:pPr>
              <w:spacing w:after="20" w:before="20"/>
              <w:jc w:val="center"/>
            </w:pPr>
            <w:r/>
            <w:r>
              <w:rPr>
                <w:rFonts w:ascii="Calibri" w:hAnsi="Calibri"/>
                <w:b w:val="0"/>
                <w:i w:val="0"/>
                <w:color w:val="222222"/>
                <w:sz w:val="17"/>
              </w:rPr>
              <w:t>14×</w:t>
            </w:r>
          </w:p>
        </w:tc>
        <w:tc>
          <w:tcPr>
            <w:tcW w:type="dxa" w:w="1872"/>
            <w:shd w:val="clear" w:fill="F2F7F7"/>
          </w:tcPr>
          <w:p>
            <w:pPr>
              <w:spacing w:after="20" w:before="20"/>
              <w:jc w:val="center"/>
            </w:pPr>
            <w:r/>
            <w:r>
              <w:rPr>
                <w:rFonts w:ascii="Calibri" w:hAnsi="Calibri"/>
                <w:b w:val="0"/>
                <w:i w:val="0"/>
                <w:color w:val="222222"/>
                <w:sz w:val="17"/>
              </w:rPr>
              <w:t>mid-double</w:t>
            </w:r>
          </w:p>
        </w:tc>
        <w:tc>
          <w:tcPr>
            <w:tcW w:type="dxa" w:w="2160"/>
            <w:shd w:val="clear" w:fill="F2F7F7"/>
          </w:tcPr>
          <w:p>
            <w:pPr>
              <w:spacing w:after="20" w:before="20"/>
              <w:jc w:val="center"/>
            </w:pPr>
            <w:r/>
            <w:r>
              <w:rPr>
                <w:rFonts w:ascii="Calibri" w:hAnsi="Calibri"/>
                <w:b w:val="0"/>
                <w:i w:val="0"/>
                <w:color w:val="222222"/>
                <w:sz w:val="17"/>
              </w:rPr>
              <w:t>Ads &amp; AI</w:t>
            </w:r>
          </w:p>
        </w:tc>
      </w:tr>
      <w:tr>
        <w:tc>
          <w:tcPr>
            <w:tcW w:type="dxa" w:w="3024"/>
          </w:tcPr>
          <w:p>
            <w:pPr>
              <w:spacing w:after="20" w:before="20"/>
              <w:jc w:val="left"/>
            </w:pPr>
            <w:r/>
            <w:r>
              <w:rPr>
                <w:rFonts w:ascii="Calibri" w:hAnsi="Calibri"/>
                <w:b w:val="0"/>
                <w:i w:val="0"/>
                <w:color w:val="222222"/>
                <w:sz w:val="17"/>
              </w:rPr>
              <w:t>Mega-cap median (ex-AAPL)</w:t>
            </w:r>
          </w:p>
        </w:tc>
        <w:tc>
          <w:tcPr>
            <w:tcW w:type="dxa" w:w="1728"/>
          </w:tcPr>
          <w:p>
            <w:pPr>
              <w:spacing w:after="20" w:before="20"/>
              <w:jc w:val="center"/>
            </w:pPr>
            <w:r/>
            <w:r>
              <w:rPr>
                <w:rFonts w:ascii="Calibri" w:hAnsi="Calibri"/>
                <w:b w:val="0"/>
                <w:i w:val="0"/>
                <w:color w:val="222222"/>
                <w:sz w:val="17"/>
              </w:rPr>
              <w:t>31×</w:t>
            </w:r>
          </w:p>
        </w:tc>
        <w:tc>
          <w:tcPr>
            <w:tcW w:type="dxa" w:w="1872"/>
          </w:tcPr>
          <w:p>
            <w:pPr>
              <w:spacing w:after="20" w:before="20"/>
              <w:jc w:val="center"/>
            </w:pPr>
            <w:r/>
            <w:r>
              <w:rPr>
                <w:rFonts w:ascii="Calibri" w:hAnsi="Calibri"/>
                <w:b w:val="0"/>
                <w:i w:val="0"/>
                <w:color w:val="222222"/>
                <w:sz w:val="17"/>
              </w:rPr>
              <w:t>18×</w:t>
            </w:r>
          </w:p>
        </w:tc>
        <w:tc>
          <w:tcPr>
            <w:tcW w:type="dxa" w:w="1872"/>
          </w:tcPr>
          <w:p>
            <w:pPr>
              <w:spacing w:after="20" w:before="20"/>
              <w:jc w:val="center"/>
            </w:pPr>
            <w:r/>
            <w:r>
              <w:rPr>
                <w:rFonts w:ascii="Calibri" w:hAnsi="Calibri"/>
                <w:b w:val="0"/>
                <w:i w:val="0"/>
                <w:color w:val="222222"/>
                <w:sz w:val="17"/>
              </w:rPr>
              <w:t>low-double</w:t>
            </w:r>
          </w:p>
        </w:tc>
        <w:tc>
          <w:tcPr>
            <w:tcW w:type="dxa" w:w="2160"/>
          </w:tcPr>
          <w:p>
            <w:pPr>
              <w:spacing w:after="20" w:before="20"/>
              <w:jc w:val="center"/>
            </w:pPr>
            <w:r/>
            <w:r>
              <w:rPr>
                <w:rFonts w:ascii="Calibri" w:hAnsi="Calibri"/>
                <w:b w:val="0"/>
                <w:i w:val="0"/>
                <w:color w:val="222222"/>
                <w:sz w:val="17"/>
              </w:rPr>
              <w:t>Cohort context</w:t>
            </w:r>
          </w:p>
        </w:tc>
      </w:tr>
    </w:tbl>
    <w:p>
      <w:pPr>
        <w:spacing w:after="40"/>
      </w:pPr>
    </w:p>
    <w:p>
      <w:pPr>
        <w:spacing w:after="80" w:line="254" w:lineRule="auto"/>
      </w:pPr>
      <w:r>
        <w:rPr>
          <w:color w:val="222222"/>
          <w:sz w:val="18"/>
        </w:rPr>
        <w:t>Principal risks, restated: regulatory compression of the Services take-rate (App Store, Google TAC); China demand and supply-chain concentration; a failure of the AI-driven upgrade cycle to materialise; gross-margin give-back; and the discount-rate sensitivity of a terminal-value-heavy DCF. Each is reflected either in the lens spread (§1.5), the crux sensitivity (§1.7) or the Monte-Carlo event stack (§3).</w:t>
      </w:r>
    </w:p>
    <w:p>
      <w:pPr>
        <w:spacing w:before="240" w:after="60"/>
        <w:pBdr>
          <w:bottom w:val="single" w:sz="6" w:space="2" w:color="B0894B"/>
        </w:pBdr>
      </w:pPr>
      <w:r>
        <w:rPr>
          <w:b/>
          <w:color w:val="1B5E5E"/>
          <w:sz w:val="28"/>
        </w:rPr>
        <w:t>Appendix C  The expert valuation panel</w:t>
      </w:r>
    </w:p>
    <w:p>
      <w:pPr>
        <w:spacing w:after="80" w:line="254" w:lineRule="auto"/>
      </w:pPr>
      <w:r>
        <w:rPr>
          <w:color w:val="222222"/>
          <w:sz w:val="20"/>
        </w:rPr>
        <w:t>Every Testahil study closes with a panel of standing expert personas — drawn from the house Expert Persona Library, not invented for the occasion, so that each accumulates a track record across studies and a quarterly update is a re-run, not a re-training. For Apple we cast the three whose methods both fit a high-quality, capital-returning, installed-base franchise and genuinely disagree: Expert 1 (cash returns — a DCF and return-on-capital view), Expert 2 (earnings power — normalized EPS and justified multiples), and Expert 3 (demand and installed base — units, ASP and the Services attach). Each runs a different method, derives its fair value from shown workings, and states a falsification condition. The macro-policy lens — China, tariffs, regulation, FX — runs through the body (§1.8, §5) rather than as a separate persona.</w:t>
      </w:r>
    </w:p>
    <w:p>
      <w:pPr>
        <w:spacing w:before="160" w:after="40"/>
      </w:pPr>
      <w:r>
        <w:rPr>
          <w:b/>
          <w:color w:val="2A8F8F"/>
          <w:sz w:val="23"/>
        </w:rPr>
        <w:t>C.1  Expert 1 — cash returns: DCF and return on capital versus the cost of capital</w:t>
      </w:r>
    </w:p>
    <w:p>
      <w:pPr>
        <w:spacing w:after="80" w:line="254" w:lineRule="auto"/>
      </w:pPr>
      <w:r>
        <w:rPr>
          <w:color w:val="222222"/>
          <w:sz w:val="20"/>
        </w:rPr>
        <w:t>Worldview. Cash is the only thing a shareholder can ultimately spend, and a business creates value only when it earns more on the capital it employs than that capital costs. Expert 1 trusts a disciplined DCF discounted at an equity-appropriate rate and cross-checks it against economic profit (ROIC minus WACC). The method works best for mature, cash-generative franchises and fails when almost all the value sits in a terminal value that is really a growth-versus-discount-rate bet — which Expert 1 addresses by disclosing that dependency rather than hiding it.</w:t>
      </w:r>
    </w:p>
    <w:tbl>
      <w:tblPr>
        <w:tblStyle w:val="TableGrid"/>
        <w:tblW w:type="auto" w:w="0"/>
        <w:jc w:val="center"/>
        <w:tblLayout w:type="fixed"/>
        <w:tblLook w:firstColumn="1" w:firstRow="1" w:lastColumn="0" w:lastRow="0" w:noHBand="0" w:noVBand="1" w:val="04A0"/>
      </w:tblPr>
      <w:tblGrid>
        <w:gridCol w:w="4968"/>
        <w:gridCol w:w="4968"/>
      </w:tblGrid>
      <w:tr>
        <w:tc>
          <w:tcPr>
            <w:tcW w:type="dxa" w:w="5040"/>
            <w:shd w:val="clear" w:fill="2A8F8F"/>
          </w:tcPr>
          <w:p>
            <w:pPr>
              <w:spacing w:after="20" w:before="20"/>
              <w:jc w:val="left"/>
            </w:pPr>
            <w:r/>
            <w:r>
              <w:rPr>
                <w:rFonts w:ascii="Calibri" w:hAnsi="Calibri"/>
                <w:b/>
                <w:i w:val="0"/>
                <w:color w:val="FFFFFF"/>
                <w:sz w:val="18"/>
              </w:rPr>
              <w:t>Expert 1's workings</w:t>
            </w:r>
          </w:p>
        </w:tc>
        <w:tc>
          <w:tcPr>
            <w:tcW w:type="dxa" w:w="4896"/>
            <w:shd w:val="clear" w:fill="2A8F8F"/>
          </w:tcPr>
          <w:p>
            <w:pPr>
              <w:spacing w:after="20" w:before="20"/>
              <w:jc w:val="center"/>
            </w:pPr>
            <w:r/>
            <w:r>
              <w:rPr>
                <w:rFonts w:ascii="Calibri" w:hAnsi="Calibri"/>
                <w:b/>
                <w:i w:val="0"/>
                <w:color w:val="FFFFFF"/>
                <w:sz w:val="18"/>
              </w:rPr>
              <w:t>Value</w:t>
            </w:r>
          </w:p>
        </w:tc>
      </w:tr>
      <w:tr>
        <w:tc>
          <w:tcPr>
            <w:tcW w:type="dxa" w:w="5040"/>
          </w:tcPr>
          <w:p>
            <w:pPr>
              <w:spacing w:after="20" w:before="20"/>
              <w:jc w:val="left"/>
            </w:pPr>
            <w:r/>
            <w:r>
              <w:rPr>
                <w:rFonts w:ascii="Calibri" w:hAnsi="Calibri"/>
                <w:b w:val="0"/>
                <w:i w:val="0"/>
                <w:color w:val="222222"/>
                <w:sz w:val="18"/>
              </w:rPr>
              <w:t>FY26E–FY30E FCFF (USD bn)</w:t>
            </w:r>
          </w:p>
        </w:tc>
        <w:tc>
          <w:tcPr>
            <w:tcW w:type="dxa" w:w="4896"/>
          </w:tcPr>
          <w:p>
            <w:pPr>
              <w:spacing w:after="20" w:before="20"/>
              <w:jc w:val="center"/>
            </w:pPr>
            <w:r/>
            <w:r>
              <w:rPr>
                <w:rFonts w:ascii="Calibri" w:hAnsi="Calibri"/>
                <w:b w:val="0"/>
                <w:i w:val="0"/>
                <w:color w:val="222222"/>
                <w:sz w:val="18"/>
              </w:rPr>
              <w:t>$119, $127, $137, $146, $155</w:t>
            </w:r>
          </w:p>
        </w:tc>
      </w:tr>
      <w:tr>
        <w:tc>
          <w:tcPr>
            <w:tcW w:type="dxa" w:w="5040"/>
            <w:shd w:val="clear" w:fill="F2F7F7"/>
          </w:tcPr>
          <w:p>
            <w:pPr>
              <w:spacing w:after="20" w:before="20"/>
              <w:jc w:val="left"/>
            </w:pPr>
            <w:r/>
            <w:r>
              <w:rPr>
                <w:rFonts w:ascii="Calibri" w:hAnsi="Calibri"/>
                <w:b w:val="0"/>
                <w:i w:val="0"/>
                <w:color w:val="222222"/>
                <w:sz w:val="18"/>
              </w:rPr>
              <w:t>WACC (Ke = rf + β·ERP)</w:t>
            </w:r>
          </w:p>
        </w:tc>
        <w:tc>
          <w:tcPr>
            <w:tcW w:type="dxa" w:w="4896"/>
            <w:shd w:val="clear" w:fill="F2F7F7"/>
          </w:tcPr>
          <w:p>
            <w:pPr>
              <w:spacing w:after="20" w:before="20"/>
              <w:jc w:val="center"/>
            </w:pPr>
            <w:r/>
            <w:r>
              <w:rPr>
                <w:rFonts w:ascii="Calibri" w:hAnsi="Calibri"/>
                <w:b w:val="0"/>
                <w:i w:val="0"/>
                <w:color w:val="222222"/>
                <w:sz w:val="18"/>
              </w:rPr>
              <w:t>9.5%  (Ke 10.0%)</w:t>
            </w:r>
          </w:p>
        </w:tc>
      </w:tr>
      <w:tr>
        <w:tc>
          <w:tcPr>
            <w:tcW w:type="dxa" w:w="5040"/>
          </w:tcPr>
          <w:p>
            <w:pPr>
              <w:spacing w:after="20" w:before="20"/>
              <w:jc w:val="left"/>
            </w:pPr>
            <w:r/>
            <w:r>
              <w:rPr>
                <w:rFonts w:ascii="Calibri" w:hAnsi="Calibri"/>
                <w:b w:val="0"/>
                <w:i w:val="0"/>
                <w:color w:val="222222"/>
                <w:sz w:val="18"/>
              </w:rPr>
              <w:t>Terminal growth g</w:t>
            </w:r>
          </w:p>
        </w:tc>
        <w:tc>
          <w:tcPr>
            <w:tcW w:type="dxa" w:w="4896"/>
          </w:tcPr>
          <w:p>
            <w:pPr>
              <w:spacing w:after="20" w:before="20"/>
              <w:jc w:val="center"/>
            </w:pPr>
            <w:r/>
            <w:r>
              <w:rPr>
                <w:rFonts w:ascii="Calibri" w:hAnsi="Calibri"/>
                <w:b w:val="0"/>
                <w:i w:val="0"/>
                <w:color w:val="222222"/>
                <w:sz w:val="18"/>
              </w:rPr>
              <w:t>3.5%</w:t>
            </w:r>
          </w:p>
        </w:tc>
      </w:tr>
      <w:tr>
        <w:tc>
          <w:tcPr>
            <w:tcW w:type="dxa" w:w="5040"/>
            <w:shd w:val="clear" w:fill="F2F7F7"/>
          </w:tcPr>
          <w:p>
            <w:pPr>
              <w:spacing w:after="20" w:before="20"/>
              <w:jc w:val="left"/>
            </w:pPr>
            <w:r/>
            <w:r>
              <w:rPr>
                <w:rFonts w:ascii="Calibri" w:hAnsi="Calibri"/>
                <w:b w:val="0"/>
                <w:i w:val="0"/>
                <w:color w:val="222222"/>
                <w:sz w:val="18"/>
              </w:rPr>
              <w:t>Sum PV of explicit FCFF</w:t>
            </w:r>
          </w:p>
        </w:tc>
        <w:tc>
          <w:tcPr>
            <w:tcW w:type="dxa" w:w="4896"/>
            <w:shd w:val="clear" w:fill="F2F7F7"/>
          </w:tcPr>
          <w:p>
            <w:pPr>
              <w:spacing w:after="20" w:before="20"/>
              <w:jc w:val="center"/>
            </w:pPr>
            <w:r/>
            <w:r>
              <w:rPr>
                <w:rFonts w:ascii="Calibri" w:hAnsi="Calibri"/>
                <w:b w:val="0"/>
                <w:i w:val="0"/>
                <w:color w:val="222222"/>
                <w:sz w:val="18"/>
              </w:rPr>
              <w:t>$518 bn</w:t>
            </w:r>
          </w:p>
        </w:tc>
      </w:tr>
      <w:tr>
        <w:tc>
          <w:tcPr>
            <w:tcW w:type="dxa" w:w="5040"/>
          </w:tcPr>
          <w:p>
            <w:pPr>
              <w:spacing w:after="20" w:before="20"/>
              <w:jc w:val="left"/>
            </w:pPr>
            <w:r/>
            <w:r>
              <w:rPr>
                <w:rFonts w:ascii="Calibri" w:hAnsi="Calibri"/>
                <w:b w:val="0"/>
                <w:i w:val="0"/>
                <w:color w:val="222222"/>
                <w:sz w:val="18"/>
              </w:rPr>
              <w:t>PV of terminal value</w:t>
            </w:r>
          </w:p>
        </w:tc>
        <w:tc>
          <w:tcPr>
            <w:tcW w:type="dxa" w:w="4896"/>
          </w:tcPr>
          <w:p>
            <w:pPr>
              <w:spacing w:after="20" w:before="20"/>
              <w:jc w:val="center"/>
            </w:pPr>
            <w:r/>
            <w:r>
              <w:rPr>
                <w:rFonts w:ascii="Calibri" w:hAnsi="Calibri"/>
                <w:b w:val="0"/>
                <w:i w:val="0"/>
                <w:color w:val="222222"/>
                <w:sz w:val="18"/>
              </w:rPr>
              <w:t>$1,701 bn (77% of EV)</w:t>
            </w:r>
          </w:p>
        </w:tc>
      </w:tr>
      <w:tr>
        <w:tc>
          <w:tcPr>
            <w:tcW w:type="dxa" w:w="5040"/>
            <w:shd w:val="clear" w:fill="F2F7F7"/>
          </w:tcPr>
          <w:p>
            <w:pPr>
              <w:spacing w:after="20" w:before="20"/>
              <w:jc w:val="left"/>
            </w:pPr>
            <w:r/>
            <w:r>
              <w:rPr>
                <w:rFonts w:ascii="Calibri" w:hAnsi="Calibri"/>
                <w:b w:val="0"/>
                <w:i w:val="0"/>
                <w:color w:val="222222"/>
                <w:sz w:val="18"/>
              </w:rPr>
              <w:t>Enterprise value</w:t>
            </w:r>
          </w:p>
        </w:tc>
        <w:tc>
          <w:tcPr>
            <w:tcW w:type="dxa" w:w="4896"/>
            <w:shd w:val="clear" w:fill="F2F7F7"/>
          </w:tcPr>
          <w:p>
            <w:pPr>
              <w:spacing w:after="20" w:before="20"/>
              <w:jc w:val="center"/>
            </w:pPr>
            <w:r/>
            <w:r>
              <w:rPr>
                <w:rFonts w:ascii="Calibri" w:hAnsi="Calibri"/>
                <w:b w:val="0"/>
                <w:i w:val="0"/>
                <w:color w:val="222222"/>
                <w:sz w:val="18"/>
              </w:rPr>
              <w:t>$2,219 bn</w:t>
            </w:r>
          </w:p>
        </w:tc>
      </w:tr>
      <w:tr>
        <w:tc>
          <w:tcPr>
            <w:tcW w:type="dxa" w:w="5040"/>
          </w:tcPr>
          <w:p>
            <w:pPr>
              <w:spacing w:after="20" w:before="20"/>
              <w:jc w:val="left"/>
            </w:pPr>
            <w:r/>
            <w:r>
              <w:rPr>
                <w:rFonts w:ascii="Calibri" w:hAnsi="Calibri"/>
                <w:b w:val="0"/>
                <w:i w:val="0"/>
                <w:color w:val="222222"/>
                <w:sz w:val="18"/>
              </w:rPr>
              <w:t>+ Net cash</w:t>
            </w:r>
          </w:p>
        </w:tc>
        <w:tc>
          <w:tcPr>
            <w:tcW w:type="dxa" w:w="4896"/>
          </w:tcPr>
          <w:p>
            <w:pPr>
              <w:spacing w:after="20" w:before="20"/>
              <w:jc w:val="center"/>
            </w:pPr>
            <w:r/>
            <w:r>
              <w:rPr>
                <w:rFonts w:ascii="Calibri" w:hAnsi="Calibri"/>
                <w:b w:val="0"/>
                <w:i w:val="0"/>
                <w:color w:val="222222"/>
                <w:sz w:val="18"/>
              </w:rPr>
              <w:t>$34 bn</w:t>
            </w:r>
          </w:p>
        </w:tc>
      </w:tr>
      <w:tr>
        <w:tc>
          <w:tcPr>
            <w:tcW w:type="dxa" w:w="5040"/>
            <w:shd w:val="clear" w:fill="F2F7F7"/>
          </w:tcPr>
          <w:p>
            <w:pPr>
              <w:spacing w:after="20" w:before="20"/>
              <w:jc w:val="left"/>
            </w:pPr>
            <w:r/>
            <w:r>
              <w:rPr>
                <w:rFonts w:ascii="Calibri" w:hAnsi="Calibri"/>
                <w:b w:val="0"/>
                <w:i w:val="0"/>
                <w:color w:val="222222"/>
                <w:sz w:val="18"/>
              </w:rPr>
              <w:t>Equity value</w:t>
            </w:r>
          </w:p>
        </w:tc>
        <w:tc>
          <w:tcPr>
            <w:tcW w:type="dxa" w:w="4896"/>
            <w:shd w:val="clear" w:fill="F2F7F7"/>
          </w:tcPr>
          <w:p>
            <w:pPr>
              <w:spacing w:after="20" w:before="20"/>
              <w:jc w:val="center"/>
            </w:pPr>
            <w:r/>
            <w:r>
              <w:rPr>
                <w:rFonts w:ascii="Calibri" w:hAnsi="Calibri"/>
                <w:b w:val="0"/>
                <w:i w:val="0"/>
                <w:color w:val="222222"/>
                <w:sz w:val="18"/>
              </w:rPr>
              <w:t>$2,253 bn</w:t>
            </w:r>
          </w:p>
        </w:tc>
      </w:tr>
      <w:tr>
        <w:tc>
          <w:tcPr>
            <w:tcW w:type="dxa" w:w="5040"/>
            <w:shd w:val="clear" w:fill="DCE9E9"/>
          </w:tcPr>
          <w:p>
            <w:pPr>
              <w:spacing w:after="20" w:before="20"/>
              <w:jc w:val="left"/>
            </w:pPr>
            <w:r/>
            <w:r>
              <w:rPr>
                <w:rFonts w:ascii="Calibri" w:hAnsi="Calibri"/>
                <w:b/>
                <w:i w:val="0"/>
                <w:color w:val="222222"/>
                <w:sz w:val="18"/>
              </w:rPr>
              <w:t>Fair value per share</w:t>
            </w:r>
          </w:p>
        </w:tc>
        <w:tc>
          <w:tcPr>
            <w:tcW w:type="dxa" w:w="4896"/>
            <w:shd w:val="clear" w:fill="DCE9E9"/>
          </w:tcPr>
          <w:p>
            <w:pPr>
              <w:spacing w:after="20" w:before="20"/>
              <w:jc w:val="center"/>
            </w:pPr>
            <w:r/>
            <w:r>
              <w:rPr>
                <w:rFonts w:ascii="Calibri" w:hAnsi="Calibri"/>
                <w:b/>
                <w:i w:val="0"/>
                <w:color w:val="222222"/>
                <w:sz w:val="18"/>
              </w:rPr>
              <w:t>$152.50</w:t>
            </w:r>
          </w:p>
        </w:tc>
      </w:tr>
    </w:tbl>
    <w:p>
      <w:pPr>
        <w:spacing w:after="40"/>
      </w:pPr>
    </w:p>
    <w:p>
      <w:pPr>
        <w:spacing w:after="60" w:line="254" w:lineRule="auto"/>
      </w:pPr>
      <w:r>
        <w:rPr>
          <w:color w:val="222222"/>
          <w:sz w:val="18"/>
        </w:rPr>
        <w:t>Worked example &amp; sensitivity (swing = WACC and terminal g). At the base 9.5%/3.5% the model yields $152.50. Flexing the discount rate and growth: at 9.0%/4.0% fair value rises to $180; at 10.5%/2.5% it falls to $118. Even the generous corner does not reach spot.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880"/>
            <w:shd w:val="clear" w:fill="2A8F8F"/>
          </w:tcPr>
          <w:p>
            <w:pPr>
              <w:spacing w:after="20" w:before="20"/>
              <w:jc w:val="left"/>
            </w:pPr>
            <w:r/>
            <w:r>
              <w:rPr>
                <w:rFonts w:ascii="Calibri" w:hAnsi="Calibri"/>
                <w:b/>
                <w:i w:val="0"/>
                <w:color w:val="FFFFFF"/>
                <w:sz w:val="18"/>
              </w:rPr>
              <w:t>WACC / g</w:t>
            </w:r>
          </w:p>
        </w:tc>
        <w:tc>
          <w:tcPr>
            <w:tcW w:type="dxa" w:w="2304"/>
            <w:shd w:val="clear" w:fill="2A8F8F"/>
          </w:tcPr>
          <w:p>
            <w:pPr>
              <w:spacing w:after="20" w:before="20"/>
              <w:jc w:val="center"/>
            </w:pPr>
            <w:r/>
            <w:r>
              <w:rPr>
                <w:rFonts w:ascii="Calibri" w:hAnsi="Calibri"/>
                <w:b/>
                <w:i w:val="0"/>
                <w:color w:val="FFFFFF"/>
                <w:sz w:val="18"/>
              </w:rPr>
              <w:t>g = 3.0%</w:t>
            </w:r>
          </w:p>
        </w:tc>
        <w:tc>
          <w:tcPr>
            <w:tcW w:type="dxa" w:w="2304"/>
            <w:shd w:val="clear" w:fill="2A8F8F"/>
          </w:tcPr>
          <w:p>
            <w:pPr>
              <w:spacing w:after="20" w:before="20"/>
              <w:jc w:val="center"/>
            </w:pPr>
            <w:r/>
            <w:r>
              <w:rPr>
                <w:rFonts w:ascii="Calibri" w:hAnsi="Calibri"/>
                <w:b/>
                <w:i w:val="0"/>
                <w:color w:val="FFFFFF"/>
                <w:sz w:val="18"/>
              </w:rPr>
              <w:t>g = 3.5%</w:t>
            </w:r>
          </w:p>
        </w:tc>
        <w:tc>
          <w:tcPr>
            <w:tcW w:type="dxa" w:w="2304"/>
            <w:shd w:val="clear" w:fill="2A8F8F"/>
          </w:tcPr>
          <w:p>
            <w:pPr>
              <w:spacing w:after="20" w:before="20"/>
              <w:jc w:val="center"/>
            </w:pPr>
            <w:r/>
            <w:r>
              <w:rPr>
                <w:rFonts w:ascii="Calibri" w:hAnsi="Calibri"/>
                <w:b/>
                <w:i w:val="0"/>
                <w:color w:val="FFFFFF"/>
                <w:sz w:val="18"/>
              </w:rPr>
              <w:t>g = 4.0%</w:t>
            </w:r>
          </w:p>
        </w:tc>
      </w:tr>
      <w:tr>
        <w:tc>
          <w:tcPr>
            <w:tcW w:type="dxa" w:w="2880"/>
          </w:tcPr>
          <w:p>
            <w:pPr>
              <w:spacing w:after="20" w:before="20"/>
              <w:jc w:val="left"/>
            </w:pPr>
            <w:r/>
            <w:r>
              <w:rPr>
                <w:rFonts w:ascii="Calibri" w:hAnsi="Calibri"/>
                <w:b w:val="0"/>
                <w:i w:val="0"/>
                <w:color w:val="222222"/>
                <w:sz w:val="17"/>
              </w:rPr>
              <w:t>8.5%</w:t>
            </w:r>
          </w:p>
        </w:tc>
        <w:tc>
          <w:tcPr>
            <w:tcW w:type="dxa" w:w="2304"/>
          </w:tcPr>
          <w:p>
            <w:pPr>
              <w:spacing w:after="20" w:before="20"/>
              <w:jc w:val="center"/>
            </w:pPr>
            <w:r/>
            <w:r>
              <w:rPr>
                <w:rFonts w:ascii="Calibri" w:hAnsi="Calibri"/>
                <w:b w:val="0"/>
                <w:i w:val="0"/>
                <w:color w:val="222222"/>
                <w:sz w:val="17"/>
              </w:rPr>
              <w:t>$169</w:t>
            </w:r>
          </w:p>
        </w:tc>
        <w:tc>
          <w:tcPr>
            <w:tcW w:type="dxa" w:w="2304"/>
          </w:tcPr>
          <w:p>
            <w:pPr>
              <w:spacing w:after="20" w:before="20"/>
              <w:jc w:val="center"/>
            </w:pPr>
            <w:r/>
            <w:r>
              <w:rPr>
                <w:rFonts w:ascii="Calibri" w:hAnsi="Calibri"/>
                <w:b w:val="0"/>
                <w:i w:val="0"/>
                <w:color w:val="222222"/>
                <w:sz w:val="17"/>
              </w:rPr>
              <w:t>$183</w:t>
            </w:r>
          </w:p>
        </w:tc>
        <w:tc>
          <w:tcPr>
            <w:tcW w:type="dxa" w:w="2304"/>
          </w:tcPr>
          <w:p>
            <w:pPr>
              <w:spacing w:after="20" w:before="20"/>
              <w:jc w:val="center"/>
            </w:pPr>
            <w:r/>
            <w:r>
              <w:rPr>
                <w:rFonts w:ascii="Calibri" w:hAnsi="Calibri"/>
                <w:b w:val="0"/>
                <w:i w:val="0"/>
                <w:color w:val="222222"/>
                <w:sz w:val="17"/>
              </w:rPr>
              <w:t>$200</w:t>
            </w:r>
          </w:p>
        </w:tc>
      </w:tr>
      <w:tr>
        <w:tc>
          <w:tcPr>
            <w:tcW w:type="dxa" w:w="2880"/>
            <w:shd w:val="clear" w:fill="F2F7F7"/>
          </w:tcPr>
          <w:p>
            <w:pPr>
              <w:spacing w:after="20" w:before="20"/>
              <w:jc w:val="left"/>
            </w:pPr>
            <w:r/>
            <w:r>
              <w:rPr>
                <w:rFonts w:ascii="Calibri" w:hAnsi="Calibri"/>
                <w:b w:val="0"/>
                <w:i w:val="0"/>
                <w:color w:val="222222"/>
                <w:sz w:val="17"/>
              </w:rPr>
              <w:t>9.5% (base)</w:t>
            </w:r>
          </w:p>
        </w:tc>
        <w:tc>
          <w:tcPr>
            <w:tcW w:type="dxa" w:w="2304"/>
            <w:shd w:val="clear" w:fill="F2F7F7"/>
          </w:tcPr>
          <w:p>
            <w:pPr>
              <w:spacing w:after="20" w:before="20"/>
              <w:jc w:val="center"/>
            </w:pPr>
            <w:r/>
            <w:r>
              <w:rPr>
                <w:rFonts w:ascii="Calibri" w:hAnsi="Calibri"/>
                <w:b w:val="0"/>
                <w:i w:val="0"/>
                <w:color w:val="222222"/>
                <w:sz w:val="17"/>
              </w:rPr>
              <w:t>$143</w:t>
            </w:r>
          </w:p>
        </w:tc>
        <w:tc>
          <w:tcPr>
            <w:tcW w:type="dxa" w:w="2304"/>
            <w:shd w:val="clear" w:fill="F2F7F7"/>
          </w:tcPr>
          <w:p>
            <w:pPr>
              <w:spacing w:after="20" w:before="20"/>
              <w:jc w:val="center"/>
            </w:pPr>
            <w:r/>
            <w:r>
              <w:rPr>
                <w:rFonts w:ascii="Calibri" w:hAnsi="Calibri"/>
                <w:b w:val="0"/>
                <w:i w:val="0"/>
                <w:color w:val="222222"/>
                <w:sz w:val="17"/>
              </w:rPr>
              <w:t>$152</w:t>
            </w:r>
          </w:p>
        </w:tc>
        <w:tc>
          <w:tcPr>
            <w:tcW w:type="dxa" w:w="2304"/>
            <w:shd w:val="clear" w:fill="F2F7F7"/>
          </w:tcPr>
          <w:p>
            <w:pPr>
              <w:spacing w:after="20" w:before="20"/>
              <w:jc w:val="center"/>
            </w:pPr>
            <w:r/>
            <w:r>
              <w:rPr>
                <w:rFonts w:ascii="Calibri" w:hAnsi="Calibri"/>
                <w:b w:val="0"/>
                <w:i w:val="0"/>
                <w:color w:val="222222"/>
                <w:sz w:val="17"/>
              </w:rPr>
              <w:t>$164</w:t>
            </w:r>
          </w:p>
        </w:tc>
      </w:tr>
      <w:tr>
        <w:tc>
          <w:tcPr>
            <w:tcW w:type="dxa" w:w="2880"/>
          </w:tcPr>
          <w:p>
            <w:pPr>
              <w:spacing w:after="20" w:before="20"/>
              <w:jc w:val="left"/>
            </w:pPr>
            <w:r/>
            <w:r>
              <w:rPr>
                <w:rFonts w:ascii="Calibri" w:hAnsi="Calibri"/>
                <w:b w:val="0"/>
                <w:i w:val="0"/>
                <w:color w:val="222222"/>
                <w:sz w:val="17"/>
              </w:rPr>
              <w:t>10.5%</w:t>
            </w:r>
          </w:p>
        </w:tc>
        <w:tc>
          <w:tcPr>
            <w:tcW w:type="dxa" w:w="2304"/>
          </w:tcPr>
          <w:p>
            <w:pPr>
              <w:spacing w:after="20" w:before="20"/>
              <w:jc w:val="center"/>
            </w:pPr>
            <w:r/>
            <w:r>
              <w:rPr>
                <w:rFonts w:ascii="Calibri" w:hAnsi="Calibri"/>
                <w:b w:val="0"/>
                <w:i w:val="0"/>
                <w:color w:val="222222"/>
                <w:sz w:val="17"/>
              </w:rPr>
              <w:t>$124</w:t>
            </w:r>
          </w:p>
        </w:tc>
        <w:tc>
          <w:tcPr>
            <w:tcW w:type="dxa" w:w="2304"/>
          </w:tcPr>
          <w:p>
            <w:pPr>
              <w:spacing w:after="20" w:before="20"/>
              <w:jc w:val="center"/>
            </w:pPr>
            <w:r/>
            <w:r>
              <w:rPr>
                <w:rFonts w:ascii="Calibri" w:hAnsi="Calibri"/>
                <w:b w:val="0"/>
                <w:i w:val="0"/>
                <w:color w:val="222222"/>
                <w:sz w:val="17"/>
              </w:rPr>
              <w:t>$131</w:t>
            </w:r>
          </w:p>
        </w:tc>
        <w:tc>
          <w:tcPr>
            <w:tcW w:type="dxa" w:w="2304"/>
          </w:tcPr>
          <w:p>
            <w:pPr>
              <w:spacing w:after="20" w:before="20"/>
              <w:jc w:val="center"/>
            </w:pPr>
            <w:r/>
            <w:r>
              <w:rPr>
                <w:rFonts w:ascii="Calibri" w:hAnsi="Calibri"/>
                <w:b w:val="0"/>
                <w:i w:val="0"/>
                <w:color w:val="222222"/>
                <w:sz w:val="17"/>
              </w:rPr>
              <w:t>$138</w:t>
            </w:r>
          </w:p>
        </w:tc>
      </w:tr>
    </w:tbl>
    <w:p>
      <w:pPr>
        <w:spacing w:after="40"/>
      </w:pPr>
    </w:p>
    <w:p>
      <w:pPr>
        <w:spacing w:after="80" w:line="254" w:lineRule="auto"/>
      </w:pPr>
      <w:r>
        <w:rPr>
          <w:color w:val="222222"/>
          <w:sz w:val="18"/>
        </w:rPr>
        <w:t>Cross-examination. Expert 1 tells Expert 2 that a multiple silently capitalises a durability the explicit cash flows have to earn, and that peak-multiple earnings without the capital cost to sustain them is a half-truth. He tells Expert 3 that a full installed base is only worth its cash generation, discounted — a large user count that does not convert to free cash at a rate above the cost of capital is not value. Verdict &amp; falsification. Fair value near $152; at spot the market implies either a WACC well below 9% or durable growth well above 4%. Falsified if Apple sustains ROIC-minus-WACC wide enough that a higher terminal growth is defensible.</w:t>
      </w:r>
    </w:p>
    <w:p>
      <w:pPr>
        <w:spacing w:before="160" w:after="40"/>
      </w:pPr>
      <w:r>
        <w:rPr>
          <w:b/>
          <w:color w:val="2A8F8F"/>
          <w:sz w:val="23"/>
        </w:rPr>
        <w:t>C.2  Expert 2 — earnings power: normalized EPS and justified multiples</w:t>
      </w:r>
    </w:p>
    <w:p>
      <w:pPr>
        <w:spacing w:after="80" w:line="254" w:lineRule="auto"/>
      </w:pPr>
      <w:r>
        <w:rPr>
          <w:color w:val="222222"/>
          <w:sz w:val="20"/>
        </w:rPr>
        <w:t>Worldview. What does the business earn through the cycle, and what is that stream worth? Expert 2 normalizes earnings to strip cyclical flattery, then applies a multiple justified by growth, returns and durability. The method is powerful for franchises with pricing power and a widening high-margin mix, and fails when it is used to rationalise any multiple after the fact — which Expert 2 guards against by tying the multiple to the mega-cap quality cohort rather than to the stock's own recent range.</w:t>
      </w:r>
    </w:p>
    <w:tbl>
      <w:tblPr>
        <w:tblStyle w:val="TableGrid"/>
        <w:tblW w:type="auto" w:w="0"/>
        <w:jc w:val="center"/>
        <w:tblLayout w:type="fixed"/>
        <w:tblLook w:firstColumn="1" w:firstRow="1" w:lastColumn="0" w:lastRow="0" w:noHBand="0" w:noVBand="1" w:val="04A0"/>
      </w:tblPr>
      <w:tblGrid>
        <w:gridCol w:w="4968"/>
        <w:gridCol w:w="4968"/>
      </w:tblGrid>
      <w:tr>
        <w:tc>
          <w:tcPr>
            <w:tcW w:type="dxa" w:w="5040"/>
            <w:shd w:val="clear" w:fill="2A8F8F"/>
          </w:tcPr>
          <w:p>
            <w:pPr>
              <w:spacing w:after="20" w:before="20"/>
              <w:jc w:val="left"/>
            </w:pPr>
            <w:r/>
            <w:r>
              <w:rPr>
                <w:rFonts w:ascii="Calibri" w:hAnsi="Calibri"/>
                <w:b/>
                <w:i w:val="0"/>
                <w:color w:val="FFFFFF"/>
                <w:sz w:val="18"/>
              </w:rPr>
              <w:t>Expert 2's normalization</w:t>
            </w:r>
          </w:p>
        </w:tc>
        <w:tc>
          <w:tcPr>
            <w:tcW w:type="dxa" w:w="4896"/>
            <w:shd w:val="clear" w:fill="2A8F8F"/>
          </w:tcPr>
          <w:p>
            <w:pPr>
              <w:spacing w:after="20" w:before="20"/>
              <w:jc w:val="center"/>
            </w:pPr>
            <w:r/>
            <w:r>
              <w:rPr>
                <w:rFonts w:ascii="Calibri" w:hAnsi="Calibri"/>
                <w:b/>
                <w:i w:val="0"/>
                <w:color w:val="FFFFFF"/>
                <w:sz w:val="18"/>
              </w:rPr>
              <w:t>Value</w:t>
            </w:r>
          </w:p>
        </w:tc>
      </w:tr>
      <w:tr>
        <w:tc>
          <w:tcPr>
            <w:tcW w:type="dxa" w:w="5040"/>
          </w:tcPr>
          <w:p>
            <w:pPr>
              <w:spacing w:after="20" w:before="20"/>
              <w:jc w:val="left"/>
            </w:pPr>
            <w:r/>
            <w:r>
              <w:rPr>
                <w:rFonts w:ascii="Calibri" w:hAnsi="Calibri"/>
                <w:b w:val="0"/>
                <w:i w:val="0"/>
                <w:color w:val="222222"/>
                <w:sz w:val="18"/>
              </w:rPr>
              <w:t>FY26E EPS (USD)</w:t>
            </w:r>
          </w:p>
        </w:tc>
        <w:tc>
          <w:tcPr>
            <w:tcW w:type="dxa" w:w="4896"/>
          </w:tcPr>
          <w:p>
            <w:pPr>
              <w:spacing w:after="20" w:before="20"/>
              <w:jc w:val="center"/>
            </w:pPr>
            <w:r/>
            <w:r>
              <w:rPr>
                <w:rFonts w:ascii="Calibri" w:hAnsi="Calibri"/>
                <w:b w:val="0"/>
                <w:i w:val="0"/>
                <w:color w:val="222222"/>
                <w:sz w:val="18"/>
              </w:rPr>
              <w:t>$8.29</w:t>
            </w:r>
          </w:p>
        </w:tc>
      </w:tr>
      <w:tr>
        <w:tc>
          <w:tcPr>
            <w:tcW w:type="dxa" w:w="5040"/>
            <w:shd w:val="clear" w:fill="F2F7F7"/>
          </w:tcPr>
          <w:p>
            <w:pPr>
              <w:spacing w:after="20" w:before="20"/>
              <w:jc w:val="left"/>
            </w:pPr>
            <w:r/>
            <w:r>
              <w:rPr>
                <w:rFonts w:ascii="Calibri" w:hAnsi="Calibri"/>
                <w:b w:val="0"/>
                <w:i w:val="0"/>
                <w:color w:val="222222"/>
                <w:sz w:val="18"/>
              </w:rPr>
              <w:t>Normalized EPS (through-cycle)</w:t>
            </w:r>
          </w:p>
        </w:tc>
        <w:tc>
          <w:tcPr>
            <w:tcW w:type="dxa" w:w="4896"/>
            <w:shd w:val="clear" w:fill="F2F7F7"/>
          </w:tcPr>
          <w:p>
            <w:pPr>
              <w:spacing w:after="20" w:before="20"/>
              <w:jc w:val="center"/>
            </w:pPr>
            <w:r/>
            <w:r>
              <w:rPr>
                <w:rFonts w:ascii="Calibri" w:hAnsi="Calibri"/>
                <w:b w:val="0"/>
                <w:i w:val="0"/>
                <w:color w:val="222222"/>
                <w:sz w:val="18"/>
              </w:rPr>
              <w:t>$7.90</w:t>
            </w:r>
          </w:p>
        </w:tc>
      </w:tr>
      <w:tr>
        <w:tc>
          <w:tcPr>
            <w:tcW w:type="dxa" w:w="5040"/>
          </w:tcPr>
          <w:p>
            <w:pPr>
              <w:spacing w:after="20" w:before="20"/>
              <w:jc w:val="left"/>
            </w:pPr>
            <w:r/>
            <w:r>
              <w:rPr>
                <w:rFonts w:ascii="Calibri" w:hAnsi="Calibri"/>
                <w:b w:val="0"/>
                <w:i w:val="0"/>
                <w:color w:val="222222"/>
                <w:sz w:val="18"/>
              </w:rPr>
              <w:t>Justified multiple (base)</w:t>
            </w:r>
          </w:p>
        </w:tc>
        <w:tc>
          <w:tcPr>
            <w:tcW w:type="dxa" w:w="4896"/>
          </w:tcPr>
          <w:p>
            <w:pPr>
              <w:spacing w:after="20" w:before="20"/>
              <w:jc w:val="center"/>
            </w:pPr>
            <w:r/>
            <w:r>
              <w:rPr>
                <w:rFonts w:ascii="Calibri" w:hAnsi="Calibri"/>
                <w:b w:val="0"/>
                <w:i w:val="0"/>
                <w:color w:val="222222"/>
                <w:sz w:val="18"/>
              </w:rPr>
              <w:t>32×</w:t>
            </w:r>
          </w:p>
        </w:tc>
      </w:tr>
      <w:tr>
        <w:tc>
          <w:tcPr>
            <w:tcW w:type="dxa" w:w="5040"/>
            <w:shd w:val="clear" w:fill="F2F7F7"/>
          </w:tcPr>
          <w:p>
            <w:pPr>
              <w:spacing w:after="20" w:before="20"/>
              <w:jc w:val="left"/>
            </w:pPr>
            <w:r/>
            <w:r>
              <w:rPr>
                <w:rFonts w:ascii="Calibri" w:hAnsi="Calibri"/>
                <w:b w:val="0"/>
                <w:i w:val="0"/>
                <w:color w:val="222222"/>
                <w:sz w:val="18"/>
              </w:rPr>
              <w:t>Normalized fair value</w:t>
            </w:r>
          </w:p>
        </w:tc>
        <w:tc>
          <w:tcPr>
            <w:tcW w:type="dxa" w:w="4896"/>
            <w:shd w:val="clear" w:fill="F2F7F7"/>
          </w:tcPr>
          <w:p>
            <w:pPr>
              <w:spacing w:after="20" w:before="20"/>
              <w:jc w:val="center"/>
            </w:pPr>
            <w:r/>
            <w:r>
              <w:rPr>
                <w:rFonts w:ascii="Calibri" w:hAnsi="Calibri"/>
                <w:b w:val="0"/>
                <w:i w:val="0"/>
                <w:color w:val="222222"/>
                <w:sz w:val="18"/>
              </w:rPr>
              <w:t>$252.80</w:t>
            </w:r>
          </w:p>
        </w:tc>
      </w:tr>
      <w:tr>
        <w:tc>
          <w:tcPr>
            <w:tcW w:type="dxa" w:w="5040"/>
          </w:tcPr>
          <w:p>
            <w:pPr>
              <w:spacing w:after="20" w:before="20"/>
              <w:jc w:val="left"/>
            </w:pPr>
            <w:r/>
            <w:r>
              <w:rPr>
                <w:rFonts w:ascii="Calibri" w:hAnsi="Calibri"/>
                <w:b w:val="0"/>
                <w:i w:val="0"/>
                <w:color w:val="222222"/>
                <w:sz w:val="18"/>
              </w:rPr>
              <w:t>Relative cross-check (30× FY26E)</w:t>
            </w:r>
          </w:p>
        </w:tc>
        <w:tc>
          <w:tcPr>
            <w:tcW w:type="dxa" w:w="4896"/>
          </w:tcPr>
          <w:p>
            <w:pPr>
              <w:spacing w:after="20" w:before="20"/>
              <w:jc w:val="center"/>
            </w:pPr>
            <w:r/>
            <w:r>
              <w:rPr>
                <w:rFonts w:ascii="Calibri" w:hAnsi="Calibri"/>
                <w:b w:val="0"/>
                <w:i w:val="0"/>
                <w:color w:val="222222"/>
                <w:sz w:val="18"/>
              </w:rPr>
              <w:t>$248.70</w:t>
            </w:r>
          </w:p>
        </w:tc>
      </w:tr>
      <w:tr>
        <w:tc>
          <w:tcPr>
            <w:tcW w:type="dxa" w:w="5040"/>
            <w:shd w:val="clear" w:fill="DCE9E9"/>
          </w:tcPr>
          <w:p>
            <w:pPr>
              <w:spacing w:after="20" w:before="20"/>
              <w:jc w:val="left"/>
            </w:pPr>
            <w:r/>
            <w:r>
              <w:rPr>
                <w:rFonts w:ascii="Calibri" w:hAnsi="Calibri"/>
                <w:b/>
                <w:i w:val="0"/>
                <w:color w:val="222222"/>
                <w:sz w:val="18"/>
              </w:rPr>
              <w:t>Range (bear–bull)</w:t>
            </w:r>
          </w:p>
        </w:tc>
        <w:tc>
          <w:tcPr>
            <w:tcW w:type="dxa" w:w="4896"/>
            <w:shd w:val="clear" w:fill="DCE9E9"/>
          </w:tcPr>
          <w:p>
            <w:pPr>
              <w:spacing w:after="20" w:before="20"/>
              <w:jc w:val="center"/>
            </w:pPr>
            <w:r/>
            <w:r>
              <w:rPr>
                <w:rFonts w:ascii="Calibri" w:hAnsi="Calibri"/>
                <w:b/>
                <w:i w:val="0"/>
                <w:color w:val="222222"/>
                <w:sz w:val="18"/>
              </w:rPr>
              <w:t>$213 – $284</w:t>
            </w:r>
          </w:p>
        </w:tc>
      </w:tr>
    </w:tbl>
    <w:p>
      <w:pPr>
        <w:spacing w:after="40"/>
      </w:pPr>
    </w:p>
    <w:p>
      <w:pPr>
        <w:spacing w:after="60" w:line="254" w:lineRule="auto"/>
      </w:pPr>
      <w:r>
        <w:rPr>
          <w:color w:val="222222"/>
          <w:sz w:val="18"/>
        </w:rPr>
        <w:t>Worked example &amp; sensitivity (swing = normalized margin / multiple). At 27× the normalized read is $213; at 36× it is $284. The lens is the most constructive because a rising Services mix lifts both the normalized margin and the multiple the market will pay.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880"/>
            <w:shd w:val="clear" w:fill="2A8F8F"/>
          </w:tcPr>
          <w:p>
            <w:pPr>
              <w:spacing w:after="20" w:before="20"/>
              <w:jc w:val="left"/>
            </w:pPr>
            <w:r/>
            <w:r>
              <w:rPr>
                <w:rFonts w:ascii="Calibri" w:hAnsi="Calibri"/>
                <w:b/>
                <w:i w:val="0"/>
                <w:color w:val="FFFFFF"/>
                <w:sz w:val="18"/>
              </w:rPr>
              <w:t>Normalized P/E</w:t>
            </w:r>
          </w:p>
        </w:tc>
        <w:tc>
          <w:tcPr>
            <w:tcW w:type="dxa" w:w="2304"/>
            <w:shd w:val="clear" w:fill="2A8F8F"/>
          </w:tcPr>
          <w:p>
            <w:pPr>
              <w:spacing w:after="20" w:before="20"/>
              <w:jc w:val="center"/>
            </w:pPr>
            <w:r/>
            <w:r>
              <w:rPr>
                <w:rFonts w:ascii="Calibri" w:hAnsi="Calibri"/>
                <w:b/>
                <w:i w:val="0"/>
                <w:color w:val="FFFFFF"/>
                <w:sz w:val="18"/>
              </w:rPr>
              <w:t>24×</w:t>
            </w:r>
          </w:p>
        </w:tc>
        <w:tc>
          <w:tcPr>
            <w:tcW w:type="dxa" w:w="2304"/>
            <w:shd w:val="clear" w:fill="2A8F8F"/>
          </w:tcPr>
          <w:p>
            <w:pPr>
              <w:spacing w:after="20" w:before="20"/>
              <w:jc w:val="center"/>
            </w:pPr>
            <w:r/>
            <w:r>
              <w:rPr>
                <w:rFonts w:ascii="Calibri" w:hAnsi="Calibri"/>
                <w:b/>
                <w:i w:val="0"/>
                <w:color w:val="FFFFFF"/>
                <w:sz w:val="18"/>
              </w:rPr>
              <w:t>32× (base)</w:t>
            </w:r>
          </w:p>
        </w:tc>
        <w:tc>
          <w:tcPr>
            <w:tcW w:type="dxa" w:w="2304"/>
            <w:shd w:val="clear" w:fill="2A8F8F"/>
          </w:tcPr>
          <w:p>
            <w:pPr>
              <w:spacing w:after="20" w:before="20"/>
              <w:jc w:val="center"/>
            </w:pPr>
            <w:r/>
            <w:r>
              <w:rPr>
                <w:rFonts w:ascii="Calibri" w:hAnsi="Calibri"/>
                <w:b/>
                <w:i w:val="0"/>
                <w:color w:val="FFFFFF"/>
                <w:sz w:val="18"/>
              </w:rPr>
              <w:t>36×</w:t>
            </w:r>
          </w:p>
        </w:tc>
      </w:tr>
      <w:tr>
        <w:tc>
          <w:tcPr>
            <w:tcW w:type="dxa" w:w="2880"/>
          </w:tcPr>
          <w:p>
            <w:pPr>
              <w:spacing w:after="20" w:before="20"/>
              <w:jc w:val="left"/>
            </w:pPr>
            <w:r/>
            <w:r>
              <w:rPr>
                <w:rFonts w:ascii="Calibri" w:hAnsi="Calibri"/>
                <w:b w:val="0"/>
                <w:i w:val="0"/>
                <w:color w:val="222222"/>
                <w:sz w:val="17"/>
              </w:rPr>
              <w:t>Fair value (USD)</w:t>
            </w:r>
          </w:p>
        </w:tc>
        <w:tc>
          <w:tcPr>
            <w:tcW w:type="dxa" w:w="2304"/>
          </w:tcPr>
          <w:p>
            <w:pPr>
              <w:spacing w:after="20" w:before="20"/>
              <w:jc w:val="center"/>
            </w:pPr>
            <w:r/>
            <w:r>
              <w:rPr>
                <w:rFonts w:ascii="Calibri" w:hAnsi="Calibri"/>
                <w:b w:val="0"/>
                <w:i w:val="0"/>
                <w:color w:val="222222"/>
                <w:sz w:val="17"/>
              </w:rPr>
              <w:t>$190</w:t>
            </w:r>
          </w:p>
        </w:tc>
        <w:tc>
          <w:tcPr>
            <w:tcW w:type="dxa" w:w="2304"/>
          </w:tcPr>
          <w:p>
            <w:pPr>
              <w:spacing w:after="20" w:before="20"/>
              <w:jc w:val="center"/>
            </w:pPr>
            <w:r/>
            <w:r>
              <w:rPr>
                <w:rFonts w:ascii="Calibri" w:hAnsi="Calibri"/>
                <w:b w:val="0"/>
                <w:i w:val="0"/>
                <w:color w:val="222222"/>
                <w:sz w:val="17"/>
              </w:rPr>
              <w:t>$253</w:t>
            </w:r>
          </w:p>
        </w:tc>
        <w:tc>
          <w:tcPr>
            <w:tcW w:type="dxa" w:w="2304"/>
          </w:tcPr>
          <w:p>
            <w:pPr>
              <w:spacing w:after="20" w:before="20"/>
              <w:jc w:val="center"/>
            </w:pPr>
            <w:r/>
            <w:r>
              <w:rPr>
                <w:rFonts w:ascii="Calibri" w:hAnsi="Calibri"/>
                <w:b w:val="0"/>
                <w:i w:val="0"/>
                <w:color w:val="222222"/>
                <w:sz w:val="17"/>
              </w:rPr>
              <w:t>$284</w:t>
            </w:r>
          </w:p>
        </w:tc>
      </w:tr>
    </w:tbl>
    <w:p>
      <w:pPr>
        <w:spacing w:after="40"/>
      </w:pPr>
    </w:p>
    <w:p>
      <w:pPr>
        <w:spacing w:after="80" w:line="254" w:lineRule="auto"/>
      </w:pPr>
      <w:r>
        <w:rPr>
          <w:color w:val="222222"/>
          <w:sz w:val="18"/>
        </w:rPr>
        <w:t>Cross-examination. Expert 2 tells Expert 1 that a strict DCF on a five-year window understates a franchise whose competitive position lets it compound well beyond it, and that discounting Apple like an average company ignores the moat. He tells Expert 3 that a large installed base only matters because it monetises — the earnings are the point, the units are the mechanism. Verdict &amp; falsification. Fair value near $253; at spot the market is paying roughly 38× forward earnings, a premium that is defensible only if Services growth and margin hold. Falsified if normalized EPS growth stalls or the quality premium compresses.</w:t>
      </w:r>
    </w:p>
    <w:p>
      <w:pPr>
        <w:spacing w:before="160" w:after="40"/>
      </w:pPr>
      <w:r>
        <w:rPr>
          <w:b/>
          <w:color w:val="2A8F8F"/>
          <w:sz w:val="23"/>
        </w:rPr>
        <w:t>C.3  Expert 3 — demand and installed base: units, ASP and the Services attach</w:t>
      </w:r>
    </w:p>
    <w:p>
      <w:pPr>
        <w:spacing w:after="80" w:line="254" w:lineRule="auto"/>
      </w:pPr>
      <w:r>
        <w:rPr>
          <w:color w:val="222222"/>
          <w:sz w:val="20"/>
        </w:rPr>
        <w:t>Worldview. Value begins with demand: how many devices are in use, how often they are replaced, at what price, and how much high-margin Services each active device pulls through. Expert 3 builds from the installed base and the attach rate, valuing the hardware on its through-cycle economics and the Services annuity on a richer multiple — a demand-anchored sum-of-the-parts. The method is strong when an ecosystem has genuine switching costs and weak when it double-counts assets already reflected in earnings, which Expert 3 avoids by valuing the two engines separately.</w:t>
      </w:r>
    </w:p>
    <w:tbl>
      <w:tblPr>
        <w:tblStyle w:val="TableGrid"/>
        <w:tblW w:type="auto" w:w="0"/>
        <w:jc w:val="center"/>
        <w:tblLayout w:type="fixed"/>
        <w:tblLook w:firstColumn="1" w:firstRow="1" w:lastColumn="0" w:lastRow="0" w:noHBand="0" w:noVBand="1" w:val="04A0"/>
      </w:tblPr>
      <w:tblGrid>
        <w:gridCol w:w="4968"/>
        <w:gridCol w:w="4968"/>
      </w:tblGrid>
      <w:tr>
        <w:tc>
          <w:tcPr>
            <w:tcW w:type="dxa" w:w="5040"/>
            <w:shd w:val="clear" w:fill="2A8F8F"/>
          </w:tcPr>
          <w:p>
            <w:pPr>
              <w:spacing w:after="20" w:before="20"/>
              <w:jc w:val="left"/>
            </w:pPr>
            <w:r/>
            <w:r>
              <w:rPr>
                <w:rFonts w:ascii="Calibri" w:hAnsi="Calibri"/>
                <w:b/>
                <w:i w:val="0"/>
                <w:color w:val="FFFFFF"/>
                <w:sz w:val="18"/>
              </w:rPr>
              <w:t>Expert 3's build (FY26E)</w:t>
            </w:r>
          </w:p>
        </w:tc>
        <w:tc>
          <w:tcPr>
            <w:tcW w:type="dxa" w:w="4896"/>
            <w:shd w:val="clear" w:fill="2A8F8F"/>
          </w:tcPr>
          <w:p>
            <w:pPr>
              <w:spacing w:after="20" w:before="20"/>
              <w:jc w:val="center"/>
            </w:pPr>
            <w:r/>
            <w:r>
              <w:rPr>
                <w:rFonts w:ascii="Calibri" w:hAnsi="Calibri"/>
                <w:b/>
                <w:i w:val="0"/>
                <w:color w:val="FFFFFF"/>
                <w:sz w:val="18"/>
              </w:rPr>
              <w:t>Value</w:t>
            </w:r>
          </w:p>
        </w:tc>
      </w:tr>
      <w:tr>
        <w:tc>
          <w:tcPr>
            <w:tcW w:type="dxa" w:w="5040"/>
          </w:tcPr>
          <w:p>
            <w:pPr>
              <w:spacing w:after="20" w:before="20"/>
              <w:jc w:val="left"/>
            </w:pPr>
            <w:r/>
            <w:r>
              <w:rPr>
                <w:rFonts w:ascii="Calibri" w:hAnsi="Calibri"/>
                <w:b w:val="0"/>
                <w:i w:val="0"/>
                <w:color w:val="222222"/>
                <w:sz w:val="18"/>
              </w:rPr>
              <w:t>Services revenue</w:t>
            </w:r>
          </w:p>
        </w:tc>
        <w:tc>
          <w:tcPr>
            <w:tcW w:type="dxa" w:w="4896"/>
          </w:tcPr>
          <w:p>
            <w:pPr>
              <w:spacing w:after="20" w:before="20"/>
              <w:jc w:val="center"/>
            </w:pPr>
            <w:r/>
            <w:r>
              <w:rPr>
                <w:rFonts w:ascii="Calibri" w:hAnsi="Calibri"/>
                <w:b w:val="0"/>
                <w:i w:val="0"/>
                <w:color w:val="222222"/>
                <w:sz w:val="18"/>
              </w:rPr>
              <w:t>$123 bn</w:t>
            </w:r>
          </w:p>
        </w:tc>
      </w:tr>
      <w:tr>
        <w:tc>
          <w:tcPr>
            <w:tcW w:type="dxa" w:w="5040"/>
            <w:shd w:val="clear" w:fill="F2F7F7"/>
          </w:tcPr>
          <w:p>
            <w:pPr>
              <w:spacing w:after="20" w:before="20"/>
              <w:jc w:val="left"/>
            </w:pPr>
            <w:r/>
            <w:r>
              <w:rPr>
                <w:rFonts w:ascii="Calibri" w:hAnsi="Calibri"/>
                <w:b w:val="0"/>
                <w:i w:val="0"/>
                <w:color w:val="222222"/>
                <w:sz w:val="18"/>
              </w:rPr>
              <w:t>Services value (≈42% EBIT × 26×)</w:t>
            </w:r>
          </w:p>
        </w:tc>
        <w:tc>
          <w:tcPr>
            <w:tcW w:type="dxa" w:w="4896"/>
            <w:shd w:val="clear" w:fill="F2F7F7"/>
          </w:tcPr>
          <w:p>
            <w:pPr>
              <w:spacing w:after="20" w:before="20"/>
              <w:jc w:val="center"/>
            </w:pPr>
            <w:r/>
            <w:r>
              <w:rPr>
                <w:rFonts w:ascii="Calibri" w:hAnsi="Calibri"/>
                <w:b w:val="0"/>
                <w:i w:val="0"/>
                <w:color w:val="222222"/>
                <w:sz w:val="18"/>
              </w:rPr>
              <w:t>$1,347 bn</w:t>
            </w:r>
          </w:p>
        </w:tc>
      </w:tr>
      <w:tr>
        <w:tc>
          <w:tcPr>
            <w:tcW w:type="dxa" w:w="5040"/>
          </w:tcPr>
          <w:p>
            <w:pPr>
              <w:spacing w:after="20" w:before="20"/>
              <w:jc w:val="left"/>
            </w:pPr>
            <w:r/>
            <w:r>
              <w:rPr>
                <w:rFonts w:ascii="Calibri" w:hAnsi="Calibri"/>
                <w:b w:val="0"/>
                <w:i w:val="0"/>
                <w:color w:val="222222"/>
                <w:sz w:val="18"/>
              </w:rPr>
              <w:t>Products revenue</w:t>
            </w:r>
          </w:p>
        </w:tc>
        <w:tc>
          <w:tcPr>
            <w:tcW w:type="dxa" w:w="4896"/>
          </w:tcPr>
          <w:p>
            <w:pPr>
              <w:spacing w:after="20" w:before="20"/>
              <w:jc w:val="center"/>
            </w:pPr>
            <w:r/>
            <w:r>
              <w:rPr>
                <w:rFonts w:ascii="Calibri" w:hAnsi="Calibri"/>
                <w:b w:val="0"/>
                <w:i w:val="0"/>
                <w:color w:val="222222"/>
                <w:sz w:val="18"/>
              </w:rPr>
              <w:t>$318 bn</w:t>
            </w:r>
          </w:p>
        </w:tc>
      </w:tr>
      <w:tr>
        <w:tc>
          <w:tcPr>
            <w:tcW w:type="dxa" w:w="5040"/>
            <w:shd w:val="clear" w:fill="F2F7F7"/>
          </w:tcPr>
          <w:p>
            <w:pPr>
              <w:spacing w:after="20" w:before="20"/>
              <w:jc w:val="left"/>
            </w:pPr>
            <w:r/>
            <w:r>
              <w:rPr>
                <w:rFonts w:ascii="Calibri" w:hAnsi="Calibri"/>
                <w:b w:val="0"/>
                <w:i w:val="0"/>
                <w:color w:val="222222"/>
                <w:sz w:val="18"/>
              </w:rPr>
              <w:t>Products value (≈30% EBIT × 14×)</w:t>
            </w:r>
          </w:p>
        </w:tc>
        <w:tc>
          <w:tcPr>
            <w:tcW w:type="dxa" w:w="4896"/>
            <w:shd w:val="clear" w:fill="F2F7F7"/>
          </w:tcPr>
          <w:p>
            <w:pPr>
              <w:spacing w:after="20" w:before="20"/>
              <w:jc w:val="center"/>
            </w:pPr>
            <w:r/>
            <w:r>
              <w:rPr>
                <w:rFonts w:ascii="Calibri" w:hAnsi="Calibri"/>
                <w:b w:val="0"/>
                <w:i w:val="0"/>
                <w:color w:val="222222"/>
                <w:sz w:val="18"/>
              </w:rPr>
              <w:t>$1,337 bn</w:t>
            </w:r>
          </w:p>
        </w:tc>
      </w:tr>
      <w:tr>
        <w:tc>
          <w:tcPr>
            <w:tcW w:type="dxa" w:w="5040"/>
          </w:tcPr>
          <w:p>
            <w:pPr>
              <w:spacing w:after="20" w:before="20"/>
              <w:jc w:val="left"/>
            </w:pPr>
            <w:r/>
            <w:r>
              <w:rPr>
                <w:rFonts w:ascii="Calibri" w:hAnsi="Calibri"/>
                <w:b w:val="0"/>
                <w:i w:val="0"/>
                <w:color w:val="222222"/>
                <w:sz w:val="18"/>
              </w:rPr>
              <w:t>+ Net cash</w:t>
            </w:r>
          </w:p>
        </w:tc>
        <w:tc>
          <w:tcPr>
            <w:tcW w:type="dxa" w:w="4896"/>
          </w:tcPr>
          <w:p>
            <w:pPr>
              <w:spacing w:after="20" w:before="20"/>
              <w:jc w:val="center"/>
            </w:pPr>
            <w:r/>
            <w:r>
              <w:rPr>
                <w:rFonts w:ascii="Calibri" w:hAnsi="Calibri"/>
                <w:b w:val="0"/>
                <w:i w:val="0"/>
                <w:color w:val="222222"/>
                <w:sz w:val="18"/>
              </w:rPr>
              <w:t>$34 bn</w:t>
            </w:r>
          </w:p>
        </w:tc>
      </w:tr>
      <w:tr>
        <w:tc>
          <w:tcPr>
            <w:tcW w:type="dxa" w:w="5040"/>
            <w:shd w:val="clear" w:fill="F2F7F7"/>
          </w:tcPr>
          <w:p>
            <w:pPr>
              <w:spacing w:after="20" w:before="20"/>
              <w:jc w:val="left"/>
            </w:pPr>
            <w:r/>
            <w:r>
              <w:rPr>
                <w:rFonts w:ascii="Calibri" w:hAnsi="Calibri"/>
                <w:b w:val="0"/>
                <w:i w:val="0"/>
                <w:color w:val="222222"/>
                <w:sz w:val="18"/>
              </w:rPr>
              <w:t>Equity value</w:t>
            </w:r>
          </w:p>
        </w:tc>
        <w:tc>
          <w:tcPr>
            <w:tcW w:type="dxa" w:w="4896"/>
            <w:shd w:val="clear" w:fill="F2F7F7"/>
          </w:tcPr>
          <w:p>
            <w:pPr>
              <w:spacing w:after="20" w:before="20"/>
              <w:jc w:val="center"/>
            </w:pPr>
            <w:r/>
            <w:r>
              <w:rPr>
                <w:rFonts w:ascii="Calibri" w:hAnsi="Calibri"/>
                <w:b w:val="0"/>
                <w:i w:val="0"/>
                <w:color w:val="222222"/>
                <w:sz w:val="18"/>
              </w:rPr>
              <w:t>$2,719 bn</w:t>
            </w:r>
          </w:p>
        </w:tc>
      </w:tr>
      <w:tr>
        <w:tc>
          <w:tcPr>
            <w:tcW w:type="dxa" w:w="5040"/>
            <w:shd w:val="clear" w:fill="DCE9E9"/>
          </w:tcPr>
          <w:p>
            <w:pPr>
              <w:spacing w:after="20" w:before="20"/>
              <w:jc w:val="left"/>
            </w:pPr>
            <w:r/>
            <w:r>
              <w:rPr>
                <w:rFonts w:ascii="Calibri" w:hAnsi="Calibri"/>
                <w:b/>
                <w:i w:val="0"/>
                <w:color w:val="222222"/>
                <w:sz w:val="18"/>
              </w:rPr>
              <w:t>Fair value per share</w:t>
            </w:r>
          </w:p>
        </w:tc>
        <w:tc>
          <w:tcPr>
            <w:tcW w:type="dxa" w:w="4896"/>
            <w:shd w:val="clear" w:fill="DCE9E9"/>
          </w:tcPr>
          <w:p>
            <w:pPr>
              <w:spacing w:after="20" w:before="20"/>
              <w:jc w:val="center"/>
            </w:pPr>
            <w:r/>
            <w:r>
              <w:rPr>
                <w:rFonts w:ascii="Calibri" w:hAnsi="Calibri"/>
                <w:b/>
                <w:i w:val="0"/>
                <w:color w:val="222222"/>
                <w:sz w:val="18"/>
              </w:rPr>
              <w:t>$184.00</w:t>
            </w:r>
          </w:p>
        </w:tc>
      </w:tr>
    </w:tbl>
    <w:p>
      <w:pPr>
        <w:spacing w:after="40"/>
      </w:pPr>
    </w:p>
    <w:p>
      <w:pPr>
        <w:spacing w:after="60" w:line="254" w:lineRule="auto"/>
      </w:pPr>
      <w:r>
        <w:rPr>
          <w:color w:val="222222"/>
          <w:sz w:val="18"/>
        </w:rPr>
        <w:t>Worked example &amp; sensitivity (swing = Services attach / multiple). Crediting Services a 30× multiple on the same margin lifts the segment value and the per-share figure toward the bull case ($211); a 22× multiple pulls it to the bear ($157). The whole disagreement with the DCF is how annuity-like Services really is.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168"/>
            <w:shd w:val="clear" w:fill="2A8F8F"/>
          </w:tcPr>
          <w:p>
            <w:pPr>
              <w:spacing w:after="20" w:before="20"/>
              <w:jc w:val="left"/>
            </w:pPr>
            <w:r/>
            <w:r>
              <w:rPr>
                <w:rFonts w:ascii="Calibri" w:hAnsi="Calibri"/>
                <w:b/>
                <w:i w:val="0"/>
                <w:color w:val="FFFFFF"/>
                <w:sz w:val="18"/>
              </w:rPr>
              <w:t>Services EV/EBIT</w:t>
            </w:r>
          </w:p>
        </w:tc>
        <w:tc>
          <w:tcPr>
            <w:tcW w:type="dxa" w:w="2160"/>
            <w:shd w:val="clear" w:fill="2A8F8F"/>
          </w:tcPr>
          <w:p>
            <w:pPr>
              <w:spacing w:after="20" w:before="20"/>
              <w:jc w:val="center"/>
            </w:pPr>
            <w:r/>
            <w:r>
              <w:rPr>
                <w:rFonts w:ascii="Calibri" w:hAnsi="Calibri"/>
                <w:b/>
                <w:i w:val="0"/>
                <w:color w:val="FFFFFF"/>
                <w:sz w:val="18"/>
              </w:rPr>
              <w:t>22× (bear)</w:t>
            </w:r>
          </w:p>
        </w:tc>
        <w:tc>
          <w:tcPr>
            <w:tcW w:type="dxa" w:w="2160"/>
            <w:shd w:val="clear" w:fill="2A8F8F"/>
          </w:tcPr>
          <w:p>
            <w:pPr>
              <w:spacing w:after="20" w:before="20"/>
              <w:jc w:val="center"/>
            </w:pPr>
            <w:r/>
            <w:r>
              <w:rPr>
                <w:rFonts w:ascii="Calibri" w:hAnsi="Calibri"/>
                <w:b/>
                <w:i w:val="0"/>
                <w:color w:val="FFFFFF"/>
                <w:sz w:val="18"/>
              </w:rPr>
              <w:t>26× (base)</w:t>
            </w:r>
          </w:p>
        </w:tc>
        <w:tc>
          <w:tcPr>
            <w:tcW w:type="dxa" w:w="2160"/>
            <w:shd w:val="clear" w:fill="2A8F8F"/>
          </w:tcPr>
          <w:p>
            <w:pPr>
              <w:spacing w:after="20" w:before="20"/>
              <w:jc w:val="center"/>
            </w:pPr>
            <w:r/>
            <w:r>
              <w:rPr>
                <w:rFonts w:ascii="Calibri" w:hAnsi="Calibri"/>
                <w:b/>
                <w:i w:val="0"/>
                <w:color w:val="FFFFFF"/>
                <w:sz w:val="18"/>
              </w:rPr>
              <w:t>30× (bull)</w:t>
            </w:r>
          </w:p>
        </w:tc>
      </w:tr>
      <w:tr>
        <w:tc>
          <w:tcPr>
            <w:tcW w:type="dxa" w:w="3168"/>
          </w:tcPr>
          <w:p>
            <w:pPr>
              <w:spacing w:after="20" w:before="20"/>
              <w:jc w:val="left"/>
            </w:pPr>
            <w:r/>
            <w:r>
              <w:rPr>
                <w:rFonts w:ascii="Calibri" w:hAnsi="Calibri"/>
                <w:b w:val="0"/>
                <w:i w:val="0"/>
                <w:color w:val="222222"/>
                <w:sz w:val="17"/>
              </w:rPr>
              <w:t>Fair value per share (USD)</w:t>
            </w:r>
          </w:p>
        </w:tc>
        <w:tc>
          <w:tcPr>
            <w:tcW w:type="dxa" w:w="2160"/>
          </w:tcPr>
          <w:p>
            <w:pPr>
              <w:spacing w:after="20" w:before="20"/>
              <w:jc w:val="center"/>
            </w:pPr>
            <w:r/>
            <w:r>
              <w:rPr>
                <w:rFonts w:ascii="Calibri" w:hAnsi="Calibri"/>
                <w:b w:val="0"/>
                <w:i w:val="0"/>
                <w:color w:val="222222"/>
                <w:sz w:val="17"/>
              </w:rPr>
              <w:t>$157</w:t>
            </w:r>
          </w:p>
        </w:tc>
        <w:tc>
          <w:tcPr>
            <w:tcW w:type="dxa" w:w="2160"/>
          </w:tcPr>
          <w:p>
            <w:pPr>
              <w:spacing w:after="20" w:before="20"/>
              <w:jc w:val="center"/>
            </w:pPr>
            <w:r/>
            <w:r>
              <w:rPr>
                <w:rFonts w:ascii="Calibri" w:hAnsi="Calibri"/>
                <w:b w:val="0"/>
                <w:i w:val="0"/>
                <w:color w:val="222222"/>
                <w:sz w:val="17"/>
              </w:rPr>
              <w:t>$184</w:t>
            </w:r>
          </w:p>
        </w:tc>
        <w:tc>
          <w:tcPr>
            <w:tcW w:type="dxa" w:w="2160"/>
          </w:tcPr>
          <w:p>
            <w:pPr>
              <w:spacing w:after="20" w:before="20"/>
              <w:jc w:val="center"/>
            </w:pPr>
            <w:r/>
            <w:r>
              <w:rPr>
                <w:rFonts w:ascii="Calibri" w:hAnsi="Calibri"/>
                <w:b w:val="0"/>
                <w:i w:val="0"/>
                <w:color w:val="222222"/>
                <w:sz w:val="17"/>
              </w:rPr>
              <w:t>$211</w:t>
            </w:r>
          </w:p>
        </w:tc>
      </w:tr>
    </w:tbl>
    <w:p>
      <w:pPr>
        <w:spacing w:after="40"/>
      </w:pPr>
    </w:p>
    <w:p>
      <w:pPr>
        <w:spacing w:after="80" w:line="254" w:lineRule="auto"/>
      </w:pPr>
      <w:r>
        <w:rPr>
          <w:color w:val="222222"/>
          <w:sz w:val="18"/>
        </w:rPr>
        <w:t>Cross-examination. Expert 3 tells Expert 1 that a pure cash-flow discount misses the option value of an installed base that keeps finding new ways to monetise — the base is an asset the DCF window undercounts. He tells Expert 2 that a single blended P/E hides the fact that a dollar of Services earnings is worth far more than a dollar of hardware earnings, which is exactly what the sum-of-the-parts exposes. Verdict &amp; falsification. Fair value near $184, between the cash-flow floor and the multiple ceiling. Falsified if the Services take-rate is capped by regulation or the attach rate stops rising.</w:t>
      </w:r>
    </w:p>
    <w:p>
      <w:pPr>
        <w:spacing w:before="160" w:after="40"/>
      </w:pPr>
      <w:r>
        <w:rPr>
          <w:b/>
          <w:color w:val="2A8F8F"/>
          <w:sz w:val="23"/>
        </w:rPr>
        <w:t>C.5  The three in one room</w:t>
      </w:r>
    </w:p>
    <w:p>
      <w:pPr>
        <w:spacing w:after="60" w:line="254" w:lineRule="auto"/>
      </w:pPr>
      <w:r>
        <w:rPr>
          <w:color w:val="222222"/>
          <w:sz w:val="19"/>
        </w:rPr>
        <w:t>Expert 2:  “FY26 earnings power is real and growing. Normalize it, put a quality multiple on it, and the shares are close to fair — the market is paying for a franchise that compounds. Discounting Apple like an average company is the error.”</w:t>
      </w:r>
    </w:p>
    <w:p>
      <w:pPr>
        <w:spacing w:after="60" w:line="254" w:lineRule="auto"/>
      </w:pPr>
      <w:r>
        <w:rPr>
          <w:color w:val="222222"/>
          <w:sz w:val="19"/>
        </w:rPr>
        <w:t>Expert 1:  “And to earn it, Apple must keep out-returning its cost of capital for decades — that is what your multiple assumes. My explicit cash flows, discounted at an equity rate, land near $150. The gap to spot is not earnings; it is a bet on durability I will not pay for in full.”</w:t>
      </w:r>
    </w:p>
    <w:p>
      <w:pPr>
        <w:spacing w:after="80" w:line="254" w:lineRule="auto"/>
      </w:pPr>
      <w:r>
        <w:rPr>
          <w:color w:val="222222"/>
          <w:sz w:val="19"/>
        </w:rPr>
        <w:t>Expert 3:  “You are both arguing about the engine. Count the base. Two billion active devices, a Services layer that attaches to every one of them and grows double digits — value the annuity apart from the hardware and you land near $184, between you. The argument is the Services multiple, not the earnings.”</w:t>
      </w:r>
    </w:p>
    <w:p>
      <w:pPr>
        <w:spacing w:before="160" w:after="40"/>
      </w:pPr>
      <w:r>
        <w:rPr>
          <w:b/>
          <w:color w:val="2A8F8F"/>
          <w:sz w:val="23"/>
        </w:rPr>
        <w:t>C.6  Reading the divergence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shd w:val="clear" w:fill="2A8F8F"/>
          </w:tcPr>
          <w:p>
            <w:pPr>
              <w:spacing w:after="20" w:before="20"/>
              <w:jc w:val="left"/>
            </w:pPr>
            <w:r/>
            <w:r>
              <w:rPr>
                <w:rFonts w:ascii="Calibri" w:hAnsi="Calibri"/>
                <w:b/>
                <w:i w:val="0"/>
                <w:color w:val="FFFFFF"/>
                <w:sz w:val="18"/>
              </w:rPr>
              <w:t>Expert</w:t>
            </w:r>
          </w:p>
        </w:tc>
        <w:tc>
          <w:tcPr>
            <w:tcW w:type="dxa" w:w="3312"/>
            <w:shd w:val="clear" w:fill="2A8F8F"/>
          </w:tcPr>
          <w:p>
            <w:pPr>
              <w:spacing w:after="20" w:before="20"/>
              <w:jc w:val="center"/>
            </w:pPr>
            <w:r/>
            <w:r>
              <w:rPr>
                <w:rFonts w:ascii="Calibri" w:hAnsi="Calibri"/>
                <w:b/>
                <w:i w:val="0"/>
                <w:color w:val="FFFFFF"/>
                <w:sz w:val="18"/>
              </w:rPr>
              <w:t>Method</w:t>
            </w:r>
          </w:p>
        </w:tc>
        <w:tc>
          <w:tcPr>
            <w:tcW w:type="dxa" w:w="3456"/>
            <w:shd w:val="clear" w:fill="2A8F8F"/>
          </w:tcPr>
          <w:p>
            <w:pPr>
              <w:spacing w:after="20" w:before="20"/>
              <w:jc w:val="center"/>
            </w:pPr>
            <w:r/>
            <w:r>
              <w:rPr>
                <w:rFonts w:ascii="Calibri" w:hAnsi="Calibri"/>
                <w:b/>
                <w:i w:val="0"/>
                <w:color w:val="FFFFFF"/>
                <w:sz w:val="18"/>
              </w:rPr>
              <w:t>The one assumption that drives it</w:t>
            </w:r>
          </w:p>
        </w:tc>
        <w:tc>
          <w:tcPr>
            <w:tcW w:type="dxa" w:w="1440"/>
            <w:shd w:val="clear" w:fill="2A8F8F"/>
          </w:tcPr>
          <w:p>
            <w:pPr>
              <w:spacing w:after="20" w:before="20"/>
              <w:jc w:val="center"/>
            </w:pPr>
            <w:r/>
            <w:r>
              <w:rPr>
                <w:rFonts w:ascii="Calibri" w:hAnsi="Calibri"/>
                <w:b/>
                <w:i w:val="0"/>
                <w:color w:val="FFFFFF"/>
                <w:sz w:val="18"/>
              </w:rPr>
              <w:t>Fair value</w:t>
            </w:r>
          </w:p>
        </w:tc>
      </w:tr>
      <w:tr>
        <w:tc>
          <w:tcPr>
            <w:tcW w:type="dxa" w:w="1872"/>
          </w:tcPr>
          <w:p>
            <w:pPr>
              <w:spacing w:after="20" w:before="20"/>
              <w:jc w:val="left"/>
            </w:pPr>
            <w:r/>
            <w:r>
              <w:rPr>
                <w:rFonts w:ascii="Calibri" w:hAnsi="Calibri"/>
                <w:b w:val="0"/>
                <w:i w:val="0"/>
                <w:color w:val="222222"/>
                <w:sz w:val="18"/>
              </w:rPr>
              <w:t>Expert 1</w:t>
            </w:r>
          </w:p>
        </w:tc>
        <w:tc>
          <w:tcPr>
            <w:tcW w:type="dxa" w:w="3312"/>
          </w:tcPr>
          <w:p>
            <w:pPr>
              <w:spacing w:after="20" w:before="20"/>
              <w:jc w:val="center"/>
            </w:pPr>
            <w:r/>
            <w:r>
              <w:rPr>
                <w:rFonts w:ascii="Calibri" w:hAnsi="Calibri"/>
                <w:b w:val="0"/>
                <w:i w:val="0"/>
                <w:color w:val="222222"/>
                <w:sz w:val="18"/>
              </w:rPr>
              <w:t>Cash returns (DCF + ROIC)</w:t>
            </w:r>
          </w:p>
        </w:tc>
        <w:tc>
          <w:tcPr>
            <w:tcW w:type="dxa" w:w="3456"/>
          </w:tcPr>
          <w:p>
            <w:pPr>
              <w:spacing w:after="20" w:before="20"/>
              <w:jc w:val="center"/>
            </w:pPr>
            <w:r/>
            <w:r>
              <w:rPr>
                <w:rFonts w:ascii="Calibri" w:hAnsi="Calibri"/>
                <w:b w:val="0"/>
                <w:i w:val="0"/>
                <w:color w:val="222222"/>
                <w:sz w:val="18"/>
              </w:rPr>
              <w:t>WACC vs terminal growth</w:t>
            </w:r>
          </w:p>
        </w:tc>
        <w:tc>
          <w:tcPr>
            <w:tcW w:type="dxa" w:w="1440"/>
          </w:tcPr>
          <w:p>
            <w:pPr>
              <w:spacing w:after="20" w:before="20"/>
              <w:jc w:val="center"/>
            </w:pPr>
            <w:r/>
            <w:r>
              <w:rPr>
                <w:rFonts w:ascii="Calibri" w:hAnsi="Calibri"/>
                <w:b w:val="0"/>
                <w:i w:val="0"/>
                <w:color w:val="222222"/>
                <w:sz w:val="18"/>
              </w:rPr>
              <w:t>$152</w:t>
            </w:r>
          </w:p>
        </w:tc>
      </w:tr>
      <w:tr>
        <w:tc>
          <w:tcPr>
            <w:tcW w:type="dxa" w:w="1872"/>
            <w:shd w:val="clear" w:fill="F2F7F7"/>
          </w:tcPr>
          <w:p>
            <w:pPr>
              <w:spacing w:after="20" w:before="20"/>
              <w:jc w:val="left"/>
            </w:pPr>
            <w:r/>
            <w:r>
              <w:rPr>
                <w:rFonts w:ascii="Calibri" w:hAnsi="Calibri"/>
                <w:b w:val="0"/>
                <w:i w:val="0"/>
                <w:color w:val="222222"/>
                <w:sz w:val="18"/>
              </w:rPr>
              <w:t>Expert 2</w:t>
            </w:r>
          </w:p>
        </w:tc>
        <w:tc>
          <w:tcPr>
            <w:tcW w:type="dxa" w:w="3312"/>
            <w:shd w:val="clear" w:fill="F2F7F7"/>
          </w:tcPr>
          <w:p>
            <w:pPr>
              <w:spacing w:after="20" w:before="20"/>
              <w:jc w:val="center"/>
            </w:pPr>
            <w:r/>
            <w:r>
              <w:rPr>
                <w:rFonts w:ascii="Calibri" w:hAnsi="Calibri"/>
                <w:b w:val="0"/>
                <w:i w:val="0"/>
                <w:color w:val="222222"/>
                <w:sz w:val="18"/>
              </w:rPr>
              <w:t>Earnings power &amp; multiples</w:t>
            </w:r>
          </w:p>
        </w:tc>
        <w:tc>
          <w:tcPr>
            <w:tcW w:type="dxa" w:w="3456"/>
            <w:shd w:val="clear" w:fill="F2F7F7"/>
          </w:tcPr>
          <w:p>
            <w:pPr>
              <w:spacing w:after="20" w:before="20"/>
              <w:jc w:val="center"/>
            </w:pPr>
            <w:r/>
            <w:r>
              <w:rPr>
                <w:rFonts w:ascii="Calibri" w:hAnsi="Calibri"/>
                <w:b w:val="0"/>
                <w:i w:val="0"/>
                <w:color w:val="222222"/>
                <w:sz w:val="18"/>
              </w:rPr>
              <w:t>Justified quality multiple</w:t>
            </w:r>
          </w:p>
        </w:tc>
        <w:tc>
          <w:tcPr>
            <w:tcW w:type="dxa" w:w="1440"/>
            <w:shd w:val="clear" w:fill="F2F7F7"/>
          </w:tcPr>
          <w:p>
            <w:pPr>
              <w:spacing w:after="20" w:before="20"/>
              <w:jc w:val="center"/>
            </w:pPr>
            <w:r/>
            <w:r>
              <w:rPr>
                <w:rFonts w:ascii="Calibri" w:hAnsi="Calibri"/>
                <w:b w:val="0"/>
                <w:i w:val="0"/>
                <w:color w:val="222222"/>
                <w:sz w:val="18"/>
              </w:rPr>
              <w:t>$253</w:t>
            </w:r>
          </w:p>
        </w:tc>
      </w:tr>
      <w:tr>
        <w:tc>
          <w:tcPr>
            <w:tcW w:type="dxa" w:w="1872"/>
          </w:tcPr>
          <w:p>
            <w:pPr>
              <w:spacing w:after="20" w:before="20"/>
              <w:jc w:val="left"/>
            </w:pPr>
            <w:r/>
            <w:r>
              <w:rPr>
                <w:rFonts w:ascii="Calibri" w:hAnsi="Calibri"/>
                <w:b w:val="0"/>
                <w:i w:val="0"/>
                <w:color w:val="222222"/>
                <w:sz w:val="18"/>
              </w:rPr>
              <w:t>Expert 3</w:t>
            </w:r>
          </w:p>
        </w:tc>
        <w:tc>
          <w:tcPr>
            <w:tcW w:type="dxa" w:w="3312"/>
          </w:tcPr>
          <w:p>
            <w:pPr>
              <w:spacing w:after="20" w:before="20"/>
              <w:jc w:val="center"/>
            </w:pPr>
            <w:r/>
            <w:r>
              <w:rPr>
                <w:rFonts w:ascii="Calibri" w:hAnsi="Calibri"/>
                <w:b w:val="0"/>
                <w:i w:val="0"/>
                <w:color w:val="222222"/>
                <w:sz w:val="18"/>
              </w:rPr>
              <w:t>Demand &amp; installed base</w:t>
            </w:r>
          </w:p>
        </w:tc>
        <w:tc>
          <w:tcPr>
            <w:tcW w:type="dxa" w:w="3456"/>
          </w:tcPr>
          <w:p>
            <w:pPr>
              <w:spacing w:after="20" w:before="20"/>
              <w:jc w:val="center"/>
            </w:pPr>
            <w:r/>
            <w:r>
              <w:rPr>
                <w:rFonts w:ascii="Calibri" w:hAnsi="Calibri"/>
                <w:b w:val="0"/>
                <w:i w:val="0"/>
                <w:color w:val="222222"/>
                <w:sz w:val="18"/>
              </w:rPr>
              <w:t>Services attach &amp; multiple</w:t>
            </w:r>
          </w:p>
        </w:tc>
        <w:tc>
          <w:tcPr>
            <w:tcW w:type="dxa" w:w="1440"/>
          </w:tcPr>
          <w:p>
            <w:pPr>
              <w:spacing w:after="20" w:before="20"/>
              <w:jc w:val="center"/>
            </w:pPr>
            <w:r/>
            <w:r>
              <w:rPr>
                <w:rFonts w:ascii="Calibri" w:hAnsi="Calibri"/>
                <w:b w:val="0"/>
                <w:i w:val="0"/>
                <w:color w:val="222222"/>
                <w:sz w:val="18"/>
              </w:rPr>
              <w:t>$184</w:t>
            </w:r>
          </w:p>
        </w:tc>
      </w:tr>
    </w:tbl>
    <w:p>
      <w:pPr>
        <w:spacing w:after="40"/>
      </w:pPr>
    </w:p>
    <w:p>
      <w:pPr>
        <w:spacing w:after="80" w:line="254" w:lineRule="auto"/>
      </w:pPr>
      <w:r>
        <w:rPr>
          <w:color w:val="222222"/>
          <w:sz w:val="20"/>
        </w:rPr>
        <w:t>The spread — $152 to $253 at base — is wide, and it is almost entirely one disagreement: how much of Apple's value is a durable, high-margin Services annuity beyond the explicit cash-flow window. Expert 2 says the market is right to capitalise it (quality compounds); Expert 1 says pay only for the modelled cash (durability must be earned); Expert 3 says value the annuity apart from the hardware and you land in between. The $100 spread is therefore a clean measure of a single uncertainty — the durability and monetisation of the Services layer. Resolve that, and the three converge. Spot, at $313.09, sits above all three base cases, which is the market's own answer: it is paying, today, for the most optimistic reading of that annuity.</w:t>
      </w:r>
    </w:p>
    <w:p>
      <w:pPr>
        <w:spacing w:before="240" w:after="60"/>
        <w:pBdr>
          <w:bottom w:val="single" w:sz="6" w:space="2" w:color="B0894B"/>
        </w:pBdr>
      </w:pPr>
      <w:r>
        <w:rPr>
          <w:b/>
          <w:color w:val="1B5E5E"/>
          <w:sz w:val="28"/>
        </w:rPr>
        <w:t>About this series</w:t>
      </w:r>
    </w:p>
    <w:p>
      <w:pPr>
        <w:spacing w:after="80" w:line="254" w:lineRule="auto"/>
      </w:pPr>
      <w:r>
        <w:rPr>
          <w:color w:val="222222"/>
          <w:sz w:val="20"/>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before="240" w:after="60"/>
        <w:pBdr>
          <w:bottom w:val="single" w:sz="6" w:space="2" w:color="B0894B"/>
        </w:pBdr>
      </w:pPr>
      <w:r>
        <w:rPr>
          <w:b/>
          <w:color w:val="1B5E5E"/>
          <w:sz w:val="28"/>
        </w:rPr>
        <w:t>Disclosure &amp; Disclaimer</w:t>
      </w:r>
    </w:p>
    <w:p>
      <w:pPr>
        <w:spacing w:after="80"/>
      </w:pPr>
      <w:r>
        <w:rPr>
          <w:b/>
          <w:i/>
          <w:color w:val="222222"/>
          <w:sz w:val="18"/>
        </w:rPr>
        <w:t xml:space="preserve">Not investment advice.  </w:t>
      </w:r>
      <w:r>
        <w:rPr>
          <w:color w:val="222222"/>
          <w:sz w:val="18"/>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pPr>
      <w:r>
        <w:rPr>
          <w:b/>
          <w:i/>
          <w:color w:val="222222"/>
          <w:sz w:val="18"/>
        </w:rPr>
        <w:t xml:space="preserve">No licence; no advisory relationship.  </w:t>
      </w:r>
      <w:r>
        <w:rPr>
          <w:color w:val="222222"/>
          <w:sz w:val="18"/>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80"/>
      </w:pPr>
      <w:r>
        <w:rPr>
          <w:b/>
          <w:i/>
          <w:color w:val="222222"/>
          <w:sz w:val="18"/>
        </w:rPr>
        <w:t xml:space="preserve">Holdings disclosure.  </w:t>
      </w:r>
      <w:r>
        <w:rPr>
          <w:color w:val="222222"/>
          <w:sz w:val="18"/>
        </w:rPr>
        <w:t>The preparer may hold, and may in the future take or dispose of, a position in the security discussed in this report, and may transact at any time without notice. This is a potential conflict of interest you should weigh.</w:t>
      </w:r>
    </w:p>
    <w:p>
      <w:pPr>
        <w:spacing w:after="80"/>
      </w:pPr>
      <w:r>
        <w:rPr>
          <w:b/>
          <w:i/>
          <w:color w:val="222222"/>
          <w:sz w:val="18"/>
        </w:rPr>
        <w:t xml:space="preserve">Sources &amp; accuracy.  </w:t>
      </w:r>
      <w:r>
        <w:rPr>
          <w:color w:val="222222"/>
          <w:sz w:val="18"/>
        </w:rPr>
        <w:t>Reported financial and operating figures are drawn from the company's public disclosure (Form 10-K, FY2023–FY2025) and other public sources believed reliable but not independently verified; they may contain errors or be superseded. Forward-looking inputs — the revenue and margin forecasts, the segment marks, the multiples, the DCF and Monte-Carlo factor probabilities — are the preparer's own judgments and are inherently uncertain.</w:t>
      </w:r>
    </w:p>
    <w:p>
      <w:pPr>
        <w:spacing w:after="80"/>
      </w:pPr>
      <w:r>
        <w:rPr>
          <w:b/>
          <w:i/>
          <w:color w:val="222222"/>
          <w:sz w:val="18"/>
        </w:rPr>
        <w:t xml:space="preserve">Forward-looking statements.  </w:t>
      </w:r>
      <w:r>
        <w:rPr>
          <w:color w:val="222222"/>
          <w:sz w:val="18"/>
        </w:rPr>
        <w:t>Any statements about the future are estimates subject to risks and uncertainties; actual results may differ materially. The Monte Carlo models price, not value, and encodes subjective probabilities for events that have not occurred.</w:t>
      </w:r>
    </w:p>
    <w:p>
      <w:pPr>
        <w:spacing w:after="80"/>
      </w:pPr>
      <w:r>
        <w:rPr>
          <w:b/>
          <w:i/>
          <w:color w:val="222222"/>
          <w:sz w:val="18"/>
        </w:rPr>
        <w:t xml:space="preserve">No reliance; your responsibility.  </w:t>
      </w:r>
      <w:r>
        <w:rPr>
          <w:color w:val="222222"/>
          <w:sz w:val="18"/>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pPr>
      <w:r>
        <w:rPr>
          <w:b/>
          <w:i/>
          <w:color w:val="222222"/>
          <w:sz w:val="18"/>
        </w:rPr>
        <w:t xml:space="preserve">Currency &amp; figures.  </w:t>
      </w:r>
      <w:r>
        <w:rPr>
          <w:color w:val="222222"/>
          <w:sz w:val="18"/>
        </w:rPr>
        <w:t>Figures are in US dollars ($); bn denotes billion and tn trillion. Apple's fiscal year ends in late September. Rounding may cause totals to differ slightly. Spot price and market data are as of 06 July 2026 and change continuously.</w:t>
      </w:r>
    </w:p>
    <w:p>
      <w:pPr>
        <w:spacing w:before="160"/>
      </w:pPr>
      <w:r>
        <w:rPr>
          <w:i/>
          <w:color w:val="2A8F8F"/>
          <w:sz w:val="17"/>
        </w:rPr>
        <w:t>TESTAHIL · Independent Valuation Study · Educational Analysis · Apple Inc. (NASDAQ: AAPL) · edition 06-07-2026 · reporting currency USD</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