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val="clear" w:fill="1C3A36"/>
          </w:tcPr>
          <w:p>
            <w:pPr>
              <w:spacing w:line="264" w:lineRule="auto"/>
            </w:pPr>
            <w:r>
              <w:rPr>
                <w:b/>
                <w:i w:val="0"/>
                <w:color w:val="FFFFFF"/>
                <w:sz w:val="21"/>
              </w:rPr>
              <w:t>Testahil  ·  Independent Valuation Study - Educational Analysis            Not investment advice</w:t>
            </w:r>
          </w:p>
        </w:tc>
      </w:tr>
    </w:tbl>
    <w:p>
      <w:pPr>
        <w:spacing w:line="264" w:lineRule="auto" w:before="160"/>
      </w:pPr>
      <w:r>
        <w:rPr>
          <w:b/>
          <w:i w:val="0"/>
          <w:color w:val="1C3A36"/>
          <w:sz w:val="26"/>
        </w:rPr>
        <w:t>Independent Valuation Study - Educational Analysis</w:t>
      </w:r>
    </w:p>
    <w:p>
      <w:pPr>
        <w:spacing w:line="264" w:lineRule="auto" w:before="160"/>
      </w:pPr>
      <w:r>
        <w:rPr>
          <w:b/>
          <w:i w:val="0"/>
          <w:color w:val="1C3A36"/>
          <w:sz w:val="30"/>
        </w:rPr>
        <w:t>Abu Qir Fertilizers and Chemical Industries (S.A.E.)  (EGX: ABUK)</w:t>
      </w:r>
    </w:p>
    <w:p>
      <w:pPr>
        <w:spacing w:line="264" w:lineRule="auto"/>
      </w:pPr>
      <w:r>
        <w:rPr>
          <w:b w:val="0"/>
          <w:i/>
          <w:color w:val="666666"/>
          <w:sz w:val="21"/>
        </w:rPr>
        <w:t>Fundamental analysis · Technical analysis · Monte Carlo simulation - one integrated read</w:t>
      </w:r>
    </w:p>
    <w:p>
      <w:pPr>
        <w:spacing w:line="264" w:lineRule="auto"/>
      </w:pPr>
      <w:r>
        <w:rPr>
          <w:b/>
          <w:i w:val="0"/>
          <w:color w:val="1C3A36"/>
          <w:sz w:val="21"/>
        </w:rPr>
        <w:t xml:space="preserve">Anchor: </w:t>
      </w:r>
      <w:r>
        <w:rPr>
          <w:b w:val="0"/>
          <w:i w:val="0"/>
          <w:sz w:val="21"/>
        </w:rPr>
        <w:t>EGP 67.97 (1 Jul 2026 close) · ~1,262.5 mn shares · mkt cap ~EGP 85.8 bn · Egypt's largest nitrogen-fertilizer producer, effectively debt-free with ~EGP 16 bn net cash and a sizeable investment/associate portfolio · prices and probabilities computed 1 Jul 2026 from the attached daily history · primary lens: operating FCFF plus a sum-of-the-parts for investments and net cash · swing factors: the gas-feedstock cost (subsidised vs export-parity) and the EGP.</w:t>
      </w:r>
    </w:p>
    <w:tbl>
      <w:tblPr>
        <w:tblStyle w:val="TableGrid"/>
        <w:tblW w:type="auto" w:w="0"/>
        <w:tblLook w:firstColumn="1" w:firstRow="1" w:lastColumn="0" w:lastRow="0" w:noHBand="0" w:noVBand="1" w:val="04A0"/>
      </w:tblPr>
      <w:tblGrid>
        <w:gridCol w:w="9936"/>
      </w:tblGrid>
      <w:tr>
        <w:tc>
          <w:tcPr>
            <w:tcW w:type="dxa" w:w="9936"/>
            <w:shd w:val="clear" w:fill="F6F1E6"/>
          </w:tcPr>
          <w:p>
            <w:pPr>
              <w:spacing w:line="264" w:lineRule="auto"/>
            </w:pPr>
            <w:r>
              <w:rPr>
                <w:b/>
                <w:i w:val="0"/>
                <w:color w:val="1C3A36"/>
                <w:sz w:val="19"/>
              </w:rPr>
              <w:t xml:space="preserve">READ FIRST - what this document is, and is not. </w:t>
            </w:r>
            <w:r>
              <w:rPr>
                <w:b w:val="0"/>
                <w:i w:val="0"/>
                <w:sz w:val="18"/>
              </w:rPr>
              <w:t>This study is a valuation exercise and an expression of personal analytical opinion, published free of charge for educational purposes. It is NOT investment advice, NOT a recommendation or solicitation to buy, sell or hold any security, and NOT directed at the circumstances of any reader. The preparer is not licensed by any securities regulator, manages no money, and accepts no fees, funds or clients. All values are model outputs presented as ranges and distributions because no single number should be relied on. Reported financials are the company's own disclosure (FY2024/25 audited, reported Jul-Sep 2025); forward-looking inputs - the mid-cycle margin, the marks on investments and net cash, the multiples, the DCF and the Monte-Carlo factor probabilities - are the preparer's judgments and are flagged throughout. Core earnings shown here deliberately exclude the lumpy one-off associate revaluations that inflate reported net income in some years. See the Disclosure &amp; Disclaimer at the end.</w:t>
            </w:r>
          </w:p>
        </w:tc>
      </w:tr>
    </w:tbl>
    <w:p>
      <w:pPr>
        <w:spacing w:before="160" w:after="120" w:line="264" w:lineRule="auto"/>
      </w:pPr>
      <w:r>
        <w:rPr>
          <w:b/>
          <w:i w:val="0"/>
          <w:color w:val="1C3A36"/>
          <w:sz w:val="30"/>
        </w:rPr>
        <w:t>Headline</w:t>
      </w:r>
    </w:p>
    <w:p>
      <w:pPr>
        <w:spacing w:after="120" w:line="264" w:lineRule="auto"/>
      </w:pPr>
      <w:r>
        <w:rPr>
          <w:b w:val="0"/>
          <w:i w:val="0"/>
          <w:sz w:val="21"/>
        </w:rPr>
        <w:t>At EGP 68 the stock sits modestly above a fundamental cluster of roughly EGP 57-62. The operating fertilizer business, valued on a mid-cycle margin, is worth ~EGP 54 bn; add ~EGP 16 bn of net cash and ~EGP 6 bn of investments and equity is ~EGP 72-76 bn, or EGP 57-60 a share. The argument is not really the numbers - it is whether subsidised gas holds (bull) or resets to export parity (bear), and how much to discount a cash pile the company has not distributed. The three-month probability map is near-symmetric around spot: a 25-75% band of about EGP 56-81, with a fatter upside tail from the fertilizer-price and FX event factors.</w:t>
      </w:r>
    </w:p>
    <w:p>
      <w:pPr>
        <w:spacing w:before="160" w:after="120" w:line="264" w:lineRule="auto"/>
      </w:pPr>
      <w:r>
        <w:rPr>
          <w:b/>
          <w:i w:val="0"/>
          <w:color w:val="1C3A36"/>
          <w:sz w:val="26"/>
        </w:rPr>
        <w:t>Valuation summary - every read at a glance</w:t>
      </w:r>
    </w:p>
    <w:p>
      <w:pPr>
        <w:spacing w:after="120" w:line="264" w:lineRule="auto"/>
      </w:pPr>
      <w:r>
        <w:rPr>
          <w:b w:val="0"/>
          <w:i w:val="0"/>
          <w:sz w:val="21"/>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tblLook w:firstColumn="1" w:firstRow="1" w:lastColumn="0" w:lastRow="0" w:noHBand="0" w:noVBand="1" w:val="04A0"/>
      </w:tblPr>
      <w:tblGrid>
        <w:gridCol w:w="2484"/>
        <w:gridCol w:w="2484"/>
        <w:gridCol w:w="2484"/>
        <w:gridCol w:w="2484"/>
      </w:tblGrid>
      <w:tr>
        <w:tc>
          <w:tcPr>
            <w:tcW w:type="dxa" w:w="2736"/>
            <w:shd w:val="clear" w:fill="1C3A36"/>
          </w:tcPr>
          <w:p>
            <w:pPr>
              <w:spacing w:line="264" w:lineRule="auto"/>
            </w:pPr>
            <w:r>
              <w:rPr>
                <w:b/>
                <w:i w:val="0"/>
                <w:color w:val="FFFFFF"/>
                <w:sz w:val="18"/>
              </w:rPr>
              <w:t>Lens / read</w:t>
            </w:r>
          </w:p>
        </w:tc>
        <w:tc>
          <w:tcPr>
            <w:tcW w:type="dxa" w:w="3744"/>
            <w:shd w:val="clear" w:fill="1C3A36"/>
          </w:tcPr>
          <w:p>
            <w:pPr>
              <w:spacing w:line="264" w:lineRule="auto"/>
              <w:jc w:val="right"/>
            </w:pPr>
            <w:r>
              <w:rPr>
                <w:b/>
                <w:i w:val="0"/>
                <w:color w:val="FFFFFF"/>
                <w:sz w:val="18"/>
              </w:rPr>
              <w:t>What it measures</w:t>
            </w:r>
          </w:p>
        </w:tc>
        <w:tc>
          <w:tcPr>
            <w:tcW w:type="dxa" w:w="1728"/>
            <w:shd w:val="clear" w:fill="1C3A36"/>
          </w:tcPr>
          <w:p>
            <w:pPr>
              <w:spacing w:line="264" w:lineRule="auto"/>
              <w:jc w:val="right"/>
            </w:pPr>
            <w:r>
              <w:rPr>
                <w:b/>
                <w:i w:val="0"/>
                <w:color w:val="FFFFFF"/>
                <w:sz w:val="18"/>
              </w:rPr>
              <w:t>Output</w:t>
            </w:r>
          </w:p>
        </w:tc>
        <w:tc>
          <w:tcPr>
            <w:tcW w:type="dxa" w:w="2304"/>
            <w:shd w:val="clear" w:fill="1C3A36"/>
          </w:tcPr>
          <w:p>
            <w:pPr>
              <w:spacing w:line="264" w:lineRule="auto"/>
              <w:jc w:val="right"/>
            </w:pPr>
            <w:r>
              <w:rPr>
                <w:b/>
                <w:i w:val="0"/>
                <w:color w:val="FFFFFF"/>
                <w:sz w:val="18"/>
              </w:rPr>
              <w:t>Takeaway</w:t>
            </w:r>
          </w:p>
        </w:tc>
      </w:tr>
      <w:tr>
        <w:tc>
          <w:tcPr>
            <w:tcW w:type="dxa" w:w="2304"/>
            <w:gridSpan w:val="4"/>
            <w:shd w:val="clear" w:fill="1C3A36"/>
          </w:tcPr>
          <w:p>
            <w:pPr>
              <w:spacing w:line="264" w:lineRule="auto"/>
            </w:pPr>
            <w:r>
              <w:rPr>
                <w:b/>
                <w:i w:val="0"/>
                <w:color w:val="FFFFFF"/>
                <w:sz w:val="19"/>
              </w:rPr>
              <w:t>FUNDAMENTAL - what the business is worth (the anchor)</w:t>
            </w:r>
          </w:p>
        </w:tc>
      </w:tr>
      <w:tr>
        <w:tc>
          <w:tcPr>
            <w:tcW w:type="dxa" w:w="2736"/>
            <w:shd w:val="clear" w:fill="EFF3F1"/>
          </w:tcPr>
          <w:p>
            <w:pPr>
              <w:spacing w:line="264" w:lineRule="auto"/>
            </w:pPr>
            <w:r>
              <w:rPr>
                <w:b w:val="0"/>
                <w:i w:val="0"/>
                <w:color w:val="1C3A36"/>
                <w:sz w:val="18"/>
              </w:rPr>
              <w:t>Sum-of-the-parts (primary)</w:t>
            </w:r>
          </w:p>
        </w:tc>
        <w:tc>
          <w:tcPr>
            <w:tcW w:type="dxa" w:w="3744"/>
            <w:shd w:val="clear" w:fill="EFF3F1"/>
          </w:tcPr>
          <w:p>
            <w:pPr>
              <w:spacing w:line="264" w:lineRule="auto"/>
              <w:jc w:val="right"/>
            </w:pPr>
            <w:r>
              <w:rPr>
                <w:b w:val="0"/>
                <w:i w:val="0"/>
                <w:sz w:val="18"/>
              </w:rPr>
              <w:t>Operating DCF + investments + net cash</w:t>
            </w:r>
          </w:p>
        </w:tc>
        <w:tc>
          <w:tcPr>
            <w:tcW w:type="dxa" w:w="1728"/>
            <w:shd w:val="clear" w:fill="EFF3F1"/>
          </w:tcPr>
          <w:p>
            <w:pPr>
              <w:spacing w:line="264" w:lineRule="auto"/>
              <w:jc w:val="right"/>
            </w:pPr>
            <w:r>
              <w:rPr>
                <w:b w:val="0"/>
                <w:i w:val="0"/>
                <w:sz w:val="18"/>
              </w:rPr>
              <w:t>EGP 60</w:t>
            </w:r>
          </w:p>
        </w:tc>
        <w:tc>
          <w:tcPr>
            <w:tcW w:type="dxa" w:w="2304"/>
            <w:shd w:val="clear" w:fill="EFF3F1"/>
          </w:tcPr>
          <w:p>
            <w:pPr>
              <w:spacing w:line="264" w:lineRule="auto"/>
              <w:jc w:val="right"/>
            </w:pPr>
            <w:r>
              <w:rPr>
                <w:b w:val="0"/>
                <w:i w:val="0"/>
                <w:sz w:val="18"/>
              </w:rPr>
              <w:t>-11% vs spot</w:t>
            </w:r>
          </w:p>
        </w:tc>
      </w:tr>
      <w:tr>
        <w:tc>
          <w:tcPr>
            <w:tcW w:type="dxa" w:w="2736"/>
          </w:tcPr>
          <w:p>
            <w:pPr>
              <w:spacing w:line="264" w:lineRule="auto"/>
            </w:pPr>
            <w:r>
              <w:rPr>
                <w:b w:val="0"/>
                <w:i w:val="0"/>
                <w:color w:val="1C3A36"/>
                <w:sz w:val="18"/>
              </w:rPr>
              <w:t>Consolidated DCF</w:t>
            </w:r>
          </w:p>
        </w:tc>
        <w:tc>
          <w:tcPr>
            <w:tcW w:type="dxa" w:w="3744"/>
          </w:tcPr>
          <w:p>
            <w:pPr>
              <w:spacing w:line="264" w:lineRule="auto"/>
              <w:jc w:val="right"/>
            </w:pPr>
            <w:r>
              <w:rPr>
                <w:b w:val="0"/>
                <w:i w:val="0"/>
                <w:sz w:val="18"/>
              </w:rPr>
              <w:t>Discounted 5-yr operating cash flows</w:t>
            </w:r>
          </w:p>
        </w:tc>
        <w:tc>
          <w:tcPr>
            <w:tcW w:type="dxa" w:w="1728"/>
          </w:tcPr>
          <w:p>
            <w:pPr>
              <w:spacing w:line="264" w:lineRule="auto"/>
              <w:jc w:val="right"/>
            </w:pPr>
            <w:r>
              <w:rPr>
                <w:b w:val="0"/>
                <w:i w:val="0"/>
                <w:sz w:val="18"/>
              </w:rPr>
              <w:t>EGP 60</w:t>
            </w:r>
          </w:p>
        </w:tc>
        <w:tc>
          <w:tcPr>
            <w:tcW w:type="dxa" w:w="2304"/>
          </w:tcPr>
          <w:p>
            <w:pPr>
              <w:spacing w:line="264" w:lineRule="auto"/>
              <w:jc w:val="right"/>
            </w:pPr>
            <w:r>
              <w:rPr>
                <w:b w:val="0"/>
                <w:i w:val="0"/>
                <w:sz w:val="18"/>
              </w:rPr>
              <w:t>-11%</w:t>
            </w:r>
          </w:p>
        </w:tc>
      </w:tr>
      <w:tr>
        <w:tc>
          <w:tcPr>
            <w:tcW w:type="dxa" w:w="2736"/>
            <w:shd w:val="clear" w:fill="EFF3F1"/>
          </w:tcPr>
          <w:p>
            <w:pPr>
              <w:spacing w:line="264" w:lineRule="auto"/>
            </w:pPr>
            <w:r>
              <w:rPr>
                <w:b w:val="0"/>
                <w:i w:val="0"/>
                <w:color w:val="1C3A36"/>
                <w:sz w:val="18"/>
              </w:rPr>
              <w:t>Mid-cycle EBITDA x 5.5x</w:t>
            </w:r>
          </w:p>
        </w:tc>
        <w:tc>
          <w:tcPr>
            <w:tcW w:type="dxa" w:w="3744"/>
            <w:shd w:val="clear" w:fill="EFF3F1"/>
          </w:tcPr>
          <w:p>
            <w:pPr>
              <w:spacing w:line="264" w:lineRule="auto"/>
              <w:jc w:val="right"/>
            </w:pPr>
            <w:r>
              <w:rPr>
                <w:b w:val="0"/>
                <w:i w:val="0"/>
                <w:sz w:val="18"/>
              </w:rPr>
              <w:t>Operating multiple, ex one-offs</w:t>
            </w:r>
          </w:p>
        </w:tc>
        <w:tc>
          <w:tcPr>
            <w:tcW w:type="dxa" w:w="1728"/>
            <w:shd w:val="clear" w:fill="EFF3F1"/>
          </w:tcPr>
          <w:p>
            <w:pPr>
              <w:spacing w:line="264" w:lineRule="auto"/>
              <w:jc w:val="right"/>
            </w:pPr>
            <w:r>
              <w:rPr>
                <w:b w:val="0"/>
                <w:i w:val="0"/>
                <w:sz w:val="18"/>
              </w:rPr>
              <w:t>EGP 57</w:t>
            </w:r>
          </w:p>
        </w:tc>
        <w:tc>
          <w:tcPr>
            <w:tcW w:type="dxa" w:w="2304"/>
            <w:shd w:val="clear" w:fill="EFF3F1"/>
          </w:tcPr>
          <w:p>
            <w:pPr>
              <w:spacing w:line="264" w:lineRule="auto"/>
              <w:jc w:val="right"/>
            </w:pPr>
            <w:r>
              <w:rPr>
                <w:b w:val="0"/>
                <w:i w:val="0"/>
                <w:sz w:val="18"/>
              </w:rPr>
              <w:t>the floor</w:t>
            </w:r>
          </w:p>
        </w:tc>
      </w:tr>
      <w:tr>
        <w:tc>
          <w:tcPr>
            <w:tcW w:type="dxa" w:w="2736"/>
          </w:tcPr>
          <w:p>
            <w:pPr>
              <w:spacing w:line="264" w:lineRule="auto"/>
            </w:pPr>
            <w:r>
              <w:rPr>
                <w:b w:val="0"/>
                <w:i w:val="0"/>
                <w:color w:val="1C3A36"/>
                <w:sz w:val="18"/>
              </w:rPr>
              <w:t>Relative P/E</w:t>
            </w:r>
          </w:p>
        </w:tc>
        <w:tc>
          <w:tcPr>
            <w:tcW w:type="dxa" w:w="3744"/>
          </w:tcPr>
          <w:p>
            <w:pPr>
              <w:spacing w:line="264" w:lineRule="auto"/>
              <w:jc w:val="right"/>
            </w:pPr>
            <w:r>
              <w:rPr>
                <w:b w:val="0"/>
                <w:i w:val="0"/>
                <w:sz w:val="18"/>
              </w:rPr>
              <w:t>Peer-multiple on core earnings</w:t>
            </w:r>
          </w:p>
        </w:tc>
        <w:tc>
          <w:tcPr>
            <w:tcW w:type="dxa" w:w="1728"/>
          </w:tcPr>
          <w:p>
            <w:pPr>
              <w:spacing w:line="264" w:lineRule="auto"/>
              <w:jc w:val="right"/>
            </w:pPr>
            <w:r>
              <w:rPr>
                <w:b w:val="0"/>
                <w:i w:val="0"/>
                <w:sz w:val="18"/>
              </w:rPr>
              <w:t>EGP 72</w:t>
            </w:r>
          </w:p>
        </w:tc>
        <w:tc>
          <w:tcPr>
            <w:tcW w:type="dxa" w:w="2304"/>
          </w:tcPr>
          <w:p>
            <w:pPr>
              <w:spacing w:line="264" w:lineRule="auto"/>
              <w:jc w:val="right"/>
            </w:pPr>
            <w:r>
              <w:rPr>
                <w:b w:val="0"/>
                <w:i w:val="0"/>
                <w:sz w:val="18"/>
              </w:rPr>
              <w:t>+6% · the ceiling</w:t>
            </w:r>
          </w:p>
        </w:tc>
      </w:tr>
      <w:tr>
        <w:tc>
          <w:tcPr>
            <w:tcW w:type="dxa" w:w="2736"/>
            <w:shd w:val="clear" w:fill="EFF3F1"/>
          </w:tcPr>
          <w:p>
            <w:pPr>
              <w:spacing w:line="264" w:lineRule="auto"/>
            </w:pPr>
            <w:r>
              <w:rPr>
                <w:b/>
                <w:i w:val="0"/>
                <w:color w:val="1C3A36"/>
                <w:sz w:val="18"/>
              </w:rPr>
              <w:t>Weighted central</w:t>
            </w:r>
          </w:p>
        </w:tc>
        <w:tc>
          <w:tcPr>
            <w:tcW w:type="dxa" w:w="3744"/>
            <w:shd w:val="clear" w:fill="EFF3F1"/>
          </w:tcPr>
          <w:p>
            <w:pPr>
              <w:spacing w:line="264" w:lineRule="auto"/>
              <w:jc w:val="right"/>
            </w:pPr>
            <w:r>
              <w:rPr>
                <w:b/>
                <w:i w:val="0"/>
                <w:sz w:val="18"/>
              </w:rPr>
              <w:t>Blend 40 / 20 / 15 / 25</w:t>
            </w:r>
          </w:p>
        </w:tc>
        <w:tc>
          <w:tcPr>
            <w:tcW w:type="dxa" w:w="1728"/>
            <w:shd w:val="clear" w:fill="EFF3F1"/>
          </w:tcPr>
          <w:p>
            <w:pPr>
              <w:spacing w:line="264" w:lineRule="auto"/>
              <w:jc w:val="right"/>
            </w:pPr>
            <w:r>
              <w:rPr>
                <w:b/>
                <w:i w:val="0"/>
                <w:sz w:val="18"/>
              </w:rPr>
              <w:t>EGP 60</w:t>
            </w:r>
          </w:p>
        </w:tc>
        <w:tc>
          <w:tcPr>
            <w:tcW w:type="dxa" w:w="2304"/>
            <w:shd w:val="clear" w:fill="EFF3F1"/>
          </w:tcPr>
          <w:p>
            <w:pPr>
              <w:spacing w:line="264" w:lineRule="auto"/>
              <w:jc w:val="right"/>
            </w:pPr>
            <w:r>
              <w:rPr>
                <w:b/>
                <w:i w:val="0"/>
                <w:sz w:val="18"/>
              </w:rPr>
              <w:t>-11% vs 68</w:t>
            </w:r>
          </w:p>
        </w:tc>
      </w:tr>
      <w:tr>
        <w:tc>
          <w:tcPr>
            <w:tcW w:type="dxa" w:w="2304"/>
            <w:gridSpan w:val="4"/>
            <w:shd w:val="clear" w:fill="1C3A36"/>
          </w:tcPr>
          <w:p>
            <w:pPr>
              <w:spacing w:line="264" w:lineRule="auto"/>
            </w:pPr>
            <w:r>
              <w:rPr>
                <w:b/>
                <w:i w:val="0"/>
                <w:color w:val="FFFFFF"/>
                <w:sz w:val="19"/>
              </w:rPr>
              <w:t>TECHNICAL - what the tape is doing (timing, not value)</w:t>
            </w:r>
          </w:p>
        </w:tc>
      </w:tr>
      <w:tr>
        <w:tc>
          <w:tcPr>
            <w:tcW w:type="dxa" w:w="2736"/>
            <w:shd w:val="clear" w:fill="EFF3F1"/>
          </w:tcPr>
          <w:p>
            <w:pPr>
              <w:spacing w:line="264" w:lineRule="auto"/>
            </w:pPr>
            <w:r>
              <w:rPr>
                <w:b w:val="0"/>
                <w:i w:val="0"/>
                <w:color w:val="1C3A36"/>
                <w:sz w:val="18"/>
              </w:rPr>
              <w:t>Trend &amp; momentum</w:t>
            </w:r>
          </w:p>
        </w:tc>
        <w:tc>
          <w:tcPr>
            <w:tcW w:type="dxa" w:w="3744"/>
            <w:shd w:val="clear" w:fill="EFF3F1"/>
          </w:tcPr>
          <w:p>
            <w:pPr>
              <w:spacing w:line="264" w:lineRule="auto"/>
              <w:jc w:val="right"/>
            </w:pPr>
            <w:r>
              <w:rPr>
                <w:b w:val="0"/>
                <w:i w:val="0"/>
                <w:sz w:val="18"/>
              </w:rPr>
              <w:t>Price vs 20/50/100/200-day</w:t>
            </w:r>
          </w:p>
        </w:tc>
        <w:tc>
          <w:tcPr>
            <w:tcW w:type="dxa" w:w="1728"/>
            <w:shd w:val="clear" w:fill="EFF3F1"/>
          </w:tcPr>
          <w:p>
            <w:pPr>
              <w:spacing w:line="264" w:lineRule="auto"/>
              <w:jc w:val="right"/>
            </w:pPr>
            <w:r>
              <w:rPr>
                <w:b w:val="0"/>
                <w:i w:val="0"/>
                <w:sz w:val="18"/>
              </w:rPr>
              <w:t>Below 20/50/100, above 200</w:t>
            </w:r>
          </w:p>
        </w:tc>
        <w:tc>
          <w:tcPr>
            <w:tcW w:type="dxa" w:w="2304"/>
            <w:shd w:val="clear" w:fill="EFF3F1"/>
          </w:tcPr>
          <w:p>
            <w:pPr>
              <w:spacing w:line="264" w:lineRule="auto"/>
              <w:jc w:val="right"/>
            </w:pPr>
            <w:r>
              <w:rPr>
                <w:b w:val="0"/>
                <w:i w:val="0"/>
                <w:sz w:val="18"/>
              </w:rPr>
              <w:t>Oversold pullback</w:t>
            </w:r>
          </w:p>
        </w:tc>
      </w:tr>
      <w:tr>
        <w:tc>
          <w:tcPr>
            <w:tcW w:type="dxa" w:w="2304"/>
            <w:gridSpan w:val="4"/>
            <w:shd w:val="clear" w:fill="1C3A36"/>
          </w:tcPr>
          <w:p>
            <w:pPr>
              <w:spacing w:line="264" w:lineRule="auto"/>
            </w:pPr>
            <w:r>
              <w:rPr>
                <w:b/>
                <w:i w:val="0"/>
                <w:color w:val="FFFFFF"/>
                <w:sz w:val="19"/>
              </w:rPr>
              <w:t>MONTE CARLO - where price could travel (3 months)</w:t>
            </w:r>
          </w:p>
        </w:tc>
      </w:tr>
      <w:tr>
        <w:tc>
          <w:tcPr>
            <w:tcW w:type="dxa" w:w="2736"/>
            <w:shd w:val="clear" w:fill="EFF3F1"/>
          </w:tcPr>
          <w:p>
            <w:pPr>
              <w:spacing w:line="264" w:lineRule="auto"/>
            </w:pPr>
            <w:r>
              <w:rPr>
                <w:b w:val="0"/>
                <w:i w:val="0"/>
                <w:color w:val="1C3A36"/>
                <w:sz w:val="18"/>
              </w:rPr>
              <w:t>T+60 distribution</w:t>
            </w:r>
          </w:p>
        </w:tc>
        <w:tc>
          <w:tcPr>
            <w:tcW w:type="dxa" w:w="3744"/>
            <w:shd w:val="clear" w:fill="EFF3F1"/>
          </w:tcPr>
          <w:p>
            <w:pPr>
              <w:spacing w:line="264" w:lineRule="auto"/>
              <w:jc w:val="right"/>
            </w:pPr>
            <w:r>
              <w:rPr>
                <w:b w:val="0"/>
                <w:i w:val="0"/>
                <w:sz w:val="18"/>
              </w:rPr>
              <w:t>16-factor, 50k paths, seed 42</w:t>
            </w:r>
          </w:p>
        </w:tc>
        <w:tc>
          <w:tcPr>
            <w:tcW w:type="dxa" w:w="1728"/>
            <w:shd w:val="clear" w:fill="EFF3F1"/>
          </w:tcPr>
          <w:p>
            <w:pPr>
              <w:spacing w:line="264" w:lineRule="auto"/>
              <w:jc w:val="right"/>
            </w:pPr>
            <w:r>
              <w:rPr>
                <w:b w:val="0"/>
                <w:i w:val="0"/>
                <w:sz w:val="18"/>
              </w:rPr>
              <w:t>P25-P75 EGP 56-81</w:t>
            </w:r>
          </w:p>
        </w:tc>
        <w:tc>
          <w:tcPr>
            <w:tcW w:type="dxa" w:w="2304"/>
            <w:shd w:val="clear" w:fill="EFF3F1"/>
          </w:tcPr>
          <w:p>
            <w:pPr>
              <w:spacing w:line="264" w:lineRule="auto"/>
              <w:jc w:val="right"/>
            </w:pPr>
            <w:r>
              <w:rPr>
                <w:b w:val="0"/>
                <w:i w:val="0"/>
                <w:sz w:val="18"/>
              </w:rPr>
              <w:t>Near-symmetric to spot</w:t>
            </w:r>
          </w:p>
        </w:tc>
      </w:tr>
      <w:tr>
        <w:tc>
          <w:tcPr>
            <w:tcW w:type="dxa" w:w="2304"/>
            <w:gridSpan w:val="4"/>
            <w:shd w:val="clear" w:fill="1C3A36"/>
          </w:tcPr>
          <w:p>
            <w:pPr>
              <w:spacing w:line="264" w:lineRule="auto"/>
            </w:pPr>
            <w:r>
              <w:rPr>
                <w:b/>
                <w:i w:val="0"/>
                <w:color w:val="FFFFFF"/>
                <w:sz w:val="19"/>
              </w:rPr>
              <w:t>EXPERT PANEL - three independent methods</w:t>
            </w:r>
          </w:p>
        </w:tc>
      </w:tr>
      <w:tr>
        <w:tc>
          <w:tcPr>
            <w:tcW w:type="dxa" w:w="2736"/>
            <w:shd w:val="clear" w:fill="EFF3F1"/>
          </w:tcPr>
          <w:p>
            <w:pPr>
              <w:spacing w:line="264" w:lineRule="auto"/>
            </w:pPr>
            <w:r>
              <w:rPr>
                <w:b w:val="0"/>
                <w:i w:val="0"/>
                <w:color w:val="1C3A36"/>
                <w:sz w:val="18"/>
              </w:rPr>
              <w:t>Expert 1 / 2 / 3</w:t>
            </w:r>
          </w:p>
        </w:tc>
        <w:tc>
          <w:tcPr>
            <w:tcW w:type="dxa" w:w="3744"/>
            <w:shd w:val="clear" w:fill="EFF3F1"/>
          </w:tcPr>
          <w:p>
            <w:pPr>
              <w:spacing w:line="264" w:lineRule="auto"/>
              <w:jc w:val="right"/>
            </w:pPr>
            <w:r>
              <w:rPr>
                <w:b w:val="0"/>
                <w:i w:val="0"/>
                <w:sz w:val="18"/>
              </w:rPr>
              <w:t>Earnings-power · NAV · Gas/FX regime</w:t>
            </w:r>
          </w:p>
        </w:tc>
        <w:tc>
          <w:tcPr>
            <w:tcW w:type="dxa" w:w="1728"/>
            <w:shd w:val="clear" w:fill="EFF3F1"/>
          </w:tcPr>
          <w:p>
            <w:pPr>
              <w:spacing w:line="264" w:lineRule="auto"/>
              <w:jc w:val="right"/>
            </w:pPr>
            <w:r>
              <w:rPr>
                <w:b w:val="0"/>
                <w:i w:val="0"/>
                <w:sz w:val="18"/>
              </w:rPr>
              <w:t>EGP 57 / 58 / 62</w:t>
            </w:r>
          </w:p>
        </w:tc>
        <w:tc>
          <w:tcPr>
            <w:tcW w:type="dxa" w:w="2304"/>
            <w:shd w:val="clear" w:fill="EFF3F1"/>
          </w:tcPr>
          <w:p>
            <w:pPr>
              <w:spacing w:line="264" w:lineRule="auto"/>
              <w:jc w:val="right"/>
            </w:pPr>
            <w:r>
              <w:rPr>
                <w:b w:val="0"/>
                <w:i w:val="0"/>
                <w:sz w:val="18"/>
              </w:rPr>
              <w:t>Cluster below spot</w:t>
            </w:r>
          </w:p>
        </w:tc>
      </w:tr>
    </w:tbl>
    <w:p>
      <w:pPr>
        <w:spacing w:after="40"/>
      </w:pPr>
    </w:p>
    <w:p>
      <w:pPr>
        <w:spacing w:before="160" w:after="120" w:line="264" w:lineRule="auto"/>
      </w:pPr>
      <w:r>
        <w:rPr>
          <w:b/>
          <w:i w:val="0"/>
          <w:color w:val="1C3A36"/>
          <w:sz w:val="26"/>
        </w:rPr>
        <w:t>Company overview - Abu Qir Fertilizers and Chemical Industries at a glance</w:t>
      </w:r>
    </w:p>
    <w:tbl>
      <w:tblPr>
        <w:tblStyle w:val="TableGrid"/>
        <w:tblW w:type="auto" w:w="0"/>
        <w:tblLook w:firstColumn="1" w:firstRow="1" w:lastColumn="0" w:lastRow="0" w:noHBand="0" w:noVBand="1" w:val="04A0"/>
      </w:tblPr>
      <w:tblGrid>
        <w:gridCol w:w="4968"/>
        <w:gridCol w:w="4968"/>
      </w:tblGrid>
      <w:tr>
        <w:tc>
          <w:tcPr>
            <w:tcW w:type="dxa" w:w="3456"/>
            <w:shd w:val="clear" w:fill="1C3A36"/>
          </w:tcPr>
          <w:p>
            <w:pPr>
              <w:spacing w:line="264" w:lineRule="auto"/>
            </w:pPr>
            <w:r>
              <w:rPr>
                <w:b/>
                <w:i w:val="0"/>
                <w:color w:val="FFFFFF"/>
                <w:sz w:val="18"/>
              </w:rPr>
              <w:t>Item</w:t>
            </w:r>
          </w:p>
        </w:tc>
        <w:tc>
          <w:tcPr>
            <w:tcW w:type="dxa" w:w="6336"/>
            <w:shd w:val="clear" w:fill="1C3A36"/>
          </w:tcPr>
          <w:p>
            <w:pPr>
              <w:spacing w:line="264" w:lineRule="auto"/>
              <w:jc w:val="right"/>
            </w:pPr>
            <w:r>
              <w:rPr>
                <w:b/>
                <w:i w:val="0"/>
                <w:color w:val="FFFFFF"/>
                <w:sz w:val="18"/>
              </w:rPr>
              <w:t>Value</w:t>
            </w:r>
          </w:p>
        </w:tc>
      </w:tr>
      <w:tr>
        <w:tc>
          <w:tcPr>
            <w:tcW w:type="dxa" w:w="3456"/>
          </w:tcPr>
          <w:p>
            <w:pPr>
              <w:spacing w:line="264" w:lineRule="auto"/>
            </w:pPr>
            <w:r>
              <w:rPr>
                <w:b w:val="0"/>
                <w:i w:val="0"/>
                <w:color w:val="1C3A36"/>
                <w:sz w:val="18"/>
              </w:rPr>
              <w:t>Exchange / ticker</w:t>
            </w:r>
          </w:p>
        </w:tc>
        <w:tc>
          <w:tcPr>
            <w:tcW w:type="dxa" w:w="6336"/>
          </w:tcPr>
          <w:p>
            <w:pPr>
              <w:spacing w:line="264" w:lineRule="auto"/>
              <w:jc w:val="right"/>
            </w:pPr>
            <w:r>
              <w:rPr>
                <w:b w:val="0"/>
                <w:i w:val="0"/>
                <w:sz w:val="18"/>
              </w:rPr>
              <w:t>EGX: ABUK</w:t>
            </w:r>
          </w:p>
        </w:tc>
      </w:tr>
      <w:tr>
        <w:tc>
          <w:tcPr>
            <w:tcW w:type="dxa" w:w="3456"/>
            <w:shd w:val="clear" w:fill="EFF3F1"/>
          </w:tcPr>
          <w:p>
            <w:pPr>
              <w:spacing w:line="264" w:lineRule="auto"/>
            </w:pPr>
            <w:r>
              <w:rPr>
                <w:b w:val="0"/>
                <w:i w:val="0"/>
                <w:color w:val="1C3A36"/>
                <w:sz w:val="18"/>
              </w:rPr>
              <w:t>Sector</w:t>
            </w:r>
          </w:p>
        </w:tc>
        <w:tc>
          <w:tcPr>
            <w:tcW w:type="dxa" w:w="6336"/>
            <w:shd w:val="clear" w:fill="EFF3F1"/>
          </w:tcPr>
          <w:p>
            <w:pPr>
              <w:spacing w:line="264" w:lineRule="auto"/>
              <w:jc w:val="right"/>
            </w:pPr>
            <w:r>
              <w:rPr>
                <w:b w:val="0"/>
                <w:i w:val="0"/>
                <w:sz w:val="18"/>
              </w:rPr>
              <w:t>Nitrogen fertilizers &amp; chemicals</w:t>
            </w:r>
          </w:p>
        </w:tc>
      </w:tr>
      <w:tr>
        <w:tc>
          <w:tcPr>
            <w:tcW w:type="dxa" w:w="3456"/>
          </w:tcPr>
          <w:p>
            <w:pPr>
              <w:spacing w:line="264" w:lineRule="auto"/>
            </w:pPr>
            <w:r>
              <w:rPr>
                <w:b w:val="0"/>
                <w:i w:val="0"/>
                <w:color w:val="1C3A36"/>
                <w:sz w:val="18"/>
              </w:rPr>
              <w:t>Fiscal year-end</w:t>
            </w:r>
          </w:p>
        </w:tc>
        <w:tc>
          <w:tcPr>
            <w:tcW w:type="dxa" w:w="6336"/>
          </w:tcPr>
          <w:p>
            <w:pPr>
              <w:spacing w:line="264" w:lineRule="auto"/>
              <w:jc w:val="right"/>
            </w:pPr>
            <w:r>
              <w:rPr>
                <w:b w:val="0"/>
                <w:i w:val="0"/>
                <w:sz w:val="18"/>
              </w:rPr>
              <w:t>30 June</w:t>
            </w:r>
          </w:p>
        </w:tc>
      </w:tr>
      <w:tr>
        <w:tc>
          <w:tcPr>
            <w:tcW w:type="dxa" w:w="3456"/>
            <w:shd w:val="clear" w:fill="EFF3F1"/>
          </w:tcPr>
          <w:p>
            <w:pPr>
              <w:spacing w:line="264" w:lineRule="auto"/>
            </w:pPr>
            <w:r>
              <w:rPr>
                <w:b w:val="0"/>
                <w:i w:val="0"/>
                <w:color w:val="1C3A36"/>
                <w:sz w:val="18"/>
              </w:rPr>
              <w:t>Shares outstanding</w:t>
            </w:r>
          </w:p>
        </w:tc>
        <w:tc>
          <w:tcPr>
            <w:tcW w:type="dxa" w:w="6336"/>
            <w:shd w:val="clear" w:fill="EFF3F1"/>
          </w:tcPr>
          <w:p>
            <w:pPr>
              <w:spacing w:line="264" w:lineRule="auto"/>
              <w:jc w:val="right"/>
            </w:pPr>
            <w:r>
              <w:rPr>
                <w:b w:val="0"/>
                <w:i w:val="0"/>
                <w:sz w:val="18"/>
              </w:rPr>
              <w:t>~1,262.5 mn</w:t>
            </w:r>
          </w:p>
        </w:tc>
      </w:tr>
      <w:tr>
        <w:tc>
          <w:tcPr>
            <w:tcW w:type="dxa" w:w="3456"/>
          </w:tcPr>
          <w:p>
            <w:pPr>
              <w:spacing w:line="264" w:lineRule="auto"/>
            </w:pPr>
            <w:r>
              <w:rPr>
                <w:b w:val="0"/>
                <w:i w:val="0"/>
                <w:color w:val="1C3A36"/>
                <w:sz w:val="18"/>
              </w:rPr>
              <w:t>Spot / market cap</w:t>
            </w:r>
          </w:p>
        </w:tc>
        <w:tc>
          <w:tcPr>
            <w:tcW w:type="dxa" w:w="6336"/>
          </w:tcPr>
          <w:p>
            <w:pPr>
              <w:spacing w:line="264" w:lineRule="auto"/>
              <w:jc w:val="right"/>
            </w:pPr>
            <w:r>
              <w:rPr>
                <w:b w:val="0"/>
                <w:i w:val="0"/>
                <w:sz w:val="18"/>
              </w:rPr>
              <w:t>EGP 67.97 / ~EGP 85.8 bn</w:t>
            </w:r>
          </w:p>
        </w:tc>
      </w:tr>
      <w:tr>
        <w:tc>
          <w:tcPr>
            <w:tcW w:type="dxa" w:w="3456"/>
            <w:shd w:val="clear" w:fill="EFF3F1"/>
          </w:tcPr>
          <w:p>
            <w:pPr>
              <w:spacing w:line="264" w:lineRule="auto"/>
            </w:pPr>
            <w:r>
              <w:rPr>
                <w:b w:val="0"/>
                <w:i w:val="0"/>
                <w:color w:val="1C3A36"/>
                <w:sz w:val="18"/>
              </w:rPr>
              <w:t>Net cash</w:t>
            </w:r>
          </w:p>
        </w:tc>
        <w:tc>
          <w:tcPr>
            <w:tcW w:type="dxa" w:w="6336"/>
            <w:shd w:val="clear" w:fill="EFF3F1"/>
          </w:tcPr>
          <w:p>
            <w:pPr>
              <w:spacing w:line="264" w:lineRule="auto"/>
              <w:jc w:val="right"/>
            </w:pPr>
            <w:r>
              <w:rPr>
                <w:b w:val="0"/>
                <w:i w:val="0"/>
                <w:sz w:val="18"/>
              </w:rPr>
              <w:t>~EGP 16 bn (D/E ~0.05%)</w:t>
            </w:r>
          </w:p>
        </w:tc>
      </w:tr>
      <w:tr>
        <w:tc>
          <w:tcPr>
            <w:tcW w:type="dxa" w:w="3456"/>
          </w:tcPr>
          <w:p>
            <w:pPr>
              <w:spacing w:line="264" w:lineRule="auto"/>
            </w:pPr>
            <w:r>
              <w:rPr>
                <w:b w:val="0"/>
                <w:i w:val="0"/>
                <w:color w:val="1C3A36"/>
                <w:sz w:val="18"/>
              </w:rPr>
              <w:t>FY25 revenue / core NI</w:t>
            </w:r>
          </w:p>
        </w:tc>
        <w:tc>
          <w:tcPr>
            <w:tcW w:type="dxa" w:w="6336"/>
          </w:tcPr>
          <w:p>
            <w:pPr>
              <w:spacing w:line="264" w:lineRule="auto"/>
              <w:jc w:val="right"/>
            </w:pPr>
            <w:r>
              <w:rPr>
                <w:b w:val="0"/>
                <w:i w:val="0"/>
                <w:sz w:val="18"/>
              </w:rPr>
              <w:t>EGP 22.9 bn / ~EGP 8.8 bn</w:t>
            </w:r>
          </w:p>
        </w:tc>
      </w:tr>
      <w:tr>
        <w:tc>
          <w:tcPr>
            <w:tcW w:type="dxa" w:w="3456"/>
            <w:shd w:val="clear" w:fill="EFF3F1"/>
          </w:tcPr>
          <w:p>
            <w:pPr>
              <w:spacing w:line="264" w:lineRule="auto"/>
            </w:pPr>
            <w:r>
              <w:rPr>
                <w:b w:val="0"/>
                <w:i w:val="0"/>
                <w:color w:val="1C3A36"/>
                <w:sz w:val="18"/>
              </w:rPr>
              <w:t>Dividend</w:t>
            </w:r>
          </w:p>
        </w:tc>
        <w:tc>
          <w:tcPr>
            <w:tcW w:type="dxa" w:w="6336"/>
            <w:shd w:val="clear" w:fill="EFF3F1"/>
          </w:tcPr>
          <w:p>
            <w:pPr>
              <w:spacing w:line="264" w:lineRule="auto"/>
              <w:jc w:val="right"/>
            </w:pPr>
            <w:r>
              <w:rPr>
                <w:b w:val="0"/>
                <w:i w:val="0"/>
                <w:sz w:val="18"/>
              </w:rPr>
              <w:t>~EGP 6-7/share (~9-10% yield)</w:t>
            </w:r>
          </w:p>
        </w:tc>
      </w:tr>
      <w:tr>
        <w:tc>
          <w:tcPr>
            <w:tcW w:type="dxa" w:w="3456"/>
          </w:tcPr>
          <w:p>
            <w:pPr>
              <w:spacing w:line="264" w:lineRule="auto"/>
            </w:pPr>
            <w:r>
              <w:rPr>
                <w:b w:val="0"/>
                <w:i w:val="0"/>
                <w:color w:val="1C3A36"/>
                <w:sz w:val="18"/>
              </w:rPr>
              <w:t>Export footprint</w:t>
            </w:r>
          </w:p>
        </w:tc>
        <w:tc>
          <w:tcPr>
            <w:tcW w:type="dxa" w:w="6336"/>
          </w:tcPr>
          <w:p>
            <w:pPr>
              <w:spacing w:line="264" w:lineRule="auto"/>
              <w:jc w:val="right"/>
            </w:pPr>
            <w:r>
              <w:rPr>
                <w:b w:val="0"/>
                <w:i w:val="0"/>
                <w:sz w:val="18"/>
              </w:rPr>
              <w:t>~40 markets; urea, ammonium nitrate, NPK, ammonia</w:t>
            </w:r>
          </w:p>
        </w:tc>
      </w:tr>
      <w:tr>
        <w:tc>
          <w:tcPr>
            <w:tcW w:type="dxa" w:w="3456"/>
            <w:shd w:val="clear" w:fill="EFF3F1"/>
          </w:tcPr>
          <w:p>
            <w:pPr>
              <w:spacing w:line="264" w:lineRule="auto"/>
            </w:pPr>
            <w:r>
              <w:rPr>
                <w:b w:val="0"/>
                <w:i w:val="0"/>
                <w:color w:val="1C3A36"/>
                <w:sz w:val="18"/>
              </w:rPr>
              <w:t>52-week range</w:t>
            </w:r>
          </w:p>
        </w:tc>
        <w:tc>
          <w:tcPr>
            <w:tcW w:type="dxa" w:w="6336"/>
            <w:shd w:val="clear" w:fill="EFF3F1"/>
          </w:tcPr>
          <w:p>
            <w:pPr>
              <w:spacing w:line="264" w:lineRule="auto"/>
              <w:jc w:val="right"/>
            </w:pPr>
            <w:r>
              <w:rPr>
                <w:b w:val="0"/>
                <w:i w:val="0"/>
                <w:sz w:val="18"/>
              </w:rPr>
              <w:t>EGP 45.4 - 94.0</w:t>
            </w:r>
          </w:p>
        </w:tc>
      </w:tr>
    </w:tbl>
    <w:p>
      <w:pPr>
        <w:spacing w:after="40"/>
      </w:pPr>
    </w:p>
    <w:p>
      <w:pPr>
        <w:spacing w:after="120" w:line="264" w:lineRule="auto"/>
      </w:pPr>
      <w:r>
        <w:rPr>
          <w:b w:val="0"/>
          <w:i/>
          <w:color w:val="666666"/>
          <w:sz w:val="16"/>
        </w:rPr>
        <w:t>Source: company FY2024/25 audited results and EGX disclosure; Investing.com/Mubasher/Arab Finance releases; prices from the attached daily history.</w:t>
      </w:r>
    </w:p>
    <w:p>
      <w:pPr>
        <w:spacing w:before="160" w:after="120" w:line="264" w:lineRule="auto"/>
      </w:pPr>
      <w:r>
        <w:rPr>
          <w:b/>
          <w:i w:val="0"/>
          <w:color w:val="1C3A36"/>
          <w:sz w:val="30"/>
        </w:rPr>
        <w:t>1  Fundamental valuation</w:t>
      </w:r>
    </w:p>
    <w:p>
      <w:pPr>
        <w:spacing w:before="160" w:after="120" w:line="264" w:lineRule="auto"/>
      </w:pPr>
      <w:r>
        <w:rPr>
          <w:b/>
          <w:i w:val="0"/>
          <w:color w:val="1C3A36"/>
          <w:sz w:val="24"/>
        </w:rPr>
        <w:t>1.1  Operating FCFF + sum-of-the-parts - the primary lens</w:t>
      </w:r>
    </w:p>
    <w:p>
      <w:pPr>
        <w:spacing w:after="120" w:line="264" w:lineRule="auto"/>
      </w:pPr>
      <w:r>
        <w:rPr>
          <w:b w:val="0"/>
          <w:i w:val="0"/>
          <w:sz w:val="21"/>
        </w:rPr>
        <w:t>The operating fertilizer business is valued on a five-year FCFF: NOPAT on a normalizing EBIT margin (38%-&gt;40%), plus D&amp;A, less maintenance capex and working-capital investment, discounted at a 24% nominal EGP WACC with 11% terminal growth. That yields an operating enterprise value of ~EGP 54 bn.</w:t>
      </w:r>
    </w:p>
    <w:p>
      <w:pPr>
        <w:spacing w:after="120" w:line="264" w:lineRule="auto"/>
      </w:pPr>
      <w:r>
        <w:rPr>
          <w:b w:val="0"/>
          <w:i w:val="0"/>
          <w:sz w:val="21"/>
        </w:rPr>
        <w:t>Because roughly a third of ABUK's reported profit is investment and associate income earned on its cash and portfolio - not the fertilizer plants - the operating DCF is combined with a sum-of-the-parts: operating EV + investments (~EGP 6 bn) + net cash (~EGP 16 bn) = equity of ~EGP 76 bn, or EGP 60.3/share. Valuing the plants and the treasury separately is what keeps the gas question from contaminating the cash, and vice versa.</w:t>
      </w:r>
    </w:p>
    <w:p>
      <w:pPr>
        <w:spacing w:after="120" w:line="264" w:lineRule="auto"/>
      </w:pPr>
      <w:r>
        <w:rPr>
          <w:b w:val="0"/>
          <w:sz w:val="21"/>
        </w:rPr>
        <w:t>The 24% WACC is built bottom-up for an EGP investor: a ~20-21% local risk-free anchor, a modest equity premium for a debt-free exporter, and no size or liquidity add-on given ABUK's index weight. Terminal growth at 11% is deliberately below long-run nominal GDP so the terminal year never smuggles in real expansion the plants have not committed capex to.</w:t>
      </w:r>
    </w:p>
    <w:p>
      <w:pPr>
        <w:spacing w:before="160" w:after="120" w:line="264" w:lineRule="auto"/>
      </w:pPr>
      <w:r>
        <w:rPr>
          <w:b/>
          <w:i w:val="0"/>
          <w:color w:val="1C3A36"/>
          <w:sz w:val="24"/>
        </w:rPr>
        <w:t>1.2  Reverse-DCF cross-check</w:t>
      </w:r>
    </w:p>
    <w:p>
      <w:pPr>
        <w:spacing w:after="120" w:line="264" w:lineRule="auto"/>
      </w:pPr>
      <w:r>
        <w:rPr>
          <w:b w:val="0"/>
          <w:i w:val="0"/>
          <w:sz w:val="21"/>
        </w:rPr>
        <w:t>Reverse-engineering the price: at EGP 68 with ~EGP 22 bn of cash and investments, the market implies an operating EV of ~EGP 64 bn - about EGP 10 bn more than the base DCF. The table translates that gap into the assumption you must hold to pay spot.</w:t>
      </w:r>
    </w:p>
    <w:p>
      <w:pPr>
        <w:spacing w:after="120" w:line="264" w:lineRule="auto"/>
      </w:pPr>
      <w:r>
        <w:rPr>
          <w:b w:val="0"/>
          <w:i w:val="0"/>
          <w:sz w:val="21"/>
        </w:rPr>
        <w:t>Neither implied assumption is unreasonable if gas stays subsidised; both are aggressive if it does not - which is why the study treats the price as a regime bet rather than a mispricing.</w:t>
      </w:r>
    </w:p>
    <w:tbl>
      <w:tblPr>
        <w:tblStyle w:val="TableGrid"/>
        <w:tblW w:type="auto" w:w="0"/>
        <w:tblLook w:firstColumn="1" w:firstRow="1" w:lastColumn="0" w:lastRow="0" w:noHBand="0" w:noVBand="1" w:val="04A0"/>
      </w:tblPr>
      <w:tblGrid>
        <w:gridCol w:w="3312"/>
        <w:gridCol w:w="3312"/>
        <w:gridCol w:w="3312"/>
      </w:tblGrid>
      <w:tr>
        <w:tc>
          <w:tcPr>
            <w:tcW w:type="dxa" w:w="3168"/>
            <w:shd w:val="clear" w:fill="1C3A36"/>
          </w:tcPr>
          <w:p>
            <w:pPr>
              <w:spacing w:line="264" w:lineRule="auto"/>
            </w:pPr>
            <w:r>
              <w:rPr>
                <w:b/>
                <w:i w:val="0"/>
                <w:color w:val="FFFFFF"/>
                <w:sz w:val="18"/>
              </w:rPr>
              <w:t>What spot implies</w:t>
            </w:r>
          </w:p>
        </w:tc>
        <w:tc>
          <w:tcPr>
            <w:tcW w:type="dxa" w:w="3744"/>
            <w:shd w:val="clear" w:fill="1C3A36"/>
          </w:tcPr>
          <w:p>
            <w:pPr>
              <w:spacing w:line="264" w:lineRule="auto"/>
              <w:jc w:val="right"/>
            </w:pPr>
            <w:r>
              <w:rPr>
                <w:b/>
                <w:i w:val="0"/>
                <w:color w:val="FFFFFF"/>
                <w:sz w:val="18"/>
              </w:rPr>
              <w:t>Implied level</w:t>
            </w:r>
          </w:p>
        </w:tc>
        <w:tc>
          <w:tcPr>
            <w:tcW w:type="dxa" w:w="3600"/>
            <w:shd w:val="clear" w:fill="1C3A36"/>
          </w:tcPr>
          <w:p>
            <w:pPr>
              <w:spacing w:line="264" w:lineRule="auto"/>
              <w:jc w:val="right"/>
            </w:pPr>
            <w:r>
              <w:rPr>
                <w:b/>
                <w:i w:val="0"/>
                <w:color w:val="FFFFFF"/>
                <w:sz w:val="18"/>
              </w:rPr>
              <w:t>Base case</w:t>
            </w:r>
          </w:p>
        </w:tc>
      </w:tr>
      <w:tr>
        <w:tc>
          <w:tcPr>
            <w:tcW w:type="dxa" w:w="3168"/>
          </w:tcPr>
          <w:p>
            <w:pPr>
              <w:spacing w:line="264" w:lineRule="auto"/>
            </w:pPr>
            <w:r>
              <w:rPr>
                <w:b w:val="0"/>
                <w:i w:val="0"/>
                <w:color w:val="1C3A36"/>
                <w:sz w:val="18"/>
              </w:rPr>
              <w:t>Operating EV backed out of EGP 67.97</w:t>
            </w:r>
          </w:p>
        </w:tc>
        <w:tc>
          <w:tcPr>
            <w:tcW w:type="dxa" w:w="3744"/>
          </w:tcPr>
          <w:p>
            <w:pPr>
              <w:spacing w:line="264" w:lineRule="auto"/>
              <w:jc w:val="right"/>
            </w:pPr>
            <w:r>
              <w:rPr>
                <w:b w:val="0"/>
                <w:i w:val="0"/>
                <w:sz w:val="18"/>
              </w:rPr>
              <w:t>~EGP 64 bn</w:t>
            </w:r>
          </w:p>
        </w:tc>
        <w:tc>
          <w:tcPr>
            <w:tcW w:type="dxa" w:w="3600"/>
          </w:tcPr>
          <w:p>
            <w:pPr>
              <w:spacing w:line="264" w:lineRule="auto"/>
              <w:jc w:val="right"/>
            </w:pPr>
            <w:r>
              <w:rPr>
                <w:b w:val="0"/>
                <w:i w:val="0"/>
                <w:sz w:val="18"/>
              </w:rPr>
              <w:t>EGP 54 bn</w:t>
            </w:r>
          </w:p>
        </w:tc>
      </w:tr>
      <w:tr>
        <w:tc>
          <w:tcPr>
            <w:tcW w:type="dxa" w:w="3168"/>
            <w:shd w:val="clear" w:fill="EFF3F1"/>
          </w:tcPr>
          <w:p>
            <w:pPr>
              <w:spacing w:line="264" w:lineRule="auto"/>
            </w:pPr>
            <w:r>
              <w:rPr>
                <w:b w:val="0"/>
                <w:i w:val="0"/>
                <w:color w:val="1C3A36"/>
                <w:sz w:val="18"/>
              </w:rPr>
              <w:t>Mid-cycle EBITDA margin</w:t>
            </w:r>
          </w:p>
        </w:tc>
        <w:tc>
          <w:tcPr>
            <w:tcW w:type="dxa" w:w="3744"/>
            <w:shd w:val="clear" w:fill="EFF3F1"/>
          </w:tcPr>
          <w:p>
            <w:pPr>
              <w:spacing w:line="264" w:lineRule="auto"/>
              <w:jc w:val="right"/>
            </w:pPr>
            <w:r>
              <w:rPr>
                <w:b w:val="0"/>
                <w:i w:val="0"/>
                <w:sz w:val="18"/>
              </w:rPr>
              <w:t>~44%</w:t>
            </w:r>
          </w:p>
        </w:tc>
        <w:tc>
          <w:tcPr>
            <w:tcW w:type="dxa" w:w="3600"/>
            <w:shd w:val="clear" w:fill="EFF3F1"/>
          </w:tcPr>
          <w:p>
            <w:pPr>
              <w:spacing w:line="264" w:lineRule="auto"/>
              <w:jc w:val="right"/>
            </w:pPr>
            <w:r>
              <w:rPr>
                <w:b w:val="0"/>
                <w:i w:val="0"/>
                <w:sz w:val="18"/>
              </w:rPr>
              <w:t>40%</w:t>
            </w:r>
          </w:p>
        </w:tc>
      </w:tr>
      <w:tr>
        <w:tc>
          <w:tcPr>
            <w:tcW w:type="dxa" w:w="3168"/>
          </w:tcPr>
          <w:p>
            <w:pPr>
              <w:spacing w:line="264" w:lineRule="auto"/>
            </w:pPr>
            <w:r>
              <w:rPr>
                <w:b w:val="0"/>
                <w:i w:val="0"/>
                <w:color w:val="1C3A36"/>
                <w:sz w:val="18"/>
              </w:rPr>
              <w:t>or nominal WACC</w:t>
            </w:r>
          </w:p>
        </w:tc>
        <w:tc>
          <w:tcPr>
            <w:tcW w:type="dxa" w:w="3744"/>
          </w:tcPr>
          <w:p>
            <w:pPr>
              <w:spacing w:line="264" w:lineRule="auto"/>
              <w:jc w:val="right"/>
            </w:pPr>
            <w:r>
              <w:rPr>
                <w:b w:val="0"/>
                <w:i w:val="0"/>
                <w:sz w:val="18"/>
              </w:rPr>
              <w:t>~21-22%</w:t>
            </w:r>
          </w:p>
        </w:tc>
        <w:tc>
          <w:tcPr>
            <w:tcW w:type="dxa" w:w="3600"/>
          </w:tcPr>
          <w:p>
            <w:pPr>
              <w:spacing w:line="264" w:lineRule="auto"/>
              <w:jc w:val="right"/>
            </w:pPr>
            <w:r>
              <w:rPr>
                <w:b w:val="0"/>
                <w:i w:val="0"/>
                <w:sz w:val="18"/>
              </w:rPr>
              <w:t>24%</w:t>
            </w:r>
          </w:p>
        </w:tc>
      </w:tr>
    </w:tbl>
    <w:p>
      <w:pPr>
        <w:spacing w:after="120" w:line="264" w:lineRule="auto"/>
      </w:pPr>
      <w:r>
        <w:rPr>
          <w:b w:val="0"/>
          <w:sz w:val="21"/>
        </w:rPr>
        <w:t>What would change the implication: a gas-pricing announcement would collapse the implied margin question overnight in either direction, while a CBE easing cycle would validate the lower implied WACC without touching operations - the two implied levels in the table are therefore watchable, not abstract.</w:t>
      </w:r>
    </w:p>
    <w:p>
      <w:pPr>
        <w:spacing w:after="40"/>
      </w:pPr>
    </w:p>
    <w:p>
      <w:pPr>
        <w:spacing w:before="160" w:after="120" w:line="264" w:lineRule="auto"/>
      </w:pPr>
      <w:r>
        <w:rPr>
          <w:b/>
          <w:i w:val="0"/>
          <w:color w:val="1C3A36"/>
          <w:sz w:val="24"/>
        </w:rPr>
        <w:t>1.3  Relative multiples</w:t>
      </w:r>
    </w:p>
    <w:p>
      <w:pPr>
        <w:spacing w:after="120" w:line="264" w:lineRule="auto"/>
      </w:pPr>
      <w:r>
        <w:rPr>
          <w:b w:val="0"/>
          <w:sz w:val="21"/>
        </w:rPr>
        <w:t>For completeness the peer frame: Gulf producers with contracted cheap gas trade 6.5-8x EV/EBITDA, diversified globals 6-7x, and Egyptian industrials with policy-priced inputs 4-6x - ABUK's clean balance sheet argues for the top of the local band, which is precisely where the mid-cycle lens (5.5x) puts it.</w:t>
      </w:r>
    </w:p>
    <w:p>
      <w:pPr>
        <w:spacing w:after="120" w:line="264" w:lineRule="auto"/>
      </w:pPr>
      <w:r>
        <w:rPr>
          <w:b w:val="0"/>
          <w:i w:val="0"/>
          <w:sz w:val="21"/>
        </w:rPr>
        <w:t>On a mid-cycle EBITDA of ~EGP 9.2 bn the operating business trades around 5-5.5x EV/EBITDA once net cash is stripped out - a discount to global nitrogen peers (Nutrien, CF, Yara at 6-8x through-cycle), appropriate for EGP and country risk but not extreme. On core (ex-one-off) earnings the trailing P/E is ~8x and the dividend yield ~9-10%.</w:t>
      </w:r>
    </w:p>
    <w:p>
      <w:pPr>
        <w:spacing w:after="120" w:line="264" w:lineRule="auto"/>
      </w:pPr>
      <w:r>
        <w:rPr>
          <w:b w:val="0"/>
          <w:i w:val="0"/>
          <w:sz w:val="21"/>
        </w:rPr>
        <w:t>The yield is the quiet argument for the stock: at these payout levels an owner is paid to wait out the gas question, provided the distribution policy holds. Against Gulf producers (which enjoy contracted cheap gas) ABUK's discount narrows to a turn or less once the cash is stripped - the market already charges for the policy risk, the question is whether it charges enough.</w:t>
      </w:r>
    </w:p>
    <w:p>
      <w:pPr>
        <w:spacing w:before="160" w:after="120" w:line="264" w:lineRule="auto"/>
      </w:pPr>
      <w:r>
        <w:rPr>
          <w:b/>
          <w:i w:val="0"/>
          <w:color w:val="1C3A36"/>
          <w:sz w:val="24"/>
        </w:rPr>
        <w:t>1.4  Normalized earnings power</w:t>
      </w:r>
    </w:p>
    <w:p>
      <w:pPr>
        <w:spacing w:after="120" w:line="264" w:lineRule="auto"/>
      </w:pPr>
      <w:r>
        <w:rPr>
          <w:b w:val="0"/>
          <w:i w:val="0"/>
          <w:sz w:val="21"/>
        </w:rPr>
        <w:t>Normalized earnings power: through-cycle EBIT margin ~38-40% on ~EGP 23 bn revenue is ~EGP 8.8-9.2 bn; taxed and capitalised at the cost of equity, with the cash and investments added, supports ~EGP 63-66/share - above the conservative DCF because it implicitly credits a full mid-cycle rather than the current pullback in urea and ammonia prices.</w:t>
      </w:r>
    </w:p>
    <w:p>
      <w:pPr>
        <w:spacing w:after="120" w:line="264" w:lineRule="auto"/>
      </w:pPr>
      <w:r>
        <w:rPr>
          <w:b w:val="0"/>
          <w:i w:val="0"/>
          <w:sz w:val="21"/>
        </w:rPr>
        <w:t>The gap between this lens (65) and the DCF (60) is a clean measure of how much the explicit forecast years cost at a 24% discount rate: about EGP 5/share of pure discounting drag, no disagreement about the business at all.</w:t>
      </w:r>
    </w:p>
    <w:p>
      <w:pPr>
        <w:spacing w:after="120" w:line="264" w:lineRule="auto"/>
      </w:pPr>
      <w:r>
        <w:rPr>
          <w:b w:val="0"/>
          <w:sz w:val="21"/>
        </w:rPr>
        <w:t>Two refinements keep this lens honest: the capitalization rate is the full cost of equity (no growth credit beyond the mid-cycle itself), and the investment income is normalized to a sustainable treasury yield rather than the FY24 spike - both choices push the answer down, which is the correct direction for a lens whose job is a ceiling-check on the DCF, not a second bull case.</w:t>
      </w:r>
    </w:p>
    <w:p>
      <w:pPr>
        <w:spacing w:before="160" w:after="120" w:line="264" w:lineRule="auto"/>
      </w:pPr>
      <w:r>
        <w:rPr>
          <w:b/>
          <w:i w:val="0"/>
          <w:color w:val="1C3A36"/>
          <w:sz w:val="24"/>
        </w:rPr>
        <w:t>1.5  Synthesis - five lenses</w:t>
      </w:r>
    </w:p>
    <w:p>
      <w:pPr>
        <w:spacing w:after="120" w:line="264" w:lineRule="auto"/>
      </w:pPr>
      <w:r>
        <w:rPr>
          <w:b w:val="0"/>
          <w:i w:val="0"/>
          <w:sz w:val="21"/>
        </w:rPr>
        <w:t>Five lenses - operating DCF, SOTP NAV, mid-cycle multiple, relative P/E, normalized earnings - cluster the operating-plus-cash value at roughly EGP 57-66, with the relative-multiple lens the most generous. Weighting the two most instrument-appropriate (operating DCF and SOTP NAV) most heavily centres fair value near EGP 58-60, modestly below spot.</w:t>
      </w:r>
    </w:p>
    <w:p>
      <w:pPr>
        <w:spacing w:after="120" w:line="264" w:lineRule="auto"/>
      </w:pPr>
      <w:r>
        <w:rPr>
          <w:b w:val="0"/>
          <w:i w:val="0"/>
          <w:sz w:val="21"/>
        </w:rPr>
        <w:t>Reading the field: the tightness of the cluster is itself information - four independent methods land within EGP 9 of each other, so the residual between fair value and price is not model risk, it is the regime question, quantified in section 1.7 and priced by Expert 3.</w:t>
      </w:r>
    </w:p>
    <w:tbl>
      <w:tblPr>
        <w:tblStyle w:val="TableGrid"/>
        <w:tblW w:type="auto" w:w="0"/>
        <w:tblLook w:firstColumn="1" w:firstRow="1" w:lastColumn="0" w:lastRow="0" w:noHBand="0" w:noVBand="1" w:val="04A0"/>
      </w:tblPr>
      <w:tblGrid>
        <w:gridCol w:w="3312"/>
        <w:gridCol w:w="3312"/>
        <w:gridCol w:w="3312"/>
      </w:tblGrid>
      <w:tr>
        <w:tc>
          <w:tcPr>
            <w:tcW w:type="dxa" w:w="4320"/>
            <w:shd w:val="clear" w:fill="1C3A36"/>
          </w:tcPr>
          <w:p>
            <w:pPr>
              <w:spacing w:line="264" w:lineRule="auto"/>
            </w:pPr>
            <w:r>
              <w:rPr>
                <w:b/>
                <w:i w:val="0"/>
                <w:color w:val="FFFFFF"/>
                <w:sz w:val="18"/>
              </w:rPr>
              <w:t>Lens</w:t>
            </w:r>
          </w:p>
        </w:tc>
        <w:tc>
          <w:tcPr>
            <w:tcW w:type="dxa" w:w="2880"/>
            <w:shd w:val="clear" w:fill="1C3A36"/>
          </w:tcPr>
          <w:p>
            <w:pPr>
              <w:spacing w:line="264" w:lineRule="auto"/>
              <w:jc w:val="right"/>
            </w:pPr>
            <w:r>
              <w:rPr>
                <w:b/>
                <w:i w:val="0"/>
                <w:color w:val="FFFFFF"/>
                <w:sz w:val="18"/>
              </w:rPr>
              <w:t>Fair value (EGP)</w:t>
            </w:r>
          </w:p>
        </w:tc>
        <w:tc>
          <w:tcPr>
            <w:tcW w:type="dxa" w:w="2592"/>
            <w:shd w:val="clear" w:fill="1C3A36"/>
          </w:tcPr>
          <w:p>
            <w:pPr>
              <w:spacing w:line="264" w:lineRule="auto"/>
              <w:jc w:val="right"/>
            </w:pPr>
            <w:r>
              <w:rPr>
                <w:b/>
                <w:i w:val="0"/>
                <w:color w:val="FFFFFF"/>
                <w:sz w:val="18"/>
              </w:rPr>
              <w:t>Weight</w:t>
            </w:r>
          </w:p>
        </w:tc>
      </w:tr>
      <w:tr>
        <w:tc>
          <w:tcPr>
            <w:tcW w:type="dxa" w:w="4320"/>
          </w:tcPr>
          <w:p>
            <w:pPr>
              <w:spacing w:line="264" w:lineRule="auto"/>
            </w:pPr>
            <w:r>
              <w:rPr>
                <w:b w:val="0"/>
                <w:i w:val="0"/>
                <w:color w:val="1C3A36"/>
                <w:sz w:val="18"/>
              </w:rPr>
              <w:t>Sum-of-the-parts (primary)</w:t>
            </w:r>
          </w:p>
        </w:tc>
        <w:tc>
          <w:tcPr>
            <w:tcW w:type="dxa" w:w="2880"/>
          </w:tcPr>
          <w:p>
            <w:pPr>
              <w:spacing w:line="264" w:lineRule="auto"/>
              <w:jc w:val="right"/>
            </w:pPr>
            <w:r>
              <w:rPr>
                <w:b w:val="0"/>
                <w:i w:val="0"/>
                <w:sz w:val="18"/>
              </w:rPr>
              <w:t>60</w:t>
            </w:r>
          </w:p>
        </w:tc>
        <w:tc>
          <w:tcPr>
            <w:tcW w:type="dxa" w:w="2592"/>
          </w:tcPr>
          <w:p>
            <w:pPr>
              <w:spacing w:line="264" w:lineRule="auto"/>
              <w:jc w:val="right"/>
            </w:pPr>
            <w:r>
              <w:rPr>
                <w:b w:val="0"/>
                <w:i w:val="0"/>
                <w:sz w:val="18"/>
              </w:rPr>
              <w:t>40%</w:t>
            </w:r>
          </w:p>
        </w:tc>
      </w:tr>
      <w:tr>
        <w:tc>
          <w:tcPr>
            <w:tcW w:type="dxa" w:w="4320"/>
            <w:shd w:val="clear" w:fill="EFF3F1"/>
          </w:tcPr>
          <w:p>
            <w:pPr>
              <w:spacing w:line="264" w:lineRule="auto"/>
            </w:pPr>
            <w:r>
              <w:rPr>
                <w:b w:val="0"/>
                <w:i w:val="0"/>
                <w:color w:val="1C3A36"/>
                <w:sz w:val="18"/>
              </w:rPr>
              <w:t>Consolidated DCF</w:t>
            </w:r>
          </w:p>
        </w:tc>
        <w:tc>
          <w:tcPr>
            <w:tcW w:type="dxa" w:w="2880"/>
            <w:shd w:val="clear" w:fill="EFF3F1"/>
          </w:tcPr>
          <w:p>
            <w:pPr>
              <w:spacing w:line="264" w:lineRule="auto"/>
              <w:jc w:val="right"/>
            </w:pPr>
            <w:r>
              <w:rPr>
                <w:b w:val="0"/>
                <w:i w:val="0"/>
                <w:sz w:val="18"/>
              </w:rPr>
              <w:t>60</w:t>
            </w:r>
          </w:p>
        </w:tc>
        <w:tc>
          <w:tcPr>
            <w:tcW w:type="dxa" w:w="2592"/>
            <w:shd w:val="clear" w:fill="EFF3F1"/>
          </w:tcPr>
          <w:p>
            <w:pPr>
              <w:spacing w:line="264" w:lineRule="auto"/>
              <w:jc w:val="right"/>
            </w:pPr>
            <w:r>
              <w:rPr>
                <w:b w:val="0"/>
                <w:i w:val="0"/>
                <w:sz w:val="18"/>
              </w:rPr>
              <w:t>20%</w:t>
            </w:r>
          </w:p>
        </w:tc>
      </w:tr>
      <w:tr>
        <w:tc>
          <w:tcPr>
            <w:tcW w:type="dxa" w:w="4320"/>
          </w:tcPr>
          <w:p>
            <w:pPr>
              <w:spacing w:line="264" w:lineRule="auto"/>
            </w:pPr>
            <w:r>
              <w:rPr>
                <w:b w:val="0"/>
                <w:i w:val="0"/>
                <w:color w:val="1C3A36"/>
                <w:sz w:val="18"/>
              </w:rPr>
              <w:t>Mid-cycle EBITDA x multiple</w:t>
            </w:r>
          </w:p>
        </w:tc>
        <w:tc>
          <w:tcPr>
            <w:tcW w:type="dxa" w:w="2880"/>
          </w:tcPr>
          <w:p>
            <w:pPr>
              <w:spacing w:line="264" w:lineRule="auto"/>
              <w:jc w:val="right"/>
            </w:pPr>
            <w:r>
              <w:rPr>
                <w:b w:val="0"/>
                <w:i w:val="0"/>
                <w:sz w:val="18"/>
              </w:rPr>
              <w:t>57</w:t>
            </w:r>
          </w:p>
        </w:tc>
        <w:tc>
          <w:tcPr>
            <w:tcW w:type="dxa" w:w="2592"/>
          </w:tcPr>
          <w:p>
            <w:pPr>
              <w:spacing w:line="264" w:lineRule="auto"/>
              <w:jc w:val="right"/>
            </w:pPr>
            <w:r>
              <w:rPr>
                <w:b w:val="0"/>
                <w:i w:val="0"/>
                <w:sz w:val="18"/>
              </w:rPr>
              <w:t>15%</w:t>
            </w:r>
          </w:p>
        </w:tc>
      </w:tr>
      <w:tr>
        <w:tc>
          <w:tcPr>
            <w:tcW w:type="dxa" w:w="4320"/>
            <w:shd w:val="clear" w:fill="EFF3F1"/>
          </w:tcPr>
          <w:p>
            <w:pPr>
              <w:spacing w:line="264" w:lineRule="auto"/>
            </w:pPr>
            <w:r>
              <w:rPr>
                <w:b w:val="0"/>
                <w:i w:val="0"/>
                <w:color w:val="1C3A36"/>
                <w:sz w:val="18"/>
              </w:rPr>
              <w:t>Normalized earnings</w:t>
            </w:r>
          </w:p>
        </w:tc>
        <w:tc>
          <w:tcPr>
            <w:tcW w:type="dxa" w:w="2880"/>
            <w:shd w:val="clear" w:fill="EFF3F1"/>
          </w:tcPr>
          <w:p>
            <w:pPr>
              <w:spacing w:line="264" w:lineRule="auto"/>
              <w:jc w:val="right"/>
            </w:pPr>
            <w:r>
              <w:rPr>
                <w:b w:val="0"/>
                <w:i w:val="0"/>
                <w:sz w:val="18"/>
              </w:rPr>
              <w:t>65</w:t>
            </w:r>
          </w:p>
        </w:tc>
        <w:tc>
          <w:tcPr>
            <w:tcW w:type="dxa" w:w="2592"/>
            <w:shd w:val="clear" w:fill="EFF3F1"/>
          </w:tcPr>
          <w:p>
            <w:pPr>
              <w:spacing w:line="264" w:lineRule="auto"/>
              <w:jc w:val="right"/>
            </w:pPr>
            <w:r>
              <w:rPr>
                <w:b w:val="0"/>
                <w:i w:val="0"/>
                <w:sz w:val="18"/>
              </w:rPr>
              <w:t>25%</w:t>
            </w:r>
          </w:p>
        </w:tc>
      </w:tr>
      <w:tr>
        <w:tc>
          <w:tcPr>
            <w:tcW w:type="dxa" w:w="4320"/>
          </w:tcPr>
          <w:p>
            <w:pPr>
              <w:spacing w:line="264" w:lineRule="auto"/>
            </w:pPr>
            <w:r>
              <w:rPr>
                <w:b/>
                <w:i w:val="0"/>
                <w:color w:val="1C3A36"/>
                <w:sz w:val="18"/>
              </w:rPr>
              <w:t>Weighted central</w:t>
            </w:r>
          </w:p>
        </w:tc>
        <w:tc>
          <w:tcPr>
            <w:tcW w:type="dxa" w:w="2880"/>
          </w:tcPr>
          <w:p>
            <w:pPr>
              <w:spacing w:line="264" w:lineRule="auto"/>
              <w:jc w:val="right"/>
            </w:pPr>
            <w:r>
              <w:rPr>
                <w:b/>
                <w:i w:val="0"/>
                <w:sz w:val="18"/>
              </w:rPr>
              <w:t>~60</w:t>
            </w:r>
          </w:p>
        </w:tc>
        <w:tc>
          <w:tcPr>
            <w:tcW w:type="dxa" w:w="2592"/>
          </w:tcPr>
          <w:p>
            <w:pPr>
              <w:spacing w:line="264" w:lineRule="auto"/>
              <w:jc w:val="right"/>
            </w:pPr>
            <w:r>
              <w:rPr>
                <w:b/>
                <w:i w:val="0"/>
                <w:sz w:val="18"/>
              </w:rPr>
              <w:t>100%</w:t>
            </w:r>
          </w:p>
        </w:tc>
      </w:tr>
    </w:tbl>
    <w:p>
      <w:pPr>
        <w:spacing w:after="40"/>
      </w:pPr>
    </w:p>
    <w:p>
      <w:pPr>
        <w:jc w:val="center"/>
      </w:pPr>
      <w:r>
        <w:drawing>
          <wp:inline xmlns:a="http://schemas.openxmlformats.org/drawingml/2006/main" xmlns:pic="http://schemas.openxmlformats.org/drawingml/2006/picture">
            <wp:extent cx="5943600" cy="2622176"/>
            <wp:docPr id="1" name="Picture 1"/>
            <wp:cNvGraphicFramePr>
              <a:graphicFrameLocks noChangeAspect="1"/>
            </wp:cNvGraphicFramePr>
            <a:graphic>
              <a:graphicData uri="http://schemas.openxmlformats.org/drawingml/2006/picture">
                <pic:pic>
                  <pic:nvPicPr>
                    <pic:cNvPr id="0" name="ABUK_football.png"/>
                    <pic:cNvPicPr/>
                  </pic:nvPicPr>
                  <pic:blipFill>
                    <a:blip r:embed="rId9"/>
                    <a:stretch>
                      <a:fillRect/>
                    </a:stretch>
                  </pic:blipFill>
                  <pic:spPr>
                    <a:xfrm>
                      <a:off x="0" y="0"/>
                      <a:ext cx="5943600" cy="2622176"/>
                    </a:xfrm>
                    <a:prstGeom prst="rect"/>
                  </pic:spPr>
                </pic:pic>
              </a:graphicData>
            </a:graphic>
          </wp:inline>
        </w:drawing>
      </w:r>
    </w:p>
    <w:p>
      <w:pPr>
        <w:spacing w:after="120" w:line="264" w:lineRule="auto"/>
      </w:pPr>
      <w:r>
        <w:rPr>
          <w:b w:val="0"/>
          <w:sz w:val="21"/>
        </w:rPr>
        <w:t>The weights are declared, not optimized: the two parts-based lenses carry 60% because they are the instrument-appropriate pair for a cash-heavy producer; the multiple lenses carry the rest as market context.</w:t>
      </w:r>
    </w:p>
    <w:p>
      <w:pPr>
        <w:spacing w:line="264" w:lineRule="auto"/>
        <w:jc w:val="center"/>
      </w:pPr>
      <w:r>
        <w:rPr>
          <w:b w:val="0"/>
          <w:i/>
          <w:color w:val="666666"/>
          <w:sz w:val="16"/>
        </w:rPr>
        <w:t>Valuation football field - lens ranges vs spot</w:t>
      </w:r>
    </w:p>
    <w:p>
      <w:pPr>
        <w:spacing w:before="160" w:after="120" w:line="264" w:lineRule="auto"/>
      </w:pPr>
      <w:r>
        <w:rPr>
          <w:b/>
          <w:i w:val="0"/>
          <w:color w:val="1C3A36"/>
          <w:sz w:val="24"/>
        </w:rPr>
        <w:t>1.6  The three parts - operating, investments, net cash</w:t>
      </w:r>
    </w:p>
    <w:p>
      <w:pPr>
        <w:spacing w:after="120" w:line="264" w:lineRule="auto"/>
      </w:pPr>
      <w:r>
        <w:rPr>
          <w:b w:val="0"/>
          <w:i w:val="0"/>
          <w:sz w:val="21"/>
        </w:rPr>
        <w:t>Three parts drive the whole, and they answer to different masters: the operating fertilizer business answers to gas and urea; the investment portfolio to equity-method accounting; the net cash to treasury yields and the payout decision. The scorecard separates them so each risk can be priced where it lives.</w:t>
      </w:r>
    </w:p>
    <w:p>
      <w:pPr>
        <w:spacing w:after="120" w:line="264" w:lineRule="auto"/>
      </w:pPr>
      <w:r>
        <w:rPr>
          <w:b w:val="0"/>
          <w:i w:val="0"/>
          <w:sz w:val="21"/>
        </w:rPr>
        <w:t>The market's premium, if any, sits on the second and third - capital the company holds but has not fully distributed - which is precisely where Expert 2's haircut operates.</w:t>
      </w:r>
    </w:p>
    <w:tbl>
      <w:tblPr>
        <w:tblStyle w:val="TableGrid"/>
        <w:tblW w:type="auto" w:w="0"/>
        <w:tblLook w:firstColumn="1" w:firstRow="1" w:lastColumn="0" w:lastRow="0" w:noHBand="0" w:noVBand="1" w:val="04A0"/>
      </w:tblPr>
      <w:tblGrid>
        <w:gridCol w:w="2484"/>
        <w:gridCol w:w="2484"/>
        <w:gridCol w:w="2484"/>
        <w:gridCol w:w="2484"/>
      </w:tblGrid>
      <w:tr>
        <w:tc>
          <w:tcPr>
            <w:tcW w:type="dxa" w:w="2304"/>
            <w:shd w:val="clear" w:fill="1C3A36"/>
          </w:tcPr>
          <w:p>
            <w:pPr>
              <w:spacing w:line="264" w:lineRule="auto"/>
            </w:pPr>
            <w:r>
              <w:rPr>
                <w:b/>
                <w:i w:val="0"/>
                <w:color w:val="FFFFFF"/>
                <w:sz w:val="18"/>
              </w:rPr>
              <w:t>Part</w:t>
            </w:r>
          </w:p>
        </w:tc>
        <w:tc>
          <w:tcPr>
            <w:tcW w:type="dxa" w:w="1872"/>
            <w:shd w:val="clear" w:fill="1C3A36"/>
          </w:tcPr>
          <w:p>
            <w:pPr>
              <w:spacing w:line="264" w:lineRule="auto"/>
              <w:jc w:val="right"/>
            </w:pPr>
            <w:r>
              <w:rPr>
                <w:b/>
                <w:i w:val="0"/>
                <w:color w:val="FFFFFF"/>
                <w:sz w:val="18"/>
              </w:rPr>
              <w:t>Value (EGP bn)</w:t>
            </w:r>
          </w:p>
        </w:tc>
        <w:tc>
          <w:tcPr>
            <w:tcW w:type="dxa" w:w="2736"/>
            <w:shd w:val="clear" w:fill="1C3A36"/>
          </w:tcPr>
          <w:p>
            <w:pPr>
              <w:spacing w:line="264" w:lineRule="auto"/>
              <w:jc w:val="right"/>
            </w:pPr>
            <w:r>
              <w:rPr>
                <w:b/>
                <w:i w:val="0"/>
                <w:color w:val="FFFFFF"/>
                <w:sz w:val="18"/>
              </w:rPr>
              <w:t>Exposure</w:t>
            </w:r>
          </w:p>
        </w:tc>
        <w:tc>
          <w:tcPr>
            <w:tcW w:type="dxa" w:w="3600"/>
            <w:shd w:val="clear" w:fill="1C3A36"/>
          </w:tcPr>
          <w:p>
            <w:pPr>
              <w:spacing w:line="264" w:lineRule="auto"/>
              <w:jc w:val="right"/>
            </w:pPr>
            <w:r>
              <w:rPr>
                <w:b/>
                <w:i w:val="0"/>
                <w:color w:val="FFFFFF"/>
                <w:sz w:val="18"/>
              </w:rPr>
              <w:t>Read</w:t>
            </w:r>
          </w:p>
        </w:tc>
      </w:tr>
      <w:tr>
        <w:tc>
          <w:tcPr>
            <w:tcW w:type="dxa" w:w="2304"/>
          </w:tcPr>
          <w:p>
            <w:pPr>
              <w:spacing w:line="264" w:lineRule="auto"/>
            </w:pPr>
            <w:r>
              <w:rPr>
                <w:b w:val="0"/>
                <w:i w:val="0"/>
                <w:color w:val="1C3A36"/>
                <w:sz w:val="18"/>
              </w:rPr>
              <w:t>Operating business (DCF)</w:t>
            </w:r>
          </w:p>
        </w:tc>
        <w:tc>
          <w:tcPr>
            <w:tcW w:type="dxa" w:w="1872"/>
          </w:tcPr>
          <w:p>
            <w:pPr>
              <w:spacing w:line="264" w:lineRule="auto"/>
              <w:jc w:val="right"/>
            </w:pPr>
            <w:r>
              <w:rPr>
                <w:b w:val="0"/>
                <w:i w:val="0"/>
                <w:sz w:val="18"/>
              </w:rPr>
              <w:t>54.2</w:t>
            </w:r>
          </w:p>
        </w:tc>
        <w:tc>
          <w:tcPr>
            <w:tcW w:type="dxa" w:w="2736"/>
          </w:tcPr>
          <w:p>
            <w:pPr>
              <w:spacing w:line="264" w:lineRule="auto"/>
              <w:jc w:val="right"/>
            </w:pPr>
            <w:r>
              <w:rPr>
                <w:b w:val="0"/>
                <w:i w:val="0"/>
                <w:sz w:val="18"/>
              </w:rPr>
              <w:t>Gas cost, urea/ammonia, EGP</w:t>
            </w:r>
          </w:p>
        </w:tc>
        <w:tc>
          <w:tcPr>
            <w:tcW w:type="dxa" w:w="3600"/>
          </w:tcPr>
          <w:p>
            <w:pPr>
              <w:spacing w:line="264" w:lineRule="auto"/>
              <w:jc w:val="right"/>
            </w:pPr>
            <w:r>
              <w:rPr>
                <w:b w:val="0"/>
                <w:i w:val="0"/>
                <w:sz w:val="18"/>
              </w:rPr>
              <w:t>The only cyclical part</w:t>
            </w:r>
          </w:p>
        </w:tc>
      </w:tr>
      <w:tr>
        <w:tc>
          <w:tcPr>
            <w:tcW w:type="dxa" w:w="2304"/>
            <w:shd w:val="clear" w:fill="EFF3F1"/>
          </w:tcPr>
          <w:p>
            <w:pPr>
              <w:spacing w:line="264" w:lineRule="auto"/>
            </w:pPr>
            <w:r>
              <w:rPr>
                <w:b w:val="0"/>
                <w:i w:val="0"/>
                <w:color w:val="1C3A36"/>
                <w:sz w:val="18"/>
              </w:rPr>
              <w:t>Investments &amp; associates</w:t>
            </w:r>
          </w:p>
        </w:tc>
        <w:tc>
          <w:tcPr>
            <w:tcW w:type="dxa" w:w="1872"/>
            <w:shd w:val="clear" w:fill="EFF3F1"/>
          </w:tcPr>
          <w:p>
            <w:pPr>
              <w:spacing w:line="264" w:lineRule="auto"/>
              <w:jc w:val="right"/>
            </w:pPr>
            <w:r>
              <w:rPr>
                <w:b w:val="0"/>
                <w:i w:val="0"/>
                <w:sz w:val="18"/>
              </w:rPr>
              <w:t>6.0</w:t>
            </w:r>
          </w:p>
        </w:tc>
        <w:tc>
          <w:tcPr>
            <w:tcW w:type="dxa" w:w="2736"/>
            <w:shd w:val="clear" w:fill="EFF3F1"/>
          </w:tcPr>
          <w:p>
            <w:pPr>
              <w:spacing w:line="264" w:lineRule="auto"/>
              <w:jc w:val="right"/>
            </w:pPr>
            <w:r>
              <w:rPr>
                <w:b w:val="0"/>
                <w:i w:val="0"/>
                <w:sz w:val="18"/>
              </w:rPr>
              <w:t>Equity-method income</w:t>
            </w:r>
          </w:p>
        </w:tc>
        <w:tc>
          <w:tcPr>
            <w:tcW w:type="dxa" w:w="3600"/>
            <w:shd w:val="clear" w:fill="EFF3F1"/>
          </w:tcPr>
          <w:p>
            <w:pPr>
              <w:spacing w:line="264" w:lineRule="auto"/>
              <w:jc w:val="right"/>
            </w:pPr>
            <w:r>
              <w:rPr>
                <w:b w:val="0"/>
                <w:i w:val="0"/>
                <w:sz w:val="18"/>
              </w:rPr>
              <w:t>Carrying value - confirm in notes</w:t>
            </w:r>
          </w:p>
        </w:tc>
      </w:tr>
      <w:tr>
        <w:tc>
          <w:tcPr>
            <w:tcW w:type="dxa" w:w="2304"/>
          </w:tcPr>
          <w:p>
            <w:pPr>
              <w:spacing w:line="264" w:lineRule="auto"/>
            </w:pPr>
            <w:r>
              <w:rPr>
                <w:b w:val="0"/>
                <w:i w:val="0"/>
                <w:color w:val="1C3A36"/>
                <w:sz w:val="18"/>
              </w:rPr>
              <w:t>Net cash</w:t>
            </w:r>
          </w:p>
        </w:tc>
        <w:tc>
          <w:tcPr>
            <w:tcW w:type="dxa" w:w="1872"/>
          </w:tcPr>
          <w:p>
            <w:pPr>
              <w:spacing w:line="264" w:lineRule="auto"/>
              <w:jc w:val="right"/>
            </w:pPr>
            <w:r>
              <w:rPr>
                <w:b w:val="0"/>
                <w:i w:val="0"/>
                <w:sz w:val="18"/>
              </w:rPr>
              <w:t>16.0</w:t>
            </w:r>
          </w:p>
        </w:tc>
        <w:tc>
          <w:tcPr>
            <w:tcW w:type="dxa" w:w="2736"/>
          </w:tcPr>
          <w:p>
            <w:pPr>
              <w:spacing w:line="264" w:lineRule="auto"/>
              <w:jc w:val="right"/>
            </w:pPr>
            <w:r>
              <w:rPr>
                <w:b w:val="0"/>
                <w:i w:val="0"/>
                <w:sz w:val="18"/>
              </w:rPr>
              <w:t>Treasury yields, payout policy</w:t>
            </w:r>
          </w:p>
        </w:tc>
        <w:tc>
          <w:tcPr>
            <w:tcW w:type="dxa" w:w="3600"/>
          </w:tcPr>
          <w:p>
            <w:pPr>
              <w:spacing w:line="264" w:lineRule="auto"/>
              <w:jc w:val="right"/>
            </w:pPr>
            <w:r>
              <w:rPr>
                <w:b w:val="0"/>
                <w:i w:val="0"/>
                <w:sz w:val="18"/>
              </w:rPr>
              <w:t>The floor under the price</w:t>
            </w:r>
          </w:p>
        </w:tc>
      </w:tr>
      <w:tr>
        <w:tc>
          <w:tcPr>
            <w:tcW w:type="dxa" w:w="2304"/>
            <w:shd w:val="clear" w:fill="EFF3F1"/>
          </w:tcPr>
          <w:p>
            <w:pPr>
              <w:spacing w:line="264" w:lineRule="auto"/>
            </w:pPr>
            <w:r>
              <w:rPr>
                <w:b w:val="0"/>
                <w:i w:val="0"/>
                <w:color w:val="1C3A36"/>
                <w:sz w:val="18"/>
              </w:rPr>
              <w:t>Gross equity value</w:t>
            </w:r>
          </w:p>
        </w:tc>
        <w:tc>
          <w:tcPr>
            <w:tcW w:type="dxa" w:w="1872"/>
            <w:shd w:val="clear" w:fill="EFF3F1"/>
          </w:tcPr>
          <w:p>
            <w:pPr>
              <w:spacing w:line="264" w:lineRule="auto"/>
              <w:jc w:val="right"/>
            </w:pPr>
            <w:r>
              <w:rPr>
                <w:b w:val="0"/>
                <w:i w:val="0"/>
                <w:sz w:val="18"/>
              </w:rPr>
              <w:t>76.2</w:t>
            </w:r>
          </w:p>
        </w:tc>
        <w:tc>
          <w:tcPr>
            <w:tcW w:type="dxa" w:w="2736"/>
            <w:shd w:val="clear" w:fill="EFF3F1"/>
          </w:tcPr>
          <w:p>
            <w:pPr>
              <w:spacing w:line="264" w:lineRule="auto"/>
              <w:jc w:val="right"/>
            </w:pPr>
            <w:r>
              <w:rPr>
                <w:b w:val="0"/>
                <w:i w:val="0"/>
                <w:sz w:val="18"/>
              </w:rPr>
            </w:r>
          </w:p>
        </w:tc>
        <w:tc>
          <w:tcPr>
            <w:tcW w:type="dxa" w:w="3600"/>
            <w:shd w:val="clear" w:fill="EFF3F1"/>
          </w:tcPr>
          <w:p>
            <w:pPr>
              <w:spacing w:line="264" w:lineRule="auto"/>
              <w:jc w:val="right"/>
            </w:pPr>
            <w:r>
              <w:rPr>
                <w:b w:val="0"/>
                <w:i w:val="0"/>
                <w:sz w:val="18"/>
              </w:rPr>
              <w:t>EGP 60.3 per share</w:t>
            </w:r>
          </w:p>
        </w:tc>
      </w:tr>
    </w:tbl>
    <w:p>
      <w:pPr>
        <w:spacing w:after="40"/>
      </w:pPr>
    </w:p>
    <w:p>
      <w:pPr>
        <w:spacing w:before="160" w:after="120" w:line="264" w:lineRule="auto"/>
      </w:pPr>
      <w:r>
        <w:rPr>
          <w:b/>
          <w:i w:val="0"/>
          <w:color w:val="1C3A36"/>
          <w:sz w:val="24"/>
        </w:rPr>
        <w:t>1.7  Gas feedstock and the EGP - the crux</w:t>
      </w:r>
    </w:p>
    <w:p>
      <w:pPr>
        <w:spacing w:after="120" w:line="264" w:lineRule="auto"/>
      </w:pPr>
      <w:r>
        <w:rPr>
          <w:b w:val="0"/>
          <w:i w:val="0"/>
          <w:sz w:val="21"/>
        </w:rPr>
        <w:t>The crux is gas. ABUK's margin is a spread between USD-linked fertilizer prices and a largely state-set gas-feedstock cost; a weak EGP widens it (exports priced in USD), a move of gas toward export parity collapses it. FX and gas are therefore not independent risks - they are the same swing, and they dominate the value far more than any modelling choice.</w:t>
      </w:r>
    </w:p>
    <w:p>
      <w:pPr>
        <w:spacing w:after="120" w:line="264" w:lineRule="auto"/>
      </w:pPr>
      <w:r>
        <w:rPr>
          <w:b w:val="0"/>
          <w:i w:val="0"/>
          <w:sz w:val="21"/>
        </w:rPr>
        <w:t>History frames the stakes: the 2014 and 2022 feedstock episodes each compressed margins for four to six quarters before pricing and the currency restored them, and the FY25 accounts already carry an adjustment from a gas-supply shutdown. The bull case is continuity; the bear case is a fiscal decision taken in one meeting.</w:t>
      </w:r>
    </w:p>
    <w:p>
      <w:pPr>
        <w:spacing w:after="120" w:line="264" w:lineRule="auto"/>
      </w:pPr>
      <w:r>
        <w:rPr>
          <w:b w:val="0"/>
          <w:sz w:val="21"/>
        </w:rPr>
        <w:t>Quantifying the crux: each ~5-point move in the EBITDA margin is worth roughly EGP 8/share through the capitalized lenses, and each 10% EGP move roughly EGP 5-7 - so the plausible policy space alone spans about EGP 25 of value per share, dwarfing every modelling choice in this report.</w:t>
      </w:r>
    </w:p>
    <w:p>
      <w:pPr>
        <w:spacing w:before="160" w:after="120" w:line="264" w:lineRule="auto"/>
      </w:pPr>
      <w:r>
        <w:rPr>
          <w:b/>
          <w:i w:val="0"/>
          <w:color w:val="1C3A36"/>
          <w:sz w:val="24"/>
        </w:rPr>
        <w:t>1.8  Macro and country</w:t>
      </w:r>
    </w:p>
    <w:p>
      <w:pPr>
        <w:spacing w:after="120" w:line="264" w:lineRule="auto"/>
      </w:pPr>
      <w:r>
        <w:rPr>
          <w:b w:val="0"/>
          <w:i w:val="0"/>
          <w:sz w:val="21"/>
        </w:rPr>
        <w:t>Macro/country: Egypt's periodic gas shortages have forced temporary fertilizer-plant shutdowns, and the FY25 accounts carry adjustments tied to one such closure. The medium-term risk is a policy shift on feedstock pricing under fiscal pressure; the medium-term support is a weak EGP and ABUK's export franchise across ~40 markets.</w:t>
      </w:r>
    </w:p>
    <w:p>
      <w:pPr>
        <w:spacing w:after="120" w:line="264" w:lineRule="auto"/>
      </w:pPr>
      <w:r>
        <w:rPr>
          <w:b w:val="0"/>
          <w:sz w:val="21"/>
        </w:rPr>
        <w:t>On the demand side, Egypt's domestic allocation quota (fertilizer sold locally at regulated prices in exchange for the gas arrangement) caps a slice of revenue but stabilises volumes; the export tranche is where both the upside and the policy risk concentrate.</w:t>
      </w:r>
    </w:p>
    <w:p>
      <w:pPr>
        <w:spacing w:after="120" w:line="264" w:lineRule="auto"/>
      </w:pPr>
      <w:r>
        <w:rPr>
          <w:b w:val="0"/>
          <w:i w:val="0"/>
          <w:sz w:val="21"/>
        </w:rPr>
        <w:t>Globally, nitrogen prices are off their 2022 peaks but stabilising, and food-security demand keeps volumes defensive - the cycle here is a price cycle, not a volume cycle, which is what makes a mid-cycle margin estimable at all.</w:t>
      </w:r>
    </w:p>
    <w:p>
      <w:pPr>
        <w:spacing w:before="160" w:after="120" w:line="264" w:lineRule="auto"/>
      </w:pPr>
      <w:r>
        <w:rPr>
          <w:b/>
          <w:i w:val="0"/>
          <w:color w:val="1C3A36"/>
          <w:sz w:val="24"/>
        </w:rPr>
        <w:t>1.9  WACC x mid-cycle-margin grid</w:t>
      </w:r>
    </w:p>
    <w:p>
      <w:pPr>
        <w:spacing w:after="120" w:line="264" w:lineRule="auto"/>
      </w:pPr>
      <w:r>
        <w:rPr>
          <w:b w:val="0"/>
          <w:i w:val="0"/>
          <w:sz w:val="21"/>
        </w:rPr>
        <w:t>Sensitivity (per-share) is dominated by two inputs - WACC and the mid-cycle EBITDA margin. Holding the parts fixed, WACC 22/24/26% moves fair value by roughly +/-EGP 6, and margin 35/40/45% by roughly +/-EGP 8; the interaction, not either alone, defines the EGP 50-75 fundamental envelope. The grid below is illustrative and consistent with the live two-way table in the companion Excel.</w:t>
      </w:r>
    </w:p>
    <w:tbl>
      <w:tblPr>
        <w:tblStyle w:val="TableGrid"/>
        <w:tblW w:type="auto" w:w="0"/>
        <w:tblLook w:firstColumn="1" w:firstRow="1" w:lastColumn="0" w:lastRow="0" w:noHBand="0" w:noVBand="1" w:val="04A0"/>
      </w:tblPr>
      <w:tblGrid>
        <w:gridCol w:w="2484"/>
        <w:gridCol w:w="2484"/>
        <w:gridCol w:w="2484"/>
        <w:gridCol w:w="2484"/>
      </w:tblGrid>
      <w:tr>
        <w:tc>
          <w:tcPr>
            <w:tcW w:type="dxa" w:w="2448"/>
            <w:shd w:val="clear" w:fill="1C3A36"/>
          </w:tcPr>
          <w:p>
            <w:pPr>
              <w:spacing w:line="264" w:lineRule="auto"/>
            </w:pPr>
            <w:r>
              <w:rPr>
                <w:b/>
                <w:i w:val="0"/>
                <w:color w:val="FFFFFF"/>
                <w:sz w:val="18"/>
              </w:rPr>
              <w:t>WACC \ margin</w:t>
            </w:r>
          </w:p>
        </w:tc>
        <w:tc>
          <w:tcPr>
            <w:tcW w:type="dxa" w:w="2016"/>
            <w:shd w:val="clear" w:fill="1C3A36"/>
          </w:tcPr>
          <w:p>
            <w:pPr>
              <w:spacing w:line="264" w:lineRule="auto"/>
              <w:jc w:val="right"/>
            </w:pPr>
            <w:r>
              <w:rPr>
                <w:b/>
                <w:i w:val="0"/>
                <w:color w:val="FFFFFF"/>
                <w:sz w:val="18"/>
              </w:rPr>
              <w:t>35%</w:t>
            </w:r>
          </w:p>
        </w:tc>
        <w:tc>
          <w:tcPr>
            <w:tcW w:type="dxa" w:w="2016"/>
            <w:shd w:val="clear" w:fill="1C3A36"/>
          </w:tcPr>
          <w:p>
            <w:pPr>
              <w:spacing w:line="264" w:lineRule="auto"/>
              <w:jc w:val="right"/>
            </w:pPr>
            <w:r>
              <w:rPr>
                <w:b/>
                <w:i w:val="0"/>
                <w:color w:val="FFFFFF"/>
                <w:sz w:val="18"/>
              </w:rPr>
              <w:t>40%</w:t>
            </w:r>
          </w:p>
        </w:tc>
        <w:tc>
          <w:tcPr>
            <w:tcW w:type="dxa" w:w="2016"/>
            <w:shd w:val="clear" w:fill="1C3A36"/>
          </w:tcPr>
          <w:p>
            <w:pPr>
              <w:spacing w:line="264" w:lineRule="auto"/>
              <w:jc w:val="right"/>
            </w:pPr>
            <w:r>
              <w:rPr>
                <w:b/>
                <w:i w:val="0"/>
                <w:color w:val="FFFFFF"/>
                <w:sz w:val="18"/>
              </w:rPr>
              <w:t>45%</w:t>
            </w:r>
          </w:p>
        </w:tc>
      </w:tr>
      <w:tr>
        <w:tc>
          <w:tcPr>
            <w:tcW w:type="dxa" w:w="2448"/>
          </w:tcPr>
          <w:p>
            <w:pPr>
              <w:spacing w:line="264" w:lineRule="auto"/>
            </w:pPr>
            <w:r>
              <w:rPr>
                <w:b w:val="0"/>
                <w:i w:val="0"/>
                <w:color w:val="1C3A36"/>
                <w:sz w:val="18"/>
              </w:rPr>
              <w:t>22%</w:t>
            </w:r>
          </w:p>
        </w:tc>
        <w:tc>
          <w:tcPr>
            <w:tcW w:type="dxa" w:w="2016"/>
          </w:tcPr>
          <w:p>
            <w:pPr>
              <w:spacing w:line="264" w:lineRule="auto"/>
              <w:jc w:val="right"/>
            </w:pPr>
            <w:r>
              <w:rPr>
                <w:b w:val="0"/>
                <w:i w:val="0"/>
                <w:sz w:val="18"/>
              </w:rPr>
              <w:t>58</w:t>
            </w:r>
          </w:p>
        </w:tc>
        <w:tc>
          <w:tcPr>
            <w:tcW w:type="dxa" w:w="2016"/>
          </w:tcPr>
          <w:p>
            <w:pPr>
              <w:spacing w:line="264" w:lineRule="auto"/>
              <w:jc w:val="right"/>
            </w:pPr>
            <w:r>
              <w:rPr>
                <w:b w:val="0"/>
                <w:i w:val="0"/>
                <w:sz w:val="18"/>
              </w:rPr>
              <w:t>66</w:t>
            </w:r>
          </w:p>
        </w:tc>
        <w:tc>
          <w:tcPr>
            <w:tcW w:type="dxa" w:w="2016"/>
          </w:tcPr>
          <w:p>
            <w:pPr>
              <w:spacing w:line="264" w:lineRule="auto"/>
              <w:jc w:val="right"/>
            </w:pPr>
            <w:r>
              <w:rPr>
                <w:b w:val="0"/>
                <w:i w:val="0"/>
                <w:sz w:val="18"/>
              </w:rPr>
              <w:t>74</w:t>
            </w:r>
          </w:p>
        </w:tc>
      </w:tr>
      <w:tr>
        <w:tc>
          <w:tcPr>
            <w:tcW w:type="dxa" w:w="2448"/>
            <w:shd w:val="clear" w:fill="EFF3F1"/>
          </w:tcPr>
          <w:p>
            <w:pPr>
              <w:spacing w:line="264" w:lineRule="auto"/>
            </w:pPr>
            <w:r>
              <w:rPr>
                <w:b w:val="0"/>
                <w:i w:val="0"/>
                <w:color w:val="1C3A36"/>
                <w:sz w:val="18"/>
              </w:rPr>
              <w:t>24%</w:t>
            </w:r>
          </w:p>
        </w:tc>
        <w:tc>
          <w:tcPr>
            <w:tcW w:type="dxa" w:w="2016"/>
            <w:shd w:val="clear" w:fill="EFF3F1"/>
          </w:tcPr>
          <w:p>
            <w:pPr>
              <w:spacing w:line="264" w:lineRule="auto"/>
              <w:jc w:val="right"/>
            </w:pPr>
            <w:r>
              <w:rPr>
                <w:b w:val="0"/>
                <w:i w:val="0"/>
                <w:sz w:val="18"/>
              </w:rPr>
              <w:t>52</w:t>
            </w:r>
          </w:p>
        </w:tc>
        <w:tc>
          <w:tcPr>
            <w:tcW w:type="dxa" w:w="2016"/>
            <w:shd w:val="clear" w:fill="EFF3F1"/>
          </w:tcPr>
          <w:p>
            <w:pPr>
              <w:spacing w:line="264" w:lineRule="auto"/>
              <w:jc w:val="right"/>
            </w:pPr>
            <w:r>
              <w:rPr>
                <w:b w:val="0"/>
                <w:i w:val="0"/>
                <w:sz w:val="18"/>
              </w:rPr>
              <w:t>60</w:t>
            </w:r>
          </w:p>
        </w:tc>
        <w:tc>
          <w:tcPr>
            <w:tcW w:type="dxa" w:w="2016"/>
            <w:shd w:val="clear" w:fill="EFF3F1"/>
          </w:tcPr>
          <w:p>
            <w:pPr>
              <w:spacing w:line="264" w:lineRule="auto"/>
              <w:jc w:val="right"/>
            </w:pPr>
            <w:r>
              <w:rPr>
                <w:b w:val="0"/>
                <w:i w:val="0"/>
                <w:sz w:val="18"/>
              </w:rPr>
              <w:t>68</w:t>
            </w:r>
          </w:p>
        </w:tc>
      </w:tr>
      <w:tr>
        <w:tc>
          <w:tcPr>
            <w:tcW w:type="dxa" w:w="2448"/>
          </w:tcPr>
          <w:p>
            <w:pPr>
              <w:spacing w:line="264" w:lineRule="auto"/>
            </w:pPr>
            <w:r>
              <w:rPr>
                <w:b w:val="0"/>
                <w:i w:val="0"/>
                <w:color w:val="1C3A36"/>
                <w:sz w:val="18"/>
              </w:rPr>
              <w:t>26%</w:t>
            </w:r>
          </w:p>
        </w:tc>
        <w:tc>
          <w:tcPr>
            <w:tcW w:type="dxa" w:w="2016"/>
          </w:tcPr>
          <w:p>
            <w:pPr>
              <w:spacing w:line="264" w:lineRule="auto"/>
              <w:jc w:val="right"/>
            </w:pPr>
            <w:r>
              <w:rPr>
                <w:b w:val="0"/>
                <w:i w:val="0"/>
                <w:sz w:val="18"/>
              </w:rPr>
              <w:t>46</w:t>
            </w:r>
          </w:p>
        </w:tc>
        <w:tc>
          <w:tcPr>
            <w:tcW w:type="dxa" w:w="2016"/>
          </w:tcPr>
          <w:p>
            <w:pPr>
              <w:spacing w:line="264" w:lineRule="auto"/>
              <w:jc w:val="right"/>
            </w:pPr>
            <w:r>
              <w:rPr>
                <w:b w:val="0"/>
                <w:i w:val="0"/>
                <w:sz w:val="18"/>
              </w:rPr>
              <w:t>54</w:t>
            </w:r>
          </w:p>
        </w:tc>
        <w:tc>
          <w:tcPr>
            <w:tcW w:type="dxa" w:w="2016"/>
          </w:tcPr>
          <w:p>
            <w:pPr>
              <w:spacing w:line="264" w:lineRule="auto"/>
              <w:jc w:val="right"/>
            </w:pPr>
            <w:r>
              <w:rPr>
                <w:b w:val="0"/>
                <w:i w:val="0"/>
                <w:sz w:val="18"/>
              </w:rPr>
              <w:t>62</w:t>
            </w:r>
          </w:p>
        </w:tc>
      </w:tr>
    </w:tbl>
    <w:p>
      <w:pPr>
        <w:spacing w:after="40"/>
      </w:pPr>
    </w:p>
    <w:p>
      <w:pPr>
        <w:spacing w:before="160" w:after="120" w:line="264" w:lineRule="auto"/>
      </w:pPr>
      <w:r>
        <w:rPr>
          <w:b/>
          <w:i w:val="0"/>
          <w:color w:val="1C3A36"/>
          <w:sz w:val="30"/>
        </w:rPr>
        <w:t>2  Technical and price structure</w:t>
      </w:r>
    </w:p>
    <w:p>
      <w:pPr>
        <w:spacing w:after="120" w:line="264" w:lineRule="auto"/>
      </w:pPr>
      <w:r>
        <w:rPr>
          <w:b w:val="0"/>
          <w:i w:val="0"/>
          <w:sz w:val="21"/>
        </w:rPr>
        <w:t>Price EGP 68.0 sits below the 20-day (73.4), 50-day (81.3) and 100-day (79.1) averages but above a rising 200-day (64.8) - a sharp correction inside a longer uptrend. RSI(14) at ~19 is deeply oversold; the 52-week range is EGP 45.4-94.0, so the stock has round-tripped from its high and is nearer the middle.</w:t>
      </w:r>
    </w:p>
    <w:p>
      <w:pPr>
        <w:spacing w:after="120" w:line="264" w:lineRule="auto"/>
      </w:pPr>
      <w:r>
        <w:rPr>
          <w:b w:val="0"/>
          <w:i w:val="0"/>
          <w:sz w:val="21"/>
        </w:rPr>
        <w:t>The MA stack is bearish short-term with support toward the 200-day (~EGP 65) and the recent low (~EGP 60); oversold readings this deep have historically marked exhaustion zones in ABUK's tape rather than trend starts, but the signal is timing, not value.</w:t>
      </w:r>
    </w:p>
    <w:tbl>
      <w:tblPr>
        <w:tblStyle w:val="TableGrid"/>
        <w:tblW w:type="auto" w:w="0"/>
        <w:tblLook w:firstColumn="1" w:firstRow="1" w:lastColumn="0" w:lastRow="0" w:noHBand="0" w:noVBand="1" w:val="04A0"/>
      </w:tblPr>
      <w:tblGrid>
        <w:gridCol w:w="4968"/>
        <w:gridCol w:w="4968"/>
      </w:tblGrid>
      <w:tr>
        <w:tc>
          <w:tcPr>
            <w:tcW w:type="dxa" w:w="3744"/>
            <w:shd w:val="clear" w:fill="1C3A36"/>
          </w:tcPr>
          <w:p>
            <w:pPr>
              <w:spacing w:line="264" w:lineRule="auto"/>
            </w:pPr>
            <w:r>
              <w:rPr>
                <w:b/>
                <w:i w:val="0"/>
                <w:color w:val="FFFFFF"/>
                <w:sz w:val="18"/>
              </w:rPr>
              <w:t>Indicator</w:t>
            </w:r>
          </w:p>
        </w:tc>
        <w:tc>
          <w:tcPr>
            <w:tcW w:type="dxa" w:w="6048"/>
            <w:shd w:val="clear" w:fill="1C3A36"/>
          </w:tcPr>
          <w:p>
            <w:pPr>
              <w:spacing w:line="264" w:lineRule="auto"/>
              <w:jc w:val="right"/>
            </w:pPr>
            <w:r>
              <w:rPr>
                <w:b/>
                <w:i w:val="0"/>
                <w:color w:val="FFFFFF"/>
                <w:sz w:val="18"/>
              </w:rPr>
              <w:t>Reading</w:t>
            </w:r>
          </w:p>
        </w:tc>
      </w:tr>
      <w:tr>
        <w:tc>
          <w:tcPr>
            <w:tcW w:type="dxa" w:w="3744"/>
          </w:tcPr>
          <w:p>
            <w:pPr>
              <w:spacing w:line="264" w:lineRule="auto"/>
            </w:pPr>
            <w:r>
              <w:rPr>
                <w:b w:val="0"/>
                <w:i w:val="0"/>
                <w:color w:val="1C3A36"/>
                <w:sz w:val="18"/>
              </w:rPr>
              <w:t>Spot</w:t>
            </w:r>
          </w:p>
        </w:tc>
        <w:tc>
          <w:tcPr>
            <w:tcW w:type="dxa" w:w="6048"/>
          </w:tcPr>
          <w:p>
            <w:pPr>
              <w:spacing w:line="264" w:lineRule="auto"/>
              <w:jc w:val="right"/>
            </w:pPr>
            <w:r>
              <w:rPr>
                <w:b w:val="0"/>
                <w:i w:val="0"/>
                <w:sz w:val="18"/>
              </w:rPr>
              <w:t>EGP 67.97</w:t>
            </w:r>
          </w:p>
        </w:tc>
      </w:tr>
      <w:tr>
        <w:tc>
          <w:tcPr>
            <w:tcW w:type="dxa" w:w="3744"/>
            <w:shd w:val="clear" w:fill="EFF3F1"/>
          </w:tcPr>
          <w:p>
            <w:pPr>
              <w:spacing w:line="264" w:lineRule="auto"/>
            </w:pPr>
            <w:r>
              <w:rPr>
                <w:b w:val="0"/>
                <w:i w:val="0"/>
                <w:color w:val="1C3A36"/>
                <w:sz w:val="18"/>
              </w:rPr>
              <w:t>SMA 20 / 50 / 100 / 200</w:t>
            </w:r>
          </w:p>
        </w:tc>
        <w:tc>
          <w:tcPr>
            <w:tcW w:type="dxa" w:w="6048"/>
            <w:shd w:val="clear" w:fill="EFF3F1"/>
          </w:tcPr>
          <w:p>
            <w:pPr>
              <w:spacing w:line="264" w:lineRule="auto"/>
              <w:jc w:val="right"/>
            </w:pPr>
            <w:r>
              <w:rPr>
                <w:b w:val="0"/>
                <w:i w:val="0"/>
                <w:sz w:val="18"/>
              </w:rPr>
              <w:t>73.4 / 81.3 / 79.1 / 64.8</w:t>
            </w:r>
          </w:p>
        </w:tc>
      </w:tr>
      <w:tr>
        <w:tc>
          <w:tcPr>
            <w:tcW w:type="dxa" w:w="3744"/>
          </w:tcPr>
          <w:p>
            <w:pPr>
              <w:spacing w:line="264" w:lineRule="auto"/>
            </w:pPr>
            <w:r>
              <w:rPr>
                <w:b w:val="0"/>
                <w:i w:val="0"/>
                <w:color w:val="1C3A36"/>
                <w:sz w:val="18"/>
              </w:rPr>
              <w:t>RSI(14)</w:t>
            </w:r>
          </w:p>
        </w:tc>
        <w:tc>
          <w:tcPr>
            <w:tcW w:type="dxa" w:w="6048"/>
          </w:tcPr>
          <w:p>
            <w:pPr>
              <w:spacing w:line="264" w:lineRule="auto"/>
              <w:jc w:val="right"/>
            </w:pPr>
            <w:r>
              <w:rPr>
                <w:b w:val="0"/>
                <w:i w:val="0"/>
                <w:sz w:val="18"/>
              </w:rPr>
              <w:t>~19 (deeply oversold)</w:t>
            </w:r>
          </w:p>
        </w:tc>
      </w:tr>
      <w:tr>
        <w:tc>
          <w:tcPr>
            <w:tcW w:type="dxa" w:w="3744"/>
            <w:shd w:val="clear" w:fill="EFF3F1"/>
          </w:tcPr>
          <w:p>
            <w:pPr>
              <w:spacing w:line="264" w:lineRule="auto"/>
            </w:pPr>
            <w:r>
              <w:rPr>
                <w:b w:val="0"/>
                <w:i w:val="0"/>
                <w:color w:val="1C3A36"/>
                <w:sz w:val="18"/>
              </w:rPr>
              <w:t>52-week range</w:t>
            </w:r>
          </w:p>
        </w:tc>
        <w:tc>
          <w:tcPr>
            <w:tcW w:type="dxa" w:w="6048"/>
            <w:shd w:val="clear" w:fill="EFF3F1"/>
          </w:tcPr>
          <w:p>
            <w:pPr>
              <w:spacing w:line="264" w:lineRule="auto"/>
              <w:jc w:val="right"/>
            </w:pPr>
            <w:r>
              <w:rPr>
                <w:b w:val="0"/>
                <w:i w:val="0"/>
                <w:sz w:val="18"/>
              </w:rPr>
              <w:t>EGP 45.4 - 94.0</w:t>
            </w:r>
          </w:p>
        </w:tc>
      </w:tr>
      <w:tr>
        <w:tc>
          <w:tcPr>
            <w:tcW w:type="dxa" w:w="3744"/>
          </w:tcPr>
          <w:p>
            <w:pPr>
              <w:spacing w:line="264" w:lineRule="auto"/>
            </w:pPr>
            <w:r>
              <w:rPr>
                <w:b w:val="0"/>
                <w:i w:val="0"/>
                <w:color w:val="1C3A36"/>
                <w:sz w:val="18"/>
              </w:rPr>
              <w:t>Structure</w:t>
            </w:r>
          </w:p>
        </w:tc>
        <w:tc>
          <w:tcPr>
            <w:tcW w:type="dxa" w:w="6048"/>
          </w:tcPr>
          <w:p>
            <w:pPr>
              <w:spacing w:line="264" w:lineRule="auto"/>
              <w:jc w:val="right"/>
            </w:pPr>
            <w:r>
              <w:rPr>
                <w:b w:val="0"/>
                <w:i w:val="0"/>
                <w:sz w:val="18"/>
              </w:rPr>
              <w:t>Below short/medium MAs, above rising 200-day</w:t>
            </w:r>
          </w:p>
        </w:tc>
      </w:tr>
    </w:tbl>
    <w:p>
      <w:pPr>
        <w:spacing w:after="40"/>
      </w:pPr>
    </w:p>
    <w:p>
      <w:pPr>
        <w:jc w:val="center"/>
      </w:pPr>
      <w:r>
        <w:drawing>
          <wp:inline xmlns:a="http://schemas.openxmlformats.org/drawingml/2006/main" xmlns:pic="http://schemas.openxmlformats.org/drawingml/2006/picture">
            <wp:extent cx="6035040" cy="2328276"/>
            <wp:docPr id="2" name="Picture 2"/>
            <wp:cNvGraphicFramePr>
              <a:graphicFrameLocks noChangeAspect="1"/>
            </wp:cNvGraphicFramePr>
            <a:graphic>
              <a:graphicData uri="http://schemas.openxmlformats.org/drawingml/2006/picture">
                <pic:pic>
                  <pic:nvPicPr>
                    <pic:cNvPr id="0" name="ABUK_mastack.png"/>
                    <pic:cNvPicPr/>
                  </pic:nvPicPr>
                  <pic:blipFill>
                    <a:blip r:embed="rId10"/>
                    <a:stretch>
                      <a:fillRect/>
                    </a:stretch>
                  </pic:blipFill>
                  <pic:spPr>
                    <a:xfrm>
                      <a:off x="0" y="0"/>
                      <a:ext cx="6035040" cy="2328276"/>
                    </a:xfrm>
                    <a:prstGeom prst="rect"/>
                  </pic:spPr>
                </pic:pic>
              </a:graphicData>
            </a:graphic>
          </wp:inline>
        </w:drawing>
      </w:r>
    </w:p>
    <w:p>
      <w:pPr>
        <w:spacing w:line="264" w:lineRule="auto"/>
        <w:jc w:val="center"/>
      </w:pPr>
      <w:r>
        <w:rPr>
          <w:b w:val="0"/>
          <w:i/>
          <w:color w:val="666666"/>
          <w:sz w:val="16"/>
        </w:rPr>
        <w:t>Price vs moving-average stack (last 260 sessions)</w:t>
      </w:r>
    </w:p>
    <w:p>
      <w:pPr>
        <w:spacing w:before="160" w:after="120" w:line="264" w:lineRule="auto"/>
      </w:pPr>
      <w:r>
        <w:rPr>
          <w:b/>
          <w:i w:val="0"/>
          <w:color w:val="1C3A36"/>
          <w:sz w:val="30"/>
        </w:rPr>
        <w:t>3  Monte Carlo - a probabilistic price map</w:t>
      </w:r>
    </w:p>
    <w:p>
      <w:pPr>
        <w:spacing w:after="120" w:line="264" w:lineRule="auto"/>
      </w:pPr>
      <w:r>
        <w:rPr>
          <w:b w:val="0"/>
          <w:i w:val="0"/>
          <w:sz w:val="21"/>
        </w:rPr>
        <w:t>Paths diffuse from spot; the §1 value gap is kept out of the drift, so the three lenses stay independent. 16-factor model - 7 continuous + 9 discrete - 50,000 paths, seed 42.</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304"/>
            <w:shd w:val="clear" w:fill="1C3A36"/>
          </w:tcPr>
          <w:p>
            <w:pPr>
              <w:spacing w:line="264" w:lineRule="auto"/>
            </w:pPr>
            <w:r>
              <w:rPr>
                <w:b/>
                <w:i w:val="0"/>
                <w:color w:val="FFFFFF"/>
                <w:sz w:val="18"/>
              </w:rPr>
              <w:t>Horizon</w:t>
            </w:r>
          </w:p>
        </w:tc>
        <w:tc>
          <w:tcPr>
            <w:tcW w:type="dxa" w:w="1440"/>
            <w:shd w:val="clear" w:fill="1C3A36"/>
          </w:tcPr>
          <w:p>
            <w:pPr>
              <w:spacing w:line="264" w:lineRule="auto"/>
              <w:jc w:val="right"/>
            </w:pPr>
            <w:r>
              <w:rPr>
                <w:b/>
                <w:i w:val="0"/>
                <w:color w:val="FFFFFF"/>
                <w:sz w:val="18"/>
              </w:rPr>
              <w:t>P5</w:t>
            </w:r>
          </w:p>
        </w:tc>
        <w:tc>
          <w:tcPr>
            <w:tcW w:type="dxa" w:w="1440"/>
            <w:shd w:val="clear" w:fill="1C3A36"/>
          </w:tcPr>
          <w:p>
            <w:pPr>
              <w:spacing w:line="264" w:lineRule="auto"/>
              <w:jc w:val="right"/>
            </w:pPr>
            <w:r>
              <w:rPr>
                <w:b/>
                <w:i w:val="0"/>
                <w:color w:val="FFFFFF"/>
                <w:sz w:val="18"/>
              </w:rPr>
              <w:t>P25</w:t>
            </w:r>
          </w:p>
        </w:tc>
        <w:tc>
          <w:tcPr>
            <w:tcW w:type="dxa" w:w="1440"/>
            <w:shd w:val="clear" w:fill="1C3A36"/>
          </w:tcPr>
          <w:p>
            <w:pPr>
              <w:spacing w:line="264" w:lineRule="auto"/>
              <w:jc w:val="right"/>
            </w:pPr>
            <w:r>
              <w:rPr>
                <w:b/>
                <w:i w:val="0"/>
                <w:color w:val="FFFFFF"/>
                <w:sz w:val="18"/>
              </w:rPr>
              <w:t>P50</w:t>
            </w:r>
          </w:p>
        </w:tc>
        <w:tc>
          <w:tcPr>
            <w:tcW w:type="dxa" w:w="1440"/>
            <w:shd w:val="clear" w:fill="1C3A36"/>
          </w:tcPr>
          <w:p>
            <w:pPr>
              <w:spacing w:line="264" w:lineRule="auto"/>
              <w:jc w:val="right"/>
            </w:pPr>
            <w:r>
              <w:rPr>
                <w:b/>
                <w:i w:val="0"/>
                <w:color w:val="FFFFFF"/>
                <w:sz w:val="18"/>
              </w:rPr>
              <w:t>P75</w:t>
            </w:r>
          </w:p>
        </w:tc>
        <w:tc>
          <w:tcPr>
            <w:tcW w:type="dxa" w:w="1440"/>
            <w:shd w:val="clear" w:fill="1C3A36"/>
          </w:tcPr>
          <w:p>
            <w:pPr>
              <w:spacing w:line="264" w:lineRule="auto"/>
              <w:jc w:val="right"/>
            </w:pPr>
            <w:r>
              <w:rPr>
                <w:b/>
                <w:i w:val="0"/>
                <w:color w:val="FFFFFF"/>
                <w:sz w:val="18"/>
              </w:rPr>
              <w:t>P95</w:t>
            </w:r>
          </w:p>
        </w:tc>
      </w:tr>
      <w:tr>
        <w:tc>
          <w:tcPr>
            <w:tcW w:type="dxa" w:w="2304"/>
          </w:tcPr>
          <w:p>
            <w:pPr>
              <w:spacing w:line="264" w:lineRule="auto"/>
            </w:pPr>
            <w:r>
              <w:rPr>
                <w:b w:val="0"/>
                <w:i w:val="0"/>
                <w:color w:val="1C3A36"/>
                <w:sz w:val="18"/>
              </w:rPr>
              <w:t>T+20</w:t>
            </w:r>
          </w:p>
        </w:tc>
        <w:tc>
          <w:tcPr>
            <w:tcW w:type="dxa" w:w="1440"/>
          </w:tcPr>
          <w:p>
            <w:pPr>
              <w:spacing w:line="264" w:lineRule="auto"/>
              <w:jc w:val="right"/>
            </w:pPr>
            <w:r>
              <w:rPr>
                <w:b w:val="0"/>
                <w:i w:val="0"/>
                <w:sz w:val="18"/>
              </w:rPr>
              <w:t>52</w:t>
            </w:r>
          </w:p>
        </w:tc>
        <w:tc>
          <w:tcPr>
            <w:tcW w:type="dxa" w:w="1440"/>
          </w:tcPr>
          <w:p>
            <w:pPr>
              <w:spacing w:line="264" w:lineRule="auto"/>
              <w:jc w:val="right"/>
            </w:pPr>
            <w:r>
              <w:rPr>
                <w:b w:val="0"/>
                <w:i w:val="0"/>
                <w:sz w:val="18"/>
              </w:rPr>
              <w:t>61</w:t>
            </w:r>
          </w:p>
        </w:tc>
        <w:tc>
          <w:tcPr>
            <w:tcW w:type="dxa" w:w="1440"/>
          </w:tcPr>
          <w:p>
            <w:pPr>
              <w:spacing w:line="264" w:lineRule="auto"/>
              <w:jc w:val="right"/>
            </w:pPr>
            <w:r>
              <w:rPr>
                <w:b w:val="0"/>
                <w:i w:val="0"/>
                <w:sz w:val="18"/>
              </w:rPr>
              <w:t>68</w:t>
            </w:r>
          </w:p>
        </w:tc>
        <w:tc>
          <w:tcPr>
            <w:tcW w:type="dxa" w:w="1440"/>
          </w:tcPr>
          <w:p>
            <w:pPr>
              <w:spacing w:line="264" w:lineRule="auto"/>
              <w:jc w:val="right"/>
            </w:pPr>
            <w:r>
              <w:rPr>
                <w:b w:val="0"/>
                <w:i w:val="0"/>
                <w:sz w:val="18"/>
              </w:rPr>
              <w:t>76</w:t>
            </w:r>
          </w:p>
        </w:tc>
        <w:tc>
          <w:tcPr>
            <w:tcW w:type="dxa" w:w="1440"/>
          </w:tcPr>
          <w:p>
            <w:pPr>
              <w:spacing w:line="264" w:lineRule="auto"/>
              <w:jc w:val="right"/>
            </w:pPr>
            <w:r>
              <w:rPr>
                <w:b w:val="0"/>
                <w:i w:val="0"/>
                <w:sz w:val="18"/>
              </w:rPr>
              <w:t>88</w:t>
            </w:r>
          </w:p>
        </w:tc>
      </w:tr>
      <w:tr>
        <w:tc>
          <w:tcPr>
            <w:tcW w:type="dxa" w:w="2304"/>
            <w:shd w:val="clear" w:fill="EFF3F1"/>
          </w:tcPr>
          <w:p>
            <w:pPr>
              <w:spacing w:line="264" w:lineRule="auto"/>
            </w:pPr>
            <w:r>
              <w:rPr>
                <w:b w:val="0"/>
                <w:i w:val="0"/>
                <w:color w:val="1C3A36"/>
                <w:sz w:val="18"/>
              </w:rPr>
              <w:t>T+60</w:t>
            </w:r>
          </w:p>
        </w:tc>
        <w:tc>
          <w:tcPr>
            <w:tcW w:type="dxa" w:w="1440"/>
            <w:shd w:val="clear" w:fill="EFF3F1"/>
          </w:tcPr>
          <w:p>
            <w:pPr>
              <w:spacing w:line="264" w:lineRule="auto"/>
              <w:jc w:val="right"/>
            </w:pPr>
            <w:r>
              <w:rPr>
                <w:b w:val="0"/>
                <w:i w:val="0"/>
                <w:sz w:val="18"/>
              </w:rPr>
              <w:t>42</w:t>
            </w:r>
          </w:p>
        </w:tc>
        <w:tc>
          <w:tcPr>
            <w:tcW w:type="dxa" w:w="1440"/>
            <w:shd w:val="clear" w:fill="EFF3F1"/>
          </w:tcPr>
          <w:p>
            <w:pPr>
              <w:spacing w:line="264" w:lineRule="auto"/>
              <w:jc w:val="right"/>
            </w:pPr>
            <w:r>
              <w:rPr>
                <w:b w:val="0"/>
                <w:i w:val="0"/>
                <w:sz w:val="18"/>
              </w:rPr>
              <w:t>56</w:t>
            </w:r>
          </w:p>
        </w:tc>
        <w:tc>
          <w:tcPr>
            <w:tcW w:type="dxa" w:w="1440"/>
            <w:shd w:val="clear" w:fill="EFF3F1"/>
          </w:tcPr>
          <w:p>
            <w:pPr>
              <w:spacing w:line="264" w:lineRule="auto"/>
              <w:jc w:val="right"/>
            </w:pPr>
            <w:r>
              <w:rPr>
                <w:b w:val="0"/>
                <w:i w:val="0"/>
                <w:sz w:val="18"/>
              </w:rPr>
              <w:t>67</w:t>
            </w:r>
          </w:p>
        </w:tc>
        <w:tc>
          <w:tcPr>
            <w:tcW w:type="dxa" w:w="1440"/>
            <w:shd w:val="clear" w:fill="EFF3F1"/>
          </w:tcPr>
          <w:p>
            <w:pPr>
              <w:spacing w:line="264" w:lineRule="auto"/>
              <w:jc w:val="right"/>
            </w:pPr>
            <w:r>
              <w:rPr>
                <w:b w:val="0"/>
                <w:i w:val="0"/>
                <w:sz w:val="18"/>
              </w:rPr>
              <w:t>81</w:t>
            </w:r>
          </w:p>
        </w:tc>
        <w:tc>
          <w:tcPr>
            <w:tcW w:type="dxa" w:w="1440"/>
            <w:shd w:val="clear" w:fill="EFF3F1"/>
          </w:tcPr>
          <w:p>
            <w:pPr>
              <w:spacing w:line="264" w:lineRule="auto"/>
              <w:jc w:val="right"/>
            </w:pPr>
            <w:r>
              <w:rPr>
                <w:b w:val="0"/>
                <w:i w:val="0"/>
                <w:sz w:val="18"/>
              </w:rPr>
              <w:t>106</w:t>
            </w:r>
          </w:p>
        </w:tc>
      </w:tr>
    </w:tbl>
    <w:p>
      <w:pPr>
        <w:spacing w:after="40"/>
      </w:pPr>
    </w:p>
    <w:p>
      <w:pPr>
        <w:jc w:val="center"/>
      </w:pPr>
      <w:r>
        <w:drawing>
          <wp:inline xmlns:a="http://schemas.openxmlformats.org/drawingml/2006/main" xmlns:pic="http://schemas.openxmlformats.org/drawingml/2006/picture">
            <wp:extent cx="5943600" cy="2806947"/>
            <wp:docPr id="3" name="Picture 3"/>
            <wp:cNvGraphicFramePr>
              <a:graphicFrameLocks noChangeAspect="1"/>
            </wp:cNvGraphicFramePr>
            <a:graphic>
              <a:graphicData uri="http://schemas.openxmlformats.org/drawingml/2006/picture">
                <pic:pic>
                  <pic:nvPicPr>
                    <pic:cNvPr id="0" name="ABUK_fan.png"/>
                    <pic:cNvPicPr/>
                  </pic:nvPicPr>
                  <pic:blipFill>
                    <a:blip r:embed="rId11"/>
                    <a:stretch>
                      <a:fillRect/>
                    </a:stretch>
                  </pic:blipFill>
                  <pic:spPr>
                    <a:xfrm>
                      <a:off x="0" y="0"/>
                      <a:ext cx="5943600" cy="2806947"/>
                    </a:xfrm>
                    <a:prstGeom prst="rect"/>
                  </pic:spPr>
                </pic:pic>
              </a:graphicData>
            </a:graphic>
          </wp:inline>
        </w:drawing>
      </w:r>
    </w:p>
    <w:p>
      <w:pPr>
        <w:spacing w:line="264" w:lineRule="auto"/>
        <w:jc w:val="center"/>
      </w:pPr>
      <w:r>
        <w:rPr>
          <w:b w:val="0"/>
          <w:i/>
          <w:color w:val="666666"/>
          <w:sz w:val="16"/>
        </w:rPr>
        <w:t>Forward price cone (3 months)</w:t>
      </w:r>
    </w:p>
    <w:p>
      <w:pPr>
        <w:jc w:val="center"/>
      </w:pPr>
      <w:r>
        <w:drawing>
          <wp:inline xmlns:a="http://schemas.openxmlformats.org/drawingml/2006/main" xmlns:pic="http://schemas.openxmlformats.org/drawingml/2006/picture">
            <wp:extent cx="4937760" cy="2824565"/>
            <wp:docPr id="4" name="Picture 4"/>
            <wp:cNvGraphicFramePr>
              <a:graphicFrameLocks noChangeAspect="1"/>
            </wp:cNvGraphicFramePr>
            <a:graphic>
              <a:graphicData uri="http://schemas.openxmlformats.org/drawingml/2006/picture">
                <pic:pic>
                  <pic:nvPicPr>
                    <pic:cNvPr id="0" name="ABUK_dist20.png"/>
                    <pic:cNvPicPr/>
                  </pic:nvPicPr>
                  <pic:blipFill>
                    <a:blip r:embed="rId12"/>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T+20</w:t>
      </w:r>
    </w:p>
    <w:p>
      <w:pPr>
        <w:jc w:val="center"/>
      </w:pPr>
      <w:r>
        <w:drawing>
          <wp:inline xmlns:a="http://schemas.openxmlformats.org/drawingml/2006/main" xmlns:pic="http://schemas.openxmlformats.org/drawingml/2006/picture">
            <wp:extent cx="4937760" cy="2824565"/>
            <wp:docPr id="5" name="Picture 5"/>
            <wp:cNvGraphicFramePr>
              <a:graphicFrameLocks noChangeAspect="1"/>
            </wp:cNvGraphicFramePr>
            <a:graphic>
              <a:graphicData uri="http://schemas.openxmlformats.org/drawingml/2006/picture">
                <pic:pic>
                  <pic:nvPicPr>
                    <pic:cNvPr id="0" name="ABUK_dist60.png"/>
                    <pic:cNvPicPr/>
                  </pic:nvPicPr>
                  <pic:blipFill>
                    <a:blip r:embed="rId13"/>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T+60</w:t>
      </w:r>
    </w:p>
    <w:p>
      <w:pPr>
        <w:jc w:val="center"/>
      </w:pPr>
      <w:r>
        <w:drawing>
          <wp:inline xmlns:a="http://schemas.openxmlformats.org/drawingml/2006/main" xmlns:pic="http://schemas.openxmlformats.org/drawingml/2006/picture">
            <wp:extent cx="5669280" cy="3128257"/>
            <wp:docPr id="6" name="Picture 6"/>
            <wp:cNvGraphicFramePr>
              <a:graphicFrameLocks noChangeAspect="1"/>
            </wp:cNvGraphicFramePr>
            <a:graphic>
              <a:graphicData uri="http://schemas.openxmlformats.org/drawingml/2006/picture">
                <pic:pic>
                  <pic:nvPicPr>
                    <pic:cNvPr id="0" name="ABUK_touch.png"/>
                    <pic:cNvPicPr/>
                  </pic:nvPicPr>
                  <pic:blipFill>
                    <a:blip r:embed="rId14"/>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T+60</w:t>
      </w:r>
    </w:p>
    <w:p>
      <w:pPr>
        <w:jc w:val="center"/>
      </w:pPr>
      <w:r>
        <w:drawing>
          <wp:inline xmlns:a="http://schemas.openxmlformats.org/drawingml/2006/main" xmlns:pic="http://schemas.openxmlformats.org/drawingml/2006/picture">
            <wp:extent cx="5669280" cy="3128257"/>
            <wp:docPr id="7" name="Picture 7"/>
            <wp:cNvGraphicFramePr>
              <a:graphicFrameLocks noChangeAspect="1"/>
            </wp:cNvGraphicFramePr>
            <a:graphic>
              <a:graphicData uri="http://schemas.openxmlformats.org/drawingml/2006/picture">
                <pic:pic>
                  <pic:nvPicPr>
                    <pic:cNvPr id="0" name="ABUK_touch20.png"/>
                    <pic:cNvPicPr/>
                  </pic:nvPicPr>
                  <pic:blipFill>
                    <a:blip r:embed="rId15"/>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T+20</w:t>
      </w:r>
    </w:p>
    <w:p>
      <w:pPr>
        <w:spacing w:after="120" w:line="264" w:lineRule="auto"/>
      </w:pPr>
      <w:r>
        <w:rPr>
          <w:b w:val="0"/>
          <w:i w:val="0"/>
          <w:sz w:val="21"/>
        </w:rPr>
        <w:t>The 16-factor model diffuses from spot with a near-flat median. At T+20 the interquartile band is EGP 61-76; by T+60 it widens to EGP 56-81 around a 67 median, with P5-P95 of 42-106. The distribution is right-skewed - the upside tail is fatter than the downside - reflecting the fertilizer-price and FX event factors.</w:t>
      </w:r>
    </w:p>
    <w:p>
      <w:pPr>
        <w:spacing w:after="120" w:line="264" w:lineRule="auto"/>
      </w:pPr>
      <w:r>
        <w:rPr>
          <w:b w:val="0"/>
          <w:i w:val="0"/>
          <w:sz w:val="21"/>
        </w:rPr>
        <w:t>Touch probabilities: by T+60, EGP 60 ~66%, EGP 75 ~65%, EGP 80 ~44%; by T+20 the same levels run ~43%, ~45% and ~19% - the one-month map is the three-month map compressed, not reshaped.</w:t>
      </w:r>
    </w:p>
    <w:p>
      <w:pPr>
        <w:spacing w:before="160" w:after="120" w:line="264" w:lineRule="auto"/>
      </w:pPr>
      <w:r>
        <w:rPr>
          <w:b/>
          <w:i w:val="0"/>
          <w:color w:val="1C3A36"/>
          <w:sz w:val="30"/>
        </w:rPr>
        <w:t>4  Comparison of the lenses, and a verdict</w:t>
      </w:r>
    </w:p>
    <w:p>
      <w:pPr>
        <w:spacing w:after="120" w:line="264" w:lineRule="auto"/>
      </w:pPr>
      <w:r>
        <w:rPr>
          <w:b w:val="0"/>
          <w:i w:val="0"/>
          <w:sz w:val="21"/>
        </w:rPr>
        <w:t>The lenses agree more than they appear to: the operating-plus-cash value sits at EGP 57-60 across DCF, NAV and mid-cycle multiple, with the price-multiple lens the outlier on the high side. Spot EGP 68 is ~10-15% above that fundamental centre, a gap that is really a bet on gas staying subsidised and the cash carrying no discount.</w:t>
      </w:r>
    </w:p>
    <w:p>
      <w:pPr>
        <w:spacing w:after="120" w:line="264" w:lineRule="auto"/>
      </w:pPr>
      <w:r>
        <w:rPr>
          <w:b w:val="0"/>
          <w:i w:val="0"/>
          <w:sz w:val="21"/>
        </w:rPr>
        <w:t>Verdict: fairly-to-fully valued on base assumptions, with the risk skewed to the gas-policy question rather than to the model - and the ~9-10% dividend yield the compensation for holding through it.</w:t>
      </w:r>
    </w:p>
    <w:p>
      <w:pPr>
        <w:spacing w:before="160" w:after="120" w:line="264" w:lineRule="auto"/>
      </w:pPr>
      <w:r>
        <w:rPr>
          <w:b/>
          <w:i w:val="0"/>
          <w:color w:val="1C3A36"/>
          <w:sz w:val="30"/>
        </w:rPr>
        <w:t>5  Catalysts to watch</w:t>
      </w:r>
    </w:p>
    <w:p>
      <w:pPr>
        <w:pStyle w:val="ListBullet"/>
        <w:spacing w:line="264" w:lineRule="auto"/>
      </w:pPr>
      <w:r>
        <w:rPr>
          <w:b w:val="0"/>
          <w:i w:val="0"/>
          <w:sz w:val="21"/>
        </w:rPr>
        <w:t>FY2025/26 full-year results (early Aug 2026) - margin and the investment-income line.</w:t>
      </w:r>
    </w:p>
    <w:p>
      <w:pPr>
        <w:pStyle w:val="ListBullet"/>
        <w:spacing w:line="264" w:lineRule="auto"/>
      </w:pPr>
      <w:r>
        <w:rPr>
          <w:b w:val="0"/>
          <w:i w:val="0"/>
          <w:sz w:val="21"/>
        </w:rPr>
        <w:t>Any announcement on fertilizer-sector gas-feedstock pricing - the single largest swing.</w:t>
      </w:r>
    </w:p>
    <w:p>
      <w:pPr>
        <w:pStyle w:val="ListBullet"/>
        <w:spacing w:line="264" w:lineRule="auto"/>
      </w:pPr>
      <w:r>
        <w:rPr>
          <w:b w:val="0"/>
          <w:i w:val="0"/>
          <w:sz w:val="21"/>
        </w:rPr>
        <w:t>EGP moves and the USD urea/ammonia price - the same spread from both ends.</w:t>
      </w:r>
    </w:p>
    <w:p>
      <w:pPr>
        <w:pStyle w:val="ListBullet"/>
        <w:spacing w:line="264" w:lineRule="auto"/>
      </w:pPr>
      <w:r>
        <w:rPr>
          <w:b w:val="0"/>
          <w:i w:val="0"/>
          <w:sz w:val="21"/>
        </w:rPr>
        <w:t>Dividend declaration and any special distribution of the cash pile - Expert 2's falsification event.</w:t>
      </w:r>
    </w:p>
    <w:p>
      <w:pPr>
        <w:pStyle w:val="ListBullet"/>
        <w:spacing w:line="264" w:lineRule="auto"/>
      </w:pPr>
      <w:r>
        <w:rPr>
          <w:b w:val="0"/>
          <w:i w:val="0"/>
          <w:sz w:val="21"/>
        </w:rPr>
        <w:t>Gas-supply interruptions forcing plant shutdowns, as already booked in FY25.</w:t>
      </w:r>
    </w:p>
    <w:p>
      <w:pPr>
        <w:spacing w:before="160" w:after="120" w:line="264" w:lineRule="auto"/>
      </w:pPr>
      <w:r>
        <w:rPr>
          <w:b/>
          <w:i w:val="0"/>
          <w:color w:val="1C3A36"/>
          <w:sz w:val="30"/>
        </w:rPr>
        <w:t>6  Reading the probability zones</w:t>
      </w:r>
    </w:p>
    <w:p>
      <w:pPr>
        <w:spacing w:after="120" w:line="264" w:lineRule="auto"/>
      </w:pPr>
      <w:r>
        <w:rPr>
          <w:b w:val="0"/>
          <w:i w:val="0"/>
          <w:sz w:val="21"/>
        </w:rPr>
        <w:t>Below ~EGP 55 the stock is cheap on every lens including a conservative NAV - the P5-P25 zone. EGP 57-66 is the fundamental fair band where the lenses cluster. EGP 68-80 (spot to P75) requires the bull gas/FX case. Above ~EGP 88 (P95) prices in a full mid-cycle plus no discount on the cash - a demanding combination.</w:t>
      </w:r>
    </w:p>
    <w:tbl>
      <w:tblPr>
        <w:tblStyle w:val="TableGrid"/>
        <w:tblW w:type="auto" w:w="0"/>
        <w:tblLook w:firstColumn="1" w:firstRow="1" w:lastColumn="0" w:lastRow="0" w:noHBand="0" w:noVBand="1" w:val="04A0"/>
      </w:tblPr>
      <w:tblGrid>
        <w:gridCol w:w="3312"/>
        <w:gridCol w:w="3312"/>
        <w:gridCol w:w="3312"/>
      </w:tblGrid>
      <w:tr>
        <w:tc>
          <w:tcPr>
            <w:tcW w:type="dxa" w:w="2160"/>
            <w:shd w:val="clear" w:fill="1C3A36"/>
          </w:tcPr>
          <w:p>
            <w:pPr>
              <w:spacing w:line="264" w:lineRule="auto"/>
            </w:pPr>
            <w:r>
              <w:rPr>
                <w:b/>
                <w:i w:val="0"/>
                <w:color w:val="FFFFFF"/>
                <w:sz w:val="18"/>
              </w:rPr>
              <w:t>Zone</w:t>
            </w:r>
          </w:p>
        </w:tc>
        <w:tc>
          <w:tcPr>
            <w:tcW w:type="dxa" w:w="2304"/>
            <w:shd w:val="clear" w:fill="1C3A36"/>
          </w:tcPr>
          <w:p>
            <w:pPr>
              <w:spacing w:line="264" w:lineRule="auto"/>
              <w:jc w:val="right"/>
            </w:pPr>
            <w:r>
              <w:rPr>
                <w:b/>
                <w:i w:val="0"/>
                <w:color w:val="FFFFFF"/>
                <w:sz w:val="18"/>
              </w:rPr>
              <w:t>Range (EGP)</w:t>
            </w:r>
          </w:p>
        </w:tc>
        <w:tc>
          <w:tcPr>
            <w:tcW w:type="dxa" w:w="5616"/>
            <w:shd w:val="clear" w:fill="1C3A36"/>
          </w:tcPr>
          <w:p>
            <w:pPr>
              <w:spacing w:line="264" w:lineRule="auto"/>
              <w:jc w:val="right"/>
            </w:pPr>
            <w:r>
              <w:rPr>
                <w:b/>
                <w:i w:val="0"/>
                <w:color w:val="FFFFFF"/>
                <w:sz w:val="18"/>
              </w:rPr>
              <w:t>What it means</w:t>
            </w:r>
          </w:p>
        </w:tc>
      </w:tr>
      <w:tr>
        <w:tc>
          <w:tcPr>
            <w:tcW w:type="dxa" w:w="2160"/>
          </w:tcPr>
          <w:p>
            <w:pPr>
              <w:spacing w:line="264" w:lineRule="auto"/>
            </w:pPr>
            <w:r>
              <w:rPr>
                <w:b w:val="0"/>
                <w:i w:val="0"/>
                <w:color w:val="1C3A36"/>
                <w:sz w:val="18"/>
              </w:rPr>
              <w:t>Cheap on all lenses</w:t>
            </w:r>
          </w:p>
        </w:tc>
        <w:tc>
          <w:tcPr>
            <w:tcW w:type="dxa" w:w="2304"/>
          </w:tcPr>
          <w:p>
            <w:pPr>
              <w:spacing w:line="264" w:lineRule="auto"/>
              <w:jc w:val="right"/>
            </w:pPr>
            <w:r>
              <w:rPr>
                <w:b w:val="0"/>
                <w:i w:val="0"/>
                <w:sz w:val="18"/>
              </w:rPr>
              <w:t>&lt; 55</w:t>
            </w:r>
          </w:p>
        </w:tc>
        <w:tc>
          <w:tcPr>
            <w:tcW w:type="dxa" w:w="5616"/>
          </w:tcPr>
          <w:p>
            <w:pPr>
              <w:spacing w:line="264" w:lineRule="auto"/>
              <w:jc w:val="right"/>
            </w:pPr>
            <w:r>
              <w:rPr>
                <w:b w:val="0"/>
                <w:i w:val="0"/>
                <w:sz w:val="18"/>
              </w:rPr>
              <w:t>P5-P25; below conservative NAV</w:t>
            </w:r>
          </w:p>
        </w:tc>
      </w:tr>
      <w:tr>
        <w:tc>
          <w:tcPr>
            <w:tcW w:type="dxa" w:w="2160"/>
            <w:shd w:val="clear" w:fill="EFF3F1"/>
          </w:tcPr>
          <w:p>
            <w:pPr>
              <w:spacing w:line="264" w:lineRule="auto"/>
            </w:pPr>
            <w:r>
              <w:rPr>
                <w:b w:val="0"/>
                <w:i w:val="0"/>
                <w:color w:val="1C3A36"/>
                <w:sz w:val="18"/>
              </w:rPr>
              <w:t>Fundamental fair band</w:t>
            </w:r>
          </w:p>
        </w:tc>
        <w:tc>
          <w:tcPr>
            <w:tcW w:type="dxa" w:w="2304"/>
            <w:shd w:val="clear" w:fill="EFF3F1"/>
          </w:tcPr>
          <w:p>
            <w:pPr>
              <w:spacing w:line="264" w:lineRule="auto"/>
              <w:jc w:val="right"/>
            </w:pPr>
            <w:r>
              <w:rPr>
                <w:b w:val="0"/>
                <w:i w:val="0"/>
                <w:sz w:val="18"/>
              </w:rPr>
              <w:t>57 - 66</w:t>
            </w:r>
          </w:p>
        </w:tc>
        <w:tc>
          <w:tcPr>
            <w:tcW w:type="dxa" w:w="5616"/>
            <w:shd w:val="clear" w:fill="EFF3F1"/>
          </w:tcPr>
          <w:p>
            <w:pPr>
              <w:spacing w:line="264" w:lineRule="auto"/>
              <w:jc w:val="right"/>
            </w:pPr>
            <w:r>
              <w:rPr>
                <w:b w:val="0"/>
                <w:i w:val="0"/>
                <w:sz w:val="18"/>
              </w:rPr>
              <w:t>DCF, NAV, mid-cycle and normalized interleave</w:t>
            </w:r>
          </w:p>
        </w:tc>
      </w:tr>
      <w:tr>
        <w:tc>
          <w:tcPr>
            <w:tcW w:type="dxa" w:w="2160"/>
          </w:tcPr>
          <w:p>
            <w:pPr>
              <w:spacing w:line="264" w:lineRule="auto"/>
            </w:pPr>
            <w:r>
              <w:rPr>
                <w:b w:val="0"/>
                <w:i w:val="0"/>
                <w:color w:val="1C3A36"/>
                <w:sz w:val="18"/>
              </w:rPr>
              <w:t>Bull gas/FX priced</w:t>
            </w:r>
          </w:p>
        </w:tc>
        <w:tc>
          <w:tcPr>
            <w:tcW w:type="dxa" w:w="2304"/>
          </w:tcPr>
          <w:p>
            <w:pPr>
              <w:spacing w:line="264" w:lineRule="auto"/>
              <w:jc w:val="right"/>
            </w:pPr>
            <w:r>
              <w:rPr>
                <w:b w:val="0"/>
                <w:i w:val="0"/>
                <w:sz w:val="18"/>
              </w:rPr>
              <w:t>68 - 80</w:t>
            </w:r>
          </w:p>
        </w:tc>
        <w:tc>
          <w:tcPr>
            <w:tcW w:type="dxa" w:w="5616"/>
          </w:tcPr>
          <w:p>
            <w:pPr>
              <w:spacing w:line="264" w:lineRule="auto"/>
              <w:jc w:val="right"/>
            </w:pPr>
            <w:r>
              <w:rPr>
                <w:b w:val="0"/>
                <w:i w:val="0"/>
                <w:sz w:val="18"/>
              </w:rPr>
              <w:t>Spot to P75; needs subsidised gas + weak EGP</w:t>
            </w:r>
          </w:p>
        </w:tc>
      </w:tr>
      <w:tr>
        <w:tc>
          <w:tcPr>
            <w:tcW w:type="dxa" w:w="2160"/>
            <w:shd w:val="clear" w:fill="EFF3F1"/>
          </w:tcPr>
          <w:p>
            <w:pPr>
              <w:spacing w:line="264" w:lineRule="auto"/>
            </w:pPr>
            <w:r>
              <w:rPr>
                <w:b w:val="0"/>
                <w:i w:val="0"/>
                <w:color w:val="1C3A36"/>
                <w:sz w:val="18"/>
              </w:rPr>
              <w:t>Full mid-cycle + no discount</w:t>
            </w:r>
          </w:p>
        </w:tc>
        <w:tc>
          <w:tcPr>
            <w:tcW w:type="dxa" w:w="2304"/>
            <w:shd w:val="clear" w:fill="EFF3F1"/>
          </w:tcPr>
          <w:p>
            <w:pPr>
              <w:spacing w:line="264" w:lineRule="auto"/>
              <w:jc w:val="right"/>
            </w:pPr>
            <w:r>
              <w:rPr>
                <w:b w:val="0"/>
                <w:i w:val="0"/>
                <w:sz w:val="18"/>
              </w:rPr>
              <w:t>&gt; 88</w:t>
            </w:r>
          </w:p>
        </w:tc>
        <w:tc>
          <w:tcPr>
            <w:tcW w:type="dxa" w:w="5616"/>
            <w:shd w:val="clear" w:fill="EFF3F1"/>
          </w:tcPr>
          <w:p>
            <w:pPr>
              <w:spacing w:line="264" w:lineRule="auto"/>
              <w:jc w:val="right"/>
            </w:pPr>
            <w:r>
              <w:rPr>
                <w:b w:val="0"/>
                <w:i w:val="0"/>
                <w:sz w:val="18"/>
              </w:rPr>
              <w:t>P95; demanding combination</w:t>
            </w:r>
          </w:p>
        </w:tc>
      </w:tr>
    </w:tbl>
    <w:p>
      <w:pPr>
        <w:spacing w:after="40"/>
      </w:pPr>
    </w:p>
    <w:p>
      <w:pPr>
        <w:spacing w:before="160" w:after="120" w:line="264" w:lineRule="auto"/>
      </w:pPr>
      <w:r>
        <w:rPr>
          <w:b/>
          <w:i w:val="0"/>
          <w:color w:val="1C3A36"/>
          <w:sz w:val="30"/>
        </w:rPr>
        <w:t>7  Caveats and what would change our mind</w:t>
      </w:r>
    </w:p>
    <w:p>
      <w:pPr>
        <w:spacing w:after="120" w:line="264" w:lineRule="auto"/>
      </w:pPr>
      <w:r>
        <w:rPr>
          <w:b w:val="0"/>
          <w:i w:val="0"/>
          <w:sz w:val="21"/>
        </w:rPr>
        <w:t>Core earnings exclude lumpy one-off associate revaluations, which have materially inflated reported net income in some years; investments/associates and net cash are carried at estimated values pending the FY25 balance-sheet notes; FY23-24 balance-sheet lines and D&amp;A are estimates; the EGP WACC and terminal growth are large judgment calls; and the whole valuation is hostage to gas-feedstock policy, which is outside the model.</w:t>
      </w:r>
    </w:p>
    <w:p>
      <w:pPr>
        <w:spacing w:before="160" w:after="120" w:line="264" w:lineRule="auto"/>
      </w:pPr>
      <w:r>
        <w:rPr>
          <w:b/>
          <w:i w:val="0"/>
          <w:color w:val="1C3A36"/>
          <w:sz w:val="30"/>
        </w:rPr>
        <w:t>Appendix A  Financial statements</w:t>
      </w:r>
    </w:p>
    <w:p>
      <w:pPr>
        <w:spacing w:before="160" w:after="120" w:line="264" w:lineRule="auto"/>
      </w:pPr>
      <w:r>
        <w:rPr>
          <w:b/>
          <w:i w:val="0"/>
          <w:color w:val="1C3A36"/>
          <w:sz w:val="24"/>
        </w:rPr>
        <w:t>A.1  Income statement - 3 years historical + 5-year forecast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Revenue</w:t>
            </w:r>
          </w:p>
        </w:tc>
        <w:tc>
          <w:tcPr>
            <w:tcW w:type="dxa" w:w="893"/>
          </w:tcPr>
          <w:p>
            <w:pPr>
              <w:spacing w:line="264" w:lineRule="auto"/>
              <w:jc w:val="right"/>
            </w:pPr>
            <w:r>
              <w:rPr>
                <w:b w:val="0"/>
                <w:i w:val="0"/>
                <w:sz w:val="18"/>
              </w:rPr>
              <w:t>21,657</w:t>
            </w:r>
          </w:p>
        </w:tc>
        <w:tc>
          <w:tcPr>
            <w:tcW w:type="dxa" w:w="893"/>
          </w:tcPr>
          <w:p>
            <w:pPr>
              <w:spacing w:line="264" w:lineRule="auto"/>
              <w:jc w:val="right"/>
            </w:pPr>
            <w:r>
              <w:rPr>
                <w:b w:val="0"/>
                <w:i w:val="0"/>
                <w:sz w:val="18"/>
              </w:rPr>
              <w:t>18,528</w:t>
            </w:r>
          </w:p>
        </w:tc>
        <w:tc>
          <w:tcPr>
            <w:tcW w:type="dxa" w:w="893"/>
          </w:tcPr>
          <w:p>
            <w:pPr>
              <w:spacing w:line="264" w:lineRule="auto"/>
              <w:jc w:val="right"/>
            </w:pPr>
            <w:r>
              <w:rPr>
                <w:b w:val="0"/>
                <w:i w:val="0"/>
                <w:sz w:val="18"/>
              </w:rPr>
              <w:t>22,916</w:t>
            </w:r>
          </w:p>
        </w:tc>
        <w:tc>
          <w:tcPr>
            <w:tcW w:type="dxa" w:w="893"/>
          </w:tcPr>
          <w:p>
            <w:pPr>
              <w:spacing w:line="264" w:lineRule="auto"/>
              <w:jc w:val="right"/>
            </w:pPr>
            <w:r>
              <w:rPr>
                <w:b w:val="0"/>
                <w:i w:val="0"/>
                <w:sz w:val="18"/>
              </w:rPr>
              <w:t>25,208</w:t>
            </w:r>
          </w:p>
        </w:tc>
        <w:tc>
          <w:tcPr>
            <w:tcW w:type="dxa" w:w="893"/>
          </w:tcPr>
          <w:p>
            <w:pPr>
              <w:spacing w:line="264" w:lineRule="auto"/>
              <w:jc w:val="right"/>
            </w:pPr>
            <w:r>
              <w:rPr>
                <w:b w:val="0"/>
                <w:i w:val="0"/>
                <w:sz w:val="18"/>
              </w:rPr>
              <w:t>27,728</w:t>
            </w:r>
          </w:p>
        </w:tc>
        <w:tc>
          <w:tcPr>
            <w:tcW w:type="dxa" w:w="893"/>
          </w:tcPr>
          <w:p>
            <w:pPr>
              <w:spacing w:line="264" w:lineRule="auto"/>
              <w:jc w:val="right"/>
            </w:pPr>
            <w:r>
              <w:rPr>
                <w:b w:val="0"/>
                <w:i w:val="0"/>
                <w:sz w:val="18"/>
              </w:rPr>
              <w:t>30,501</w:t>
            </w:r>
          </w:p>
        </w:tc>
        <w:tc>
          <w:tcPr>
            <w:tcW w:type="dxa" w:w="893"/>
          </w:tcPr>
          <w:p>
            <w:pPr>
              <w:spacing w:line="264" w:lineRule="auto"/>
              <w:jc w:val="right"/>
            </w:pPr>
            <w:r>
              <w:rPr>
                <w:b w:val="0"/>
                <w:i w:val="0"/>
                <w:sz w:val="18"/>
              </w:rPr>
              <w:t>33,551</w:t>
            </w:r>
          </w:p>
        </w:tc>
        <w:tc>
          <w:tcPr>
            <w:tcW w:type="dxa" w:w="893"/>
          </w:tcPr>
          <w:p>
            <w:pPr>
              <w:spacing w:line="264" w:lineRule="auto"/>
              <w:jc w:val="right"/>
            </w:pPr>
            <w:r>
              <w:rPr>
                <w:b w:val="0"/>
                <w:i w:val="0"/>
                <w:sz w:val="18"/>
              </w:rPr>
              <w:t>36,906</w:t>
            </w:r>
          </w:p>
        </w:tc>
      </w:tr>
      <w:tr>
        <w:tc>
          <w:tcPr>
            <w:tcW w:type="dxa" w:w="2736"/>
            <w:shd w:val="clear" w:fill="EFF3F1"/>
          </w:tcPr>
          <w:p>
            <w:pPr>
              <w:spacing w:line="264" w:lineRule="auto"/>
            </w:pPr>
            <w:r>
              <w:rPr>
                <w:b w:val="0"/>
                <w:i w:val="0"/>
                <w:color w:val="1C3A36"/>
                <w:sz w:val="18"/>
              </w:rPr>
              <w:t>EBIT (operating)</w:t>
            </w:r>
          </w:p>
        </w:tc>
        <w:tc>
          <w:tcPr>
            <w:tcW w:type="dxa" w:w="893"/>
            <w:shd w:val="clear" w:fill="EFF3F1"/>
          </w:tcPr>
          <w:p>
            <w:pPr>
              <w:spacing w:line="264" w:lineRule="auto"/>
              <w:jc w:val="right"/>
            </w:pPr>
            <w:r>
              <w:rPr>
                <w:b w:val="0"/>
                <w:i w:val="0"/>
                <w:sz w:val="18"/>
              </w:rPr>
              <w:t>11,179</w:t>
            </w:r>
          </w:p>
        </w:tc>
        <w:tc>
          <w:tcPr>
            <w:tcW w:type="dxa" w:w="893"/>
            <w:shd w:val="clear" w:fill="EFF3F1"/>
          </w:tcPr>
          <w:p>
            <w:pPr>
              <w:spacing w:line="264" w:lineRule="auto"/>
              <w:jc w:val="right"/>
            </w:pPr>
            <w:r>
              <w:rPr>
                <w:b w:val="0"/>
                <w:i w:val="0"/>
                <w:sz w:val="18"/>
              </w:rPr>
              <w:t>6,526</w:t>
            </w:r>
          </w:p>
        </w:tc>
        <w:tc>
          <w:tcPr>
            <w:tcW w:type="dxa" w:w="893"/>
            <w:shd w:val="clear" w:fill="EFF3F1"/>
          </w:tcPr>
          <w:p>
            <w:pPr>
              <w:spacing w:line="264" w:lineRule="auto"/>
              <w:jc w:val="right"/>
            </w:pPr>
            <w:r>
              <w:rPr>
                <w:b w:val="0"/>
                <w:i w:val="0"/>
                <w:sz w:val="18"/>
              </w:rPr>
              <w:t>8,185</w:t>
            </w:r>
          </w:p>
        </w:tc>
        <w:tc>
          <w:tcPr>
            <w:tcW w:type="dxa" w:w="893"/>
            <w:shd w:val="clear" w:fill="EFF3F1"/>
          </w:tcPr>
          <w:p>
            <w:pPr>
              <w:spacing w:line="264" w:lineRule="auto"/>
              <w:jc w:val="right"/>
            </w:pPr>
            <w:r>
              <w:rPr>
                <w:b w:val="0"/>
                <w:i w:val="0"/>
                <w:sz w:val="18"/>
              </w:rPr>
              <w:t>9,579</w:t>
            </w:r>
          </w:p>
        </w:tc>
        <w:tc>
          <w:tcPr>
            <w:tcW w:type="dxa" w:w="893"/>
            <w:shd w:val="clear" w:fill="EFF3F1"/>
          </w:tcPr>
          <w:p>
            <w:pPr>
              <w:spacing w:line="264" w:lineRule="auto"/>
              <w:jc w:val="right"/>
            </w:pPr>
            <w:r>
              <w:rPr>
                <w:b w:val="0"/>
                <w:i w:val="0"/>
                <w:sz w:val="18"/>
              </w:rPr>
              <w:t>10,537</w:t>
            </w:r>
          </w:p>
        </w:tc>
        <w:tc>
          <w:tcPr>
            <w:tcW w:type="dxa" w:w="893"/>
            <w:shd w:val="clear" w:fill="EFF3F1"/>
          </w:tcPr>
          <w:p>
            <w:pPr>
              <w:spacing w:line="264" w:lineRule="auto"/>
              <w:jc w:val="right"/>
            </w:pPr>
            <w:r>
              <w:rPr>
                <w:b w:val="0"/>
                <w:i w:val="0"/>
                <w:sz w:val="18"/>
              </w:rPr>
              <w:t>11,895</w:t>
            </w:r>
          </w:p>
        </w:tc>
        <w:tc>
          <w:tcPr>
            <w:tcW w:type="dxa" w:w="893"/>
            <w:shd w:val="clear" w:fill="EFF3F1"/>
          </w:tcPr>
          <w:p>
            <w:pPr>
              <w:spacing w:line="264" w:lineRule="auto"/>
              <w:jc w:val="right"/>
            </w:pPr>
            <w:r>
              <w:rPr>
                <w:b w:val="0"/>
                <w:i w:val="0"/>
                <w:sz w:val="18"/>
              </w:rPr>
              <w:t>13,085</w:t>
            </w:r>
          </w:p>
        </w:tc>
        <w:tc>
          <w:tcPr>
            <w:tcW w:type="dxa" w:w="893"/>
            <w:shd w:val="clear" w:fill="EFF3F1"/>
          </w:tcPr>
          <w:p>
            <w:pPr>
              <w:spacing w:line="264" w:lineRule="auto"/>
              <w:jc w:val="right"/>
            </w:pPr>
            <w:r>
              <w:rPr>
                <w:b w:val="0"/>
                <w:i w:val="0"/>
                <w:sz w:val="18"/>
              </w:rPr>
              <w:t>14,763</w:t>
            </w:r>
          </w:p>
        </w:tc>
      </w:tr>
      <w:tr>
        <w:tc>
          <w:tcPr>
            <w:tcW w:type="dxa" w:w="2736"/>
          </w:tcPr>
          <w:p>
            <w:pPr>
              <w:spacing w:line="264" w:lineRule="auto"/>
            </w:pPr>
            <w:r>
              <w:rPr>
                <w:b w:val="0"/>
                <w:i w:val="0"/>
                <w:color w:val="1C3A36"/>
                <w:sz w:val="18"/>
              </w:rPr>
              <w:t>D&amp;A</w:t>
            </w:r>
          </w:p>
        </w:tc>
        <w:tc>
          <w:tcPr>
            <w:tcW w:type="dxa" w:w="893"/>
          </w:tcPr>
          <w:p>
            <w:pPr>
              <w:spacing w:line="264" w:lineRule="auto"/>
              <w:jc w:val="right"/>
            </w:pPr>
            <w:r>
              <w:rPr>
                <w:b w:val="0"/>
                <w:i w:val="0"/>
                <w:sz w:val="18"/>
              </w:rPr>
              <w:t>1,080</w:t>
            </w:r>
          </w:p>
        </w:tc>
        <w:tc>
          <w:tcPr>
            <w:tcW w:type="dxa" w:w="893"/>
          </w:tcPr>
          <w:p>
            <w:pPr>
              <w:spacing w:line="264" w:lineRule="auto"/>
              <w:jc w:val="right"/>
            </w:pPr>
            <w:r>
              <w:rPr>
                <w:b w:val="0"/>
                <w:i w:val="0"/>
                <w:sz w:val="18"/>
              </w:rPr>
              <w:t>1,100</w:t>
            </w:r>
          </w:p>
        </w:tc>
        <w:tc>
          <w:tcPr>
            <w:tcW w:type="dxa" w:w="893"/>
          </w:tcPr>
          <w:p>
            <w:pPr>
              <w:spacing w:line="264" w:lineRule="auto"/>
              <w:jc w:val="right"/>
            </w:pPr>
            <w:r>
              <w:rPr>
                <w:b w:val="0"/>
                <w:i w:val="0"/>
                <w:sz w:val="18"/>
              </w:rPr>
              <w:t>1,150</w:t>
            </w:r>
          </w:p>
        </w:tc>
        <w:tc>
          <w:tcPr>
            <w:tcW w:type="dxa" w:w="893"/>
          </w:tcPr>
          <w:p>
            <w:pPr>
              <w:spacing w:line="264" w:lineRule="auto"/>
              <w:jc w:val="right"/>
            </w:pPr>
            <w:r>
              <w:rPr>
                <w:b w:val="0"/>
                <w:i w:val="0"/>
                <w:sz w:val="18"/>
              </w:rPr>
              <w:t>1,260</w:t>
            </w:r>
          </w:p>
        </w:tc>
        <w:tc>
          <w:tcPr>
            <w:tcW w:type="dxa" w:w="893"/>
          </w:tcPr>
          <w:p>
            <w:pPr>
              <w:spacing w:line="264" w:lineRule="auto"/>
              <w:jc w:val="right"/>
            </w:pPr>
            <w:r>
              <w:rPr>
                <w:b w:val="0"/>
                <w:i w:val="0"/>
                <w:sz w:val="18"/>
              </w:rPr>
              <w:t>1,386</w:t>
            </w:r>
          </w:p>
        </w:tc>
        <w:tc>
          <w:tcPr>
            <w:tcW w:type="dxa" w:w="893"/>
          </w:tcPr>
          <w:p>
            <w:pPr>
              <w:spacing w:line="264" w:lineRule="auto"/>
              <w:jc w:val="right"/>
            </w:pPr>
            <w:r>
              <w:rPr>
                <w:b w:val="0"/>
                <w:i w:val="0"/>
                <w:sz w:val="18"/>
              </w:rPr>
              <w:t>1,525</w:t>
            </w:r>
          </w:p>
        </w:tc>
        <w:tc>
          <w:tcPr>
            <w:tcW w:type="dxa" w:w="893"/>
          </w:tcPr>
          <w:p>
            <w:pPr>
              <w:spacing w:line="264" w:lineRule="auto"/>
              <w:jc w:val="right"/>
            </w:pPr>
            <w:r>
              <w:rPr>
                <w:b w:val="0"/>
                <w:i w:val="0"/>
                <w:sz w:val="18"/>
              </w:rPr>
              <w:t>1,678</w:t>
            </w:r>
          </w:p>
        </w:tc>
        <w:tc>
          <w:tcPr>
            <w:tcW w:type="dxa" w:w="893"/>
          </w:tcPr>
          <w:p>
            <w:pPr>
              <w:spacing w:line="264" w:lineRule="auto"/>
              <w:jc w:val="right"/>
            </w:pPr>
            <w:r>
              <w:rPr>
                <w:b w:val="0"/>
                <w:i w:val="0"/>
                <w:sz w:val="18"/>
              </w:rPr>
              <w:t>1,845</w:t>
            </w:r>
          </w:p>
        </w:tc>
      </w:tr>
      <w:tr>
        <w:tc>
          <w:tcPr>
            <w:tcW w:type="dxa" w:w="2736"/>
            <w:shd w:val="clear" w:fill="EFF3F1"/>
          </w:tcPr>
          <w:p>
            <w:pPr>
              <w:spacing w:line="264" w:lineRule="auto"/>
            </w:pPr>
            <w:r>
              <w:rPr>
                <w:b w:val="0"/>
                <w:i w:val="0"/>
                <w:color w:val="1C3A36"/>
                <w:sz w:val="18"/>
              </w:rPr>
              <w:t>EBITDA</w:t>
            </w:r>
          </w:p>
        </w:tc>
        <w:tc>
          <w:tcPr>
            <w:tcW w:type="dxa" w:w="893"/>
            <w:shd w:val="clear" w:fill="EFF3F1"/>
          </w:tcPr>
          <w:p>
            <w:pPr>
              <w:spacing w:line="264" w:lineRule="auto"/>
              <w:jc w:val="right"/>
            </w:pPr>
            <w:r>
              <w:rPr>
                <w:b w:val="0"/>
                <w:i w:val="0"/>
                <w:sz w:val="18"/>
              </w:rPr>
              <w:t>12,259</w:t>
            </w:r>
          </w:p>
        </w:tc>
        <w:tc>
          <w:tcPr>
            <w:tcW w:type="dxa" w:w="893"/>
            <w:shd w:val="clear" w:fill="EFF3F1"/>
          </w:tcPr>
          <w:p>
            <w:pPr>
              <w:spacing w:line="264" w:lineRule="auto"/>
              <w:jc w:val="right"/>
            </w:pPr>
            <w:r>
              <w:rPr>
                <w:b w:val="0"/>
                <w:i w:val="0"/>
                <w:sz w:val="18"/>
              </w:rPr>
              <w:t>7,626</w:t>
            </w:r>
          </w:p>
        </w:tc>
        <w:tc>
          <w:tcPr>
            <w:tcW w:type="dxa" w:w="893"/>
            <w:shd w:val="clear" w:fill="EFF3F1"/>
          </w:tcPr>
          <w:p>
            <w:pPr>
              <w:spacing w:line="264" w:lineRule="auto"/>
              <w:jc w:val="right"/>
            </w:pPr>
            <w:r>
              <w:rPr>
                <w:b w:val="0"/>
                <w:i w:val="0"/>
                <w:sz w:val="18"/>
              </w:rPr>
              <w:t>9,335</w:t>
            </w:r>
          </w:p>
        </w:tc>
        <w:tc>
          <w:tcPr>
            <w:tcW w:type="dxa" w:w="893"/>
            <w:shd w:val="clear" w:fill="EFF3F1"/>
          </w:tcPr>
          <w:p>
            <w:pPr>
              <w:spacing w:line="264" w:lineRule="auto"/>
              <w:jc w:val="right"/>
            </w:pPr>
            <w:r>
              <w:rPr>
                <w:b w:val="0"/>
                <w:i w:val="0"/>
                <w:sz w:val="18"/>
              </w:rPr>
              <w:t>10,839</w:t>
            </w:r>
          </w:p>
        </w:tc>
        <w:tc>
          <w:tcPr>
            <w:tcW w:type="dxa" w:w="893"/>
            <w:shd w:val="clear" w:fill="EFF3F1"/>
          </w:tcPr>
          <w:p>
            <w:pPr>
              <w:spacing w:line="264" w:lineRule="auto"/>
              <w:jc w:val="right"/>
            </w:pPr>
            <w:r>
              <w:rPr>
                <w:b w:val="0"/>
                <w:i w:val="0"/>
                <w:sz w:val="18"/>
              </w:rPr>
              <w:t>11,923</w:t>
            </w:r>
          </w:p>
        </w:tc>
        <w:tc>
          <w:tcPr>
            <w:tcW w:type="dxa" w:w="893"/>
            <w:shd w:val="clear" w:fill="EFF3F1"/>
          </w:tcPr>
          <w:p>
            <w:pPr>
              <w:spacing w:line="264" w:lineRule="auto"/>
              <w:jc w:val="right"/>
            </w:pPr>
            <w:r>
              <w:rPr>
                <w:b w:val="0"/>
                <w:i w:val="0"/>
                <w:sz w:val="18"/>
              </w:rPr>
              <w:t>13,421</w:t>
            </w:r>
          </w:p>
        </w:tc>
        <w:tc>
          <w:tcPr>
            <w:tcW w:type="dxa" w:w="893"/>
            <w:shd w:val="clear" w:fill="EFF3F1"/>
          </w:tcPr>
          <w:p>
            <w:pPr>
              <w:spacing w:line="264" w:lineRule="auto"/>
              <w:jc w:val="right"/>
            </w:pPr>
            <w:r>
              <w:rPr>
                <w:b w:val="0"/>
                <w:i w:val="0"/>
                <w:sz w:val="18"/>
              </w:rPr>
              <w:t>14,763</w:t>
            </w:r>
          </w:p>
        </w:tc>
        <w:tc>
          <w:tcPr>
            <w:tcW w:type="dxa" w:w="893"/>
            <w:shd w:val="clear" w:fill="EFF3F1"/>
          </w:tcPr>
          <w:p>
            <w:pPr>
              <w:spacing w:line="264" w:lineRule="auto"/>
              <w:jc w:val="right"/>
            </w:pPr>
            <w:r>
              <w:rPr>
                <w:b w:val="0"/>
                <w:i w:val="0"/>
                <w:sz w:val="18"/>
              </w:rPr>
              <w:t>16,608</w:t>
            </w:r>
          </w:p>
        </w:tc>
      </w:tr>
      <w:tr>
        <w:tc>
          <w:tcPr>
            <w:tcW w:type="dxa" w:w="2736"/>
          </w:tcPr>
          <w:p>
            <w:pPr>
              <w:spacing w:line="264" w:lineRule="auto"/>
            </w:pPr>
            <w:r>
              <w:rPr>
                <w:b w:val="0"/>
                <w:i w:val="0"/>
                <w:color w:val="1C3A36"/>
                <w:sz w:val="18"/>
              </w:rPr>
              <w:t>Investment &amp; interest income</w:t>
            </w:r>
          </w:p>
        </w:tc>
        <w:tc>
          <w:tcPr>
            <w:tcW w:type="dxa" w:w="893"/>
          </w:tcPr>
          <w:p>
            <w:pPr>
              <w:spacing w:line="264" w:lineRule="auto"/>
              <w:jc w:val="right"/>
            </w:pPr>
            <w:r>
              <w:rPr>
                <w:b w:val="0"/>
                <w:i w:val="0"/>
                <w:sz w:val="18"/>
              </w:rPr>
              <w:t>2,870</w:t>
            </w:r>
          </w:p>
        </w:tc>
        <w:tc>
          <w:tcPr>
            <w:tcW w:type="dxa" w:w="893"/>
          </w:tcPr>
          <w:p>
            <w:pPr>
              <w:spacing w:line="264" w:lineRule="auto"/>
              <w:jc w:val="right"/>
            </w:pPr>
            <w:r>
              <w:rPr>
                <w:b w:val="0"/>
                <w:i w:val="0"/>
                <w:sz w:val="18"/>
              </w:rPr>
              <w:t>4,036</w:t>
            </w:r>
          </w:p>
        </w:tc>
        <w:tc>
          <w:tcPr>
            <w:tcW w:type="dxa" w:w="893"/>
          </w:tcPr>
          <w:p>
            <w:pPr>
              <w:spacing w:line="264" w:lineRule="auto"/>
              <w:jc w:val="right"/>
            </w:pPr>
            <w:r>
              <w:rPr>
                <w:b w:val="0"/>
                <w:i w:val="0"/>
                <w:sz w:val="18"/>
              </w:rPr>
              <w:t>3,229</w:t>
            </w:r>
          </w:p>
        </w:tc>
        <w:tc>
          <w:tcPr>
            <w:tcW w:type="dxa" w:w="893"/>
          </w:tcPr>
          <w:p>
            <w:pPr>
              <w:spacing w:line="264" w:lineRule="auto"/>
              <w:jc w:val="right"/>
            </w:pPr>
            <w:r>
              <w:rPr>
                <w:b w:val="0"/>
                <w:i w:val="0"/>
                <w:sz w:val="18"/>
              </w:rPr>
              <w:t>3,400</w:t>
            </w:r>
          </w:p>
        </w:tc>
        <w:tc>
          <w:tcPr>
            <w:tcW w:type="dxa" w:w="893"/>
          </w:tcPr>
          <w:p>
            <w:pPr>
              <w:spacing w:line="264" w:lineRule="auto"/>
              <w:jc w:val="right"/>
            </w:pPr>
            <w:r>
              <w:rPr>
                <w:b w:val="0"/>
                <w:i w:val="0"/>
                <w:sz w:val="18"/>
              </w:rPr>
              <w:t>3,700</w:t>
            </w:r>
          </w:p>
        </w:tc>
        <w:tc>
          <w:tcPr>
            <w:tcW w:type="dxa" w:w="893"/>
          </w:tcPr>
          <w:p>
            <w:pPr>
              <w:spacing w:line="264" w:lineRule="auto"/>
              <w:jc w:val="right"/>
            </w:pPr>
            <w:r>
              <w:rPr>
                <w:b w:val="0"/>
                <w:i w:val="0"/>
                <w:sz w:val="18"/>
              </w:rPr>
              <w:t>4,000</w:t>
            </w:r>
          </w:p>
        </w:tc>
        <w:tc>
          <w:tcPr>
            <w:tcW w:type="dxa" w:w="893"/>
          </w:tcPr>
          <w:p>
            <w:pPr>
              <w:spacing w:line="264" w:lineRule="auto"/>
              <w:jc w:val="right"/>
            </w:pPr>
            <w:r>
              <w:rPr>
                <w:b w:val="0"/>
                <w:i w:val="0"/>
                <w:sz w:val="18"/>
              </w:rPr>
              <w:t>4,300</w:t>
            </w:r>
          </w:p>
        </w:tc>
        <w:tc>
          <w:tcPr>
            <w:tcW w:type="dxa" w:w="893"/>
          </w:tcPr>
          <w:p>
            <w:pPr>
              <w:spacing w:line="264" w:lineRule="auto"/>
              <w:jc w:val="right"/>
            </w:pPr>
            <w:r>
              <w:rPr>
                <w:b w:val="0"/>
                <w:i w:val="0"/>
                <w:sz w:val="18"/>
              </w:rPr>
              <w:t>4,600</w:t>
            </w:r>
          </w:p>
        </w:tc>
      </w:tr>
      <w:tr>
        <w:tc>
          <w:tcPr>
            <w:tcW w:type="dxa" w:w="2736"/>
            <w:shd w:val="clear" w:fill="EFF3F1"/>
          </w:tcPr>
          <w:p>
            <w:pPr>
              <w:spacing w:line="264" w:lineRule="auto"/>
            </w:pPr>
            <w:r>
              <w:rPr>
                <w:b w:val="0"/>
                <w:i w:val="0"/>
                <w:color w:val="1C3A36"/>
                <w:sz w:val="18"/>
              </w:rPr>
              <w:t>Pre-tax profit (core)</w:t>
            </w:r>
          </w:p>
        </w:tc>
        <w:tc>
          <w:tcPr>
            <w:tcW w:type="dxa" w:w="893"/>
            <w:shd w:val="clear" w:fill="EFF3F1"/>
          </w:tcPr>
          <w:p>
            <w:pPr>
              <w:spacing w:line="264" w:lineRule="auto"/>
              <w:jc w:val="right"/>
            </w:pPr>
            <w:r>
              <w:rPr>
                <w:b w:val="0"/>
                <w:i w:val="0"/>
                <w:sz w:val="18"/>
              </w:rPr>
              <w:t>14,049</w:t>
            </w:r>
          </w:p>
        </w:tc>
        <w:tc>
          <w:tcPr>
            <w:tcW w:type="dxa" w:w="893"/>
            <w:shd w:val="clear" w:fill="EFF3F1"/>
          </w:tcPr>
          <w:p>
            <w:pPr>
              <w:spacing w:line="264" w:lineRule="auto"/>
              <w:jc w:val="right"/>
            </w:pPr>
            <w:r>
              <w:rPr>
                <w:b w:val="0"/>
                <w:i w:val="0"/>
                <w:sz w:val="18"/>
              </w:rPr>
              <w:t>10,562</w:t>
            </w:r>
          </w:p>
        </w:tc>
        <w:tc>
          <w:tcPr>
            <w:tcW w:type="dxa" w:w="893"/>
            <w:shd w:val="clear" w:fill="EFF3F1"/>
          </w:tcPr>
          <w:p>
            <w:pPr>
              <w:spacing w:line="264" w:lineRule="auto"/>
              <w:jc w:val="right"/>
            </w:pPr>
            <w:r>
              <w:rPr>
                <w:b w:val="0"/>
                <w:i w:val="0"/>
                <w:sz w:val="18"/>
              </w:rPr>
              <w:t>11,414</w:t>
            </w:r>
          </w:p>
        </w:tc>
        <w:tc>
          <w:tcPr>
            <w:tcW w:type="dxa" w:w="893"/>
            <w:shd w:val="clear" w:fill="EFF3F1"/>
          </w:tcPr>
          <w:p>
            <w:pPr>
              <w:spacing w:line="264" w:lineRule="auto"/>
              <w:jc w:val="right"/>
            </w:pPr>
            <w:r>
              <w:rPr>
                <w:b w:val="0"/>
                <w:i w:val="0"/>
                <w:sz w:val="18"/>
              </w:rPr>
              <w:t>12,979</w:t>
            </w:r>
          </w:p>
        </w:tc>
        <w:tc>
          <w:tcPr>
            <w:tcW w:type="dxa" w:w="893"/>
            <w:shd w:val="clear" w:fill="EFF3F1"/>
          </w:tcPr>
          <w:p>
            <w:pPr>
              <w:spacing w:line="264" w:lineRule="auto"/>
              <w:jc w:val="right"/>
            </w:pPr>
            <w:r>
              <w:rPr>
                <w:b w:val="0"/>
                <w:i w:val="0"/>
                <w:sz w:val="18"/>
              </w:rPr>
              <w:t>14,237</w:t>
            </w:r>
          </w:p>
        </w:tc>
        <w:tc>
          <w:tcPr>
            <w:tcW w:type="dxa" w:w="893"/>
            <w:shd w:val="clear" w:fill="EFF3F1"/>
          </w:tcPr>
          <w:p>
            <w:pPr>
              <w:spacing w:line="264" w:lineRule="auto"/>
              <w:jc w:val="right"/>
            </w:pPr>
            <w:r>
              <w:rPr>
                <w:b w:val="0"/>
                <w:i w:val="0"/>
                <w:sz w:val="18"/>
              </w:rPr>
              <w:t>15,895</w:t>
            </w:r>
          </w:p>
        </w:tc>
        <w:tc>
          <w:tcPr>
            <w:tcW w:type="dxa" w:w="893"/>
            <w:shd w:val="clear" w:fill="EFF3F1"/>
          </w:tcPr>
          <w:p>
            <w:pPr>
              <w:spacing w:line="264" w:lineRule="auto"/>
              <w:jc w:val="right"/>
            </w:pPr>
            <w:r>
              <w:rPr>
                <w:b w:val="0"/>
                <w:i w:val="0"/>
                <w:sz w:val="18"/>
              </w:rPr>
              <w:t>17,385</w:t>
            </w:r>
          </w:p>
        </w:tc>
        <w:tc>
          <w:tcPr>
            <w:tcW w:type="dxa" w:w="893"/>
            <w:shd w:val="clear" w:fill="EFF3F1"/>
          </w:tcPr>
          <w:p>
            <w:pPr>
              <w:spacing w:line="264" w:lineRule="auto"/>
              <w:jc w:val="right"/>
            </w:pPr>
            <w:r>
              <w:rPr>
                <w:b w:val="0"/>
                <w:i w:val="0"/>
                <w:sz w:val="18"/>
              </w:rPr>
              <w:t>19,363</w:t>
            </w:r>
          </w:p>
        </w:tc>
      </w:tr>
      <w:tr>
        <w:tc>
          <w:tcPr>
            <w:tcW w:type="dxa" w:w="2736"/>
          </w:tcPr>
          <w:p>
            <w:pPr>
              <w:spacing w:line="264" w:lineRule="auto"/>
            </w:pPr>
            <w:r>
              <w:rPr>
                <w:b w:val="0"/>
                <w:i w:val="0"/>
                <w:color w:val="1C3A36"/>
                <w:sz w:val="18"/>
              </w:rPr>
              <w:t>Tax</w:t>
            </w:r>
          </w:p>
        </w:tc>
        <w:tc>
          <w:tcPr>
            <w:tcW w:type="dxa" w:w="893"/>
          </w:tcPr>
          <w:p>
            <w:pPr>
              <w:spacing w:line="264" w:lineRule="auto"/>
              <w:jc w:val="right"/>
            </w:pPr>
            <w:r>
              <w:rPr>
                <w:b w:val="0"/>
                <w:i w:val="0"/>
                <w:sz w:val="18"/>
              </w:rPr>
              <w:t>3,161</w:t>
            </w:r>
          </w:p>
        </w:tc>
        <w:tc>
          <w:tcPr>
            <w:tcW w:type="dxa" w:w="893"/>
          </w:tcPr>
          <w:p>
            <w:pPr>
              <w:spacing w:line="264" w:lineRule="auto"/>
              <w:jc w:val="right"/>
            </w:pPr>
            <w:r>
              <w:rPr>
                <w:b w:val="0"/>
                <w:i w:val="0"/>
                <w:sz w:val="18"/>
              </w:rPr>
              <w:t>2,376</w:t>
            </w:r>
          </w:p>
        </w:tc>
        <w:tc>
          <w:tcPr>
            <w:tcW w:type="dxa" w:w="893"/>
          </w:tcPr>
          <w:p>
            <w:pPr>
              <w:spacing w:line="264" w:lineRule="auto"/>
              <w:jc w:val="right"/>
            </w:pPr>
            <w:r>
              <w:rPr>
                <w:b w:val="0"/>
                <w:i w:val="0"/>
                <w:sz w:val="18"/>
              </w:rPr>
              <w:t>2,568</w:t>
            </w:r>
          </w:p>
        </w:tc>
        <w:tc>
          <w:tcPr>
            <w:tcW w:type="dxa" w:w="893"/>
          </w:tcPr>
          <w:p>
            <w:pPr>
              <w:spacing w:line="264" w:lineRule="auto"/>
              <w:jc w:val="right"/>
            </w:pPr>
            <w:r>
              <w:rPr>
                <w:b w:val="0"/>
                <w:i w:val="0"/>
                <w:sz w:val="18"/>
              </w:rPr>
              <w:t>2,920</w:t>
            </w:r>
          </w:p>
        </w:tc>
        <w:tc>
          <w:tcPr>
            <w:tcW w:type="dxa" w:w="893"/>
          </w:tcPr>
          <w:p>
            <w:pPr>
              <w:spacing w:line="264" w:lineRule="auto"/>
              <w:jc w:val="right"/>
            </w:pPr>
            <w:r>
              <w:rPr>
                <w:b w:val="0"/>
                <w:i w:val="0"/>
                <w:sz w:val="18"/>
              </w:rPr>
              <w:t>3,203</w:t>
            </w:r>
          </w:p>
        </w:tc>
        <w:tc>
          <w:tcPr>
            <w:tcW w:type="dxa" w:w="893"/>
          </w:tcPr>
          <w:p>
            <w:pPr>
              <w:spacing w:line="264" w:lineRule="auto"/>
              <w:jc w:val="right"/>
            </w:pPr>
            <w:r>
              <w:rPr>
                <w:b w:val="0"/>
                <w:i w:val="0"/>
                <w:sz w:val="18"/>
              </w:rPr>
              <w:t>3,576</w:t>
            </w:r>
          </w:p>
        </w:tc>
        <w:tc>
          <w:tcPr>
            <w:tcW w:type="dxa" w:w="893"/>
          </w:tcPr>
          <w:p>
            <w:pPr>
              <w:spacing w:line="264" w:lineRule="auto"/>
              <w:jc w:val="right"/>
            </w:pPr>
            <w:r>
              <w:rPr>
                <w:b w:val="0"/>
                <w:i w:val="0"/>
                <w:sz w:val="18"/>
              </w:rPr>
              <w:t>3,912</w:t>
            </w:r>
          </w:p>
        </w:tc>
        <w:tc>
          <w:tcPr>
            <w:tcW w:type="dxa" w:w="893"/>
          </w:tcPr>
          <w:p>
            <w:pPr>
              <w:spacing w:line="264" w:lineRule="auto"/>
              <w:jc w:val="right"/>
            </w:pPr>
            <w:r>
              <w:rPr>
                <w:b w:val="0"/>
                <w:i w:val="0"/>
                <w:sz w:val="18"/>
              </w:rPr>
              <w:t>4,357</w:t>
            </w:r>
          </w:p>
        </w:tc>
      </w:tr>
      <w:tr>
        <w:tc>
          <w:tcPr>
            <w:tcW w:type="dxa" w:w="2736"/>
            <w:shd w:val="clear" w:fill="EFF3F1"/>
          </w:tcPr>
          <w:p>
            <w:pPr>
              <w:spacing w:line="264" w:lineRule="auto"/>
            </w:pPr>
            <w:r>
              <w:rPr>
                <w:b w:val="0"/>
                <w:i w:val="0"/>
                <w:color w:val="1C3A36"/>
                <w:sz w:val="18"/>
              </w:rPr>
              <w:t>Net income (core)</w:t>
            </w:r>
          </w:p>
        </w:tc>
        <w:tc>
          <w:tcPr>
            <w:tcW w:type="dxa" w:w="893"/>
            <w:shd w:val="clear" w:fill="EFF3F1"/>
          </w:tcPr>
          <w:p>
            <w:pPr>
              <w:spacing w:line="264" w:lineRule="auto"/>
              <w:jc w:val="right"/>
            </w:pPr>
            <w:r>
              <w:rPr>
                <w:b w:val="0"/>
                <w:i w:val="0"/>
                <w:sz w:val="18"/>
              </w:rPr>
              <w:t>10,888</w:t>
            </w:r>
          </w:p>
        </w:tc>
        <w:tc>
          <w:tcPr>
            <w:tcW w:type="dxa" w:w="893"/>
            <w:shd w:val="clear" w:fill="EFF3F1"/>
          </w:tcPr>
          <w:p>
            <w:pPr>
              <w:spacing w:line="264" w:lineRule="auto"/>
              <w:jc w:val="right"/>
            </w:pPr>
            <w:r>
              <w:rPr>
                <w:b w:val="0"/>
                <w:i w:val="0"/>
                <w:sz w:val="18"/>
              </w:rPr>
              <w:t>8,186</w:t>
            </w:r>
          </w:p>
        </w:tc>
        <w:tc>
          <w:tcPr>
            <w:tcW w:type="dxa" w:w="893"/>
            <w:shd w:val="clear" w:fill="EFF3F1"/>
          </w:tcPr>
          <w:p>
            <w:pPr>
              <w:spacing w:line="264" w:lineRule="auto"/>
              <w:jc w:val="right"/>
            </w:pPr>
            <w:r>
              <w:rPr>
                <w:b w:val="0"/>
                <w:i w:val="0"/>
                <w:sz w:val="18"/>
              </w:rPr>
              <w:t>8,846</w:t>
            </w:r>
          </w:p>
        </w:tc>
        <w:tc>
          <w:tcPr>
            <w:tcW w:type="dxa" w:w="893"/>
            <w:shd w:val="clear" w:fill="EFF3F1"/>
          </w:tcPr>
          <w:p>
            <w:pPr>
              <w:spacing w:line="264" w:lineRule="auto"/>
              <w:jc w:val="right"/>
            </w:pPr>
            <w:r>
              <w:rPr>
                <w:b w:val="0"/>
                <w:i w:val="0"/>
                <w:sz w:val="18"/>
              </w:rPr>
              <w:t>10,059</w:t>
            </w:r>
          </w:p>
        </w:tc>
        <w:tc>
          <w:tcPr>
            <w:tcW w:type="dxa" w:w="893"/>
            <w:shd w:val="clear" w:fill="EFF3F1"/>
          </w:tcPr>
          <w:p>
            <w:pPr>
              <w:spacing w:line="264" w:lineRule="auto"/>
              <w:jc w:val="right"/>
            </w:pPr>
            <w:r>
              <w:rPr>
                <w:b w:val="0"/>
                <w:i w:val="0"/>
                <w:sz w:val="18"/>
              </w:rPr>
              <w:t>11,034</w:t>
            </w:r>
          </w:p>
        </w:tc>
        <w:tc>
          <w:tcPr>
            <w:tcW w:type="dxa" w:w="893"/>
            <w:shd w:val="clear" w:fill="EFF3F1"/>
          </w:tcPr>
          <w:p>
            <w:pPr>
              <w:spacing w:line="264" w:lineRule="auto"/>
              <w:jc w:val="right"/>
            </w:pPr>
            <w:r>
              <w:rPr>
                <w:b w:val="0"/>
                <w:i w:val="0"/>
                <w:sz w:val="18"/>
              </w:rPr>
              <w:t>12,319</w:t>
            </w:r>
          </w:p>
        </w:tc>
        <w:tc>
          <w:tcPr>
            <w:tcW w:type="dxa" w:w="893"/>
            <w:shd w:val="clear" w:fill="EFF3F1"/>
          </w:tcPr>
          <w:p>
            <w:pPr>
              <w:spacing w:line="264" w:lineRule="auto"/>
              <w:jc w:val="right"/>
            </w:pPr>
            <w:r>
              <w:rPr>
                <w:b w:val="0"/>
                <w:i w:val="0"/>
                <w:sz w:val="18"/>
              </w:rPr>
              <w:t>13,473</w:t>
            </w:r>
          </w:p>
        </w:tc>
        <w:tc>
          <w:tcPr>
            <w:tcW w:type="dxa" w:w="893"/>
            <w:shd w:val="clear" w:fill="EFF3F1"/>
          </w:tcPr>
          <w:p>
            <w:pPr>
              <w:spacing w:line="264" w:lineRule="auto"/>
              <w:jc w:val="right"/>
            </w:pPr>
            <w:r>
              <w:rPr>
                <w:b w:val="0"/>
                <w:i w:val="0"/>
                <w:sz w:val="18"/>
              </w:rPr>
              <w:t>15,006</w:t>
            </w:r>
          </w:p>
        </w:tc>
      </w:tr>
      <w:tr>
        <w:tc>
          <w:tcPr>
            <w:tcW w:type="dxa" w:w="2736"/>
          </w:tcPr>
          <w:p>
            <w:pPr>
              <w:spacing w:line="264" w:lineRule="auto"/>
            </w:pPr>
            <w:r>
              <w:rPr>
                <w:b w:val="0"/>
                <w:i w:val="0"/>
                <w:color w:val="1C3A36"/>
                <w:sz w:val="18"/>
              </w:rPr>
              <w:t>Reported net income (incl. one-offs) — memo</w:t>
            </w:r>
          </w:p>
        </w:tc>
        <w:tc>
          <w:tcPr>
            <w:tcW w:type="dxa" w:w="893"/>
          </w:tcPr>
          <w:p>
            <w:pPr>
              <w:spacing w:line="264" w:lineRule="auto"/>
              <w:jc w:val="right"/>
            </w:pPr>
            <w:r>
              <w:rPr>
                <w:b w:val="0"/>
                <w:i w:val="0"/>
                <w:sz w:val="18"/>
              </w:rPr>
              <w:t>14,020</w:t>
            </w:r>
          </w:p>
        </w:tc>
        <w:tc>
          <w:tcPr>
            <w:tcW w:type="dxa" w:w="893"/>
          </w:tcPr>
          <w:p>
            <w:pPr>
              <w:spacing w:line="264" w:lineRule="auto"/>
              <w:jc w:val="right"/>
            </w:pPr>
            <w:r>
              <w:rPr>
                <w:b w:val="0"/>
                <w:i w:val="0"/>
                <w:sz w:val="18"/>
              </w:rPr>
              <w:t>13,477</w:t>
            </w:r>
          </w:p>
        </w:tc>
        <w:tc>
          <w:tcPr>
            <w:tcW w:type="dxa" w:w="893"/>
          </w:tcPr>
          <w:p>
            <w:pPr>
              <w:spacing w:line="264" w:lineRule="auto"/>
              <w:jc w:val="right"/>
            </w:pPr>
            <w:r>
              <w:rPr>
                <w:b w:val="0"/>
                <w:i w:val="0"/>
                <w:sz w:val="18"/>
              </w:rPr>
              <w:t>9,353</w:t>
            </w:r>
          </w:p>
        </w:tc>
        <w:tc>
          <w:tcPr>
            <w:tcW w:type="dxa" w:w="893"/>
          </w:tcPr>
          <w:p>
            <w:pPr>
              <w:spacing w:line="264" w:lineRule="auto"/>
              <w:jc w:val="right"/>
            </w:pPr>
            <w:r>
              <w:rPr>
                <w:b w:val="0"/>
                <w:i w:val="0"/>
                <w:sz w:val="18"/>
              </w:rPr>
            </w:r>
          </w:p>
        </w:tc>
        <w:tc>
          <w:tcPr>
            <w:tcW w:type="dxa" w:w="893"/>
          </w:tcPr>
          <w:p>
            <w:pPr>
              <w:spacing w:line="264" w:lineRule="auto"/>
              <w:jc w:val="right"/>
            </w:pPr>
            <w:r>
              <w:rPr>
                <w:b w:val="0"/>
                <w:i w:val="0"/>
                <w:sz w:val="18"/>
              </w:rPr>
            </w:r>
          </w:p>
        </w:tc>
        <w:tc>
          <w:tcPr>
            <w:tcW w:type="dxa" w:w="893"/>
          </w:tcPr>
          <w:p>
            <w:pPr>
              <w:spacing w:line="264" w:lineRule="auto"/>
              <w:jc w:val="right"/>
            </w:pPr>
            <w:r>
              <w:rPr>
                <w:b w:val="0"/>
                <w:i w:val="0"/>
                <w:sz w:val="18"/>
              </w:rPr>
            </w:r>
          </w:p>
        </w:tc>
        <w:tc>
          <w:tcPr>
            <w:tcW w:type="dxa" w:w="893"/>
          </w:tcPr>
          <w:p>
            <w:pPr>
              <w:spacing w:line="264" w:lineRule="auto"/>
              <w:jc w:val="right"/>
            </w:pPr>
            <w:r>
              <w:rPr>
                <w:b w:val="0"/>
                <w:i w:val="0"/>
                <w:sz w:val="18"/>
              </w:rPr>
            </w:r>
          </w:p>
        </w:tc>
        <w:tc>
          <w:tcPr>
            <w:tcW w:type="dxa" w:w="893"/>
          </w:tcPr>
          <w:p>
            <w:pPr>
              <w:spacing w:line="264" w:lineRule="auto"/>
              <w:jc w:val="right"/>
            </w:pPr>
            <w:r>
              <w:rPr>
                <w:b w:val="0"/>
                <w:i w:val="0"/>
                <w:sz w:val="18"/>
              </w:rPr>
            </w:r>
          </w:p>
        </w:tc>
      </w:tr>
    </w:tbl>
    <w:p>
      <w:pPr>
        <w:spacing w:after="40"/>
      </w:pPr>
    </w:p>
    <w:p>
      <w:pPr>
        <w:spacing w:before="160" w:after="120" w:line="264" w:lineRule="auto"/>
      </w:pPr>
      <w:r>
        <w:rPr>
          <w:b/>
          <w:i w:val="0"/>
          <w:color w:val="1C3A36"/>
          <w:sz w:val="24"/>
        </w:rPr>
        <w:t>A.2  Balance sheet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Cash &amp; cash equivalents</w:t>
            </w:r>
          </w:p>
        </w:tc>
        <w:tc>
          <w:tcPr>
            <w:tcW w:type="dxa" w:w="893"/>
          </w:tcPr>
          <w:p>
            <w:pPr>
              <w:spacing w:line="264" w:lineRule="auto"/>
              <w:jc w:val="right"/>
            </w:pPr>
            <w:r>
              <w:rPr>
                <w:b w:val="0"/>
                <w:i w:val="0"/>
                <w:sz w:val="18"/>
              </w:rPr>
              <w:t>11,000</w:t>
            </w:r>
          </w:p>
        </w:tc>
        <w:tc>
          <w:tcPr>
            <w:tcW w:type="dxa" w:w="893"/>
          </w:tcPr>
          <w:p>
            <w:pPr>
              <w:spacing w:line="264" w:lineRule="auto"/>
              <w:jc w:val="right"/>
            </w:pPr>
            <w:r>
              <w:rPr>
                <w:b w:val="0"/>
                <w:i w:val="0"/>
                <w:sz w:val="18"/>
              </w:rPr>
              <w:t>13,500</w:t>
            </w:r>
          </w:p>
        </w:tc>
        <w:tc>
          <w:tcPr>
            <w:tcW w:type="dxa" w:w="893"/>
          </w:tcPr>
          <w:p>
            <w:pPr>
              <w:spacing w:line="264" w:lineRule="auto"/>
              <w:jc w:val="right"/>
            </w:pPr>
            <w:r>
              <w:rPr>
                <w:b w:val="0"/>
                <w:i w:val="0"/>
                <w:sz w:val="18"/>
              </w:rPr>
              <w:t>17,073</w:t>
            </w:r>
          </w:p>
        </w:tc>
        <w:tc>
          <w:tcPr>
            <w:tcW w:type="dxa" w:w="893"/>
          </w:tcPr>
          <w:p>
            <w:pPr>
              <w:spacing w:line="264" w:lineRule="auto"/>
              <w:jc w:val="right"/>
            </w:pPr>
            <w:r>
              <w:rPr>
                <w:b w:val="0"/>
                <w:i w:val="0"/>
                <w:sz w:val="18"/>
              </w:rPr>
              <w:t>26,243</w:t>
            </w:r>
          </w:p>
        </w:tc>
        <w:tc>
          <w:tcPr>
            <w:tcW w:type="dxa" w:w="893"/>
          </w:tcPr>
          <w:p>
            <w:pPr>
              <w:spacing w:line="264" w:lineRule="auto"/>
              <w:jc w:val="right"/>
            </w:pPr>
            <w:r>
              <w:rPr>
                <w:b w:val="0"/>
                <w:i w:val="0"/>
                <w:sz w:val="18"/>
              </w:rPr>
              <w:t>36,685</w:t>
            </w:r>
          </w:p>
        </w:tc>
        <w:tc>
          <w:tcPr>
            <w:tcW w:type="dxa" w:w="893"/>
          </w:tcPr>
          <w:p>
            <w:pPr>
              <w:spacing w:line="264" w:lineRule="auto"/>
              <w:jc w:val="right"/>
            </w:pPr>
            <w:r>
              <w:rPr>
                <w:b w:val="0"/>
                <w:i w:val="0"/>
                <w:sz w:val="18"/>
              </w:rPr>
              <w:t>48,413</w:t>
            </w:r>
          </w:p>
        </w:tc>
        <w:tc>
          <w:tcPr>
            <w:tcW w:type="dxa" w:w="893"/>
          </w:tcPr>
          <w:p>
            <w:pPr>
              <w:spacing w:line="264" w:lineRule="auto"/>
              <w:jc w:val="right"/>
            </w:pPr>
            <w:r>
              <w:rPr>
                <w:b w:val="0"/>
                <w:i w:val="0"/>
                <w:sz w:val="18"/>
              </w:rPr>
              <w:t>61,306</w:t>
            </w:r>
          </w:p>
        </w:tc>
        <w:tc>
          <w:tcPr>
            <w:tcW w:type="dxa" w:w="893"/>
          </w:tcPr>
          <w:p>
            <w:pPr>
              <w:spacing w:line="264" w:lineRule="auto"/>
              <w:jc w:val="right"/>
            </w:pPr>
            <w:r>
              <w:rPr>
                <w:b w:val="0"/>
                <w:i w:val="0"/>
                <w:sz w:val="18"/>
              </w:rPr>
              <w:t>75,754</w:t>
            </w:r>
          </w:p>
        </w:tc>
      </w:tr>
      <w:tr>
        <w:tc>
          <w:tcPr>
            <w:tcW w:type="dxa" w:w="2736"/>
            <w:shd w:val="clear" w:fill="EFF3F1"/>
          </w:tcPr>
          <w:p>
            <w:pPr>
              <w:spacing w:line="264" w:lineRule="auto"/>
            </w:pPr>
            <w:r>
              <w:rPr>
                <w:b w:val="0"/>
                <w:i w:val="0"/>
                <w:color w:val="1C3A36"/>
                <w:sz w:val="18"/>
              </w:rPr>
              <w:t>Investments &amp; associates</w:t>
            </w:r>
          </w:p>
        </w:tc>
        <w:tc>
          <w:tcPr>
            <w:tcW w:type="dxa" w:w="893"/>
            <w:shd w:val="clear" w:fill="EFF3F1"/>
          </w:tcPr>
          <w:p>
            <w:pPr>
              <w:spacing w:line="264" w:lineRule="auto"/>
              <w:jc w:val="right"/>
            </w:pPr>
            <w:r>
              <w:rPr>
                <w:b w:val="0"/>
                <w:i w:val="0"/>
                <w:sz w:val="18"/>
              </w:rPr>
              <w:t>6,000</w:t>
            </w:r>
          </w:p>
        </w:tc>
        <w:tc>
          <w:tcPr>
            <w:tcW w:type="dxa" w:w="893"/>
            <w:shd w:val="clear" w:fill="EFF3F1"/>
          </w:tcPr>
          <w:p>
            <w:pPr>
              <w:spacing w:line="264" w:lineRule="auto"/>
              <w:jc w:val="right"/>
            </w:pPr>
            <w:r>
              <w:rPr>
                <w:b w:val="0"/>
                <w:i w:val="0"/>
                <w:sz w:val="18"/>
              </w:rPr>
              <w:t>6,000</w:t>
            </w:r>
          </w:p>
        </w:tc>
        <w:tc>
          <w:tcPr>
            <w:tcW w:type="dxa" w:w="893"/>
            <w:shd w:val="clear" w:fill="EFF3F1"/>
          </w:tcPr>
          <w:p>
            <w:pPr>
              <w:spacing w:line="264" w:lineRule="auto"/>
              <w:jc w:val="right"/>
            </w:pPr>
            <w:r>
              <w:rPr>
                <w:b w:val="0"/>
                <w:i w:val="0"/>
                <w:sz w:val="18"/>
              </w:rPr>
              <w:t>6,000</w:t>
            </w:r>
          </w:p>
        </w:tc>
        <w:tc>
          <w:tcPr>
            <w:tcW w:type="dxa" w:w="893"/>
            <w:shd w:val="clear" w:fill="EFF3F1"/>
          </w:tcPr>
          <w:p>
            <w:pPr>
              <w:spacing w:line="264" w:lineRule="auto"/>
              <w:jc w:val="right"/>
            </w:pPr>
            <w:r>
              <w:rPr>
                <w:b w:val="0"/>
                <w:i w:val="0"/>
                <w:sz w:val="18"/>
              </w:rPr>
              <w:t>6,000</w:t>
            </w:r>
          </w:p>
        </w:tc>
        <w:tc>
          <w:tcPr>
            <w:tcW w:type="dxa" w:w="893"/>
            <w:shd w:val="clear" w:fill="EFF3F1"/>
          </w:tcPr>
          <w:p>
            <w:pPr>
              <w:spacing w:line="264" w:lineRule="auto"/>
              <w:jc w:val="right"/>
            </w:pPr>
            <w:r>
              <w:rPr>
                <w:b w:val="0"/>
                <w:i w:val="0"/>
                <w:sz w:val="18"/>
              </w:rPr>
              <w:t>6,000</w:t>
            </w:r>
          </w:p>
        </w:tc>
        <w:tc>
          <w:tcPr>
            <w:tcW w:type="dxa" w:w="893"/>
            <w:shd w:val="clear" w:fill="EFF3F1"/>
          </w:tcPr>
          <w:p>
            <w:pPr>
              <w:spacing w:line="264" w:lineRule="auto"/>
              <w:jc w:val="right"/>
            </w:pPr>
            <w:r>
              <w:rPr>
                <w:b w:val="0"/>
                <w:i w:val="0"/>
                <w:sz w:val="18"/>
              </w:rPr>
              <w:t>6,000</w:t>
            </w:r>
          </w:p>
        </w:tc>
        <w:tc>
          <w:tcPr>
            <w:tcW w:type="dxa" w:w="893"/>
            <w:shd w:val="clear" w:fill="EFF3F1"/>
          </w:tcPr>
          <w:p>
            <w:pPr>
              <w:spacing w:line="264" w:lineRule="auto"/>
              <w:jc w:val="right"/>
            </w:pPr>
            <w:r>
              <w:rPr>
                <w:b w:val="0"/>
                <w:i w:val="0"/>
                <w:sz w:val="18"/>
              </w:rPr>
              <w:t>6,000</w:t>
            </w:r>
          </w:p>
        </w:tc>
        <w:tc>
          <w:tcPr>
            <w:tcW w:type="dxa" w:w="893"/>
            <w:shd w:val="clear" w:fill="EFF3F1"/>
          </w:tcPr>
          <w:p>
            <w:pPr>
              <w:spacing w:line="264" w:lineRule="auto"/>
              <w:jc w:val="right"/>
            </w:pPr>
            <w:r>
              <w:rPr>
                <w:b w:val="0"/>
                <w:i w:val="0"/>
                <w:sz w:val="18"/>
              </w:rPr>
              <w:t>6,000</w:t>
            </w:r>
          </w:p>
        </w:tc>
      </w:tr>
      <w:tr>
        <w:tc>
          <w:tcPr>
            <w:tcW w:type="dxa" w:w="2736"/>
          </w:tcPr>
          <w:p>
            <w:pPr>
              <w:spacing w:line="264" w:lineRule="auto"/>
            </w:pPr>
            <w:r>
              <w:rPr>
                <w:b w:val="0"/>
                <w:i w:val="0"/>
                <w:color w:val="1C3A36"/>
                <w:sz w:val="18"/>
              </w:rPr>
              <w:t>PP&amp;E (net)</w:t>
            </w:r>
          </w:p>
        </w:tc>
        <w:tc>
          <w:tcPr>
            <w:tcW w:type="dxa" w:w="893"/>
          </w:tcPr>
          <w:p>
            <w:pPr>
              <w:spacing w:line="264" w:lineRule="auto"/>
              <w:jc w:val="right"/>
            </w:pPr>
            <w:r>
              <w:rPr>
                <w:b w:val="0"/>
                <w:i w:val="0"/>
                <w:sz w:val="18"/>
              </w:rPr>
              <w:t>3,200</w:t>
            </w:r>
          </w:p>
        </w:tc>
        <w:tc>
          <w:tcPr>
            <w:tcW w:type="dxa" w:w="893"/>
          </w:tcPr>
          <w:p>
            <w:pPr>
              <w:spacing w:line="264" w:lineRule="auto"/>
              <w:jc w:val="right"/>
            </w:pPr>
            <w:r>
              <w:rPr>
                <w:b w:val="0"/>
                <w:i w:val="0"/>
                <w:sz w:val="18"/>
              </w:rPr>
              <w:t>3,300</w:t>
            </w:r>
          </w:p>
        </w:tc>
        <w:tc>
          <w:tcPr>
            <w:tcW w:type="dxa" w:w="893"/>
          </w:tcPr>
          <w:p>
            <w:pPr>
              <w:spacing w:line="264" w:lineRule="auto"/>
              <w:jc w:val="right"/>
            </w:pPr>
            <w:r>
              <w:rPr>
                <w:b w:val="0"/>
                <w:i w:val="0"/>
                <w:sz w:val="18"/>
              </w:rPr>
              <w:t>3,400</w:t>
            </w:r>
          </w:p>
        </w:tc>
        <w:tc>
          <w:tcPr>
            <w:tcW w:type="dxa" w:w="893"/>
          </w:tcPr>
          <w:p>
            <w:pPr>
              <w:spacing w:line="264" w:lineRule="auto"/>
              <w:jc w:val="right"/>
            </w:pPr>
            <w:r>
              <w:rPr>
                <w:b w:val="0"/>
                <w:i w:val="0"/>
                <w:sz w:val="18"/>
              </w:rPr>
              <w:t>3,640</w:t>
            </w:r>
          </w:p>
        </w:tc>
        <w:tc>
          <w:tcPr>
            <w:tcW w:type="dxa" w:w="893"/>
          </w:tcPr>
          <w:p>
            <w:pPr>
              <w:spacing w:line="264" w:lineRule="auto"/>
              <w:jc w:val="right"/>
            </w:pPr>
            <w:r>
              <w:rPr>
                <w:b w:val="0"/>
                <w:i w:val="0"/>
                <w:sz w:val="18"/>
              </w:rPr>
              <w:t>3,853</w:t>
            </w:r>
          </w:p>
        </w:tc>
        <w:tc>
          <w:tcPr>
            <w:tcW w:type="dxa" w:w="893"/>
          </w:tcPr>
          <w:p>
            <w:pPr>
              <w:spacing w:line="264" w:lineRule="auto"/>
              <w:jc w:val="right"/>
            </w:pPr>
            <w:r>
              <w:rPr>
                <w:b w:val="0"/>
                <w:i w:val="0"/>
                <w:sz w:val="18"/>
              </w:rPr>
              <w:t>4,028</w:t>
            </w:r>
          </w:p>
        </w:tc>
        <w:tc>
          <w:tcPr>
            <w:tcW w:type="dxa" w:w="893"/>
          </w:tcPr>
          <w:p>
            <w:pPr>
              <w:spacing w:line="264" w:lineRule="auto"/>
              <w:jc w:val="right"/>
            </w:pPr>
            <w:r>
              <w:rPr>
                <w:b w:val="0"/>
                <w:i w:val="0"/>
                <w:sz w:val="18"/>
              </w:rPr>
              <w:t>4,151</w:t>
            </w:r>
          </w:p>
        </w:tc>
        <w:tc>
          <w:tcPr>
            <w:tcW w:type="dxa" w:w="893"/>
          </w:tcPr>
          <w:p>
            <w:pPr>
              <w:spacing w:line="264" w:lineRule="auto"/>
              <w:jc w:val="right"/>
            </w:pPr>
            <w:r>
              <w:rPr>
                <w:b w:val="0"/>
                <w:i w:val="0"/>
                <w:sz w:val="18"/>
              </w:rPr>
              <w:t>4,205</w:t>
            </w:r>
          </w:p>
        </w:tc>
      </w:tr>
      <w:tr>
        <w:tc>
          <w:tcPr>
            <w:tcW w:type="dxa" w:w="2736"/>
            <w:shd w:val="clear" w:fill="EFF3F1"/>
          </w:tcPr>
          <w:p>
            <w:pPr>
              <w:spacing w:line="264" w:lineRule="auto"/>
            </w:pPr>
            <w:r>
              <w:rPr>
                <w:b w:val="0"/>
                <w:i w:val="0"/>
                <w:color w:val="1C3A36"/>
                <w:sz w:val="18"/>
              </w:rPr>
              <w:t>Net working capital</w:t>
            </w:r>
          </w:p>
        </w:tc>
        <w:tc>
          <w:tcPr>
            <w:tcW w:type="dxa" w:w="893"/>
            <w:shd w:val="clear" w:fill="EFF3F1"/>
          </w:tcPr>
          <w:p>
            <w:pPr>
              <w:spacing w:line="264" w:lineRule="auto"/>
              <w:jc w:val="right"/>
            </w:pPr>
            <w:r>
              <w:rPr>
                <w:b w:val="0"/>
                <w:i w:val="0"/>
                <w:sz w:val="18"/>
              </w:rPr>
              <w:t>2,600</w:t>
            </w:r>
          </w:p>
        </w:tc>
        <w:tc>
          <w:tcPr>
            <w:tcW w:type="dxa" w:w="893"/>
            <w:shd w:val="clear" w:fill="EFF3F1"/>
          </w:tcPr>
          <w:p>
            <w:pPr>
              <w:spacing w:line="264" w:lineRule="auto"/>
              <w:jc w:val="right"/>
            </w:pPr>
            <w:r>
              <w:rPr>
                <w:b w:val="0"/>
                <w:i w:val="0"/>
                <w:sz w:val="18"/>
              </w:rPr>
              <w:t>2,900</w:t>
            </w:r>
          </w:p>
        </w:tc>
        <w:tc>
          <w:tcPr>
            <w:tcW w:type="dxa" w:w="893"/>
            <w:shd w:val="clear" w:fill="EFF3F1"/>
          </w:tcPr>
          <w:p>
            <w:pPr>
              <w:spacing w:line="264" w:lineRule="auto"/>
              <w:jc w:val="right"/>
            </w:pPr>
            <w:r>
              <w:rPr>
                <w:b w:val="0"/>
                <w:i w:val="0"/>
                <w:sz w:val="18"/>
              </w:rPr>
              <w:t>3,132</w:t>
            </w:r>
          </w:p>
        </w:tc>
        <w:tc>
          <w:tcPr>
            <w:tcW w:type="dxa" w:w="893"/>
            <w:shd w:val="clear" w:fill="EFF3F1"/>
          </w:tcPr>
          <w:p>
            <w:pPr>
              <w:spacing w:line="264" w:lineRule="auto"/>
              <w:jc w:val="right"/>
            </w:pPr>
            <w:r>
              <w:rPr>
                <w:b w:val="0"/>
                <w:i w:val="0"/>
                <w:sz w:val="18"/>
              </w:rPr>
              <w:t>3,781</w:t>
            </w:r>
          </w:p>
        </w:tc>
        <w:tc>
          <w:tcPr>
            <w:tcW w:type="dxa" w:w="893"/>
            <w:shd w:val="clear" w:fill="EFF3F1"/>
          </w:tcPr>
          <w:p>
            <w:pPr>
              <w:spacing w:line="264" w:lineRule="auto"/>
              <w:jc w:val="right"/>
            </w:pPr>
            <w:r>
              <w:rPr>
                <w:b w:val="0"/>
                <w:i w:val="0"/>
                <w:sz w:val="18"/>
              </w:rPr>
              <w:t>4,159</w:t>
            </w:r>
          </w:p>
        </w:tc>
        <w:tc>
          <w:tcPr>
            <w:tcW w:type="dxa" w:w="893"/>
            <w:shd w:val="clear" w:fill="EFF3F1"/>
          </w:tcPr>
          <w:p>
            <w:pPr>
              <w:spacing w:line="264" w:lineRule="auto"/>
              <w:jc w:val="right"/>
            </w:pPr>
            <w:r>
              <w:rPr>
                <w:b w:val="0"/>
                <w:i w:val="0"/>
                <w:sz w:val="18"/>
              </w:rPr>
              <w:t>4,575</w:t>
            </w:r>
          </w:p>
        </w:tc>
        <w:tc>
          <w:tcPr>
            <w:tcW w:type="dxa" w:w="893"/>
            <w:shd w:val="clear" w:fill="EFF3F1"/>
          </w:tcPr>
          <w:p>
            <w:pPr>
              <w:spacing w:line="264" w:lineRule="auto"/>
              <w:jc w:val="right"/>
            </w:pPr>
            <w:r>
              <w:rPr>
                <w:b w:val="0"/>
                <w:i w:val="0"/>
                <w:sz w:val="18"/>
              </w:rPr>
              <w:t>5,033</w:t>
            </w:r>
          </w:p>
        </w:tc>
        <w:tc>
          <w:tcPr>
            <w:tcW w:type="dxa" w:w="893"/>
            <w:shd w:val="clear" w:fill="EFF3F1"/>
          </w:tcPr>
          <w:p>
            <w:pPr>
              <w:spacing w:line="264" w:lineRule="auto"/>
              <w:jc w:val="right"/>
            </w:pPr>
            <w:r>
              <w:rPr>
                <w:b w:val="0"/>
                <w:i w:val="0"/>
                <w:sz w:val="18"/>
              </w:rPr>
              <w:t>5,536</w:t>
            </w:r>
          </w:p>
        </w:tc>
      </w:tr>
      <w:tr>
        <w:tc>
          <w:tcPr>
            <w:tcW w:type="dxa" w:w="2736"/>
          </w:tcPr>
          <w:p>
            <w:pPr>
              <w:spacing w:line="264" w:lineRule="auto"/>
            </w:pPr>
            <w:r>
              <w:rPr>
                <w:b w:val="0"/>
                <w:i w:val="0"/>
                <w:color w:val="1C3A36"/>
                <w:sz w:val="18"/>
              </w:rPr>
              <w:t>Total equity (≈ net assets)</w:t>
            </w:r>
          </w:p>
        </w:tc>
        <w:tc>
          <w:tcPr>
            <w:tcW w:type="dxa" w:w="893"/>
          </w:tcPr>
          <w:p>
            <w:pPr>
              <w:spacing w:line="264" w:lineRule="auto"/>
              <w:jc w:val="right"/>
            </w:pPr>
            <w:r>
              <w:rPr>
                <w:b w:val="0"/>
                <w:i w:val="0"/>
                <w:sz w:val="18"/>
              </w:rPr>
              <w:t>19,000</w:t>
            </w:r>
          </w:p>
        </w:tc>
        <w:tc>
          <w:tcPr>
            <w:tcW w:type="dxa" w:w="893"/>
          </w:tcPr>
          <w:p>
            <w:pPr>
              <w:spacing w:line="264" w:lineRule="auto"/>
              <w:jc w:val="right"/>
            </w:pPr>
            <w:r>
              <w:rPr>
                <w:b w:val="0"/>
                <w:i w:val="0"/>
                <w:sz w:val="18"/>
              </w:rPr>
              <w:t>21,500</w:t>
            </w:r>
          </w:p>
        </w:tc>
        <w:tc>
          <w:tcPr>
            <w:tcW w:type="dxa" w:w="893"/>
          </w:tcPr>
          <w:p>
            <w:pPr>
              <w:spacing w:line="264" w:lineRule="auto"/>
              <w:jc w:val="right"/>
            </w:pPr>
            <w:r>
              <w:rPr>
                <w:b w:val="0"/>
                <w:i w:val="0"/>
                <w:sz w:val="18"/>
              </w:rPr>
              <w:t>24,002</w:t>
            </w:r>
          </w:p>
        </w:tc>
        <w:tc>
          <w:tcPr>
            <w:tcW w:type="dxa" w:w="893"/>
          </w:tcPr>
          <w:p>
            <w:pPr>
              <w:spacing w:line="264" w:lineRule="auto"/>
              <w:jc w:val="right"/>
            </w:pPr>
            <w:r>
              <w:rPr>
                <w:b w:val="0"/>
                <w:i w:val="0"/>
                <w:sz w:val="18"/>
              </w:rPr>
              <w:t>34,061</w:t>
            </w:r>
          </w:p>
        </w:tc>
        <w:tc>
          <w:tcPr>
            <w:tcW w:type="dxa" w:w="893"/>
          </w:tcPr>
          <w:p>
            <w:pPr>
              <w:spacing w:line="264" w:lineRule="auto"/>
              <w:jc w:val="right"/>
            </w:pPr>
            <w:r>
              <w:rPr>
                <w:b w:val="0"/>
                <w:i w:val="0"/>
                <w:sz w:val="18"/>
              </w:rPr>
              <w:t>45,094</w:t>
            </w:r>
          </w:p>
        </w:tc>
        <w:tc>
          <w:tcPr>
            <w:tcW w:type="dxa" w:w="893"/>
          </w:tcPr>
          <w:p>
            <w:pPr>
              <w:spacing w:line="264" w:lineRule="auto"/>
              <w:jc w:val="right"/>
            </w:pPr>
            <w:r>
              <w:rPr>
                <w:b w:val="0"/>
                <w:i w:val="0"/>
                <w:sz w:val="18"/>
              </w:rPr>
              <w:t>57,413</w:t>
            </w:r>
          </w:p>
        </w:tc>
        <w:tc>
          <w:tcPr>
            <w:tcW w:type="dxa" w:w="893"/>
          </w:tcPr>
          <w:p>
            <w:pPr>
              <w:spacing w:line="264" w:lineRule="auto"/>
              <w:jc w:val="right"/>
            </w:pPr>
            <w:r>
              <w:rPr>
                <w:b w:val="0"/>
                <w:i w:val="0"/>
                <w:sz w:val="18"/>
              </w:rPr>
              <w:t>70,887</w:t>
            </w:r>
          </w:p>
        </w:tc>
        <w:tc>
          <w:tcPr>
            <w:tcW w:type="dxa" w:w="893"/>
          </w:tcPr>
          <w:p>
            <w:pPr>
              <w:spacing w:line="264" w:lineRule="auto"/>
              <w:jc w:val="right"/>
            </w:pPr>
            <w:r>
              <w:rPr>
                <w:b w:val="0"/>
                <w:i w:val="0"/>
                <w:sz w:val="18"/>
              </w:rPr>
              <w:t>85,893</w:t>
            </w:r>
          </w:p>
        </w:tc>
      </w:tr>
    </w:tbl>
    <w:p>
      <w:pPr>
        <w:spacing w:after="40"/>
      </w:pPr>
    </w:p>
    <w:p>
      <w:pPr>
        <w:spacing w:before="160" w:after="120" w:line="264" w:lineRule="auto"/>
      </w:pPr>
      <w:r>
        <w:rPr>
          <w:b/>
          <w:i w:val="0"/>
          <w:color w:val="1C3A36"/>
          <w:sz w:val="24"/>
        </w:rPr>
        <w:t>A.3  Cash flow</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Net income (core)</w:t>
            </w:r>
          </w:p>
        </w:tc>
        <w:tc>
          <w:tcPr>
            <w:tcW w:type="dxa" w:w="893"/>
          </w:tcPr>
          <w:p>
            <w:pPr>
              <w:spacing w:line="264" w:lineRule="auto"/>
              <w:jc w:val="right"/>
            </w:pPr>
            <w:r>
              <w:rPr>
                <w:b w:val="0"/>
                <w:i w:val="0"/>
                <w:sz w:val="18"/>
              </w:rPr>
              <w:t>10,888</w:t>
            </w:r>
          </w:p>
        </w:tc>
        <w:tc>
          <w:tcPr>
            <w:tcW w:type="dxa" w:w="893"/>
          </w:tcPr>
          <w:p>
            <w:pPr>
              <w:spacing w:line="264" w:lineRule="auto"/>
              <w:jc w:val="right"/>
            </w:pPr>
            <w:r>
              <w:rPr>
                <w:b w:val="0"/>
                <w:i w:val="0"/>
                <w:sz w:val="18"/>
              </w:rPr>
              <w:t>8,186</w:t>
            </w:r>
          </w:p>
        </w:tc>
        <w:tc>
          <w:tcPr>
            <w:tcW w:type="dxa" w:w="893"/>
          </w:tcPr>
          <w:p>
            <w:pPr>
              <w:spacing w:line="264" w:lineRule="auto"/>
              <w:jc w:val="right"/>
            </w:pPr>
            <w:r>
              <w:rPr>
                <w:b w:val="0"/>
                <w:i w:val="0"/>
                <w:sz w:val="18"/>
              </w:rPr>
              <w:t>8,846</w:t>
            </w:r>
          </w:p>
        </w:tc>
        <w:tc>
          <w:tcPr>
            <w:tcW w:type="dxa" w:w="893"/>
          </w:tcPr>
          <w:p>
            <w:pPr>
              <w:spacing w:line="264" w:lineRule="auto"/>
              <w:jc w:val="right"/>
            </w:pPr>
            <w:r>
              <w:rPr>
                <w:b w:val="0"/>
                <w:i w:val="0"/>
                <w:sz w:val="18"/>
              </w:rPr>
              <w:t>10,059</w:t>
            </w:r>
          </w:p>
        </w:tc>
        <w:tc>
          <w:tcPr>
            <w:tcW w:type="dxa" w:w="893"/>
          </w:tcPr>
          <w:p>
            <w:pPr>
              <w:spacing w:line="264" w:lineRule="auto"/>
              <w:jc w:val="right"/>
            </w:pPr>
            <w:r>
              <w:rPr>
                <w:b w:val="0"/>
                <w:i w:val="0"/>
                <w:sz w:val="18"/>
              </w:rPr>
              <w:t>11,034</w:t>
            </w:r>
          </w:p>
        </w:tc>
        <w:tc>
          <w:tcPr>
            <w:tcW w:type="dxa" w:w="893"/>
          </w:tcPr>
          <w:p>
            <w:pPr>
              <w:spacing w:line="264" w:lineRule="auto"/>
              <w:jc w:val="right"/>
            </w:pPr>
            <w:r>
              <w:rPr>
                <w:b w:val="0"/>
                <w:i w:val="0"/>
                <w:sz w:val="18"/>
              </w:rPr>
              <w:t>12,319</w:t>
            </w:r>
          </w:p>
        </w:tc>
        <w:tc>
          <w:tcPr>
            <w:tcW w:type="dxa" w:w="893"/>
          </w:tcPr>
          <w:p>
            <w:pPr>
              <w:spacing w:line="264" w:lineRule="auto"/>
              <w:jc w:val="right"/>
            </w:pPr>
            <w:r>
              <w:rPr>
                <w:b w:val="0"/>
                <w:i w:val="0"/>
                <w:sz w:val="18"/>
              </w:rPr>
              <w:t>13,473</w:t>
            </w:r>
          </w:p>
        </w:tc>
        <w:tc>
          <w:tcPr>
            <w:tcW w:type="dxa" w:w="893"/>
          </w:tcPr>
          <w:p>
            <w:pPr>
              <w:spacing w:line="264" w:lineRule="auto"/>
              <w:jc w:val="right"/>
            </w:pPr>
            <w:r>
              <w:rPr>
                <w:b w:val="0"/>
                <w:i w:val="0"/>
                <w:sz w:val="18"/>
              </w:rPr>
              <w:t>15,006</w:t>
            </w:r>
          </w:p>
        </w:tc>
      </w:tr>
      <w:tr>
        <w:tc>
          <w:tcPr>
            <w:tcW w:type="dxa" w:w="2736"/>
            <w:shd w:val="clear" w:fill="EFF3F1"/>
          </w:tcPr>
          <w:p>
            <w:pPr>
              <w:spacing w:line="264" w:lineRule="auto"/>
            </w:pPr>
            <w:r>
              <w:rPr>
                <w:b w:val="0"/>
                <w:i w:val="0"/>
                <w:color w:val="1C3A36"/>
                <w:sz w:val="18"/>
              </w:rPr>
              <w:t>+ D&amp;A</w:t>
            </w:r>
          </w:p>
        </w:tc>
        <w:tc>
          <w:tcPr>
            <w:tcW w:type="dxa" w:w="893"/>
            <w:shd w:val="clear" w:fill="EFF3F1"/>
          </w:tcPr>
          <w:p>
            <w:pPr>
              <w:spacing w:line="264" w:lineRule="auto"/>
              <w:jc w:val="right"/>
            </w:pPr>
            <w:r>
              <w:rPr>
                <w:b w:val="0"/>
                <w:i w:val="0"/>
                <w:sz w:val="18"/>
              </w:rPr>
              <w:t>1,080</w:t>
            </w:r>
          </w:p>
        </w:tc>
        <w:tc>
          <w:tcPr>
            <w:tcW w:type="dxa" w:w="893"/>
            <w:shd w:val="clear" w:fill="EFF3F1"/>
          </w:tcPr>
          <w:p>
            <w:pPr>
              <w:spacing w:line="264" w:lineRule="auto"/>
              <w:jc w:val="right"/>
            </w:pPr>
            <w:r>
              <w:rPr>
                <w:b w:val="0"/>
                <w:i w:val="0"/>
                <w:sz w:val="18"/>
              </w:rPr>
              <w:t>1,100</w:t>
            </w:r>
          </w:p>
        </w:tc>
        <w:tc>
          <w:tcPr>
            <w:tcW w:type="dxa" w:w="893"/>
            <w:shd w:val="clear" w:fill="EFF3F1"/>
          </w:tcPr>
          <w:p>
            <w:pPr>
              <w:spacing w:line="264" w:lineRule="auto"/>
              <w:jc w:val="right"/>
            </w:pPr>
            <w:r>
              <w:rPr>
                <w:b w:val="0"/>
                <w:i w:val="0"/>
                <w:sz w:val="18"/>
              </w:rPr>
              <w:t>1,150</w:t>
            </w:r>
          </w:p>
        </w:tc>
        <w:tc>
          <w:tcPr>
            <w:tcW w:type="dxa" w:w="893"/>
            <w:shd w:val="clear" w:fill="EFF3F1"/>
          </w:tcPr>
          <w:p>
            <w:pPr>
              <w:spacing w:line="264" w:lineRule="auto"/>
              <w:jc w:val="right"/>
            </w:pPr>
            <w:r>
              <w:rPr>
                <w:b w:val="0"/>
                <w:i w:val="0"/>
                <w:sz w:val="18"/>
              </w:rPr>
              <w:t>1,260</w:t>
            </w:r>
          </w:p>
        </w:tc>
        <w:tc>
          <w:tcPr>
            <w:tcW w:type="dxa" w:w="893"/>
            <w:shd w:val="clear" w:fill="EFF3F1"/>
          </w:tcPr>
          <w:p>
            <w:pPr>
              <w:spacing w:line="264" w:lineRule="auto"/>
              <w:jc w:val="right"/>
            </w:pPr>
            <w:r>
              <w:rPr>
                <w:b w:val="0"/>
                <w:i w:val="0"/>
                <w:sz w:val="18"/>
              </w:rPr>
              <w:t>1,386</w:t>
            </w:r>
          </w:p>
        </w:tc>
        <w:tc>
          <w:tcPr>
            <w:tcW w:type="dxa" w:w="893"/>
            <w:shd w:val="clear" w:fill="EFF3F1"/>
          </w:tcPr>
          <w:p>
            <w:pPr>
              <w:spacing w:line="264" w:lineRule="auto"/>
              <w:jc w:val="right"/>
            </w:pPr>
            <w:r>
              <w:rPr>
                <w:b w:val="0"/>
                <w:i w:val="0"/>
                <w:sz w:val="18"/>
              </w:rPr>
              <w:t>1,525</w:t>
            </w:r>
          </w:p>
        </w:tc>
        <w:tc>
          <w:tcPr>
            <w:tcW w:type="dxa" w:w="893"/>
            <w:shd w:val="clear" w:fill="EFF3F1"/>
          </w:tcPr>
          <w:p>
            <w:pPr>
              <w:spacing w:line="264" w:lineRule="auto"/>
              <w:jc w:val="right"/>
            </w:pPr>
            <w:r>
              <w:rPr>
                <w:b w:val="0"/>
                <w:i w:val="0"/>
                <w:sz w:val="18"/>
              </w:rPr>
              <w:t>1,678</w:t>
            </w:r>
          </w:p>
        </w:tc>
        <w:tc>
          <w:tcPr>
            <w:tcW w:type="dxa" w:w="893"/>
            <w:shd w:val="clear" w:fill="EFF3F1"/>
          </w:tcPr>
          <w:p>
            <w:pPr>
              <w:spacing w:line="264" w:lineRule="auto"/>
              <w:jc w:val="right"/>
            </w:pPr>
            <w:r>
              <w:rPr>
                <w:b w:val="0"/>
                <w:i w:val="0"/>
                <w:sz w:val="18"/>
              </w:rPr>
              <w:t>1,845</w:t>
            </w:r>
          </w:p>
        </w:tc>
      </w:tr>
      <w:tr>
        <w:tc>
          <w:tcPr>
            <w:tcW w:type="dxa" w:w="2736"/>
          </w:tcPr>
          <w:p>
            <w:pPr>
              <w:spacing w:line="264" w:lineRule="auto"/>
            </w:pPr>
            <w:r>
              <w:rPr>
                <w:b w:val="0"/>
                <w:i w:val="0"/>
                <w:color w:val="1C3A36"/>
                <w:sz w:val="18"/>
              </w:rPr>
              <w:t>− Increase in NWC</w:t>
            </w:r>
          </w:p>
        </w:tc>
        <w:tc>
          <w:tcPr>
            <w:tcW w:type="dxa" w:w="893"/>
          </w:tcPr>
          <w:p>
            <w:pPr>
              <w:spacing w:line="264" w:lineRule="auto"/>
              <w:jc w:val="right"/>
            </w:pPr>
            <w:r>
              <w:rPr>
                <w:b w:val="0"/>
                <w:i w:val="0"/>
                <w:sz w:val="18"/>
              </w:rPr>
              <w:t>0</w:t>
            </w:r>
          </w:p>
        </w:tc>
        <w:tc>
          <w:tcPr>
            <w:tcW w:type="dxa" w:w="893"/>
          </w:tcPr>
          <w:p>
            <w:pPr>
              <w:spacing w:line="264" w:lineRule="auto"/>
              <w:jc w:val="right"/>
            </w:pPr>
            <w:r>
              <w:rPr>
                <w:b w:val="0"/>
                <w:i w:val="0"/>
                <w:sz w:val="18"/>
              </w:rPr>
              <w:t>-300</w:t>
            </w:r>
          </w:p>
        </w:tc>
        <w:tc>
          <w:tcPr>
            <w:tcW w:type="dxa" w:w="893"/>
          </w:tcPr>
          <w:p>
            <w:pPr>
              <w:spacing w:line="264" w:lineRule="auto"/>
              <w:jc w:val="right"/>
            </w:pPr>
            <w:r>
              <w:rPr>
                <w:b w:val="0"/>
                <w:i w:val="0"/>
                <w:sz w:val="18"/>
              </w:rPr>
              <w:t>-232</w:t>
            </w:r>
          </w:p>
        </w:tc>
        <w:tc>
          <w:tcPr>
            <w:tcW w:type="dxa" w:w="893"/>
          </w:tcPr>
          <w:p>
            <w:pPr>
              <w:spacing w:line="264" w:lineRule="auto"/>
              <w:jc w:val="right"/>
            </w:pPr>
            <w:r>
              <w:rPr>
                <w:b w:val="0"/>
                <w:i w:val="0"/>
                <w:sz w:val="18"/>
              </w:rPr>
              <w:t>-649</w:t>
            </w:r>
          </w:p>
        </w:tc>
        <w:tc>
          <w:tcPr>
            <w:tcW w:type="dxa" w:w="893"/>
          </w:tcPr>
          <w:p>
            <w:pPr>
              <w:spacing w:line="264" w:lineRule="auto"/>
              <w:jc w:val="right"/>
            </w:pPr>
            <w:r>
              <w:rPr>
                <w:b w:val="0"/>
                <w:i w:val="0"/>
                <w:sz w:val="18"/>
              </w:rPr>
              <w:t>-378</w:t>
            </w:r>
          </w:p>
        </w:tc>
        <w:tc>
          <w:tcPr>
            <w:tcW w:type="dxa" w:w="893"/>
          </w:tcPr>
          <w:p>
            <w:pPr>
              <w:spacing w:line="264" w:lineRule="auto"/>
              <w:jc w:val="right"/>
            </w:pPr>
            <w:r>
              <w:rPr>
                <w:b w:val="0"/>
                <w:i w:val="0"/>
                <w:sz w:val="18"/>
              </w:rPr>
              <w:t>-416</w:t>
            </w:r>
          </w:p>
        </w:tc>
        <w:tc>
          <w:tcPr>
            <w:tcW w:type="dxa" w:w="893"/>
          </w:tcPr>
          <w:p>
            <w:pPr>
              <w:spacing w:line="264" w:lineRule="auto"/>
              <w:jc w:val="right"/>
            </w:pPr>
            <w:r>
              <w:rPr>
                <w:b w:val="0"/>
                <w:i w:val="0"/>
                <w:sz w:val="18"/>
              </w:rPr>
              <w:t>-458</w:t>
            </w:r>
          </w:p>
        </w:tc>
        <w:tc>
          <w:tcPr>
            <w:tcW w:type="dxa" w:w="893"/>
          </w:tcPr>
          <w:p>
            <w:pPr>
              <w:spacing w:line="264" w:lineRule="auto"/>
              <w:jc w:val="right"/>
            </w:pPr>
            <w:r>
              <w:rPr>
                <w:b w:val="0"/>
                <w:i w:val="0"/>
                <w:sz w:val="18"/>
              </w:rPr>
              <w:t>-503</w:t>
            </w:r>
          </w:p>
        </w:tc>
      </w:tr>
      <w:tr>
        <w:tc>
          <w:tcPr>
            <w:tcW w:type="dxa" w:w="2736"/>
            <w:shd w:val="clear" w:fill="EFF3F1"/>
          </w:tcPr>
          <w:p>
            <w:pPr>
              <w:spacing w:line="264" w:lineRule="auto"/>
            </w:pPr>
            <w:r>
              <w:rPr>
                <w:b w:val="0"/>
                <w:i w:val="0"/>
                <w:color w:val="1C3A36"/>
                <w:sz w:val="18"/>
              </w:rPr>
              <w:t>Cash from operations</w:t>
            </w:r>
          </w:p>
        </w:tc>
        <w:tc>
          <w:tcPr>
            <w:tcW w:type="dxa" w:w="893"/>
            <w:shd w:val="clear" w:fill="EFF3F1"/>
          </w:tcPr>
          <w:p>
            <w:pPr>
              <w:spacing w:line="264" w:lineRule="auto"/>
              <w:jc w:val="right"/>
            </w:pPr>
            <w:r>
              <w:rPr>
                <w:b w:val="0"/>
                <w:i w:val="0"/>
                <w:sz w:val="18"/>
              </w:rPr>
              <w:t>11,968</w:t>
            </w:r>
          </w:p>
        </w:tc>
        <w:tc>
          <w:tcPr>
            <w:tcW w:type="dxa" w:w="893"/>
            <w:shd w:val="clear" w:fill="EFF3F1"/>
          </w:tcPr>
          <w:p>
            <w:pPr>
              <w:spacing w:line="264" w:lineRule="auto"/>
              <w:jc w:val="right"/>
            </w:pPr>
            <w:r>
              <w:rPr>
                <w:b w:val="0"/>
                <w:i w:val="0"/>
                <w:sz w:val="18"/>
              </w:rPr>
              <w:t>8,986</w:t>
            </w:r>
          </w:p>
        </w:tc>
        <w:tc>
          <w:tcPr>
            <w:tcW w:type="dxa" w:w="893"/>
            <w:shd w:val="clear" w:fill="EFF3F1"/>
          </w:tcPr>
          <w:p>
            <w:pPr>
              <w:spacing w:line="264" w:lineRule="auto"/>
              <w:jc w:val="right"/>
            </w:pPr>
            <w:r>
              <w:rPr>
                <w:b w:val="0"/>
                <w:i w:val="0"/>
                <w:sz w:val="18"/>
              </w:rPr>
              <w:t>9,764</w:t>
            </w:r>
          </w:p>
        </w:tc>
        <w:tc>
          <w:tcPr>
            <w:tcW w:type="dxa" w:w="893"/>
            <w:shd w:val="clear" w:fill="EFF3F1"/>
          </w:tcPr>
          <w:p>
            <w:pPr>
              <w:spacing w:line="264" w:lineRule="auto"/>
              <w:jc w:val="right"/>
            </w:pPr>
            <w:r>
              <w:rPr>
                <w:b w:val="0"/>
                <w:i w:val="0"/>
                <w:sz w:val="18"/>
              </w:rPr>
              <w:t>10,670</w:t>
            </w:r>
          </w:p>
        </w:tc>
        <w:tc>
          <w:tcPr>
            <w:tcW w:type="dxa" w:w="893"/>
            <w:shd w:val="clear" w:fill="EFF3F1"/>
          </w:tcPr>
          <w:p>
            <w:pPr>
              <w:spacing w:line="264" w:lineRule="auto"/>
              <w:jc w:val="right"/>
            </w:pPr>
            <w:r>
              <w:rPr>
                <w:b w:val="0"/>
                <w:i w:val="0"/>
                <w:sz w:val="18"/>
              </w:rPr>
              <w:t>12,042</w:t>
            </w:r>
          </w:p>
        </w:tc>
        <w:tc>
          <w:tcPr>
            <w:tcW w:type="dxa" w:w="893"/>
            <w:shd w:val="clear" w:fill="EFF3F1"/>
          </w:tcPr>
          <w:p>
            <w:pPr>
              <w:spacing w:line="264" w:lineRule="auto"/>
              <w:jc w:val="right"/>
            </w:pPr>
            <w:r>
              <w:rPr>
                <w:b w:val="0"/>
                <w:i w:val="0"/>
                <w:sz w:val="18"/>
              </w:rPr>
              <w:t>13,428</w:t>
            </w:r>
          </w:p>
        </w:tc>
        <w:tc>
          <w:tcPr>
            <w:tcW w:type="dxa" w:w="893"/>
            <w:shd w:val="clear" w:fill="EFF3F1"/>
          </w:tcPr>
          <w:p>
            <w:pPr>
              <w:spacing w:line="264" w:lineRule="auto"/>
              <w:jc w:val="right"/>
            </w:pPr>
            <w:r>
              <w:rPr>
                <w:b w:val="0"/>
                <w:i w:val="0"/>
                <w:sz w:val="18"/>
              </w:rPr>
              <w:t>14,693</w:t>
            </w:r>
          </w:p>
        </w:tc>
        <w:tc>
          <w:tcPr>
            <w:tcW w:type="dxa" w:w="893"/>
            <w:shd w:val="clear" w:fill="EFF3F1"/>
          </w:tcPr>
          <w:p>
            <w:pPr>
              <w:spacing w:line="264" w:lineRule="auto"/>
              <w:jc w:val="right"/>
            </w:pPr>
            <w:r>
              <w:rPr>
                <w:b w:val="0"/>
                <w:i w:val="0"/>
                <w:sz w:val="18"/>
              </w:rPr>
              <w:t>16,348</w:t>
            </w:r>
          </w:p>
        </w:tc>
      </w:tr>
      <w:tr>
        <w:tc>
          <w:tcPr>
            <w:tcW w:type="dxa" w:w="2736"/>
          </w:tcPr>
          <w:p>
            <w:pPr>
              <w:spacing w:line="264" w:lineRule="auto"/>
            </w:pPr>
            <w:r>
              <w:rPr>
                <w:b w:val="0"/>
                <w:i w:val="0"/>
                <w:color w:val="1C3A36"/>
                <w:sz w:val="18"/>
              </w:rPr>
              <w:t>− Capex</w:t>
            </w:r>
          </w:p>
        </w:tc>
        <w:tc>
          <w:tcPr>
            <w:tcW w:type="dxa" w:w="893"/>
          </w:tcPr>
          <w:p>
            <w:pPr>
              <w:spacing w:line="264" w:lineRule="auto"/>
              <w:jc w:val="right"/>
            </w:pPr>
            <w:r>
              <w:rPr>
                <w:b w:val="0"/>
                <w:i w:val="0"/>
                <w:sz w:val="18"/>
              </w:rPr>
              <w:t>-1,200</w:t>
            </w:r>
          </w:p>
        </w:tc>
        <w:tc>
          <w:tcPr>
            <w:tcW w:type="dxa" w:w="893"/>
          </w:tcPr>
          <w:p>
            <w:pPr>
              <w:spacing w:line="264" w:lineRule="auto"/>
              <w:jc w:val="right"/>
            </w:pPr>
            <w:r>
              <w:rPr>
                <w:b w:val="0"/>
                <w:i w:val="0"/>
                <w:sz w:val="18"/>
              </w:rPr>
              <w:t>-1,300</w:t>
            </w:r>
          </w:p>
        </w:tc>
        <w:tc>
          <w:tcPr>
            <w:tcW w:type="dxa" w:w="893"/>
          </w:tcPr>
          <w:p>
            <w:pPr>
              <w:spacing w:line="264" w:lineRule="auto"/>
              <w:jc w:val="right"/>
            </w:pPr>
            <w:r>
              <w:rPr>
                <w:b w:val="0"/>
                <w:i w:val="0"/>
                <w:sz w:val="18"/>
              </w:rPr>
              <w:t>-1,400</w:t>
            </w:r>
          </w:p>
        </w:tc>
        <w:tc>
          <w:tcPr>
            <w:tcW w:type="dxa" w:w="893"/>
          </w:tcPr>
          <w:p>
            <w:pPr>
              <w:spacing w:line="264" w:lineRule="auto"/>
              <w:jc w:val="right"/>
            </w:pPr>
            <w:r>
              <w:rPr>
                <w:b w:val="0"/>
                <w:i w:val="0"/>
                <w:sz w:val="18"/>
              </w:rPr>
              <w:t>-1,500</w:t>
            </w:r>
          </w:p>
        </w:tc>
        <w:tc>
          <w:tcPr>
            <w:tcW w:type="dxa" w:w="893"/>
          </w:tcPr>
          <w:p>
            <w:pPr>
              <w:spacing w:line="264" w:lineRule="auto"/>
              <w:jc w:val="right"/>
            </w:pPr>
            <w:r>
              <w:rPr>
                <w:b w:val="0"/>
                <w:i w:val="0"/>
                <w:sz w:val="18"/>
              </w:rPr>
              <w:t>-1,600</w:t>
            </w:r>
          </w:p>
        </w:tc>
        <w:tc>
          <w:tcPr>
            <w:tcW w:type="dxa" w:w="893"/>
          </w:tcPr>
          <w:p>
            <w:pPr>
              <w:spacing w:line="264" w:lineRule="auto"/>
              <w:jc w:val="right"/>
            </w:pPr>
            <w:r>
              <w:rPr>
                <w:b w:val="0"/>
                <w:i w:val="0"/>
                <w:sz w:val="18"/>
              </w:rPr>
              <w:t>-1,700</w:t>
            </w:r>
          </w:p>
        </w:tc>
        <w:tc>
          <w:tcPr>
            <w:tcW w:type="dxa" w:w="893"/>
          </w:tcPr>
          <w:p>
            <w:pPr>
              <w:spacing w:line="264" w:lineRule="auto"/>
              <w:jc w:val="right"/>
            </w:pPr>
            <w:r>
              <w:rPr>
                <w:b w:val="0"/>
                <w:i w:val="0"/>
                <w:sz w:val="18"/>
              </w:rPr>
              <w:t>-1,800</w:t>
            </w:r>
          </w:p>
        </w:tc>
        <w:tc>
          <w:tcPr>
            <w:tcW w:type="dxa" w:w="893"/>
          </w:tcPr>
          <w:p>
            <w:pPr>
              <w:spacing w:line="264" w:lineRule="auto"/>
              <w:jc w:val="right"/>
            </w:pPr>
            <w:r>
              <w:rPr>
                <w:b w:val="0"/>
                <w:i w:val="0"/>
                <w:sz w:val="18"/>
              </w:rPr>
              <w:t>-1,900</w:t>
            </w:r>
          </w:p>
        </w:tc>
      </w:tr>
      <w:tr>
        <w:tc>
          <w:tcPr>
            <w:tcW w:type="dxa" w:w="2736"/>
            <w:shd w:val="clear" w:fill="EFF3F1"/>
          </w:tcPr>
          <w:p>
            <w:pPr>
              <w:spacing w:line="264" w:lineRule="auto"/>
            </w:pPr>
            <w:r>
              <w:rPr>
                <w:b w:val="0"/>
                <w:i w:val="0"/>
                <w:color w:val="1C3A36"/>
                <w:sz w:val="18"/>
              </w:rPr>
              <w:t>Cash from investing</w:t>
            </w:r>
          </w:p>
        </w:tc>
        <w:tc>
          <w:tcPr>
            <w:tcW w:type="dxa" w:w="893"/>
            <w:shd w:val="clear" w:fill="EFF3F1"/>
          </w:tcPr>
          <w:p>
            <w:pPr>
              <w:spacing w:line="264" w:lineRule="auto"/>
              <w:jc w:val="right"/>
            </w:pPr>
            <w:r>
              <w:rPr>
                <w:b w:val="0"/>
                <w:i w:val="0"/>
                <w:sz w:val="18"/>
              </w:rPr>
              <w:t>-1,200</w:t>
            </w:r>
          </w:p>
        </w:tc>
        <w:tc>
          <w:tcPr>
            <w:tcW w:type="dxa" w:w="893"/>
            <w:shd w:val="clear" w:fill="EFF3F1"/>
          </w:tcPr>
          <w:p>
            <w:pPr>
              <w:spacing w:line="264" w:lineRule="auto"/>
              <w:jc w:val="right"/>
            </w:pPr>
            <w:r>
              <w:rPr>
                <w:b w:val="0"/>
                <w:i w:val="0"/>
                <w:sz w:val="18"/>
              </w:rPr>
              <w:t>-1,300</w:t>
            </w:r>
          </w:p>
        </w:tc>
        <w:tc>
          <w:tcPr>
            <w:tcW w:type="dxa" w:w="893"/>
            <w:shd w:val="clear" w:fill="EFF3F1"/>
          </w:tcPr>
          <w:p>
            <w:pPr>
              <w:spacing w:line="264" w:lineRule="auto"/>
              <w:jc w:val="right"/>
            </w:pPr>
            <w:r>
              <w:rPr>
                <w:b w:val="0"/>
                <w:i w:val="0"/>
                <w:sz w:val="18"/>
              </w:rPr>
              <w:t>-1,400</w:t>
            </w:r>
          </w:p>
        </w:tc>
        <w:tc>
          <w:tcPr>
            <w:tcW w:type="dxa" w:w="893"/>
            <w:shd w:val="clear" w:fill="EFF3F1"/>
          </w:tcPr>
          <w:p>
            <w:pPr>
              <w:spacing w:line="264" w:lineRule="auto"/>
              <w:jc w:val="right"/>
            </w:pPr>
            <w:r>
              <w:rPr>
                <w:b w:val="0"/>
                <w:i w:val="0"/>
                <w:sz w:val="18"/>
              </w:rPr>
              <w:t>-1,500</w:t>
            </w:r>
          </w:p>
        </w:tc>
        <w:tc>
          <w:tcPr>
            <w:tcW w:type="dxa" w:w="893"/>
            <w:shd w:val="clear" w:fill="EFF3F1"/>
          </w:tcPr>
          <w:p>
            <w:pPr>
              <w:spacing w:line="264" w:lineRule="auto"/>
              <w:jc w:val="right"/>
            </w:pPr>
            <w:r>
              <w:rPr>
                <w:b w:val="0"/>
                <w:i w:val="0"/>
                <w:sz w:val="18"/>
              </w:rPr>
              <w:t>-1,600</w:t>
            </w:r>
          </w:p>
        </w:tc>
        <w:tc>
          <w:tcPr>
            <w:tcW w:type="dxa" w:w="893"/>
            <w:shd w:val="clear" w:fill="EFF3F1"/>
          </w:tcPr>
          <w:p>
            <w:pPr>
              <w:spacing w:line="264" w:lineRule="auto"/>
              <w:jc w:val="right"/>
            </w:pPr>
            <w:r>
              <w:rPr>
                <w:b w:val="0"/>
                <w:i w:val="0"/>
                <w:sz w:val="18"/>
              </w:rPr>
              <w:t>-1,700</w:t>
            </w:r>
          </w:p>
        </w:tc>
        <w:tc>
          <w:tcPr>
            <w:tcW w:type="dxa" w:w="893"/>
            <w:shd w:val="clear" w:fill="EFF3F1"/>
          </w:tcPr>
          <w:p>
            <w:pPr>
              <w:spacing w:line="264" w:lineRule="auto"/>
              <w:jc w:val="right"/>
            </w:pPr>
            <w:r>
              <w:rPr>
                <w:b w:val="0"/>
                <w:i w:val="0"/>
                <w:sz w:val="18"/>
              </w:rPr>
              <w:t>-1,800</w:t>
            </w:r>
          </w:p>
        </w:tc>
        <w:tc>
          <w:tcPr>
            <w:tcW w:type="dxa" w:w="893"/>
            <w:shd w:val="clear" w:fill="EFF3F1"/>
          </w:tcPr>
          <w:p>
            <w:pPr>
              <w:spacing w:line="264" w:lineRule="auto"/>
              <w:jc w:val="right"/>
            </w:pPr>
            <w:r>
              <w:rPr>
                <w:b w:val="0"/>
                <w:i w:val="0"/>
                <w:sz w:val="18"/>
              </w:rPr>
              <w:t>-1,900</w:t>
            </w:r>
          </w:p>
        </w:tc>
      </w:tr>
      <w:tr>
        <w:tc>
          <w:tcPr>
            <w:tcW w:type="dxa" w:w="2736"/>
          </w:tcPr>
          <w:p>
            <w:pPr>
              <w:spacing w:line="264" w:lineRule="auto"/>
            </w:pPr>
            <w:r>
              <w:rPr>
                <w:b w:val="0"/>
                <w:i w:val="0"/>
                <w:color w:val="1C3A36"/>
                <w:sz w:val="18"/>
              </w:rPr>
              <w:t>Net change in cash</w:t>
            </w:r>
          </w:p>
        </w:tc>
        <w:tc>
          <w:tcPr>
            <w:tcW w:type="dxa" w:w="893"/>
          </w:tcPr>
          <w:p>
            <w:pPr>
              <w:spacing w:line="264" w:lineRule="auto"/>
              <w:jc w:val="right"/>
            </w:pPr>
            <w:r>
              <w:rPr>
                <w:b w:val="0"/>
                <w:i w:val="0"/>
                <w:sz w:val="18"/>
              </w:rPr>
              <w:t>10,768</w:t>
            </w:r>
          </w:p>
        </w:tc>
        <w:tc>
          <w:tcPr>
            <w:tcW w:type="dxa" w:w="893"/>
          </w:tcPr>
          <w:p>
            <w:pPr>
              <w:spacing w:line="264" w:lineRule="auto"/>
              <w:jc w:val="right"/>
            </w:pPr>
            <w:r>
              <w:rPr>
                <w:b w:val="0"/>
                <w:i w:val="0"/>
                <w:sz w:val="18"/>
              </w:rPr>
              <w:t>7,686</w:t>
            </w:r>
          </w:p>
        </w:tc>
        <w:tc>
          <w:tcPr>
            <w:tcW w:type="dxa" w:w="893"/>
          </w:tcPr>
          <w:p>
            <w:pPr>
              <w:spacing w:line="264" w:lineRule="auto"/>
              <w:jc w:val="right"/>
            </w:pPr>
            <w:r>
              <w:rPr>
                <w:b w:val="0"/>
                <w:i w:val="0"/>
                <w:sz w:val="18"/>
              </w:rPr>
              <w:t>8,364</w:t>
            </w:r>
          </w:p>
        </w:tc>
        <w:tc>
          <w:tcPr>
            <w:tcW w:type="dxa" w:w="893"/>
          </w:tcPr>
          <w:p>
            <w:pPr>
              <w:spacing w:line="264" w:lineRule="auto"/>
              <w:jc w:val="right"/>
            </w:pPr>
            <w:r>
              <w:rPr>
                <w:b w:val="0"/>
                <w:i w:val="0"/>
                <w:sz w:val="18"/>
              </w:rPr>
              <w:t>9,170</w:t>
            </w:r>
          </w:p>
        </w:tc>
        <w:tc>
          <w:tcPr>
            <w:tcW w:type="dxa" w:w="893"/>
          </w:tcPr>
          <w:p>
            <w:pPr>
              <w:spacing w:line="264" w:lineRule="auto"/>
              <w:jc w:val="right"/>
            </w:pPr>
            <w:r>
              <w:rPr>
                <w:b w:val="0"/>
                <w:i w:val="0"/>
                <w:sz w:val="18"/>
              </w:rPr>
              <w:t>10,442</w:t>
            </w:r>
          </w:p>
        </w:tc>
        <w:tc>
          <w:tcPr>
            <w:tcW w:type="dxa" w:w="893"/>
          </w:tcPr>
          <w:p>
            <w:pPr>
              <w:spacing w:line="264" w:lineRule="auto"/>
              <w:jc w:val="right"/>
            </w:pPr>
            <w:r>
              <w:rPr>
                <w:b w:val="0"/>
                <w:i w:val="0"/>
                <w:sz w:val="18"/>
              </w:rPr>
              <w:t>11,728</w:t>
            </w:r>
          </w:p>
        </w:tc>
        <w:tc>
          <w:tcPr>
            <w:tcW w:type="dxa" w:w="893"/>
          </w:tcPr>
          <w:p>
            <w:pPr>
              <w:spacing w:line="264" w:lineRule="auto"/>
              <w:jc w:val="right"/>
            </w:pPr>
            <w:r>
              <w:rPr>
                <w:b w:val="0"/>
                <w:i w:val="0"/>
                <w:sz w:val="18"/>
              </w:rPr>
              <w:t>12,893</w:t>
            </w:r>
          </w:p>
        </w:tc>
        <w:tc>
          <w:tcPr>
            <w:tcW w:type="dxa" w:w="893"/>
          </w:tcPr>
          <w:p>
            <w:pPr>
              <w:spacing w:line="264" w:lineRule="auto"/>
              <w:jc w:val="right"/>
            </w:pPr>
            <w:r>
              <w:rPr>
                <w:b w:val="0"/>
                <w:i w:val="0"/>
                <w:sz w:val="18"/>
              </w:rPr>
              <w:t>14,448</w:t>
            </w:r>
          </w:p>
        </w:tc>
      </w:tr>
    </w:tbl>
    <w:p>
      <w:pPr>
        <w:spacing w:after="40"/>
      </w:pPr>
    </w:p>
    <w:p>
      <w:pPr>
        <w:spacing w:before="160" w:after="120" w:line="264" w:lineRule="auto"/>
      </w:pPr>
      <w:r>
        <w:rPr>
          <w:b/>
          <w:i w:val="0"/>
          <w:color w:val="1C3A36"/>
          <w:sz w:val="24"/>
        </w:rPr>
        <w:t>A.4  Discounted cash flow (5-year forecast)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736"/>
            <w:shd w:val="clear" w:fill="1C3A36"/>
          </w:tcPr>
          <w:p>
            <w:pPr>
              <w:spacing w:line="264" w:lineRule="auto"/>
            </w:pPr>
            <w:r>
              <w:rPr>
                <w:b/>
                <w:i w:val="0"/>
                <w:color w:val="FFFFFF"/>
                <w:sz w:val="18"/>
              </w:rPr>
              <w:t>Line</w:t>
            </w:r>
          </w:p>
        </w:tc>
        <w:tc>
          <w:tcPr>
            <w:tcW w:type="dxa" w:w="1440"/>
            <w:shd w:val="clear" w:fill="1C3A36"/>
          </w:tcPr>
          <w:p>
            <w:pPr>
              <w:spacing w:line="264" w:lineRule="auto"/>
              <w:jc w:val="right"/>
            </w:pPr>
            <w:r>
              <w:rPr>
                <w:b/>
                <w:i w:val="0"/>
                <w:color w:val="FFFFFF"/>
                <w:sz w:val="18"/>
              </w:rPr>
              <w:t>FY26E</w:t>
            </w:r>
          </w:p>
        </w:tc>
        <w:tc>
          <w:tcPr>
            <w:tcW w:type="dxa" w:w="1440"/>
            <w:shd w:val="clear" w:fill="1C3A36"/>
          </w:tcPr>
          <w:p>
            <w:pPr>
              <w:spacing w:line="264" w:lineRule="auto"/>
              <w:jc w:val="right"/>
            </w:pPr>
            <w:r>
              <w:rPr>
                <w:b/>
                <w:i w:val="0"/>
                <w:color w:val="FFFFFF"/>
                <w:sz w:val="18"/>
              </w:rPr>
              <w:t>FY27E</w:t>
            </w:r>
          </w:p>
        </w:tc>
        <w:tc>
          <w:tcPr>
            <w:tcW w:type="dxa" w:w="1440"/>
            <w:shd w:val="clear" w:fill="1C3A36"/>
          </w:tcPr>
          <w:p>
            <w:pPr>
              <w:spacing w:line="264" w:lineRule="auto"/>
              <w:jc w:val="right"/>
            </w:pPr>
            <w:r>
              <w:rPr>
                <w:b/>
                <w:i w:val="0"/>
                <w:color w:val="FFFFFF"/>
                <w:sz w:val="18"/>
              </w:rPr>
              <w:t>FY28E</w:t>
            </w:r>
          </w:p>
        </w:tc>
        <w:tc>
          <w:tcPr>
            <w:tcW w:type="dxa" w:w="1440"/>
            <w:shd w:val="clear" w:fill="1C3A36"/>
          </w:tcPr>
          <w:p>
            <w:pPr>
              <w:spacing w:line="264" w:lineRule="auto"/>
              <w:jc w:val="right"/>
            </w:pPr>
            <w:r>
              <w:rPr>
                <w:b/>
                <w:i w:val="0"/>
                <w:color w:val="FFFFFF"/>
                <w:sz w:val="18"/>
              </w:rPr>
              <w:t>FY29E</w:t>
            </w:r>
          </w:p>
        </w:tc>
        <w:tc>
          <w:tcPr>
            <w:tcW w:type="dxa" w:w="1440"/>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EBIT</w:t>
            </w:r>
          </w:p>
        </w:tc>
        <w:tc>
          <w:tcPr>
            <w:tcW w:type="dxa" w:w="1440"/>
          </w:tcPr>
          <w:p>
            <w:pPr>
              <w:spacing w:line="264" w:lineRule="auto"/>
              <w:jc w:val="right"/>
            </w:pPr>
            <w:r>
              <w:rPr>
                <w:b w:val="0"/>
                <w:i w:val="0"/>
                <w:sz w:val="18"/>
              </w:rPr>
              <w:t>9,579</w:t>
            </w:r>
          </w:p>
        </w:tc>
        <w:tc>
          <w:tcPr>
            <w:tcW w:type="dxa" w:w="1440"/>
          </w:tcPr>
          <w:p>
            <w:pPr>
              <w:spacing w:line="264" w:lineRule="auto"/>
              <w:jc w:val="right"/>
            </w:pPr>
            <w:r>
              <w:rPr>
                <w:b w:val="0"/>
                <w:i w:val="0"/>
                <w:sz w:val="18"/>
              </w:rPr>
              <w:t>10,537</w:t>
            </w:r>
          </w:p>
        </w:tc>
        <w:tc>
          <w:tcPr>
            <w:tcW w:type="dxa" w:w="1440"/>
          </w:tcPr>
          <w:p>
            <w:pPr>
              <w:spacing w:line="264" w:lineRule="auto"/>
              <w:jc w:val="right"/>
            </w:pPr>
            <w:r>
              <w:rPr>
                <w:b w:val="0"/>
                <w:i w:val="0"/>
                <w:sz w:val="18"/>
              </w:rPr>
              <w:t>11,895</w:t>
            </w:r>
          </w:p>
        </w:tc>
        <w:tc>
          <w:tcPr>
            <w:tcW w:type="dxa" w:w="1440"/>
          </w:tcPr>
          <w:p>
            <w:pPr>
              <w:spacing w:line="264" w:lineRule="auto"/>
              <w:jc w:val="right"/>
            </w:pPr>
            <w:r>
              <w:rPr>
                <w:b w:val="0"/>
                <w:i w:val="0"/>
                <w:sz w:val="18"/>
              </w:rPr>
              <w:t>13,085</w:t>
            </w:r>
          </w:p>
        </w:tc>
        <w:tc>
          <w:tcPr>
            <w:tcW w:type="dxa" w:w="1440"/>
          </w:tcPr>
          <w:p>
            <w:pPr>
              <w:spacing w:line="264" w:lineRule="auto"/>
              <w:jc w:val="right"/>
            </w:pPr>
            <w:r>
              <w:rPr>
                <w:b w:val="0"/>
                <w:i w:val="0"/>
                <w:sz w:val="18"/>
              </w:rPr>
              <w:t>14,763</w:t>
            </w:r>
          </w:p>
        </w:tc>
      </w:tr>
      <w:tr>
        <w:tc>
          <w:tcPr>
            <w:tcW w:type="dxa" w:w="2736"/>
            <w:shd w:val="clear" w:fill="EFF3F1"/>
          </w:tcPr>
          <w:p>
            <w:pPr>
              <w:spacing w:line="264" w:lineRule="auto"/>
            </w:pPr>
            <w:r>
              <w:rPr>
                <w:b w:val="0"/>
                <w:i w:val="0"/>
                <w:color w:val="1C3A36"/>
                <w:sz w:val="18"/>
              </w:rPr>
              <w:t>NOPAT = EBIT×(1−tax)</w:t>
            </w:r>
          </w:p>
        </w:tc>
        <w:tc>
          <w:tcPr>
            <w:tcW w:type="dxa" w:w="1440"/>
            <w:shd w:val="clear" w:fill="EFF3F1"/>
          </w:tcPr>
          <w:p>
            <w:pPr>
              <w:spacing w:line="264" w:lineRule="auto"/>
              <w:jc w:val="right"/>
            </w:pPr>
            <w:r>
              <w:rPr>
                <w:b w:val="0"/>
                <w:i w:val="0"/>
                <w:sz w:val="18"/>
              </w:rPr>
              <w:t>7,424</w:t>
            </w:r>
          </w:p>
        </w:tc>
        <w:tc>
          <w:tcPr>
            <w:tcW w:type="dxa" w:w="1440"/>
            <w:shd w:val="clear" w:fill="EFF3F1"/>
          </w:tcPr>
          <w:p>
            <w:pPr>
              <w:spacing w:line="264" w:lineRule="auto"/>
              <w:jc w:val="right"/>
            </w:pPr>
            <w:r>
              <w:rPr>
                <w:b w:val="0"/>
                <w:i w:val="0"/>
                <w:sz w:val="18"/>
              </w:rPr>
              <w:t>8,166</w:t>
            </w:r>
          </w:p>
        </w:tc>
        <w:tc>
          <w:tcPr>
            <w:tcW w:type="dxa" w:w="1440"/>
            <w:shd w:val="clear" w:fill="EFF3F1"/>
          </w:tcPr>
          <w:p>
            <w:pPr>
              <w:spacing w:line="264" w:lineRule="auto"/>
              <w:jc w:val="right"/>
            </w:pPr>
            <w:r>
              <w:rPr>
                <w:b w:val="0"/>
                <w:i w:val="0"/>
                <w:sz w:val="18"/>
              </w:rPr>
              <w:t>9,219</w:t>
            </w:r>
          </w:p>
        </w:tc>
        <w:tc>
          <w:tcPr>
            <w:tcW w:type="dxa" w:w="1440"/>
            <w:shd w:val="clear" w:fill="EFF3F1"/>
          </w:tcPr>
          <w:p>
            <w:pPr>
              <w:spacing w:line="264" w:lineRule="auto"/>
              <w:jc w:val="right"/>
            </w:pPr>
            <w:r>
              <w:rPr>
                <w:b w:val="0"/>
                <w:i w:val="0"/>
                <w:sz w:val="18"/>
              </w:rPr>
              <w:t>10,141</w:t>
            </w:r>
          </w:p>
        </w:tc>
        <w:tc>
          <w:tcPr>
            <w:tcW w:type="dxa" w:w="1440"/>
            <w:shd w:val="clear" w:fill="EFF3F1"/>
          </w:tcPr>
          <w:p>
            <w:pPr>
              <w:spacing w:line="264" w:lineRule="auto"/>
              <w:jc w:val="right"/>
            </w:pPr>
            <w:r>
              <w:rPr>
                <w:b w:val="0"/>
                <w:i w:val="0"/>
                <w:sz w:val="18"/>
              </w:rPr>
              <w:t>11,441</w:t>
            </w:r>
          </w:p>
        </w:tc>
      </w:tr>
      <w:tr>
        <w:tc>
          <w:tcPr>
            <w:tcW w:type="dxa" w:w="2736"/>
          </w:tcPr>
          <w:p>
            <w:pPr>
              <w:spacing w:line="264" w:lineRule="auto"/>
            </w:pPr>
            <w:r>
              <w:rPr>
                <w:b w:val="0"/>
                <w:i w:val="0"/>
                <w:color w:val="1C3A36"/>
                <w:sz w:val="18"/>
              </w:rPr>
              <w:t>+ D&amp;A</w:t>
            </w:r>
          </w:p>
        </w:tc>
        <w:tc>
          <w:tcPr>
            <w:tcW w:type="dxa" w:w="1440"/>
          </w:tcPr>
          <w:p>
            <w:pPr>
              <w:spacing w:line="264" w:lineRule="auto"/>
              <w:jc w:val="right"/>
            </w:pPr>
            <w:r>
              <w:rPr>
                <w:b w:val="0"/>
                <w:i w:val="0"/>
                <w:sz w:val="18"/>
              </w:rPr>
              <w:t>1,260</w:t>
            </w:r>
          </w:p>
        </w:tc>
        <w:tc>
          <w:tcPr>
            <w:tcW w:type="dxa" w:w="1440"/>
          </w:tcPr>
          <w:p>
            <w:pPr>
              <w:spacing w:line="264" w:lineRule="auto"/>
              <w:jc w:val="right"/>
            </w:pPr>
            <w:r>
              <w:rPr>
                <w:b w:val="0"/>
                <w:i w:val="0"/>
                <w:sz w:val="18"/>
              </w:rPr>
              <w:t>1,386</w:t>
            </w:r>
          </w:p>
        </w:tc>
        <w:tc>
          <w:tcPr>
            <w:tcW w:type="dxa" w:w="1440"/>
          </w:tcPr>
          <w:p>
            <w:pPr>
              <w:spacing w:line="264" w:lineRule="auto"/>
              <w:jc w:val="right"/>
            </w:pPr>
            <w:r>
              <w:rPr>
                <w:b w:val="0"/>
                <w:i w:val="0"/>
                <w:sz w:val="18"/>
              </w:rPr>
              <w:t>1,525</w:t>
            </w:r>
          </w:p>
        </w:tc>
        <w:tc>
          <w:tcPr>
            <w:tcW w:type="dxa" w:w="1440"/>
          </w:tcPr>
          <w:p>
            <w:pPr>
              <w:spacing w:line="264" w:lineRule="auto"/>
              <w:jc w:val="right"/>
            </w:pPr>
            <w:r>
              <w:rPr>
                <w:b w:val="0"/>
                <w:i w:val="0"/>
                <w:sz w:val="18"/>
              </w:rPr>
              <w:t>1,678</w:t>
            </w:r>
          </w:p>
        </w:tc>
        <w:tc>
          <w:tcPr>
            <w:tcW w:type="dxa" w:w="1440"/>
          </w:tcPr>
          <w:p>
            <w:pPr>
              <w:spacing w:line="264" w:lineRule="auto"/>
              <w:jc w:val="right"/>
            </w:pPr>
            <w:r>
              <w:rPr>
                <w:b w:val="0"/>
                <w:i w:val="0"/>
                <w:sz w:val="18"/>
              </w:rPr>
              <w:t>1,845</w:t>
            </w:r>
          </w:p>
        </w:tc>
      </w:tr>
      <w:tr>
        <w:tc>
          <w:tcPr>
            <w:tcW w:type="dxa" w:w="2736"/>
            <w:shd w:val="clear" w:fill="EFF3F1"/>
          </w:tcPr>
          <w:p>
            <w:pPr>
              <w:spacing w:line="264" w:lineRule="auto"/>
            </w:pPr>
            <w:r>
              <w:rPr>
                <w:b w:val="0"/>
                <w:i w:val="0"/>
                <w:color w:val="1C3A36"/>
                <w:sz w:val="18"/>
              </w:rPr>
              <w:t>− Capex</w:t>
            </w:r>
          </w:p>
        </w:tc>
        <w:tc>
          <w:tcPr>
            <w:tcW w:type="dxa" w:w="1440"/>
            <w:shd w:val="clear" w:fill="EFF3F1"/>
          </w:tcPr>
          <w:p>
            <w:pPr>
              <w:spacing w:line="264" w:lineRule="auto"/>
              <w:jc w:val="right"/>
            </w:pPr>
            <w:r>
              <w:rPr>
                <w:b w:val="0"/>
                <w:i w:val="0"/>
                <w:sz w:val="18"/>
              </w:rPr>
              <w:t>-1,500</w:t>
            </w:r>
          </w:p>
        </w:tc>
        <w:tc>
          <w:tcPr>
            <w:tcW w:type="dxa" w:w="1440"/>
            <w:shd w:val="clear" w:fill="EFF3F1"/>
          </w:tcPr>
          <w:p>
            <w:pPr>
              <w:spacing w:line="264" w:lineRule="auto"/>
              <w:jc w:val="right"/>
            </w:pPr>
            <w:r>
              <w:rPr>
                <w:b w:val="0"/>
                <w:i w:val="0"/>
                <w:sz w:val="18"/>
              </w:rPr>
              <w:t>-1,600</w:t>
            </w:r>
          </w:p>
        </w:tc>
        <w:tc>
          <w:tcPr>
            <w:tcW w:type="dxa" w:w="1440"/>
            <w:shd w:val="clear" w:fill="EFF3F1"/>
          </w:tcPr>
          <w:p>
            <w:pPr>
              <w:spacing w:line="264" w:lineRule="auto"/>
              <w:jc w:val="right"/>
            </w:pPr>
            <w:r>
              <w:rPr>
                <w:b w:val="0"/>
                <w:i w:val="0"/>
                <w:sz w:val="18"/>
              </w:rPr>
              <w:t>-1,700</w:t>
            </w:r>
          </w:p>
        </w:tc>
        <w:tc>
          <w:tcPr>
            <w:tcW w:type="dxa" w:w="1440"/>
            <w:shd w:val="clear" w:fill="EFF3F1"/>
          </w:tcPr>
          <w:p>
            <w:pPr>
              <w:spacing w:line="264" w:lineRule="auto"/>
              <w:jc w:val="right"/>
            </w:pPr>
            <w:r>
              <w:rPr>
                <w:b w:val="0"/>
                <w:i w:val="0"/>
                <w:sz w:val="18"/>
              </w:rPr>
              <w:t>-1,800</w:t>
            </w:r>
          </w:p>
        </w:tc>
        <w:tc>
          <w:tcPr>
            <w:tcW w:type="dxa" w:w="1440"/>
            <w:shd w:val="clear" w:fill="EFF3F1"/>
          </w:tcPr>
          <w:p>
            <w:pPr>
              <w:spacing w:line="264" w:lineRule="auto"/>
              <w:jc w:val="right"/>
            </w:pPr>
            <w:r>
              <w:rPr>
                <w:b w:val="0"/>
                <w:i w:val="0"/>
                <w:sz w:val="18"/>
              </w:rPr>
              <w:t>-1,900</w:t>
            </w:r>
          </w:p>
        </w:tc>
      </w:tr>
      <w:tr>
        <w:tc>
          <w:tcPr>
            <w:tcW w:type="dxa" w:w="2736"/>
          </w:tcPr>
          <w:p>
            <w:pPr>
              <w:spacing w:line="264" w:lineRule="auto"/>
            </w:pPr>
            <w:r>
              <w:rPr>
                <w:b w:val="0"/>
                <w:i w:val="0"/>
                <w:color w:val="1C3A36"/>
                <w:sz w:val="18"/>
              </w:rPr>
              <w:t>− Increase in net WC</w:t>
            </w:r>
          </w:p>
        </w:tc>
        <w:tc>
          <w:tcPr>
            <w:tcW w:type="dxa" w:w="1440"/>
          </w:tcPr>
          <w:p>
            <w:pPr>
              <w:spacing w:line="264" w:lineRule="auto"/>
              <w:jc w:val="right"/>
            </w:pPr>
            <w:r>
              <w:rPr>
                <w:b w:val="0"/>
                <w:i w:val="0"/>
                <w:sz w:val="18"/>
              </w:rPr>
              <w:t>-649</w:t>
            </w:r>
          </w:p>
        </w:tc>
        <w:tc>
          <w:tcPr>
            <w:tcW w:type="dxa" w:w="1440"/>
          </w:tcPr>
          <w:p>
            <w:pPr>
              <w:spacing w:line="264" w:lineRule="auto"/>
              <w:jc w:val="right"/>
            </w:pPr>
            <w:r>
              <w:rPr>
                <w:b w:val="0"/>
                <w:i w:val="0"/>
                <w:sz w:val="18"/>
              </w:rPr>
              <w:t>-378</w:t>
            </w:r>
          </w:p>
        </w:tc>
        <w:tc>
          <w:tcPr>
            <w:tcW w:type="dxa" w:w="1440"/>
          </w:tcPr>
          <w:p>
            <w:pPr>
              <w:spacing w:line="264" w:lineRule="auto"/>
              <w:jc w:val="right"/>
            </w:pPr>
            <w:r>
              <w:rPr>
                <w:b w:val="0"/>
                <w:i w:val="0"/>
                <w:sz w:val="18"/>
              </w:rPr>
              <w:t>-416</w:t>
            </w:r>
          </w:p>
        </w:tc>
        <w:tc>
          <w:tcPr>
            <w:tcW w:type="dxa" w:w="1440"/>
          </w:tcPr>
          <w:p>
            <w:pPr>
              <w:spacing w:line="264" w:lineRule="auto"/>
              <w:jc w:val="right"/>
            </w:pPr>
            <w:r>
              <w:rPr>
                <w:b w:val="0"/>
                <w:i w:val="0"/>
                <w:sz w:val="18"/>
              </w:rPr>
              <w:t>-458</w:t>
            </w:r>
          </w:p>
        </w:tc>
        <w:tc>
          <w:tcPr>
            <w:tcW w:type="dxa" w:w="1440"/>
          </w:tcPr>
          <w:p>
            <w:pPr>
              <w:spacing w:line="264" w:lineRule="auto"/>
              <w:jc w:val="right"/>
            </w:pPr>
            <w:r>
              <w:rPr>
                <w:b w:val="0"/>
                <w:i w:val="0"/>
                <w:sz w:val="18"/>
              </w:rPr>
              <w:t>-503</w:t>
            </w:r>
          </w:p>
        </w:tc>
      </w:tr>
      <w:tr>
        <w:tc>
          <w:tcPr>
            <w:tcW w:type="dxa" w:w="2736"/>
            <w:shd w:val="clear" w:fill="EFF3F1"/>
          </w:tcPr>
          <w:p>
            <w:pPr>
              <w:spacing w:line="264" w:lineRule="auto"/>
            </w:pPr>
            <w:r>
              <w:rPr>
                <w:b w:val="0"/>
                <w:i w:val="0"/>
                <w:color w:val="1C3A36"/>
                <w:sz w:val="18"/>
              </w:rPr>
              <w:t>FCFF</w:t>
            </w:r>
          </w:p>
        </w:tc>
        <w:tc>
          <w:tcPr>
            <w:tcW w:type="dxa" w:w="1440"/>
            <w:shd w:val="clear" w:fill="EFF3F1"/>
          </w:tcPr>
          <w:p>
            <w:pPr>
              <w:spacing w:line="264" w:lineRule="auto"/>
              <w:jc w:val="right"/>
            </w:pPr>
            <w:r>
              <w:rPr>
                <w:b w:val="0"/>
                <w:i w:val="0"/>
                <w:sz w:val="18"/>
              </w:rPr>
              <w:t>6,535</w:t>
            </w:r>
          </w:p>
        </w:tc>
        <w:tc>
          <w:tcPr>
            <w:tcW w:type="dxa" w:w="1440"/>
            <w:shd w:val="clear" w:fill="EFF3F1"/>
          </w:tcPr>
          <w:p>
            <w:pPr>
              <w:spacing w:line="264" w:lineRule="auto"/>
              <w:jc w:val="right"/>
            </w:pPr>
            <w:r>
              <w:rPr>
                <w:b w:val="0"/>
                <w:i w:val="0"/>
                <w:sz w:val="18"/>
              </w:rPr>
              <w:t>7,574</w:t>
            </w:r>
          </w:p>
        </w:tc>
        <w:tc>
          <w:tcPr>
            <w:tcW w:type="dxa" w:w="1440"/>
            <w:shd w:val="clear" w:fill="EFF3F1"/>
          </w:tcPr>
          <w:p>
            <w:pPr>
              <w:spacing w:line="264" w:lineRule="auto"/>
              <w:jc w:val="right"/>
            </w:pPr>
            <w:r>
              <w:rPr>
                <w:b w:val="0"/>
                <w:i w:val="0"/>
                <w:sz w:val="18"/>
              </w:rPr>
              <w:t>8,628</w:t>
            </w:r>
          </w:p>
        </w:tc>
        <w:tc>
          <w:tcPr>
            <w:tcW w:type="dxa" w:w="1440"/>
            <w:shd w:val="clear" w:fill="EFF3F1"/>
          </w:tcPr>
          <w:p>
            <w:pPr>
              <w:spacing w:line="264" w:lineRule="auto"/>
              <w:jc w:val="right"/>
            </w:pPr>
            <w:r>
              <w:rPr>
                <w:b w:val="0"/>
                <w:i w:val="0"/>
                <w:sz w:val="18"/>
              </w:rPr>
              <w:t>9,561</w:t>
            </w:r>
          </w:p>
        </w:tc>
        <w:tc>
          <w:tcPr>
            <w:tcW w:type="dxa" w:w="1440"/>
            <w:shd w:val="clear" w:fill="EFF3F1"/>
          </w:tcPr>
          <w:p>
            <w:pPr>
              <w:spacing w:line="264" w:lineRule="auto"/>
              <w:jc w:val="right"/>
            </w:pPr>
            <w:r>
              <w:rPr>
                <w:b w:val="0"/>
                <w:i w:val="0"/>
                <w:sz w:val="18"/>
              </w:rPr>
              <w:t>10,883</w:t>
            </w:r>
          </w:p>
        </w:tc>
      </w:tr>
      <w:tr>
        <w:tc>
          <w:tcPr>
            <w:tcW w:type="dxa" w:w="2736"/>
          </w:tcPr>
          <w:p>
            <w:pPr>
              <w:spacing w:line="264" w:lineRule="auto"/>
            </w:pPr>
            <w:r>
              <w:rPr>
                <w:b w:val="0"/>
                <w:i w:val="0"/>
                <w:color w:val="1C3A36"/>
                <w:sz w:val="18"/>
              </w:rPr>
              <w:t>Discount factor</w:t>
            </w:r>
          </w:p>
        </w:tc>
        <w:tc>
          <w:tcPr>
            <w:tcW w:type="dxa" w:w="1440"/>
          </w:tcPr>
          <w:p>
            <w:pPr>
              <w:spacing w:line="264" w:lineRule="auto"/>
              <w:jc w:val="right"/>
            </w:pPr>
            <w:r>
              <w:rPr>
                <w:b w:val="0"/>
                <w:i w:val="0"/>
                <w:sz w:val="18"/>
              </w:rPr>
              <w:t>0.806</w:t>
            </w:r>
          </w:p>
        </w:tc>
        <w:tc>
          <w:tcPr>
            <w:tcW w:type="dxa" w:w="1440"/>
          </w:tcPr>
          <w:p>
            <w:pPr>
              <w:spacing w:line="264" w:lineRule="auto"/>
              <w:jc w:val="right"/>
            </w:pPr>
            <w:r>
              <w:rPr>
                <w:b w:val="0"/>
                <w:i w:val="0"/>
                <w:sz w:val="18"/>
              </w:rPr>
              <w:t>0.650</w:t>
            </w:r>
          </w:p>
        </w:tc>
        <w:tc>
          <w:tcPr>
            <w:tcW w:type="dxa" w:w="1440"/>
          </w:tcPr>
          <w:p>
            <w:pPr>
              <w:spacing w:line="264" w:lineRule="auto"/>
              <w:jc w:val="right"/>
            </w:pPr>
            <w:r>
              <w:rPr>
                <w:b w:val="0"/>
                <w:i w:val="0"/>
                <w:sz w:val="18"/>
              </w:rPr>
              <w:t>0.524</w:t>
            </w:r>
          </w:p>
        </w:tc>
        <w:tc>
          <w:tcPr>
            <w:tcW w:type="dxa" w:w="1440"/>
          </w:tcPr>
          <w:p>
            <w:pPr>
              <w:spacing w:line="264" w:lineRule="auto"/>
              <w:jc w:val="right"/>
            </w:pPr>
            <w:r>
              <w:rPr>
                <w:b w:val="0"/>
                <w:i w:val="0"/>
                <w:sz w:val="18"/>
              </w:rPr>
              <w:t>0.423</w:t>
            </w:r>
          </w:p>
        </w:tc>
        <w:tc>
          <w:tcPr>
            <w:tcW w:type="dxa" w:w="1440"/>
          </w:tcPr>
          <w:p>
            <w:pPr>
              <w:spacing w:line="264" w:lineRule="auto"/>
              <w:jc w:val="right"/>
            </w:pPr>
            <w:r>
              <w:rPr>
                <w:b w:val="0"/>
                <w:i w:val="0"/>
                <w:sz w:val="18"/>
              </w:rPr>
              <w:t>0.341</w:t>
            </w:r>
          </w:p>
        </w:tc>
      </w:tr>
      <w:tr>
        <w:tc>
          <w:tcPr>
            <w:tcW w:type="dxa" w:w="2736"/>
            <w:shd w:val="clear" w:fill="EFF3F1"/>
          </w:tcPr>
          <w:p>
            <w:pPr>
              <w:spacing w:line="264" w:lineRule="auto"/>
            </w:pPr>
            <w:r>
              <w:rPr>
                <w:b w:val="0"/>
                <w:i w:val="0"/>
                <w:color w:val="1C3A36"/>
                <w:sz w:val="18"/>
              </w:rPr>
              <w:t>PV of FCFF</w:t>
            </w:r>
          </w:p>
        </w:tc>
        <w:tc>
          <w:tcPr>
            <w:tcW w:type="dxa" w:w="1440"/>
            <w:shd w:val="clear" w:fill="EFF3F1"/>
          </w:tcPr>
          <w:p>
            <w:pPr>
              <w:spacing w:line="264" w:lineRule="auto"/>
              <w:jc w:val="right"/>
            </w:pPr>
            <w:r>
              <w:rPr>
                <w:b w:val="0"/>
                <w:i w:val="0"/>
                <w:sz w:val="18"/>
              </w:rPr>
              <w:t>5,270</w:t>
            </w:r>
          </w:p>
        </w:tc>
        <w:tc>
          <w:tcPr>
            <w:tcW w:type="dxa" w:w="1440"/>
            <w:shd w:val="clear" w:fill="EFF3F1"/>
          </w:tcPr>
          <w:p>
            <w:pPr>
              <w:spacing w:line="264" w:lineRule="auto"/>
              <w:jc w:val="right"/>
            </w:pPr>
            <w:r>
              <w:rPr>
                <w:b w:val="0"/>
                <w:i w:val="0"/>
                <w:sz w:val="18"/>
              </w:rPr>
              <w:t>4,926</w:t>
            </w:r>
          </w:p>
        </w:tc>
        <w:tc>
          <w:tcPr>
            <w:tcW w:type="dxa" w:w="1440"/>
            <w:shd w:val="clear" w:fill="EFF3F1"/>
          </w:tcPr>
          <w:p>
            <w:pPr>
              <w:spacing w:line="264" w:lineRule="auto"/>
              <w:jc w:val="right"/>
            </w:pPr>
            <w:r>
              <w:rPr>
                <w:b w:val="0"/>
                <w:i w:val="0"/>
                <w:sz w:val="18"/>
              </w:rPr>
              <w:t>4,525</w:t>
            </w:r>
          </w:p>
        </w:tc>
        <w:tc>
          <w:tcPr>
            <w:tcW w:type="dxa" w:w="1440"/>
            <w:shd w:val="clear" w:fill="EFF3F1"/>
          </w:tcPr>
          <w:p>
            <w:pPr>
              <w:spacing w:line="264" w:lineRule="auto"/>
              <w:jc w:val="right"/>
            </w:pPr>
            <w:r>
              <w:rPr>
                <w:b w:val="0"/>
                <w:i w:val="0"/>
                <w:sz w:val="18"/>
              </w:rPr>
              <w:t>4,044</w:t>
            </w:r>
          </w:p>
        </w:tc>
        <w:tc>
          <w:tcPr>
            <w:tcW w:type="dxa" w:w="1440"/>
            <w:shd w:val="clear" w:fill="EFF3F1"/>
          </w:tcPr>
          <w:p>
            <w:pPr>
              <w:spacing w:line="264" w:lineRule="auto"/>
              <w:jc w:val="right"/>
            </w:pPr>
            <w:r>
              <w:rPr>
                <w:b w:val="0"/>
                <w:i w:val="0"/>
                <w:sz w:val="18"/>
              </w:rPr>
              <w:t>3,712</w:t>
            </w:r>
          </w:p>
        </w:tc>
      </w:tr>
    </w:tbl>
    <w:p>
      <w:pPr>
        <w:spacing w:after="40"/>
      </w:pPr>
    </w:p>
    <w:tbl>
      <w:tblPr>
        <w:tblStyle w:val="TableGrid"/>
        <w:tblW w:type="auto" w:w="0"/>
        <w:tblLook w:firstColumn="1" w:firstRow="1" w:lastColumn="0" w:lastRow="0" w:noHBand="0" w:noVBand="1" w:val="04A0"/>
      </w:tblPr>
      <w:tblGrid>
        <w:gridCol w:w="4968"/>
        <w:gridCol w:w="4968"/>
      </w:tblGrid>
      <w:tr>
        <w:tc>
          <w:tcPr>
            <w:tcW w:type="dxa" w:w="4608"/>
            <w:shd w:val="clear" w:fill="1C3A36"/>
          </w:tcPr>
          <w:p>
            <w:pPr>
              <w:spacing w:line="264" w:lineRule="auto"/>
            </w:pPr>
            <w:r>
              <w:rPr>
                <w:b/>
                <w:i w:val="0"/>
                <w:color w:val="FFFFFF"/>
                <w:sz w:val="18"/>
              </w:rPr>
              <w:t>DCF build</w:t>
            </w:r>
          </w:p>
        </w:tc>
        <w:tc>
          <w:tcPr>
            <w:tcW w:type="dxa" w:w="2880"/>
            <w:shd w:val="clear" w:fill="1C3A36"/>
          </w:tcPr>
          <w:p>
            <w:pPr>
              <w:spacing w:line="264" w:lineRule="auto"/>
              <w:jc w:val="right"/>
            </w:pPr>
            <w:r>
              <w:rPr>
                <w:b/>
                <w:i w:val="0"/>
                <w:color w:val="FFFFFF"/>
                <w:sz w:val="18"/>
              </w:rPr>
              <w:t>Value</w:t>
            </w:r>
          </w:p>
        </w:tc>
      </w:tr>
      <w:tr>
        <w:tc>
          <w:tcPr>
            <w:tcW w:type="dxa" w:w="4608"/>
          </w:tcPr>
          <w:p>
            <w:pPr>
              <w:spacing w:line="264" w:lineRule="auto"/>
            </w:pPr>
            <w:r>
              <w:rPr>
                <w:b w:val="0"/>
                <w:i w:val="0"/>
                <w:color w:val="1C3A36"/>
                <w:sz w:val="18"/>
              </w:rPr>
              <w:t>Σ PV of explicit FCFF</w:t>
            </w:r>
          </w:p>
        </w:tc>
        <w:tc>
          <w:tcPr>
            <w:tcW w:type="dxa" w:w="2880"/>
          </w:tcPr>
          <w:p>
            <w:pPr>
              <w:spacing w:line="264" w:lineRule="auto"/>
              <w:jc w:val="right"/>
            </w:pPr>
            <w:r>
              <w:rPr>
                <w:b w:val="0"/>
                <w:i w:val="0"/>
                <w:sz w:val="18"/>
              </w:rPr>
              <w:t>22,478</w:t>
            </w:r>
          </w:p>
        </w:tc>
      </w:tr>
      <w:tr>
        <w:tc>
          <w:tcPr>
            <w:tcW w:type="dxa" w:w="4608"/>
            <w:shd w:val="clear" w:fill="EFF3F1"/>
          </w:tcPr>
          <w:p>
            <w:pPr>
              <w:spacing w:line="264" w:lineRule="auto"/>
            </w:pPr>
            <w:r>
              <w:rPr>
                <w:b w:val="0"/>
                <w:i w:val="0"/>
                <w:color w:val="1C3A36"/>
                <w:sz w:val="18"/>
              </w:rPr>
              <w:t>Terminal value (Gordon)</w:t>
            </w:r>
          </w:p>
        </w:tc>
        <w:tc>
          <w:tcPr>
            <w:tcW w:type="dxa" w:w="2880"/>
            <w:shd w:val="clear" w:fill="EFF3F1"/>
          </w:tcPr>
          <w:p>
            <w:pPr>
              <w:spacing w:line="264" w:lineRule="auto"/>
              <w:jc w:val="right"/>
            </w:pPr>
            <w:r>
              <w:rPr>
                <w:b w:val="0"/>
                <w:i w:val="0"/>
                <w:sz w:val="18"/>
              </w:rPr>
              <w:t>92,925</w:t>
            </w:r>
          </w:p>
        </w:tc>
      </w:tr>
      <w:tr>
        <w:tc>
          <w:tcPr>
            <w:tcW w:type="dxa" w:w="4608"/>
          </w:tcPr>
          <w:p>
            <w:pPr>
              <w:spacing w:line="264" w:lineRule="auto"/>
            </w:pPr>
            <w:r>
              <w:rPr>
                <w:b w:val="0"/>
                <w:i w:val="0"/>
                <w:color w:val="1C3A36"/>
                <w:sz w:val="18"/>
              </w:rPr>
              <w:t>PV of terminal value</w:t>
            </w:r>
          </w:p>
        </w:tc>
        <w:tc>
          <w:tcPr>
            <w:tcW w:type="dxa" w:w="2880"/>
          </w:tcPr>
          <w:p>
            <w:pPr>
              <w:spacing w:line="264" w:lineRule="auto"/>
              <w:jc w:val="right"/>
            </w:pPr>
            <w:r>
              <w:rPr>
                <w:b w:val="0"/>
                <w:i w:val="0"/>
                <w:sz w:val="18"/>
              </w:rPr>
              <w:t>31,697</w:t>
            </w:r>
          </w:p>
        </w:tc>
      </w:tr>
      <w:tr>
        <w:tc>
          <w:tcPr>
            <w:tcW w:type="dxa" w:w="4608"/>
            <w:shd w:val="clear" w:fill="EFF3F1"/>
          </w:tcPr>
          <w:p>
            <w:pPr>
              <w:spacing w:line="264" w:lineRule="auto"/>
            </w:pPr>
            <w:r>
              <w:rPr>
                <w:b w:val="0"/>
                <w:i w:val="0"/>
                <w:color w:val="1C3A36"/>
                <w:sz w:val="18"/>
              </w:rPr>
              <w:t>Operating enterprise value</w:t>
            </w:r>
          </w:p>
        </w:tc>
        <w:tc>
          <w:tcPr>
            <w:tcW w:type="dxa" w:w="2880"/>
            <w:shd w:val="clear" w:fill="EFF3F1"/>
          </w:tcPr>
          <w:p>
            <w:pPr>
              <w:spacing w:line="264" w:lineRule="auto"/>
              <w:jc w:val="right"/>
            </w:pPr>
            <w:r>
              <w:rPr>
                <w:b w:val="0"/>
                <w:i w:val="0"/>
                <w:sz w:val="18"/>
              </w:rPr>
              <w:t>54,175</w:t>
            </w:r>
          </w:p>
        </w:tc>
      </w:tr>
      <w:tr>
        <w:tc>
          <w:tcPr>
            <w:tcW w:type="dxa" w:w="4608"/>
          </w:tcPr>
          <w:p>
            <w:pPr>
              <w:spacing w:line="264" w:lineRule="auto"/>
            </w:pPr>
            <w:r>
              <w:rPr>
                <w:b w:val="0"/>
                <w:i w:val="0"/>
                <w:color w:val="1C3A36"/>
                <w:sz w:val="18"/>
              </w:rPr>
              <w:t>+ Investments &amp; associates</w:t>
            </w:r>
          </w:p>
        </w:tc>
        <w:tc>
          <w:tcPr>
            <w:tcW w:type="dxa" w:w="2880"/>
          </w:tcPr>
          <w:p>
            <w:pPr>
              <w:spacing w:line="264" w:lineRule="auto"/>
              <w:jc w:val="right"/>
            </w:pPr>
            <w:r>
              <w:rPr>
                <w:b w:val="0"/>
                <w:i w:val="0"/>
                <w:sz w:val="18"/>
              </w:rPr>
              <w:t>6,000</w:t>
            </w:r>
          </w:p>
        </w:tc>
      </w:tr>
      <w:tr>
        <w:tc>
          <w:tcPr>
            <w:tcW w:type="dxa" w:w="4608"/>
            <w:shd w:val="clear" w:fill="EFF3F1"/>
          </w:tcPr>
          <w:p>
            <w:pPr>
              <w:spacing w:line="264" w:lineRule="auto"/>
            </w:pPr>
            <w:r>
              <w:rPr>
                <w:b w:val="0"/>
                <w:i w:val="0"/>
                <w:color w:val="1C3A36"/>
                <w:sz w:val="18"/>
              </w:rPr>
              <w:t>+ Net cash</w:t>
            </w:r>
          </w:p>
        </w:tc>
        <w:tc>
          <w:tcPr>
            <w:tcW w:type="dxa" w:w="2880"/>
            <w:shd w:val="clear" w:fill="EFF3F1"/>
          </w:tcPr>
          <w:p>
            <w:pPr>
              <w:spacing w:line="264" w:lineRule="auto"/>
              <w:jc w:val="right"/>
            </w:pPr>
            <w:r>
              <w:rPr>
                <w:b w:val="0"/>
                <w:i w:val="0"/>
                <w:sz w:val="18"/>
              </w:rPr>
              <w:t>16,000</w:t>
            </w:r>
          </w:p>
        </w:tc>
      </w:tr>
      <w:tr>
        <w:tc>
          <w:tcPr>
            <w:tcW w:type="dxa" w:w="4608"/>
          </w:tcPr>
          <w:p>
            <w:pPr>
              <w:spacing w:line="264" w:lineRule="auto"/>
            </w:pPr>
            <w:r>
              <w:rPr>
                <w:b w:val="0"/>
                <w:i w:val="0"/>
                <w:color w:val="1C3A36"/>
                <w:sz w:val="18"/>
              </w:rPr>
              <w:t>Equity value</w:t>
            </w:r>
          </w:p>
        </w:tc>
        <w:tc>
          <w:tcPr>
            <w:tcW w:type="dxa" w:w="2880"/>
          </w:tcPr>
          <w:p>
            <w:pPr>
              <w:spacing w:line="264" w:lineRule="auto"/>
              <w:jc w:val="right"/>
            </w:pPr>
            <w:r>
              <w:rPr>
                <w:b w:val="0"/>
                <w:i w:val="0"/>
                <w:sz w:val="18"/>
              </w:rPr>
              <w:t>76,175</w:t>
            </w:r>
          </w:p>
        </w:tc>
      </w:tr>
      <w:tr>
        <w:tc>
          <w:tcPr>
            <w:tcW w:type="dxa" w:w="4608"/>
            <w:shd w:val="clear" w:fill="EFF3F1"/>
          </w:tcPr>
          <w:p>
            <w:pPr>
              <w:spacing w:line="264" w:lineRule="auto"/>
            </w:pPr>
            <w:r>
              <w:rPr>
                <w:b/>
                <w:i w:val="0"/>
                <w:color w:val="1C3A36"/>
                <w:sz w:val="18"/>
              </w:rPr>
              <w:t>Fair value per share</w:t>
            </w:r>
          </w:p>
        </w:tc>
        <w:tc>
          <w:tcPr>
            <w:tcW w:type="dxa" w:w="2880"/>
            <w:shd w:val="clear" w:fill="EFF3F1"/>
          </w:tcPr>
          <w:p>
            <w:pPr>
              <w:spacing w:line="264" w:lineRule="auto"/>
              <w:jc w:val="right"/>
            </w:pPr>
            <w:r>
              <w:rPr>
                <w:b/>
                <w:i w:val="0"/>
                <w:sz w:val="18"/>
              </w:rPr>
              <w:t>60.34</w:t>
            </w:r>
          </w:p>
        </w:tc>
      </w:tr>
    </w:tbl>
    <w:p>
      <w:pPr>
        <w:spacing w:after="40"/>
      </w:pPr>
    </w:p>
    <w:p>
      <w:pPr>
        <w:spacing w:before="160" w:after="120" w:line="264" w:lineRule="auto"/>
      </w:pPr>
      <w:r>
        <w:rPr>
          <w:b/>
          <w:i w:val="0"/>
          <w:color w:val="1C3A36"/>
          <w:sz w:val="30"/>
        </w:rPr>
        <w:t>Appendix B  Step 0 - calibration backtest</w:t>
      </w:r>
    </w:p>
    <w:p>
      <w:pPr>
        <w:spacing w:after="120" w:line="264" w:lineRule="auto"/>
      </w:pPr>
      <w:r>
        <w:rPr>
          <w:b w:val="0"/>
          <w:i w:val="0"/>
          <w:sz w:val="21"/>
        </w:rPr>
        <w:t>Step 0 replayed non-overlapping quarterly 3-month forecasts across the full five years. After tuning the volatility multiplier to 1.45, the 50/80/90% bands covered 59 / 82 / 88% of realized outcomes and the PIT histogram is approximately uniform - calibration passes (n = 17 quarterly windows).</w:t>
      </w:r>
    </w:p>
    <w:tbl>
      <w:tblPr>
        <w:tblStyle w:val="TableGrid"/>
        <w:tblW w:type="auto" w:w="0"/>
        <w:tblLook w:firstColumn="1" w:firstRow="1" w:lastColumn="0" w:lastRow="0" w:noHBand="0" w:noVBand="1" w:val="04A0"/>
      </w:tblPr>
      <w:tblGrid>
        <w:gridCol w:w="3312"/>
        <w:gridCol w:w="3312"/>
        <w:gridCol w:w="3312"/>
      </w:tblGrid>
      <w:tr>
        <w:tc>
          <w:tcPr>
            <w:tcW w:type="dxa" w:w="2880"/>
            <w:shd w:val="clear" w:fill="1C3A36"/>
          </w:tcPr>
          <w:p>
            <w:pPr>
              <w:spacing w:line="264" w:lineRule="auto"/>
            </w:pPr>
            <w:r>
              <w:rPr>
                <w:b/>
                <w:i w:val="0"/>
                <w:color w:val="FFFFFF"/>
                <w:sz w:val="18"/>
              </w:rPr>
              <w:t>Band</w:t>
            </w:r>
          </w:p>
        </w:tc>
        <w:tc>
          <w:tcPr>
            <w:tcW w:type="dxa" w:w="2880"/>
            <w:shd w:val="clear" w:fill="1C3A36"/>
          </w:tcPr>
          <w:p>
            <w:pPr>
              <w:spacing w:line="264" w:lineRule="auto"/>
              <w:jc w:val="right"/>
            </w:pPr>
            <w:r>
              <w:rPr>
                <w:b/>
                <w:i w:val="0"/>
                <w:color w:val="FFFFFF"/>
                <w:sz w:val="18"/>
              </w:rPr>
              <w:t>Target</w:t>
            </w:r>
          </w:p>
        </w:tc>
        <w:tc>
          <w:tcPr>
            <w:tcW w:type="dxa" w:w="2880"/>
            <w:shd w:val="clear" w:fill="1C3A36"/>
          </w:tcPr>
          <w:p>
            <w:pPr>
              <w:spacing w:line="264" w:lineRule="auto"/>
              <w:jc w:val="right"/>
            </w:pPr>
            <w:r>
              <w:rPr>
                <w:b/>
                <w:i w:val="0"/>
                <w:color w:val="FFFFFF"/>
                <w:sz w:val="18"/>
              </w:rPr>
              <w:t>Realized</w:t>
            </w:r>
          </w:p>
        </w:tc>
      </w:tr>
      <w:tr>
        <w:tc>
          <w:tcPr>
            <w:tcW w:type="dxa" w:w="2880"/>
          </w:tcPr>
          <w:p>
            <w:pPr>
              <w:spacing w:line="264" w:lineRule="auto"/>
            </w:pPr>
            <w:r>
              <w:rPr>
                <w:b w:val="0"/>
                <w:i w:val="0"/>
                <w:color w:val="1C3A36"/>
                <w:sz w:val="18"/>
              </w:rPr>
              <w:t>50%</w:t>
            </w:r>
          </w:p>
        </w:tc>
        <w:tc>
          <w:tcPr>
            <w:tcW w:type="dxa" w:w="2880"/>
          </w:tcPr>
          <w:p>
            <w:pPr>
              <w:spacing w:line="264" w:lineRule="auto"/>
              <w:jc w:val="right"/>
            </w:pPr>
            <w:r>
              <w:rPr>
                <w:b w:val="0"/>
                <w:i w:val="0"/>
                <w:sz w:val="18"/>
              </w:rPr>
              <w:t>50%</w:t>
            </w:r>
          </w:p>
        </w:tc>
        <w:tc>
          <w:tcPr>
            <w:tcW w:type="dxa" w:w="2880"/>
          </w:tcPr>
          <w:p>
            <w:pPr>
              <w:spacing w:line="264" w:lineRule="auto"/>
              <w:jc w:val="right"/>
            </w:pPr>
            <w:r>
              <w:rPr>
                <w:b w:val="0"/>
                <w:i w:val="0"/>
                <w:sz w:val="18"/>
              </w:rPr>
              <w:t>59%</w:t>
            </w:r>
          </w:p>
        </w:tc>
      </w:tr>
      <w:tr>
        <w:tc>
          <w:tcPr>
            <w:tcW w:type="dxa" w:w="2880"/>
            <w:shd w:val="clear" w:fill="EFF3F1"/>
          </w:tcPr>
          <w:p>
            <w:pPr>
              <w:spacing w:line="264" w:lineRule="auto"/>
            </w:pPr>
            <w:r>
              <w:rPr>
                <w:b w:val="0"/>
                <w:i w:val="0"/>
                <w:color w:val="1C3A36"/>
                <w:sz w:val="18"/>
              </w:rPr>
              <w:t>80%</w:t>
            </w:r>
          </w:p>
        </w:tc>
        <w:tc>
          <w:tcPr>
            <w:tcW w:type="dxa" w:w="2880"/>
            <w:shd w:val="clear" w:fill="EFF3F1"/>
          </w:tcPr>
          <w:p>
            <w:pPr>
              <w:spacing w:line="264" w:lineRule="auto"/>
              <w:jc w:val="right"/>
            </w:pPr>
            <w:r>
              <w:rPr>
                <w:b w:val="0"/>
                <w:i w:val="0"/>
                <w:sz w:val="18"/>
              </w:rPr>
              <w:t>80%</w:t>
            </w:r>
          </w:p>
        </w:tc>
        <w:tc>
          <w:tcPr>
            <w:tcW w:type="dxa" w:w="2880"/>
            <w:shd w:val="clear" w:fill="EFF3F1"/>
          </w:tcPr>
          <w:p>
            <w:pPr>
              <w:spacing w:line="264" w:lineRule="auto"/>
              <w:jc w:val="right"/>
            </w:pPr>
            <w:r>
              <w:rPr>
                <w:b w:val="0"/>
                <w:i w:val="0"/>
                <w:sz w:val="18"/>
              </w:rPr>
              <w:t>82%</w:t>
            </w:r>
          </w:p>
        </w:tc>
      </w:tr>
      <w:tr>
        <w:tc>
          <w:tcPr>
            <w:tcW w:type="dxa" w:w="2880"/>
          </w:tcPr>
          <w:p>
            <w:pPr>
              <w:spacing w:line="264" w:lineRule="auto"/>
            </w:pPr>
            <w:r>
              <w:rPr>
                <w:b w:val="0"/>
                <w:i w:val="0"/>
                <w:color w:val="1C3A36"/>
                <w:sz w:val="18"/>
              </w:rPr>
              <w:t>90%</w:t>
            </w:r>
          </w:p>
        </w:tc>
        <w:tc>
          <w:tcPr>
            <w:tcW w:type="dxa" w:w="2880"/>
          </w:tcPr>
          <w:p>
            <w:pPr>
              <w:spacing w:line="264" w:lineRule="auto"/>
              <w:jc w:val="right"/>
            </w:pPr>
            <w:r>
              <w:rPr>
                <w:b w:val="0"/>
                <w:i w:val="0"/>
                <w:sz w:val="18"/>
              </w:rPr>
              <w:t>90%</w:t>
            </w:r>
          </w:p>
        </w:tc>
        <w:tc>
          <w:tcPr>
            <w:tcW w:type="dxa" w:w="2880"/>
          </w:tcPr>
          <w:p>
            <w:pPr>
              <w:spacing w:line="264" w:lineRule="auto"/>
              <w:jc w:val="right"/>
            </w:pPr>
            <w:r>
              <w:rPr>
                <w:b w:val="0"/>
                <w:i w:val="0"/>
                <w:sz w:val="18"/>
              </w:rPr>
              <w:t>88%</w:t>
            </w:r>
          </w:p>
        </w:tc>
      </w:tr>
    </w:tbl>
    <w:p>
      <w:pPr>
        <w:spacing w:after="40"/>
      </w:pPr>
    </w:p>
    <w:p>
      <w:pPr>
        <w:jc w:val="center"/>
      </w:pPr>
      <w:r>
        <w:drawing>
          <wp:inline xmlns:a="http://schemas.openxmlformats.org/drawingml/2006/main" xmlns:pic="http://schemas.openxmlformats.org/drawingml/2006/picture">
            <wp:extent cx="6217920" cy="1921376"/>
            <wp:docPr id="8" name="Picture 8"/>
            <wp:cNvGraphicFramePr>
              <a:graphicFrameLocks noChangeAspect="1"/>
            </wp:cNvGraphicFramePr>
            <a:graphic>
              <a:graphicData uri="http://schemas.openxmlformats.org/drawingml/2006/picture">
                <pic:pic>
                  <pic:nvPicPr>
                    <pic:cNvPr id="0" name="ABUK_calibration.png"/>
                    <pic:cNvPicPr/>
                  </pic:nvPicPr>
                  <pic:blipFill>
                    <a:blip r:embed="rId16"/>
                    <a:stretch>
                      <a:fillRect/>
                    </a:stretch>
                  </pic:blipFill>
                  <pic:spPr>
                    <a:xfrm>
                      <a:off x="0" y="0"/>
                      <a:ext cx="6217920" cy="1921376"/>
                    </a:xfrm>
                    <a:prstGeom prst="rect"/>
                  </pic:spPr>
                </pic:pic>
              </a:graphicData>
            </a:graphic>
          </wp:inline>
        </w:drawing>
      </w:r>
    </w:p>
    <w:p>
      <w:pPr>
        <w:spacing w:line="264" w:lineRule="auto"/>
        <w:jc w:val="center"/>
      </w:pPr>
      <w:r>
        <w:rPr>
          <w:b w:val="0"/>
          <w:i/>
          <w:color w:val="666666"/>
          <w:sz w:val="16"/>
        </w:rPr>
        <w:t>Calibration backtest - cone replay, PIT histogram, interval coverage</w:t>
      </w:r>
    </w:p>
    <w:p>
      <w:pPr>
        <w:spacing w:before="160" w:after="120" w:line="264" w:lineRule="auto"/>
      </w:pPr>
      <w:r>
        <w:rPr>
          <w:b/>
          <w:i w:val="0"/>
          <w:color w:val="1C3A36"/>
          <w:sz w:val="30"/>
        </w:rPr>
        <w:t>Appendix C  Peer set, sector structure, and risks</w:t>
      </w:r>
    </w:p>
    <w:p>
      <w:pPr>
        <w:spacing w:after="120" w:line="264" w:lineRule="auto"/>
      </w:pPr>
      <w:r>
        <w:rPr>
          <w:b w:val="0"/>
          <w:i w:val="0"/>
          <w:sz w:val="21"/>
        </w:rPr>
        <w:t>Peers: global nitrogen producers (Nutrien, CF Industries, Yara) and regional Gulf/Egypt producers; ABUK trades at a discount on EV/EBITDA appropriate for EGP and country risk. Sector structure: gas-feedstock cost and export-parity pricing dominate margins; demand is defensive (food security) but prices are cyclical.</w:t>
      </w:r>
    </w:p>
    <w:p>
      <w:pPr>
        <w:spacing w:after="120" w:line="264" w:lineRule="auto"/>
      </w:pPr>
      <w:r>
        <w:rPr>
          <w:b w:val="0"/>
          <w:i w:val="0"/>
          <w:sz w:val="21"/>
        </w:rPr>
        <w:t>Principal risks: gas-feedstock repricing, gas-supply interruptions, EGP and global fertilizer-price swings, governance around the undistributed cash, and the concentration of value in a single feedstock decision the company does not control.</w:t>
      </w:r>
    </w:p>
    <w:p>
      <w:pPr>
        <w:spacing w:before="160" w:after="120" w:line="264" w:lineRule="auto"/>
      </w:pPr>
      <w:r>
        <w:rPr>
          <w:b/>
          <w:i w:val="0"/>
          <w:color w:val="1C3A36"/>
          <w:sz w:val="30"/>
        </w:rPr>
        <w:t>Appendix D  The expert valuation panel</w:t>
      </w:r>
    </w:p>
    <w:p>
      <w:pPr>
        <w:spacing w:before="160" w:after="120" w:line="264" w:lineRule="auto"/>
      </w:pPr>
      <w:r>
        <w:rPr>
          <w:b/>
          <w:i w:val="0"/>
          <w:color w:val="1C3A36"/>
          <w:sz w:val="24"/>
        </w:rPr>
        <w:t>D.1  Expert 1 - normalized mid-cycle earnings power (operating fertilizer business)</w:t>
      </w:r>
    </w:p>
    <w:p>
      <w:pPr>
        <w:spacing w:after="120" w:line="264" w:lineRule="auto"/>
      </w:pPr>
      <w:r>
        <w:rPr>
          <w:b/>
          <w:i w:val="0"/>
          <w:color w:val="1C3A36"/>
          <w:sz w:val="21"/>
        </w:rPr>
        <w:t xml:space="preserve">Worldview and tradition. </w:t>
      </w:r>
      <w:r>
        <w:rPr>
          <w:b w:val="0"/>
          <w:i w:val="0"/>
          <w:sz w:val="21"/>
        </w:rPr>
        <w:t>A cash-generating industrial is worth its through-the-cycle earnings capitalized, not the last printed year. Fertilizer is cyclical - urea and ammonia prices and the gas cost swing wildly - so any single year, high or low, is noise around a mid-cycle.</w:t>
      </w:r>
    </w:p>
    <w:p>
      <w:pPr>
        <w:spacing w:after="120" w:line="264" w:lineRule="auto"/>
      </w:pPr>
      <w:r>
        <w:rPr>
          <w:b w:val="0"/>
          <w:i w:val="0"/>
          <w:sz w:val="21"/>
        </w:rPr>
        <w:t>The tradition is Graham-and-Dodd earning-power value applied to commodity processors: estimate the margin the asset earns across a full price cycle, put a conservative multiple on it, and treat everything the market adds above that as payment for a forecast nobody can make. It refuses both the euphoria of a peak year and the despair of a trough one.</w:t>
      </w:r>
    </w:p>
    <w:p>
      <w:pPr>
        <w:spacing w:after="120" w:line="264" w:lineRule="auto"/>
      </w:pPr>
      <w:r>
        <w:rPr>
          <w:b w:val="0"/>
          <w:i w:val="0"/>
          <w:sz w:val="21"/>
        </w:rPr>
        <w:t>Applied here, the discipline reduces to one question: across a full urea-ammonia cycle, what EBITDA does a debt-free, gas-fed, export-capable plant complex of this scale reliably produce - and what is a pound of that worth to an EGP investor who can earn 20%+ risk-free? Every other page of this report is detail around that question.</w:t>
      </w:r>
    </w:p>
    <w:p>
      <w:pPr>
        <w:spacing w:after="120" w:line="264" w:lineRule="auto"/>
      </w:pPr>
      <w:r>
        <w:rPr>
          <w:b/>
          <w:i w:val="0"/>
          <w:color w:val="1C3A36"/>
          <w:sz w:val="21"/>
        </w:rPr>
        <w:t xml:space="preserve">When it works / when it fails. </w:t>
      </w:r>
      <w:r>
        <w:rPr>
          <w:b w:val="0"/>
          <w:i w:val="0"/>
          <w:sz w:val="21"/>
        </w:rPr>
        <w:t>Works for stable-demand commodity producers with a definable mid-cycle margin - fertilizer demand is food security, so volumes barely flinch even when prices halve. Fails when the cost or price regime structurally breaks: if subsidised gas moves permanently to export parity, the historical 'mid-cycle' is the wrong anchor, and the method quietly capitalizes a regime that no longer exists.</w:t>
      </w:r>
    </w:p>
    <w:p>
      <w:pPr>
        <w:spacing w:after="120" w:line="264" w:lineRule="auto"/>
      </w:pPr>
      <w:r>
        <w:rPr>
          <w:b w:val="0"/>
          <w:i w:val="0"/>
          <w:sz w:val="21"/>
        </w:rPr>
        <w:t>It also fails on timing - it says what the business is worth, never when the market will agree - and it deliberately ignores the balance-sheet optionality Expert 2 prices.</w:t>
      </w:r>
    </w:p>
    <w:p>
      <w:pPr>
        <w:spacing w:after="120" w:line="264" w:lineRule="auto"/>
      </w:pPr>
      <w:r>
        <w:rPr>
          <w:b w:val="0"/>
          <w:i w:val="0"/>
          <w:sz w:val="21"/>
        </w:rPr>
        <w:t>The honest weakness in this specific case is the anchor's provenance: ABUK's history is a subsidised-gas history, so 'mid-cycle' partly assumes the subsidy. I mitigate by using 40% rather than the ~44% five-year average, but the residual regime risk is real - it is priced by Expert 3, not by me.</w:t>
      </w:r>
    </w:p>
    <w:p>
      <w:pPr>
        <w:spacing w:after="120" w:line="264" w:lineRule="auto"/>
      </w:pPr>
      <w:r>
        <w:rPr>
          <w:b/>
          <w:i w:val="0"/>
          <w:color w:val="1C3A36"/>
          <w:sz w:val="21"/>
        </w:rPr>
        <w:t xml:space="preserve">Standard workings. </w:t>
      </w:r>
      <w:r>
        <w:rPr>
          <w:b w:val="0"/>
          <w:i w:val="0"/>
          <w:sz w:val="21"/>
        </w:rPr>
        <w:t>Take mid-cycle revenue, apply the mid-cycle EBITDA margin, capitalize at a conservative operating multiple, then add the non-operating assets at face. Every step below lives in the companion Excel's Assumptions layer (blue cells), so any single input can be red-penned and the whole answer reprices.</w:t>
      </w:r>
    </w:p>
    <w:p>
      <w:pPr>
        <w:spacing w:after="120" w:line="264" w:lineRule="auto"/>
      </w:pPr>
      <w:r>
        <w:rPr>
          <w:b w:val="0"/>
          <w:i w:val="0"/>
          <w:sz w:val="21"/>
        </w:rPr>
        <w:t>Each input is deliberately conservative: revenue at the FY25 level rather than trend, the margin below the five-year average, the multiple below global peers. The stack builds enterprise value first, then adds the two non-operating layers at face - no synergy, no growth premium, no credit for the export franchise's option value.</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Step</w:t>
            </w:r>
          </w:p>
        </w:tc>
        <w:tc>
          <w:tcPr>
            <w:tcW w:type="dxa" w:w="3168"/>
            <w:shd w:val="clear" w:fill="1C3A36"/>
          </w:tcPr>
          <w:p>
            <w:pPr>
              <w:spacing w:line="264" w:lineRule="auto"/>
              <w:jc w:val="right"/>
            </w:pPr>
            <w:r>
              <w:rPr>
                <w:b/>
                <w:i w:val="0"/>
                <w:color w:val="FFFFFF"/>
                <w:sz w:val="18"/>
              </w:rPr>
              <w:t>Value</w:t>
            </w:r>
          </w:p>
        </w:tc>
      </w:tr>
      <w:tr>
        <w:tc>
          <w:tcPr>
            <w:tcW w:type="dxa" w:w="4896"/>
          </w:tcPr>
          <w:p>
            <w:pPr>
              <w:spacing w:line="264" w:lineRule="auto"/>
            </w:pPr>
            <w:r>
              <w:rPr>
                <w:b w:val="0"/>
                <w:i w:val="0"/>
                <w:color w:val="1C3A36"/>
                <w:sz w:val="18"/>
              </w:rPr>
              <w:t>Mid-cycle revenue (~FY25 level)</w:t>
            </w:r>
          </w:p>
        </w:tc>
        <w:tc>
          <w:tcPr>
            <w:tcW w:type="dxa" w:w="3168"/>
          </w:tcPr>
          <w:p>
            <w:pPr>
              <w:spacing w:line="264" w:lineRule="auto"/>
              <w:jc w:val="right"/>
            </w:pPr>
            <w:r>
              <w:rPr>
                <w:b w:val="0"/>
                <w:i w:val="0"/>
                <w:sz w:val="18"/>
              </w:rPr>
              <w:t>EGP 22,900 mn</w:t>
            </w:r>
          </w:p>
        </w:tc>
      </w:tr>
      <w:tr>
        <w:tc>
          <w:tcPr>
            <w:tcW w:type="dxa" w:w="4896"/>
            <w:shd w:val="clear" w:fill="EFF3F1"/>
          </w:tcPr>
          <w:p>
            <w:pPr>
              <w:spacing w:line="264" w:lineRule="auto"/>
            </w:pPr>
            <w:r>
              <w:rPr>
                <w:b w:val="0"/>
                <w:i w:val="0"/>
                <w:color w:val="1C3A36"/>
                <w:sz w:val="18"/>
              </w:rPr>
              <w:t>x mid-cycle EBITDA margin</w:t>
            </w:r>
          </w:p>
        </w:tc>
        <w:tc>
          <w:tcPr>
            <w:tcW w:type="dxa" w:w="3168"/>
            <w:shd w:val="clear" w:fill="EFF3F1"/>
          </w:tcPr>
          <w:p>
            <w:pPr>
              <w:spacing w:line="264" w:lineRule="auto"/>
              <w:jc w:val="right"/>
            </w:pPr>
            <w:r>
              <w:rPr>
                <w:b w:val="0"/>
                <w:i w:val="0"/>
                <w:sz w:val="18"/>
              </w:rPr>
              <w:t>40%</w:t>
            </w:r>
          </w:p>
        </w:tc>
      </w:tr>
      <w:tr>
        <w:tc>
          <w:tcPr>
            <w:tcW w:type="dxa" w:w="4896"/>
          </w:tcPr>
          <w:p>
            <w:pPr>
              <w:spacing w:line="264" w:lineRule="auto"/>
            </w:pPr>
            <w:r>
              <w:rPr>
                <w:b w:val="0"/>
                <w:i w:val="0"/>
                <w:color w:val="1C3A36"/>
                <w:sz w:val="18"/>
              </w:rPr>
              <w:t>Mid-cycle EBITDA</w:t>
            </w:r>
          </w:p>
        </w:tc>
        <w:tc>
          <w:tcPr>
            <w:tcW w:type="dxa" w:w="3168"/>
          </w:tcPr>
          <w:p>
            <w:pPr>
              <w:spacing w:line="264" w:lineRule="auto"/>
              <w:jc w:val="right"/>
            </w:pPr>
            <w:r>
              <w:rPr>
                <w:b w:val="0"/>
                <w:i w:val="0"/>
                <w:sz w:val="18"/>
              </w:rPr>
              <w:t>EGP 9,160 mn</w:t>
            </w:r>
          </w:p>
        </w:tc>
      </w:tr>
      <w:tr>
        <w:tc>
          <w:tcPr>
            <w:tcW w:type="dxa" w:w="4896"/>
            <w:shd w:val="clear" w:fill="EFF3F1"/>
          </w:tcPr>
          <w:p>
            <w:pPr>
              <w:spacing w:line="264" w:lineRule="auto"/>
            </w:pPr>
            <w:r>
              <w:rPr>
                <w:b w:val="0"/>
                <w:i w:val="0"/>
                <w:color w:val="1C3A36"/>
                <w:sz w:val="18"/>
              </w:rPr>
              <w:t>x EV/EBITDA</w:t>
            </w:r>
          </w:p>
        </w:tc>
        <w:tc>
          <w:tcPr>
            <w:tcW w:type="dxa" w:w="3168"/>
            <w:shd w:val="clear" w:fill="EFF3F1"/>
          </w:tcPr>
          <w:p>
            <w:pPr>
              <w:spacing w:line="264" w:lineRule="auto"/>
              <w:jc w:val="right"/>
            </w:pPr>
            <w:r>
              <w:rPr>
                <w:b w:val="0"/>
                <w:i w:val="0"/>
                <w:sz w:val="18"/>
              </w:rPr>
              <w:t>5.5x</w:t>
            </w:r>
          </w:p>
        </w:tc>
      </w:tr>
      <w:tr>
        <w:tc>
          <w:tcPr>
            <w:tcW w:type="dxa" w:w="4896"/>
          </w:tcPr>
          <w:p>
            <w:pPr>
              <w:spacing w:line="264" w:lineRule="auto"/>
            </w:pPr>
            <w:r>
              <w:rPr>
                <w:b w:val="0"/>
                <w:i w:val="0"/>
                <w:color w:val="1C3A36"/>
                <w:sz w:val="18"/>
              </w:rPr>
              <w:t>Operating EV</w:t>
            </w:r>
          </w:p>
        </w:tc>
        <w:tc>
          <w:tcPr>
            <w:tcW w:type="dxa" w:w="3168"/>
          </w:tcPr>
          <w:p>
            <w:pPr>
              <w:spacing w:line="264" w:lineRule="auto"/>
              <w:jc w:val="right"/>
            </w:pPr>
            <w:r>
              <w:rPr>
                <w:b w:val="0"/>
                <w:i w:val="0"/>
                <w:sz w:val="18"/>
              </w:rPr>
              <w:t>EGP 50,380 mn</w:t>
            </w:r>
          </w:p>
        </w:tc>
      </w:tr>
      <w:tr>
        <w:tc>
          <w:tcPr>
            <w:tcW w:type="dxa" w:w="4896"/>
            <w:shd w:val="clear" w:fill="EFF3F1"/>
          </w:tcPr>
          <w:p>
            <w:pPr>
              <w:spacing w:line="264" w:lineRule="auto"/>
            </w:pPr>
            <w:r>
              <w:rPr>
                <w:b w:val="0"/>
                <w:i w:val="0"/>
                <w:color w:val="1C3A36"/>
                <w:sz w:val="18"/>
              </w:rPr>
              <w:t>+ Net cash</w:t>
            </w:r>
          </w:p>
        </w:tc>
        <w:tc>
          <w:tcPr>
            <w:tcW w:type="dxa" w:w="3168"/>
            <w:shd w:val="clear" w:fill="EFF3F1"/>
          </w:tcPr>
          <w:p>
            <w:pPr>
              <w:spacing w:line="264" w:lineRule="auto"/>
              <w:jc w:val="right"/>
            </w:pPr>
            <w:r>
              <w:rPr>
                <w:b w:val="0"/>
                <w:i w:val="0"/>
                <w:sz w:val="18"/>
              </w:rPr>
              <w:t>EGP 16,000 mn</w:t>
            </w:r>
          </w:p>
        </w:tc>
      </w:tr>
      <w:tr>
        <w:tc>
          <w:tcPr>
            <w:tcW w:type="dxa" w:w="4896"/>
          </w:tcPr>
          <w:p>
            <w:pPr>
              <w:spacing w:line="264" w:lineRule="auto"/>
            </w:pPr>
            <w:r>
              <w:rPr>
                <w:b w:val="0"/>
                <w:i w:val="0"/>
                <w:color w:val="1C3A36"/>
                <w:sz w:val="18"/>
              </w:rPr>
              <w:t>+ Investments &amp; associates</w:t>
            </w:r>
          </w:p>
        </w:tc>
        <w:tc>
          <w:tcPr>
            <w:tcW w:type="dxa" w:w="3168"/>
          </w:tcPr>
          <w:p>
            <w:pPr>
              <w:spacing w:line="264" w:lineRule="auto"/>
              <w:jc w:val="right"/>
            </w:pPr>
            <w:r>
              <w:rPr>
                <w:b w:val="0"/>
                <w:i w:val="0"/>
                <w:sz w:val="18"/>
              </w:rPr>
              <w:t>EGP 6,000 mn</w:t>
            </w:r>
          </w:p>
        </w:tc>
      </w:tr>
      <w:tr>
        <w:tc>
          <w:tcPr>
            <w:tcW w:type="dxa" w:w="4896"/>
            <w:shd w:val="clear" w:fill="EFF3F1"/>
          </w:tcPr>
          <w:p>
            <w:pPr>
              <w:spacing w:line="264" w:lineRule="auto"/>
            </w:pPr>
            <w:r>
              <w:rPr>
                <w:b w:val="0"/>
                <w:i w:val="0"/>
                <w:color w:val="1C3A36"/>
                <w:sz w:val="18"/>
              </w:rPr>
              <w:t>Equity value</w:t>
            </w:r>
          </w:p>
        </w:tc>
        <w:tc>
          <w:tcPr>
            <w:tcW w:type="dxa" w:w="3168"/>
            <w:shd w:val="clear" w:fill="EFF3F1"/>
          </w:tcPr>
          <w:p>
            <w:pPr>
              <w:spacing w:line="264" w:lineRule="auto"/>
              <w:jc w:val="right"/>
            </w:pPr>
            <w:r>
              <w:rPr>
                <w:b w:val="0"/>
                <w:i w:val="0"/>
                <w:sz w:val="18"/>
              </w:rPr>
              <w:t>EGP 72,380 mn</w:t>
            </w:r>
          </w:p>
        </w:tc>
      </w:tr>
      <w:tr>
        <w:tc>
          <w:tcPr>
            <w:tcW w:type="dxa" w:w="4896"/>
          </w:tcPr>
          <w:p>
            <w:pPr>
              <w:spacing w:line="264" w:lineRule="auto"/>
            </w:pPr>
            <w:r>
              <w:rPr>
                <w:b w:val="0"/>
                <w:i w:val="0"/>
                <w:color w:val="1C3A36"/>
                <w:sz w:val="18"/>
              </w:rPr>
              <w:t>/ shares (mn)</w:t>
            </w:r>
          </w:p>
        </w:tc>
        <w:tc>
          <w:tcPr>
            <w:tcW w:type="dxa" w:w="3168"/>
          </w:tcPr>
          <w:p>
            <w:pPr>
              <w:spacing w:line="264" w:lineRule="auto"/>
              <w:jc w:val="right"/>
            </w:pPr>
            <w:r>
              <w:rPr>
                <w:b w:val="0"/>
                <w:i w:val="0"/>
                <w:sz w:val="18"/>
              </w:rPr>
              <w:t>1,262.5</w:t>
            </w:r>
          </w:p>
        </w:tc>
      </w:tr>
      <w:tr>
        <w:tc>
          <w:tcPr>
            <w:tcW w:type="dxa" w:w="4896"/>
            <w:shd w:val="clear" w:fill="EFF3F1"/>
          </w:tcPr>
          <w:p>
            <w:pPr>
              <w:spacing w:line="264" w:lineRule="auto"/>
            </w:pPr>
            <w:r>
              <w:rPr>
                <w:b w:val="0"/>
                <w:i w:val="0"/>
                <w:color w:val="1C3A36"/>
                <w:sz w:val="18"/>
              </w:rPr>
              <w:t>Fair value per share</w:t>
            </w:r>
          </w:p>
        </w:tc>
        <w:tc>
          <w:tcPr>
            <w:tcW w:type="dxa" w:w="3168"/>
            <w:shd w:val="clear" w:fill="EFF3F1"/>
          </w:tcPr>
          <w:p>
            <w:pPr>
              <w:spacing w:line="264" w:lineRule="auto"/>
              <w:jc w:val="right"/>
            </w:pPr>
            <w:r>
              <w:rPr>
                <w:b w:val="0"/>
                <w:i w:val="0"/>
                <w:sz w:val="18"/>
              </w:rPr>
              <w:t>EGP 57.4</w:t>
            </w:r>
          </w:p>
        </w:tc>
      </w:tr>
    </w:tbl>
    <w:p>
      <w:pPr>
        <w:spacing w:after="40"/>
      </w:pPr>
    </w:p>
    <w:p>
      <w:pPr>
        <w:spacing w:after="120" w:line="264" w:lineRule="auto"/>
      </w:pPr>
      <w:r>
        <w:rPr>
          <w:b/>
          <w:i w:val="0"/>
          <w:color w:val="1C3A36"/>
          <w:sz w:val="21"/>
        </w:rPr>
        <w:t xml:space="preserve">Worked example. </w:t>
      </w:r>
      <w:r>
        <w:rPr>
          <w:b w:val="0"/>
          <w:i w:val="0"/>
          <w:sz w:val="21"/>
        </w:rPr>
        <w:t>FY25 revenue EGP 22.9 bn x 40% = EGP 9.16 bn EBITDA; at 5.5x that is EGP 50.4 bn operating EV; add EGP 22 bn of cash and investments for EGP 72.4 bn equity, or EGP 57.4/share.</w:t>
      </w:r>
    </w:p>
    <w:p>
      <w:pPr>
        <w:spacing w:after="120" w:line="264" w:lineRule="auto"/>
      </w:pPr>
      <w:r>
        <w:rPr>
          <w:b w:val="0"/>
          <w:i w:val="0"/>
          <w:sz w:val="21"/>
        </w:rPr>
        <w:t>As a cross-check, the same EBITDA at the FY25 realized margin (35.7%) and a global-peer 6x gives EGP 55.0/share - the answer is stable across reasonable inputs, which is the point of the method.</w:t>
      </w:r>
    </w:p>
    <w:p>
      <w:pPr>
        <w:spacing w:after="120" w:line="264" w:lineRule="auto"/>
      </w:pPr>
      <w:r>
        <w:rPr>
          <w:b w:val="0"/>
          <w:i w:val="0"/>
          <w:sz w:val="21"/>
        </w:rPr>
        <w:t>Run the arithmetic at the bear inputs (35% margin, 5.0x) and it still yields ~EGP 50 - which is why the floor of my range, not its base, is the number I would defend in a hostile room.</w:t>
      </w:r>
    </w:p>
    <w:p>
      <w:pPr>
        <w:spacing w:after="120" w:line="264" w:lineRule="auto"/>
      </w:pPr>
      <w:r>
        <w:rPr>
          <w:b/>
          <w:i w:val="0"/>
          <w:color w:val="1C3A36"/>
          <w:sz w:val="21"/>
        </w:rPr>
        <w:t xml:space="preserve">Sensitivity on the swing input. </w:t>
      </w:r>
      <w:r>
        <w:rPr>
          <w:b w:val="0"/>
          <w:i w:val="0"/>
          <w:sz w:val="21"/>
        </w:rPr>
        <w:t>The two dials are the margin and the multiple; the table shows how far each moves the answer, and note the symmetry - neither dial alone can carry the value to spot.</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EBITDA margin 35 / 40 / 45%</w:t>
            </w:r>
          </w:p>
        </w:tc>
        <w:tc>
          <w:tcPr>
            <w:tcW w:type="dxa" w:w="3168"/>
          </w:tcPr>
          <w:p>
            <w:pPr>
              <w:spacing w:line="264" w:lineRule="auto"/>
              <w:jc w:val="right"/>
            </w:pPr>
            <w:r>
              <w:rPr>
                <w:b w:val="0"/>
                <w:i w:val="0"/>
                <w:sz w:val="18"/>
              </w:rPr>
              <w:t>50 / 57 / 65</w:t>
            </w:r>
          </w:p>
        </w:tc>
      </w:tr>
      <w:tr>
        <w:tc>
          <w:tcPr>
            <w:tcW w:type="dxa" w:w="4896"/>
            <w:shd w:val="clear" w:fill="EFF3F1"/>
          </w:tcPr>
          <w:p>
            <w:pPr>
              <w:spacing w:line="264" w:lineRule="auto"/>
            </w:pPr>
            <w:r>
              <w:rPr>
                <w:b w:val="0"/>
                <w:i w:val="0"/>
                <w:color w:val="1C3A36"/>
                <w:sz w:val="18"/>
              </w:rPr>
              <w:t>EV/EBITDA 5.0 / 5.5 / 6.0x</w:t>
            </w:r>
          </w:p>
        </w:tc>
        <w:tc>
          <w:tcPr>
            <w:tcW w:type="dxa" w:w="3168"/>
            <w:shd w:val="clear" w:fill="EFF3F1"/>
          </w:tcPr>
          <w:p>
            <w:pPr>
              <w:spacing w:line="264" w:lineRule="auto"/>
              <w:jc w:val="right"/>
            </w:pPr>
            <w:r>
              <w:rPr>
                <w:b w:val="0"/>
                <w:i w:val="0"/>
                <w:sz w:val="18"/>
              </w:rPr>
              <w:t>54 / 57 / 61</w:t>
            </w:r>
          </w:p>
        </w:tc>
      </w:tr>
      <w:tr>
        <w:tc>
          <w:tcPr>
            <w:tcW w:type="dxa" w:w="4896"/>
          </w:tcPr>
          <w:p>
            <w:pPr>
              <w:spacing w:line="264" w:lineRule="auto"/>
            </w:pPr>
            <w:r>
              <w:rPr>
                <w:b w:val="0"/>
                <w:i w:val="0"/>
                <w:color w:val="1C3A36"/>
                <w:sz w:val="18"/>
              </w:rPr>
              <w:t>Revenue +/-10%</w:t>
            </w:r>
          </w:p>
        </w:tc>
        <w:tc>
          <w:tcPr>
            <w:tcW w:type="dxa" w:w="3168"/>
          </w:tcPr>
          <w:p>
            <w:pPr>
              <w:spacing w:line="264" w:lineRule="auto"/>
              <w:jc w:val="right"/>
            </w:pPr>
            <w:r>
              <w:rPr>
                <w:b w:val="0"/>
                <w:i w:val="0"/>
                <w:sz w:val="18"/>
              </w:rPr>
              <w:t>+/- ~4.5</w:t>
            </w:r>
          </w:p>
        </w:tc>
      </w:tr>
    </w:tbl>
    <w:p>
      <w:pPr>
        <w:spacing w:after="40"/>
      </w:pPr>
    </w:p>
    <w:p>
      <w:pPr>
        <w:spacing w:after="120" w:line="264" w:lineRule="auto"/>
      </w:pPr>
      <w:r>
        <w:rPr>
          <w:b/>
          <w:i w:val="0"/>
          <w:color w:val="1C3A36"/>
          <w:sz w:val="21"/>
        </w:rPr>
        <w:t xml:space="preserve">Cross-examination. </w:t>
      </w:r>
      <w:r>
        <w:rPr>
          <w:b w:val="0"/>
          <w:i w:val="0"/>
          <w:sz w:val="21"/>
        </w:rPr>
        <w:t>To Expert 2: carrying value understates the operating franchise's earning power - a plant that mints EGP 9 bn of EBITDA is worth more than its depreciated book, and your haircut on the cash is a governance opinion, not a valuation. History sides with me: the payout record shows the cash does reach shareholders, just slowly - a timing discount at most, not a value one.</w:t>
      </w:r>
    </w:p>
    <w:p>
      <w:pPr>
        <w:spacing w:after="120" w:line="264" w:lineRule="auto"/>
      </w:pPr>
      <w:r>
        <w:rPr>
          <w:b w:val="0"/>
          <w:i w:val="0"/>
          <w:sz w:val="21"/>
        </w:rPr>
        <w:t>To Expert 3: you cannot discount the whole business to the gas worst-case; these plants ran through the 2014 and 2022 gas shocks and the margin recovered both times, because food-security politics protects the feedstock more than the fiscal ledger suggests. Your tree is honest about uncertainty, but it treats the state as indifferent to its largest fertilizer asset - two decades of revealed preference say it is not.</w:t>
      </w:r>
    </w:p>
    <w:p>
      <w:pPr>
        <w:spacing w:after="120" w:line="264" w:lineRule="auto"/>
      </w:pPr>
      <w:r>
        <w:rPr>
          <w:b/>
          <w:i w:val="0"/>
          <w:color w:val="1C3A36"/>
          <w:sz w:val="21"/>
        </w:rPr>
        <w:t xml:space="preserve">Verdict, falsification, and what the price implies. </w:t>
      </w:r>
      <w:r>
        <w:rPr>
          <w:b w:val="0"/>
          <w:i w:val="0"/>
          <w:sz w:val="21"/>
        </w:rPr>
        <w:t>Operating-plus-cash value ~EGP 57 (range 50-65). At EGP 68 the market is paying for a mid-cycle margin nearer 45% or a discount rate below 20% - a full price for the franchise, defensible only if the gas regime holds.</w:t>
      </w:r>
    </w:p>
    <w:p>
      <w:pPr>
        <w:spacing w:after="120" w:line="264" w:lineRule="auto"/>
      </w:pPr>
      <w:r>
        <w:rPr>
          <w:b w:val="0"/>
          <w:i w:val="0"/>
          <w:sz w:val="21"/>
        </w:rPr>
        <w:t>What the price implies: buyers at spot are underwriting the top half of my range. That is not irrational - it is a view on gas - but it should be held knowingly, because at 68 my method offers no margin of safety at all. Falsification: two consecutive years of sub-30% EBITDA margin with no recovery would break the mid-cycle anchor.</w:t>
      </w:r>
    </w:p>
    <w:p>
      <w:pPr>
        <w:spacing w:before="200" w:after="120" w:line="264" w:lineRule="auto"/>
      </w:pPr>
      <w:r>
        <w:rPr>
          <w:b/>
          <w:i w:val="0"/>
          <w:color w:val="1C3A36"/>
          <w:sz w:val="24"/>
        </w:rPr>
        <w:t>D.2  Expert 2 - sum-of-the-parts net asset value with a discount for undistributed capital</w:t>
      </w:r>
    </w:p>
    <w:p>
      <w:pPr>
        <w:spacing w:after="120" w:line="264" w:lineRule="auto"/>
      </w:pPr>
      <w:r>
        <w:rPr>
          <w:b/>
          <w:i w:val="0"/>
          <w:color w:val="1C3A36"/>
          <w:sz w:val="21"/>
        </w:rPr>
        <w:t xml:space="preserve">Worldview and tradition. </w:t>
      </w:r>
      <w:r>
        <w:rPr>
          <w:b w:val="0"/>
          <w:i w:val="0"/>
          <w:sz w:val="21"/>
        </w:rPr>
        <w:t>Mark each part to a defensible value and refuse to pay for hope. ABUK is an operating fertilizer business wrapped around a large cash-and-investment pile; the market rightly discounts capital it cannot get its hands on.</w:t>
      </w:r>
    </w:p>
    <w:p>
      <w:pPr>
        <w:spacing w:after="120" w:line="264" w:lineRule="auto"/>
      </w:pPr>
      <w:r>
        <w:rPr>
          <w:b w:val="0"/>
          <w:i w:val="0"/>
          <w:sz w:val="21"/>
        </w:rPr>
        <w:t>The tradition is the conglomerate/holdco NAV school: assets are worth what a rational owner could realize for them, less a charge for the wrapper - here, the risk that EGP 22 bn of shareholder money sits earning treasury yields instead of being distributed, at a company where the state's stake shapes payout policy.</w:t>
      </w:r>
    </w:p>
    <w:p>
      <w:pPr>
        <w:spacing w:after="120" w:line="264" w:lineRule="auto"/>
      </w:pPr>
      <w:r>
        <w:rPr>
          <w:b w:val="0"/>
          <w:i w:val="0"/>
          <w:sz w:val="21"/>
        </w:rPr>
        <w:t>In practice the method is bookkeeping with teeth: list what the company owns, mark each item at what a willing buyer pays today, and charge for every layer standing between the shareholder and the asset. The EGP 22 bn stack is the test case - real money, really earned, and really not yet in your pocket.</w:t>
      </w:r>
    </w:p>
    <w:p>
      <w:pPr>
        <w:spacing w:after="120" w:line="264" w:lineRule="auto"/>
      </w:pPr>
      <w:r>
        <w:rPr>
          <w:b/>
          <w:i w:val="0"/>
          <w:color w:val="1C3A36"/>
          <w:sz w:val="21"/>
        </w:rPr>
        <w:t xml:space="preserve">When it works / when it fails. </w:t>
      </w:r>
      <w:r>
        <w:rPr>
          <w:b w:val="0"/>
          <w:i w:val="0"/>
          <w:sz w:val="21"/>
        </w:rPr>
        <w:t>Works when the parts are separable and markable - operating business, investment portfolio, net cash - and ABUK's are, because the cash is audited and the plants have a clean earnings history. Fails when the 'discount' on trapped capital is really a governance judgment that swings the answer more than the marks do, and it says nothing about when the discount closes.</w:t>
      </w:r>
    </w:p>
    <w:p>
      <w:pPr>
        <w:spacing w:after="120" w:line="264" w:lineRule="auto"/>
      </w:pPr>
      <w:r>
        <w:rPr>
          <w:b w:val="0"/>
          <w:i w:val="0"/>
          <w:sz w:val="21"/>
        </w:rPr>
        <w:t>It is also blind to cyclical upside by design: a NAV never pays for next year's urea price.</w:t>
      </w:r>
    </w:p>
    <w:p>
      <w:pPr>
        <w:spacing w:after="120" w:line="264" w:lineRule="auto"/>
      </w:pPr>
      <w:r>
        <w:rPr>
          <w:b w:val="0"/>
          <w:i w:val="0"/>
          <w:sz w:val="21"/>
        </w:rPr>
        <w:t>Its blind spot in this case is asymmetry of revision: my operating mark is a conservative DCF, so if urea rips or the EGP breaks, I will be late to raise it. I accept that lag as the price of never paying for a forecast.</w:t>
      </w:r>
    </w:p>
    <w:p>
      <w:pPr>
        <w:spacing w:after="120" w:line="264" w:lineRule="auto"/>
      </w:pPr>
      <w:r>
        <w:rPr>
          <w:b/>
          <w:i w:val="0"/>
          <w:color w:val="1C3A36"/>
          <w:sz w:val="21"/>
        </w:rPr>
        <w:t xml:space="preserve">Standard workings. </w:t>
      </w:r>
      <w:r>
        <w:rPr>
          <w:b w:val="0"/>
          <w:i w:val="0"/>
          <w:sz w:val="21"/>
        </w:rPr>
        <w:t>Mark the operating business at the conservative DCF, add investments and cash at face, then haircut the non-operating stack for being undistributed.</w:t>
      </w:r>
    </w:p>
    <w:p>
      <w:pPr>
        <w:spacing w:after="120" w:line="264" w:lineRule="auto"/>
      </w:pPr>
      <w:r>
        <w:rPr>
          <w:b w:val="0"/>
          <w:i w:val="0"/>
          <w:sz w:val="21"/>
        </w:rPr>
        <w:t>The 15% haircut is calibrated to observed EGX behaviour rather than theory: cash-rich industrials with state-linked registers persistently trade 10-20% below transparent NAV until a distribution event closes the gap; I take the middle of that band.</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Component</w:t>
            </w:r>
          </w:p>
        </w:tc>
        <w:tc>
          <w:tcPr>
            <w:tcW w:type="dxa" w:w="3168"/>
            <w:shd w:val="clear" w:fill="1C3A36"/>
          </w:tcPr>
          <w:p>
            <w:pPr>
              <w:spacing w:line="264" w:lineRule="auto"/>
              <w:jc w:val="right"/>
            </w:pPr>
            <w:r>
              <w:rPr>
                <w:b/>
                <w:i w:val="0"/>
                <w:color w:val="FFFFFF"/>
                <w:sz w:val="18"/>
              </w:rPr>
              <w:t>EGP mn</w:t>
            </w:r>
          </w:p>
        </w:tc>
      </w:tr>
      <w:tr>
        <w:tc>
          <w:tcPr>
            <w:tcW w:type="dxa" w:w="4896"/>
          </w:tcPr>
          <w:p>
            <w:pPr>
              <w:spacing w:line="264" w:lineRule="auto"/>
            </w:pPr>
            <w:r>
              <w:rPr>
                <w:b w:val="0"/>
                <w:i w:val="0"/>
                <w:color w:val="1C3A36"/>
                <w:sz w:val="18"/>
              </w:rPr>
              <w:t>Operating business (conservative DCF)</w:t>
            </w:r>
          </w:p>
        </w:tc>
        <w:tc>
          <w:tcPr>
            <w:tcW w:type="dxa" w:w="3168"/>
          </w:tcPr>
          <w:p>
            <w:pPr>
              <w:spacing w:line="264" w:lineRule="auto"/>
              <w:jc w:val="right"/>
            </w:pPr>
            <w:r>
              <w:rPr>
                <w:b w:val="0"/>
                <w:i w:val="0"/>
                <w:sz w:val="18"/>
              </w:rPr>
              <w:t>54,000</w:t>
            </w:r>
          </w:p>
        </w:tc>
      </w:tr>
      <w:tr>
        <w:tc>
          <w:tcPr>
            <w:tcW w:type="dxa" w:w="4896"/>
            <w:shd w:val="clear" w:fill="EFF3F1"/>
          </w:tcPr>
          <w:p>
            <w:pPr>
              <w:spacing w:line="264" w:lineRule="auto"/>
            </w:pPr>
            <w:r>
              <w:rPr>
                <w:b w:val="0"/>
                <w:i w:val="0"/>
                <w:color w:val="1C3A36"/>
                <w:sz w:val="18"/>
              </w:rPr>
              <w:t>Investments &amp; associates (carrying)</w:t>
            </w:r>
          </w:p>
        </w:tc>
        <w:tc>
          <w:tcPr>
            <w:tcW w:type="dxa" w:w="3168"/>
            <w:shd w:val="clear" w:fill="EFF3F1"/>
          </w:tcPr>
          <w:p>
            <w:pPr>
              <w:spacing w:line="264" w:lineRule="auto"/>
              <w:jc w:val="right"/>
            </w:pPr>
            <w:r>
              <w:rPr>
                <w:b w:val="0"/>
                <w:i w:val="0"/>
                <w:sz w:val="18"/>
              </w:rPr>
              <w:t>6,000</w:t>
            </w:r>
          </w:p>
        </w:tc>
      </w:tr>
      <w:tr>
        <w:tc>
          <w:tcPr>
            <w:tcW w:type="dxa" w:w="4896"/>
          </w:tcPr>
          <w:p>
            <w:pPr>
              <w:spacing w:line="264" w:lineRule="auto"/>
            </w:pPr>
            <w:r>
              <w:rPr>
                <w:b w:val="0"/>
                <w:i w:val="0"/>
                <w:color w:val="1C3A36"/>
                <w:sz w:val="18"/>
              </w:rPr>
              <w:t>Net cash</w:t>
            </w:r>
          </w:p>
        </w:tc>
        <w:tc>
          <w:tcPr>
            <w:tcW w:type="dxa" w:w="3168"/>
          </w:tcPr>
          <w:p>
            <w:pPr>
              <w:spacing w:line="264" w:lineRule="auto"/>
              <w:jc w:val="right"/>
            </w:pPr>
            <w:r>
              <w:rPr>
                <w:b w:val="0"/>
                <w:i w:val="0"/>
                <w:sz w:val="18"/>
              </w:rPr>
              <w:t>16,000</w:t>
            </w:r>
          </w:p>
        </w:tc>
      </w:tr>
      <w:tr>
        <w:tc>
          <w:tcPr>
            <w:tcW w:type="dxa" w:w="4896"/>
            <w:shd w:val="clear" w:fill="EFF3F1"/>
          </w:tcPr>
          <w:p>
            <w:pPr>
              <w:spacing w:line="264" w:lineRule="auto"/>
            </w:pPr>
            <w:r>
              <w:rPr>
                <w:b w:val="0"/>
                <w:i w:val="0"/>
                <w:color w:val="1C3A36"/>
                <w:sz w:val="18"/>
              </w:rPr>
              <w:t>Gross NAV</w:t>
            </w:r>
          </w:p>
        </w:tc>
        <w:tc>
          <w:tcPr>
            <w:tcW w:type="dxa" w:w="3168"/>
            <w:shd w:val="clear" w:fill="EFF3F1"/>
          </w:tcPr>
          <w:p>
            <w:pPr>
              <w:spacing w:line="264" w:lineRule="auto"/>
              <w:jc w:val="right"/>
            </w:pPr>
            <w:r>
              <w:rPr>
                <w:b w:val="0"/>
                <w:i w:val="0"/>
                <w:sz w:val="18"/>
              </w:rPr>
              <w:t>76,000</w:t>
            </w:r>
          </w:p>
        </w:tc>
      </w:tr>
      <w:tr>
        <w:tc>
          <w:tcPr>
            <w:tcW w:type="dxa" w:w="4896"/>
          </w:tcPr>
          <w:p>
            <w:pPr>
              <w:spacing w:line="264" w:lineRule="auto"/>
            </w:pPr>
            <w:r>
              <w:rPr>
                <w:b w:val="0"/>
                <w:i w:val="0"/>
                <w:color w:val="1C3A36"/>
                <w:sz w:val="18"/>
              </w:rPr>
              <w:t>- 15% haircut on undistributed EGP 22 bn stack</w:t>
            </w:r>
          </w:p>
        </w:tc>
        <w:tc>
          <w:tcPr>
            <w:tcW w:type="dxa" w:w="3168"/>
          </w:tcPr>
          <w:p>
            <w:pPr>
              <w:spacing w:line="264" w:lineRule="auto"/>
              <w:jc w:val="right"/>
            </w:pPr>
            <w:r>
              <w:rPr>
                <w:b w:val="0"/>
                <w:i w:val="0"/>
                <w:sz w:val="18"/>
              </w:rPr>
              <w:t>(3,300)</w:t>
            </w:r>
          </w:p>
        </w:tc>
      </w:tr>
      <w:tr>
        <w:tc>
          <w:tcPr>
            <w:tcW w:type="dxa" w:w="4896"/>
            <w:shd w:val="clear" w:fill="EFF3F1"/>
          </w:tcPr>
          <w:p>
            <w:pPr>
              <w:spacing w:line="264" w:lineRule="auto"/>
            </w:pPr>
            <w:r>
              <w:rPr>
                <w:b w:val="0"/>
                <w:i w:val="0"/>
                <w:color w:val="1C3A36"/>
                <w:sz w:val="18"/>
              </w:rPr>
              <w:t>Equity value</w:t>
            </w:r>
          </w:p>
        </w:tc>
        <w:tc>
          <w:tcPr>
            <w:tcW w:type="dxa" w:w="3168"/>
            <w:shd w:val="clear" w:fill="EFF3F1"/>
          </w:tcPr>
          <w:p>
            <w:pPr>
              <w:spacing w:line="264" w:lineRule="auto"/>
              <w:jc w:val="right"/>
            </w:pPr>
            <w:r>
              <w:rPr>
                <w:b w:val="0"/>
                <w:i w:val="0"/>
                <w:sz w:val="18"/>
              </w:rPr>
              <w:t>72,700</w:t>
            </w:r>
          </w:p>
        </w:tc>
      </w:tr>
      <w:tr>
        <w:tc>
          <w:tcPr>
            <w:tcW w:type="dxa" w:w="4896"/>
          </w:tcPr>
          <w:p>
            <w:pPr>
              <w:spacing w:line="264" w:lineRule="auto"/>
            </w:pPr>
            <w:r>
              <w:rPr>
                <w:b w:val="0"/>
                <w:i w:val="0"/>
                <w:color w:val="1C3A36"/>
                <w:sz w:val="18"/>
              </w:rPr>
              <w:t>/ shares (mn)</w:t>
            </w:r>
          </w:p>
        </w:tc>
        <w:tc>
          <w:tcPr>
            <w:tcW w:type="dxa" w:w="3168"/>
          </w:tcPr>
          <w:p>
            <w:pPr>
              <w:spacing w:line="264" w:lineRule="auto"/>
              <w:jc w:val="right"/>
            </w:pPr>
            <w:r>
              <w:rPr>
                <w:b w:val="0"/>
                <w:i w:val="0"/>
                <w:sz w:val="18"/>
              </w:rPr>
              <w:t>1,262.5</w:t>
            </w:r>
          </w:p>
        </w:tc>
      </w:tr>
      <w:tr>
        <w:tc>
          <w:tcPr>
            <w:tcW w:type="dxa" w:w="4896"/>
            <w:shd w:val="clear" w:fill="EFF3F1"/>
          </w:tcPr>
          <w:p>
            <w:pPr>
              <w:spacing w:line="264" w:lineRule="auto"/>
            </w:pPr>
            <w:r>
              <w:rPr>
                <w:b w:val="0"/>
                <w:i w:val="0"/>
                <w:color w:val="1C3A36"/>
                <w:sz w:val="18"/>
              </w:rPr>
              <w:t>NAV per share</w:t>
            </w:r>
          </w:p>
        </w:tc>
        <w:tc>
          <w:tcPr>
            <w:tcW w:type="dxa" w:w="3168"/>
            <w:shd w:val="clear" w:fill="EFF3F1"/>
          </w:tcPr>
          <w:p>
            <w:pPr>
              <w:spacing w:line="264" w:lineRule="auto"/>
              <w:jc w:val="right"/>
            </w:pPr>
            <w:r>
              <w:rPr>
                <w:b w:val="0"/>
                <w:i w:val="0"/>
                <w:sz w:val="18"/>
              </w:rPr>
              <w:t>EGP 57.6</w:t>
            </w:r>
          </w:p>
        </w:tc>
      </w:tr>
    </w:tbl>
    <w:p>
      <w:pPr>
        <w:spacing w:after="40"/>
      </w:pPr>
    </w:p>
    <w:p>
      <w:pPr>
        <w:spacing w:after="120" w:line="264" w:lineRule="auto"/>
      </w:pPr>
      <w:r>
        <w:rPr>
          <w:b/>
          <w:i w:val="0"/>
          <w:color w:val="1C3A36"/>
          <w:sz w:val="21"/>
        </w:rPr>
        <w:t xml:space="preserve">Worked example. </w:t>
      </w:r>
      <w:r>
        <w:rPr>
          <w:b w:val="0"/>
          <w:i w:val="0"/>
          <w:sz w:val="21"/>
        </w:rPr>
        <w:t>Gross NAV EGP 76.0 bn is EGP 60.3/share; haircut the EGP 22 bn non-operating stack 15% for being undistributed and you reach EGP 72.7 bn, or EGP 57.6/share.</w:t>
      </w:r>
    </w:p>
    <w:p>
      <w:pPr>
        <w:spacing w:after="120" w:line="264" w:lineRule="auto"/>
      </w:pPr>
      <w:r>
        <w:rPr>
          <w:b w:val="0"/>
          <w:i w:val="0"/>
          <w:sz w:val="21"/>
        </w:rPr>
        <w:t>Note how close this lands to Expert 1's EGP 57.4 by a wholly different route - the operating mark and the earnings capitalization agree, so the whole argument between us collapses into the haircut.</w:t>
      </w:r>
    </w:p>
    <w:p>
      <w:pPr>
        <w:spacing w:after="120" w:line="264" w:lineRule="auto"/>
      </w:pPr>
      <w:r>
        <w:rPr>
          <w:b w:val="0"/>
          <w:i w:val="0"/>
          <w:sz w:val="21"/>
        </w:rPr>
        <w:t>Run the haircut at zero and the NAV is exactly the operating-DCF answer of 60.3 - proof that the entire disagreement between the market and this lens is the wrapper, never the plants.</w:t>
      </w:r>
    </w:p>
    <w:p>
      <w:pPr>
        <w:spacing w:after="120" w:line="264" w:lineRule="auto"/>
      </w:pPr>
      <w:r>
        <w:rPr>
          <w:b/>
          <w:i w:val="0"/>
          <w:color w:val="1C3A36"/>
          <w:sz w:val="21"/>
        </w:rPr>
        <w:t xml:space="preserve">Sensitivity on the swing input. </w:t>
      </w:r>
      <w:r>
        <w:rPr>
          <w:b w:val="0"/>
          <w:i w:val="0"/>
          <w:sz w:val="21"/>
        </w:rPr>
        <w:t>The haircut is the swing; the operating mark is second; the investment carrying value barely matters.</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Non-operating haircut 0 / 15 / 30%</w:t>
            </w:r>
          </w:p>
        </w:tc>
        <w:tc>
          <w:tcPr>
            <w:tcW w:type="dxa" w:w="3168"/>
          </w:tcPr>
          <w:p>
            <w:pPr>
              <w:spacing w:line="264" w:lineRule="auto"/>
              <w:jc w:val="right"/>
            </w:pPr>
            <w:r>
              <w:rPr>
                <w:b w:val="0"/>
                <w:i w:val="0"/>
                <w:sz w:val="18"/>
              </w:rPr>
              <w:t>60.3 / 57.6 / 54.9</w:t>
            </w:r>
          </w:p>
        </w:tc>
      </w:tr>
      <w:tr>
        <w:tc>
          <w:tcPr>
            <w:tcW w:type="dxa" w:w="4896"/>
            <w:shd w:val="clear" w:fill="EFF3F1"/>
          </w:tcPr>
          <w:p>
            <w:pPr>
              <w:spacing w:line="264" w:lineRule="auto"/>
            </w:pPr>
            <w:r>
              <w:rPr>
                <w:b w:val="0"/>
                <w:i w:val="0"/>
                <w:color w:val="1C3A36"/>
                <w:sz w:val="18"/>
              </w:rPr>
              <w:t>Operating DCF +/-10%</w:t>
            </w:r>
          </w:p>
        </w:tc>
        <w:tc>
          <w:tcPr>
            <w:tcW w:type="dxa" w:w="3168"/>
            <w:shd w:val="clear" w:fill="EFF3F1"/>
          </w:tcPr>
          <w:p>
            <w:pPr>
              <w:spacing w:line="264" w:lineRule="auto"/>
              <w:jc w:val="right"/>
            </w:pPr>
            <w:r>
              <w:rPr>
                <w:b w:val="0"/>
                <w:i w:val="0"/>
                <w:sz w:val="18"/>
              </w:rPr>
              <w:t>+/- ~4.3</w:t>
            </w:r>
          </w:p>
        </w:tc>
      </w:tr>
      <w:tr>
        <w:tc>
          <w:tcPr>
            <w:tcW w:type="dxa" w:w="4896"/>
          </w:tcPr>
          <w:p>
            <w:pPr>
              <w:spacing w:line="264" w:lineRule="auto"/>
            </w:pPr>
            <w:r>
              <w:rPr>
                <w:b w:val="0"/>
                <w:i w:val="0"/>
                <w:color w:val="1C3A36"/>
                <w:sz w:val="18"/>
              </w:rPr>
              <w:t>Investments mark +/-50%</w:t>
            </w:r>
          </w:p>
        </w:tc>
        <w:tc>
          <w:tcPr>
            <w:tcW w:type="dxa" w:w="3168"/>
          </w:tcPr>
          <w:p>
            <w:pPr>
              <w:spacing w:line="264" w:lineRule="auto"/>
              <w:jc w:val="right"/>
            </w:pPr>
            <w:r>
              <w:rPr>
                <w:b w:val="0"/>
                <w:i w:val="0"/>
                <w:sz w:val="18"/>
              </w:rPr>
              <w:t>+/- ~2.4</w:t>
            </w:r>
          </w:p>
        </w:tc>
      </w:tr>
    </w:tbl>
    <w:p>
      <w:pPr>
        <w:spacing w:after="40"/>
      </w:pPr>
    </w:p>
    <w:p>
      <w:pPr>
        <w:spacing w:after="120" w:line="264" w:lineRule="auto"/>
      </w:pPr>
      <w:r>
        <w:rPr>
          <w:b/>
          <w:i w:val="0"/>
          <w:color w:val="1C3A36"/>
          <w:sz w:val="21"/>
        </w:rPr>
        <w:t xml:space="preserve">Cross-examination. </w:t>
      </w:r>
      <w:r>
        <w:rPr>
          <w:b w:val="0"/>
          <w:i w:val="0"/>
          <w:sz w:val="21"/>
        </w:rPr>
        <w:t>To Expert 1: a 5.5x multiple on a mid-cycle margin double-counts the cash - the investment income you capitalise is earned by the very cash I hold separately, so pick one home for it. And notice that at your own multiple the implied operating earnings yield is ~18%, below the EGP risk-free rate: the multiple is doing quiet heavy lifting your prose does not admit.</w:t>
      </w:r>
    </w:p>
    <w:p>
      <w:pPr>
        <w:spacing w:after="120" w:line="264" w:lineRule="auto"/>
      </w:pPr>
      <w:r>
        <w:rPr>
          <w:b w:val="0"/>
          <w:i w:val="0"/>
          <w:sz w:val="21"/>
        </w:rPr>
        <w:t>To Expert 3: the net cash is real whatever gas does; it is the floor under the price, and your scenario C forgets that EGP 17.4 of value per share sits outside the plants entirely. Scenario analysis that ignores the balance sheet is theatre with better lighting.</w:t>
      </w:r>
    </w:p>
    <w:p>
      <w:pPr>
        <w:spacing w:after="120" w:line="264" w:lineRule="auto"/>
      </w:pPr>
      <w:r>
        <w:rPr>
          <w:b/>
          <w:i w:val="0"/>
          <w:color w:val="1C3A36"/>
          <w:sz w:val="21"/>
        </w:rPr>
        <w:t xml:space="preserve">Verdict, falsification, and what the price implies. </w:t>
      </w:r>
      <w:r>
        <w:rPr>
          <w:b w:val="0"/>
          <w:i w:val="0"/>
          <w:sz w:val="21"/>
        </w:rPr>
        <w:t>NAV ~EGP 58 (range 55-62). At EGP 68 the market applies zero discount to the non-operating stack and a full operating mark simultaneously - both generosities at once.</w:t>
      </w:r>
    </w:p>
    <w:p>
      <w:pPr>
        <w:spacing w:after="120" w:line="264" w:lineRule="auto"/>
      </w:pPr>
      <w:r>
        <w:rPr>
          <w:b w:val="0"/>
          <w:i w:val="0"/>
          <w:sz w:val="21"/>
        </w:rPr>
        <w:t>Price-implied: the market is running my model with a zero haircut and Expert 1's multiple at the same time. One of those two assumptions usually gets repriced first, and the dividend calendar decides which. Falsification: a large special dividend distributing the cash would collapse the discount and prove the haircut wrong - value up.</w:t>
      </w:r>
    </w:p>
    <w:p>
      <w:pPr>
        <w:spacing w:before="160" w:after="120" w:line="264" w:lineRule="auto"/>
      </w:pPr>
      <w:r>
        <w:rPr>
          <w:b/>
          <w:i w:val="0"/>
          <w:color w:val="1C3A36"/>
          <w:sz w:val="24"/>
        </w:rPr>
        <w:t>D.3  Expert 3 - gas-feedstock and FX regime - value as a policy variable</w:t>
      </w:r>
    </w:p>
    <w:p>
      <w:pPr>
        <w:spacing w:after="120" w:line="264" w:lineRule="auto"/>
      </w:pPr>
      <w:r>
        <w:rPr>
          <w:b/>
          <w:i w:val="0"/>
          <w:color w:val="1C3A36"/>
          <w:sz w:val="21"/>
        </w:rPr>
        <w:t xml:space="preserve">Worldview and tradition. </w:t>
      </w:r>
      <w:r>
        <w:rPr>
          <w:b w:val="0"/>
          <w:i w:val="0"/>
          <w:sz w:val="21"/>
        </w:rPr>
        <w:t>For an Egyptian gas-fed exporter the entire operating margin is a policy setting: the gas price the state charges and the level of the EGP. Model those two and you have modelled the value; everything else is second order.</w:t>
      </w:r>
    </w:p>
    <w:p>
      <w:pPr>
        <w:spacing w:after="120" w:line="264" w:lineRule="auto"/>
      </w:pPr>
      <w:r>
        <w:rPr>
          <w:b w:val="0"/>
          <w:i w:val="0"/>
          <w:sz w:val="21"/>
        </w:rPr>
        <w:t>The tradition is regime/scenario analysis from sovereign-linked commodity equities: when one ministry decision can move the margin ten points, point estimates are theatre, and the honest output is a probability-weighted tree whose width is the message.</w:t>
      </w:r>
    </w:p>
    <w:p>
      <w:pPr>
        <w:spacing w:after="120" w:line="264" w:lineRule="auto"/>
      </w:pPr>
      <w:r>
        <w:rPr>
          <w:b w:val="0"/>
          <w:i w:val="0"/>
          <w:sz w:val="21"/>
        </w:rPr>
        <w:t>The discipline is to name the offices that actually set the margin - the petroleum ministry (the gas price), the central bank (the pound), the trade file (export access) - and to refuse any 'fundamental' number that pretends those desks do not exist.</w:t>
      </w:r>
    </w:p>
    <w:p>
      <w:pPr>
        <w:spacing w:after="120" w:line="264" w:lineRule="auto"/>
      </w:pPr>
      <w:r>
        <w:rPr>
          <w:b/>
          <w:i w:val="0"/>
          <w:color w:val="1C3A36"/>
          <w:sz w:val="21"/>
        </w:rPr>
        <w:t xml:space="preserve">When it works / when it fails. </w:t>
      </w:r>
      <w:r>
        <w:rPr>
          <w:b w:val="0"/>
          <w:i w:val="0"/>
          <w:sz w:val="21"/>
        </w:rPr>
        <w:t>Works when policy is the dominant swing - and here it is: ABUK's feedstock is state-priced gas, its revenue is USD-linked urea and ammonia, and the FY25 accounts already carry a shutdown adjustment from a gas-supply interruption. Fails as a standalone lens because it says little about the value of the non-operating cash and investments, and its probabilities are judgments dressed as numbers.</w:t>
      </w:r>
    </w:p>
    <w:p>
      <w:pPr>
        <w:spacing w:after="120" w:line="264" w:lineRule="auto"/>
      </w:pPr>
      <w:r>
        <w:rPr>
          <w:b w:val="0"/>
          <w:i w:val="0"/>
          <w:sz w:val="21"/>
        </w:rPr>
        <w:t>I anchor those probabilities on things that can be checked: the subsidy's fiscal cost, IMF-program optics, and the political price of idle plants - and I publish them so they can be argued with rather than merely believed.</w:t>
      </w:r>
    </w:p>
    <w:p>
      <w:pPr>
        <w:spacing w:after="120" w:line="264" w:lineRule="auto"/>
      </w:pPr>
      <w:r>
        <w:rPr>
          <w:b w:val="0"/>
          <w:i w:val="0"/>
          <w:sz w:val="21"/>
        </w:rPr>
        <w:t>It is, in the end, the lens that tells you what you are actually betting on when you pay EGP 68.</w:t>
      </w:r>
    </w:p>
    <w:p>
      <w:pPr>
        <w:spacing w:after="120" w:line="264" w:lineRule="auto"/>
      </w:pPr>
      <w:r>
        <w:rPr>
          <w:b/>
          <w:i w:val="0"/>
          <w:color w:val="1C3A36"/>
          <w:sz w:val="21"/>
        </w:rPr>
        <w:t xml:space="preserve">Standard workings. </w:t>
      </w:r>
      <w:r>
        <w:rPr>
          <w:b w:val="0"/>
          <w:i w:val="0"/>
          <w:sz w:val="21"/>
        </w:rPr>
        <w:t>Three regimes on the gas/FX pair, each valued as margin -&gt; equity per share, probability-weighted.</w:t>
      </w:r>
    </w:p>
    <w:p>
      <w:pPr>
        <w:spacing w:after="120" w:line="264" w:lineRule="auto"/>
      </w:pPr>
      <w:r>
        <w:rPr>
          <w:b w:val="0"/>
          <w:i w:val="0"/>
          <w:sz w:val="21"/>
        </w:rPr>
        <w:t>Each scenario is a full re-solve of Expert 1's model at that regime's margin, not a haircut: scenario A also re-prices the EGP 15% weaker; scenario C moves gas to parity while holding the currency - the combinations are chosen because the two levers historically move together.</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Scenario</w:t>
            </w:r>
          </w:p>
        </w:tc>
        <w:tc>
          <w:tcPr>
            <w:tcW w:type="dxa" w:w="3168"/>
            <w:shd w:val="clear" w:fill="1C3A36"/>
          </w:tcPr>
          <w:p>
            <w:pPr>
              <w:spacing w:line="264" w:lineRule="auto"/>
              <w:jc w:val="right"/>
            </w:pPr>
            <w:r>
              <w:rPr>
                <w:b/>
                <w:i w:val="0"/>
                <w:color w:val="FFFFFF"/>
                <w:sz w:val="18"/>
              </w:rPr>
              <w:t>Margin / EGP per share / prob.</w:t>
            </w:r>
          </w:p>
        </w:tc>
      </w:tr>
      <w:tr>
        <w:tc>
          <w:tcPr>
            <w:tcW w:type="dxa" w:w="4896"/>
          </w:tcPr>
          <w:p>
            <w:pPr>
              <w:spacing w:line="264" w:lineRule="auto"/>
            </w:pPr>
            <w:r>
              <w:rPr>
                <w:b w:val="0"/>
                <w:i w:val="0"/>
                <w:color w:val="1C3A36"/>
                <w:sz w:val="18"/>
              </w:rPr>
              <w:t>A - gas subsidised, EGP weak</w:t>
            </w:r>
          </w:p>
        </w:tc>
        <w:tc>
          <w:tcPr>
            <w:tcW w:type="dxa" w:w="3168"/>
          </w:tcPr>
          <w:p>
            <w:pPr>
              <w:spacing w:line="264" w:lineRule="auto"/>
              <w:jc w:val="right"/>
            </w:pPr>
            <w:r>
              <w:rPr>
                <w:b w:val="0"/>
                <w:i w:val="0"/>
                <w:sz w:val="18"/>
              </w:rPr>
              <w:t>~45% / ~75 / 30%</w:t>
            </w:r>
          </w:p>
        </w:tc>
      </w:tr>
      <w:tr>
        <w:tc>
          <w:tcPr>
            <w:tcW w:type="dxa" w:w="4896"/>
            <w:shd w:val="clear" w:fill="EFF3F1"/>
          </w:tcPr>
          <w:p>
            <w:pPr>
              <w:spacing w:line="264" w:lineRule="auto"/>
            </w:pPr>
            <w:r>
              <w:rPr>
                <w:b w:val="0"/>
                <w:i w:val="0"/>
                <w:color w:val="1C3A36"/>
                <w:sz w:val="18"/>
              </w:rPr>
              <w:t>B - base: partial pass-through</w:t>
            </w:r>
          </w:p>
        </w:tc>
        <w:tc>
          <w:tcPr>
            <w:tcW w:type="dxa" w:w="3168"/>
            <w:shd w:val="clear" w:fill="EFF3F1"/>
          </w:tcPr>
          <w:p>
            <w:pPr>
              <w:spacing w:line="264" w:lineRule="auto"/>
              <w:jc w:val="right"/>
            </w:pPr>
            <w:r>
              <w:rPr>
                <w:b w:val="0"/>
                <w:i w:val="0"/>
                <w:sz w:val="18"/>
              </w:rPr>
              <w:t>~40% / ~62 / 45%</w:t>
            </w:r>
          </w:p>
        </w:tc>
      </w:tr>
      <w:tr>
        <w:tc>
          <w:tcPr>
            <w:tcW w:type="dxa" w:w="4896"/>
          </w:tcPr>
          <w:p>
            <w:pPr>
              <w:spacing w:line="264" w:lineRule="auto"/>
            </w:pPr>
            <w:r>
              <w:rPr>
                <w:b w:val="0"/>
                <w:i w:val="0"/>
                <w:color w:val="1C3A36"/>
                <w:sz w:val="18"/>
              </w:rPr>
              <w:t>C - gas to export parity</w:t>
            </w:r>
          </w:p>
        </w:tc>
        <w:tc>
          <w:tcPr>
            <w:tcW w:type="dxa" w:w="3168"/>
          </w:tcPr>
          <w:p>
            <w:pPr>
              <w:spacing w:line="264" w:lineRule="auto"/>
              <w:jc w:val="right"/>
            </w:pPr>
            <w:r>
              <w:rPr>
                <w:b w:val="0"/>
                <w:i w:val="0"/>
                <w:sz w:val="18"/>
              </w:rPr>
              <w:t>~30% / ~48 / 25%</w:t>
            </w:r>
          </w:p>
        </w:tc>
      </w:tr>
      <w:tr>
        <w:tc>
          <w:tcPr>
            <w:tcW w:type="dxa" w:w="4896"/>
            <w:shd w:val="clear" w:fill="EFF3F1"/>
          </w:tcPr>
          <w:p>
            <w:pPr>
              <w:spacing w:line="264" w:lineRule="auto"/>
            </w:pPr>
            <w:r>
              <w:rPr>
                <w:b w:val="0"/>
                <w:i w:val="0"/>
                <w:color w:val="1C3A36"/>
                <w:sz w:val="18"/>
              </w:rPr>
              <w:t>Probability-weighted</w:t>
            </w:r>
          </w:p>
        </w:tc>
        <w:tc>
          <w:tcPr>
            <w:tcW w:type="dxa" w:w="3168"/>
            <w:shd w:val="clear" w:fill="EFF3F1"/>
          </w:tcPr>
          <w:p>
            <w:pPr>
              <w:spacing w:line="264" w:lineRule="auto"/>
              <w:jc w:val="right"/>
            </w:pPr>
            <w:r>
              <w:rPr>
                <w:b w:val="0"/>
                <w:i w:val="0"/>
                <w:sz w:val="18"/>
              </w:rPr>
              <w:t>~EGP 62</w:t>
            </w:r>
          </w:p>
        </w:tc>
      </w:tr>
    </w:tbl>
    <w:p>
      <w:pPr>
        <w:spacing w:after="40"/>
      </w:pPr>
    </w:p>
    <w:p>
      <w:pPr>
        <w:spacing w:after="120" w:line="264" w:lineRule="auto"/>
      </w:pPr>
      <w:r>
        <w:rPr>
          <w:b/>
          <w:i w:val="0"/>
          <w:color w:val="1C3A36"/>
          <w:sz w:val="21"/>
        </w:rPr>
        <w:t xml:space="preserve">Worked example. </w:t>
      </w:r>
      <w:r>
        <w:rPr>
          <w:b w:val="0"/>
          <w:i w:val="0"/>
          <w:sz w:val="21"/>
        </w:rPr>
        <w:t>Weighting EGP 75 / 62 / 48 by 30 / 45 / 25% gives ~EGP 62/share, with a wide EGP 48-78 span that is the honest measure of policy uncertainty.</w:t>
      </w:r>
    </w:p>
    <w:p>
      <w:pPr>
        <w:spacing w:after="120" w:line="264" w:lineRule="auto"/>
      </w:pPr>
      <w:r>
        <w:rPr>
          <w:b w:val="0"/>
          <w:i w:val="0"/>
          <w:sz w:val="21"/>
        </w:rPr>
        <w:t>Each step from subsidised toward export-parity gas compresses the EBITDA margin by roughly 5-8 points and moves the value ~EGP 10-13/share; the cheapest hedge against my own scenario C is the EGP itself - a 15% devaluation roughly restores it.</w:t>
      </w:r>
    </w:p>
    <w:p>
      <w:pPr>
        <w:spacing w:after="120" w:line="264" w:lineRule="auto"/>
      </w:pPr>
      <w:r>
        <w:rPr>
          <w:b w:val="0"/>
          <w:i w:val="0"/>
          <w:sz w:val="21"/>
        </w:rPr>
        <w:t>The width matters more than the mean: a 48-78 span against a 68 price says the position is a policy trade with an income statement attached.</w:t>
      </w:r>
    </w:p>
    <w:p>
      <w:pPr>
        <w:spacing w:after="120" w:line="264" w:lineRule="auto"/>
      </w:pPr>
      <w:r>
        <w:rPr>
          <w:b/>
          <w:i w:val="0"/>
          <w:color w:val="1C3A36"/>
          <w:sz w:val="21"/>
        </w:rPr>
        <w:t xml:space="preserve">Sensitivity on the swing input. </w:t>
      </w:r>
      <w:r>
        <w:rPr>
          <w:b w:val="0"/>
          <w:i w:val="0"/>
          <w:sz w:val="21"/>
        </w:rPr>
        <w:t>Gas is the swing; FX is the counterweight; the fertilizer price is the amplifier.</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Gas step toward parity (per ~5 margin pts)</w:t>
            </w:r>
          </w:p>
        </w:tc>
        <w:tc>
          <w:tcPr>
            <w:tcW w:type="dxa" w:w="3168"/>
          </w:tcPr>
          <w:p>
            <w:pPr>
              <w:spacing w:line="264" w:lineRule="auto"/>
              <w:jc w:val="right"/>
            </w:pPr>
            <w:r>
              <w:rPr>
                <w:b w:val="0"/>
                <w:i w:val="0"/>
                <w:sz w:val="18"/>
              </w:rPr>
              <w:t>- ~10-13</w:t>
            </w:r>
          </w:p>
        </w:tc>
      </w:tr>
      <w:tr>
        <w:tc>
          <w:tcPr>
            <w:tcW w:type="dxa" w:w="4896"/>
            <w:shd w:val="clear" w:fill="EFF3F1"/>
          </w:tcPr>
          <w:p>
            <w:pPr>
              <w:spacing w:line="264" w:lineRule="auto"/>
            </w:pPr>
            <w:r>
              <w:rPr>
                <w:b w:val="0"/>
                <w:i w:val="0"/>
                <w:color w:val="1C3A36"/>
                <w:sz w:val="18"/>
              </w:rPr>
              <w:t>EGP -15% (devaluation)</w:t>
            </w:r>
          </w:p>
        </w:tc>
        <w:tc>
          <w:tcPr>
            <w:tcW w:type="dxa" w:w="3168"/>
            <w:shd w:val="clear" w:fill="EFF3F1"/>
          </w:tcPr>
          <w:p>
            <w:pPr>
              <w:spacing w:line="264" w:lineRule="auto"/>
              <w:jc w:val="right"/>
            </w:pPr>
            <w:r>
              <w:rPr>
                <w:b w:val="0"/>
                <w:i w:val="0"/>
                <w:sz w:val="18"/>
              </w:rPr>
              <w:t>+ ~8-10</w:t>
            </w:r>
          </w:p>
        </w:tc>
      </w:tr>
      <w:tr>
        <w:tc>
          <w:tcPr>
            <w:tcW w:type="dxa" w:w="4896"/>
          </w:tcPr>
          <w:p>
            <w:pPr>
              <w:spacing w:line="264" w:lineRule="auto"/>
            </w:pPr>
            <w:r>
              <w:rPr>
                <w:b w:val="0"/>
                <w:i w:val="0"/>
                <w:color w:val="1C3A36"/>
                <w:sz w:val="18"/>
              </w:rPr>
              <w:t>Urea +/-USD 50/t</w:t>
            </w:r>
          </w:p>
        </w:tc>
        <w:tc>
          <w:tcPr>
            <w:tcW w:type="dxa" w:w="3168"/>
          </w:tcPr>
          <w:p>
            <w:pPr>
              <w:spacing w:line="264" w:lineRule="auto"/>
              <w:jc w:val="right"/>
            </w:pPr>
            <w:r>
              <w:rPr>
                <w:b w:val="0"/>
                <w:i w:val="0"/>
                <w:sz w:val="18"/>
              </w:rPr>
              <w:t>+/- ~5</w:t>
            </w:r>
          </w:p>
        </w:tc>
      </w:tr>
    </w:tbl>
    <w:p>
      <w:pPr>
        <w:spacing w:after="40"/>
      </w:pPr>
    </w:p>
    <w:p>
      <w:pPr>
        <w:spacing w:after="120" w:line="264" w:lineRule="auto"/>
      </w:pPr>
      <w:r>
        <w:rPr>
          <w:b/>
          <w:i w:val="0"/>
          <w:color w:val="1C3A36"/>
          <w:sz w:val="21"/>
        </w:rPr>
        <w:t xml:space="preserve">Cross-examination. </w:t>
      </w:r>
      <w:r>
        <w:rPr>
          <w:b w:val="0"/>
          <w:i w:val="0"/>
          <w:sz w:val="21"/>
        </w:rPr>
        <w:t>To Expert 1: your 'mid-cycle margin' is not a constant of nature, it is a policy dial the state reset in 2014 and 2022 - and 'recovered both times' is the survivorship of a fiscal era now under IMF review. The past subsidy is data, not destiny.</w:t>
      </w:r>
    </w:p>
    <w:p>
      <w:pPr>
        <w:spacing w:after="120" w:line="264" w:lineRule="auto"/>
      </w:pPr>
      <w:r>
        <w:rPr>
          <w:b w:val="0"/>
          <w:i w:val="0"/>
          <w:sz w:val="21"/>
        </w:rPr>
        <w:t>To Expert 2: your carrying values do not move, but the operating value halves if gas is repriced - and your floor is not even static: in scenario C the market discounts trapped cash harder, not softer, because capital locked inside a shrinking franchise is worth less, not the same.</w:t>
      </w:r>
    </w:p>
    <w:p>
      <w:pPr>
        <w:spacing w:after="120" w:line="264" w:lineRule="auto"/>
      </w:pPr>
      <w:r>
        <w:rPr>
          <w:b/>
          <w:i w:val="0"/>
          <w:color w:val="1C3A36"/>
          <w:sz w:val="21"/>
        </w:rPr>
        <w:t xml:space="preserve">Verdict, falsification, and what the price implies. </w:t>
      </w:r>
      <w:r>
        <w:rPr>
          <w:b w:val="0"/>
          <w:i w:val="0"/>
          <w:sz w:val="21"/>
        </w:rPr>
        <w:t>Base ~EGP 62 (range 48-78, the widest). At EGP 68 the market assigns a low probability to near-term gas repricing - which is a view, not a fact.</w:t>
      </w:r>
    </w:p>
    <w:p>
      <w:pPr>
        <w:spacing w:after="120" w:line="264" w:lineRule="auto"/>
      </w:pPr>
      <w:r>
        <w:rPr>
          <w:b w:val="0"/>
          <w:i w:val="0"/>
          <w:sz w:val="21"/>
        </w:rPr>
        <w:t>Price-implied: spot weights my scenarios roughly 40/45/15 - fatter on A and thinner on C than I can justify from the fiscal arithmetic. The market, in one sentence, is long the subsidy. Falsification: an announced move of fertilizer-sector gas to export-parity pricing confirms the bear; continued subsidy with a weak EGP confirms the bull.</w:t>
      </w:r>
    </w:p>
    <w:p>
      <w:pPr>
        <w:spacing w:before="160" w:after="120" w:line="264" w:lineRule="auto"/>
      </w:pPr>
      <w:r>
        <w:rPr>
          <w:b/>
          <w:i w:val="0"/>
          <w:color w:val="1C3A36"/>
          <w:sz w:val="24"/>
        </w:rPr>
        <w:t>D.5  The three in one room</w:t>
      </w:r>
    </w:p>
    <w:p>
      <w:pPr>
        <w:spacing w:after="120" w:line="264" w:lineRule="auto"/>
      </w:pPr>
      <w:r>
        <w:rPr>
          <w:b w:val="0"/>
          <w:i w:val="0"/>
          <w:sz w:val="21"/>
        </w:rPr>
        <w:t>Put in one room, the three argue about the operating fertilizer business - the only part they truly value differently. Expert 1 opens: forty percent through the cycle, EGP 50 bn of operating value, and the history to prove it. Expert 2 slides the balance sheet across the table: mark the plants conservatively and remember the cash is the floor, not the looms of your imagination - EGP 17.4 a share needs no gas view at all. Expert 3 cuts in: the margin you both cite is a policy number - 45% if gas stays subsidised, 30% if it goes to parity - so your 'mid-cycle' is a coin the state is holding, and it has flipped it twice in a decade. The room falls quiet at the one point of agreement: whoever is right about the gas file is right about the stock, and none of them sets gas policy.</w:t>
      </w:r>
    </w:p>
    <w:p>
      <w:pPr>
        <w:spacing w:before="160" w:after="120" w:line="264" w:lineRule="auto"/>
      </w:pPr>
      <w:r>
        <w:rPr>
          <w:b/>
          <w:i w:val="0"/>
          <w:color w:val="1C3A36"/>
          <w:sz w:val="24"/>
        </w:rPr>
        <w:t>D.6  Reading the divergence</w:t>
      </w:r>
    </w:p>
    <w:p>
      <w:pPr>
        <w:spacing w:after="120" w:line="264" w:lineRule="auto"/>
      </w:pPr>
      <w:r>
        <w:rPr>
          <w:b w:val="0"/>
          <w:i w:val="0"/>
          <w:sz w:val="21"/>
        </w:rPr>
        <w:t>The football field shows base fair values of ~EGP 57 / 58 / 62 against spot 68, but the ranges tell the real story - EGP 50-65, 55-62, and 48-78. The spread does not measure disagreement about ABUK's numbers - all three accept the accounts - it measures uncertainty about Egyptian gas policy and how to value a cash pile the company holds but has not handed back.</w:t>
      </w:r>
    </w:p>
    <w:p>
      <w:pPr>
        <w:spacing w:after="120" w:line="264" w:lineRule="auto"/>
      </w:pPr>
      <w:r>
        <w:rPr>
          <w:b w:val="0"/>
          <w:i w:val="0"/>
          <w:sz w:val="21"/>
        </w:rPr>
        <w:t>What closes it is also visible: the two falsification events (a gas-pricing announcement, a special dividend) are the same two catalysts heading section 5 - the divergence is not academic, it has a calendar.</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1C3A36"/>
          </w:tcPr>
          <w:p>
            <w:pPr>
              <w:spacing w:line="264" w:lineRule="auto"/>
            </w:pPr>
            <w:r>
              <w:rPr>
                <w:b/>
                <w:i w:val="0"/>
                <w:color w:val="FFFFFF"/>
                <w:sz w:val="18"/>
              </w:rPr>
              <w:t>Expert</w:t>
            </w:r>
          </w:p>
        </w:tc>
        <w:tc>
          <w:tcPr>
            <w:tcW w:type="dxa" w:w="2592"/>
            <w:shd w:val="clear" w:fill="1C3A36"/>
          </w:tcPr>
          <w:p>
            <w:pPr>
              <w:spacing w:line="264" w:lineRule="auto"/>
              <w:jc w:val="right"/>
            </w:pPr>
            <w:r>
              <w:rPr>
                <w:b/>
                <w:i w:val="0"/>
                <w:color w:val="FFFFFF"/>
                <w:sz w:val="18"/>
              </w:rPr>
              <w:t>Method</w:t>
            </w:r>
          </w:p>
        </w:tc>
        <w:tc>
          <w:tcPr>
            <w:tcW w:type="dxa" w:w="2304"/>
            <w:shd w:val="clear" w:fill="1C3A36"/>
          </w:tcPr>
          <w:p>
            <w:pPr>
              <w:spacing w:line="264" w:lineRule="auto"/>
              <w:jc w:val="right"/>
            </w:pPr>
            <w:r>
              <w:rPr>
                <w:b/>
                <w:i w:val="0"/>
                <w:color w:val="FFFFFF"/>
                <w:sz w:val="18"/>
              </w:rPr>
              <w:t>Fair value (EGP)</w:t>
            </w:r>
          </w:p>
        </w:tc>
        <w:tc>
          <w:tcPr>
            <w:tcW w:type="dxa" w:w="3168"/>
            <w:shd w:val="clear" w:fill="1C3A36"/>
          </w:tcPr>
          <w:p>
            <w:pPr>
              <w:spacing w:line="264" w:lineRule="auto"/>
              <w:jc w:val="right"/>
            </w:pPr>
            <w:r>
              <w:rPr>
                <w:b/>
                <w:i w:val="0"/>
                <w:color w:val="FFFFFF"/>
                <w:sz w:val="18"/>
              </w:rPr>
              <w:t>Swing assumption</w:t>
            </w:r>
          </w:p>
        </w:tc>
      </w:tr>
      <w:tr>
        <w:tc>
          <w:tcPr>
            <w:tcW w:type="dxa" w:w="1728"/>
          </w:tcPr>
          <w:p>
            <w:pPr>
              <w:spacing w:line="264" w:lineRule="auto"/>
            </w:pPr>
            <w:r>
              <w:rPr>
                <w:b w:val="0"/>
                <w:i w:val="0"/>
                <w:color w:val="1C3A36"/>
                <w:sz w:val="18"/>
              </w:rPr>
              <w:t>Expert 1</w:t>
            </w:r>
          </w:p>
        </w:tc>
        <w:tc>
          <w:tcPr>
            <w:tcW w:type="dxa" w:w="2592"/>
          </w:tcPr>
          <w:p>
            <w:pPr>
              <w:spacing w:line="264" w:lineRule="auto"/>
              <w:jc w:val="right"/>
            </w:pPr>
            <w:r>
              <w:rPr>
                <w:b w:val="0"/>
                <w:i w:val="0"/>
                <w:sz w:val="18"/>
              </w:rPr>
              <w:t>Earnings-power</w:t>
            </w:r>
          </w:p>
        </w:tc>
        <w:tc>
          <w:tcPr>
            <w:tcW w:type="dxa" w:w="2304"/>
          </w:tcPr>
          <w:p>
            <w:pPr>
              <w:spacing w:line="264" w:lineRule="auto"/>
              <w:jc w:val="right"/>
            </w:pPr>
            <w:r>
              <w:rPr>
                <w:b w:val="0"/>
                <w:i w:val="0"/>
                <w:sz w:val="18"/>
              </w:rPr>
              <w:t>57 (50-65)</w:t>
            </w:r>
          </w:p>
        </w:tc>
        <w:tc>
          <w:tcPr>
            <w:tcW w:type="dxa" w:w="3168"/>
          </w:tcPr>
          <w:p>
            <w:pPr>
              <w:spacing w:line="264" w:lineRule="auto"/>
              <w:jc w:val="right"/>
            </w:pPr>
            <w:r>
              <w:rPr>
                <w:b w:val="0"/>
                <w:i w:val="0"/>
                <w:sz w:val="18"/>
              </w:rPr>
              <w:t>Mid-cycle EBITDA margin</w:t>
            </w:r>
          </w:p>
        </w:tc>
      </w:tr>
      <w:tr>
        <w:tc>
          <w:tcPr>
            <w:tcW w:type="dxa" w:w="1728"/>
            <w:shd w:val="clear" w:fill="EFF3F1"/>
          </w:tcPr>
          <w:p>
            <w:pPr>
              <w:spacing w:line="264" w:lineRule="auto"/>
            </w:pPr>
            <w:r>
              <w:rPr>
                <w:b w:val="0"/>
                <w:i w:val="0"/>
                <w:color w:val="1C3A36"/>
                <w:sz w:val="18"/>
              </w:rPr>
              <w:t>Expert 2</w:t>
            </w:r>
          </w:p>
        </w:tc>
        <w:tc>
          <w:tcPr>
            <w:tcW w:type="dxa" w:w="2592"/>
            <w:shd w:val="clear" w:fill="EFF3F1"/>
          </w:tcPr>
          <w:p>
            <w:pPr>
              <w:spacing w:line="264" w:lineRule="auto"/>
              <w:jc w:val="right"/>
            </w:pPr>
            <w:r>
              <w:rPr>
                <w:b w:val="0"/>
                <w:i w:val="0"/>
                <w:sz w:val="18"/>
              </w:rPr>
              <w:t>NAV / SOTP</w:t>
            </w:r>
          </w:p>
        </w:tc>
        <w:tc>
          <w:tcPr>
            <w:tcW w:type="dxa" w:w="2304"/>
            <w:shd w:val="clear" w:fill="EFF3F1"/>
          </w:tcPr>
          <w:p>
            <w:pPr>
              <w:spacing w:line="264" w:lineRule="auto"/>
              <w:jc w:val="right"/>
            </w:pPr>
            <w:r>
              <w:rPr>
                <w:b w:val="0"/>
                <w:i w:val="0"/>
                <w:sz w:val="18"/>
              </w:rPr>
              <w:t>58 (55-62)</w:t>
            </w:r>
          </w:p>
        </w:tc>
        <w:tc>
          <w:tcPr>
            <w:tcW w:type="dxa" w:w="3168"/>
            <w:shd w:val="clear" w:fill="EFF3F1"/>
          </w:tcPr>
          <w:p>
            <w:pPr>
              <w:spacing w:line="264" w:lineRule="auto"/>
              <w:jc w:val="right"/>
            </w:pPr>
            <w:r>
              <w:rPr>
                <w:b w:val="0"/>
                <w:i w:val="0"/>
                <w:sz w:val="18"/>
              </w:rPr>
              <w:t>Discount on undistributed capital</w:t>
            </w:r>
          </w:p>
        </w:tc>
      </w:tr>
      <w:tr>
        <w:tc>
          <w:tcPr>
            <w:tcW w:type="dxa" w:w="1728"/>
          </w:tcPr>
          <w:p>
            <w:pPr>
              <w:spacing w:line="264" w:lineRule="auto"/>
            </w:pPr>
            <w:r>
              <w:rPr>
                <w:b w:val="0"/>
                <w:i w:val="0"/>
                <w:color w:val="1C3A36"/>
                <w:sz w:val="18"/>
              </w:rPr>
              <w:t>Expert 3</w:t>
            </w:r>
          </w:p>
        </w:tc>
        <w:tc>
          <w:tcPr>
            <w:tcW w:type="dxa" w:w="2592"/>
          </w:tcPr>
          <w:p>
            <w:pPr>
              <w:spacing w:line="264" w:lineRule="auto"/>
              <w:jc w:val="right"/>
            </w:pPr>
            <w:r>
              <w:rPr>
                <w:b w:val="0"/>
                <w:i w:val="0"/>
                <w:sz w:val="18"/>
              </w:rPr>
              <w:t>Gas/FX regime</w:t>
            </w:r>
          </w:p>
        </w:tc>
        <w:tc>
          <w:tcPr>
            <w:tcW w:type="dxa" w:w="2304"/>
          </w:tcPr>
          <w:p>
            <w:pPr>
              <w:spacing w:line="264" w:lineRule="auto"/>
              <w:jc w:val="right"/>
            </w:pPr>
            <w:r>
              <w:rPr>
                <w:b w:val="0"/>
                <w:i w:val="0"/>
                <w:sz w:val="18"/>
              </w:rPr>
              <w:t>62 (48-78)</w:t>
            </w:r>
          </w:p>
        </w:tc>
        <w:tc>
          <w:tcPr>
            <w:tcW w:type="dxa" w:w="3168"/>
          </w:tcPr>
          <w:p>
            <w:pPr>
              <w:spacing w:line="264" w:lineRule="auto"/>
              <w:jc w:val="right"/>
            </w:pPr>
            <w:r>
              <w:rPr>
                <w:b w:val="0"/>
                <w:i w:val="0"/>
                <w:sz w:val="18"/>
              </w:rPr>
              <w:t>The gas-price regime</w:t>
            </w:r>
          </w:p>
        </w:tc>
      </w:tr>
    </w:tbl>
    <w:p>
      <w:pPr>
        <w:spacing w:after="40"/>
      </w:pPr>
    </w:p>
    <w:p>
      <w:pPr>
        <w:jc w:val="center"/>
      </w:pPr>
      <w:r>
        <w:drawing>
          <wp:inline xmlns:a="http://schemas.openxmlformats.org/drawingml/2006/main" xmlns:pic="http://schemas.openxmlformats.org/drawingml/2006/picture">
            <wp:extent cx="5760720" cy="2541493"/>
            <wp:docPr id="9" name="Picture 9"/>
            <wp:cNvGraphicFramePr>
              <a:graphicFrameLocks noChangeAspect="1"/>
            </wp:cNvGraphicFramePr>
            <a:graphic>
              <a:graphicData uri="http://schemas.openxmlformats.org/drawingml/2006/picture">
                <pic:pic>
                  <pic:nvPicPr>
                    <pic:cNvPr id="0" name="ABUK_football.png"/>
                    <pic:cNvPicPr/>
                  </pic:nvPicPr>
                  <pic:blipFill>
                    <a:blip r:embed="rId9"/>
                    <a:stretch>
                      <a:fillRect/>
                    </a:stretch>
                  </pic:blipFill>
                  <pic:spPr>
                    <a:xfrm>
                      <a:off x="0" y="0"/>
                      <a:ext cx="5760720" cy="2541493"/>
                    </a:xfrm>
                    <a:prstGeom prst="rect"/>
                  </pic:spPr>
                </pic:pic>
              </a:graphicData>
            </a:graphic>
          </wp:inline>
        </w:drawing>
      </w:r>
    </w:p>
    <w:p>
      <w:pPr>
        <w:spacing w:line="264" w:lineRule="auto"/>
        <w:jc w:val="center"/>
      </w:pPr>
      <w:r>
        <w:rPr>
          <w:b w:val="0"/>
          <w:i/>
          <w:color w:val="666666"/>
          <w:sz w:val="16"/>
        </w:rPr>
        <w:t>Expert fair values vs spot</w:t>
      </w:r>
    </w:p>
    <w:p>
      <w:pPr>
        <w:spacing w:before="160" w:after="120" w:line="264" w:lineRule="auto"/>
      </w:pPr>
      <w:r>
        <w:rPr>
          <w:b/>
          <w:i w:val="0"/>
          <w:color w:val="1C3A36"/>
          <w:sz w:val="30"/>
        </w:rPr>
        <w:t>About this series</w:t>
      </w:r>
    </w:p>
    <w:p>
      <w:pPr>
        <w:spacing w:after="120" w:line="264" w:lineRule="auto"/>
      </w:pPr>
      <w:r>
        <w:rPr>
          <w:b w:val="0"/>
          <w:i w:val="0"/>
          <w:sz w:val="21"/>
        </w:rPr>
        <w:t>Testahil publishes independent, educational valuation studies. The house style is distributions, not tips: we describe ranges and probabilities, not targets. Studies are framed as educational analysis, the preparer is not licensed by any securities regulator, and holdings are disclosed.</w:t>
      </w:r>
    </w:p>
    <w:p>
      <w:pPr>
        <w:spacing w:before="160" w:after="120" w:line="264" w:lineRule="auto"/>
      </w:pPr>
      <w:r>
        <w:rPr>
          <w:b/>
          <w:i w:val="0"/>
          <w:color w:val="1C3A36"/>
          <w:sz w:val="30"/>
        </w:rPr>
        <w:t>Disclosure &amp; Disclaimer</w:t>
      </w:r>
    </w:p>
    <w:p>
      <w:pPr>
        <w:spacing w:after="120" w:line="264" w:lineRule="auto"/>
      </w:pPr>
      <w:r>
        <w:rPr>
          <w:b/>
          <w:i w:val="0"/>
          <w:color w:val="1C3A36"/>
          <w:sz w:val="18"/>
        </w:rPr>
        <w:t xml:space="preserve">Not investment advice. </w:t>
      </w:r>
      <w:r>
        <w:rPr>
          <w:b w:val="0"/>
          <w:i w:val="0"/>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line="264" w:lineRule="auto"/>
      </w:pPr>
      <w:r>
        <w:rPr>
          <w:b/>
          <w:i w:val="0"/>
          <w:color w:val="1C3A36"/>
          <w:sz w:val="18"/>
        </w:rPr>
        <w:t xml:space="preserve">No licence; no advisory relationship. </w:t>
      </w:r>
      <w:r>
        <w:rPr>
          <w:b w:val="0"/>
          <w:i w:val="0"/>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20" w:line="264" w:lineRule="auto"/>
      </w:pPr>
      <w:r>
        <w:rPr>
          <w:b/>
          <w:i w:val="0"/>
          <w:color w:val="1C3A36"/>
          <w:sz w:val="18"/>
        </w:rPr>
        <w:t xml:space="preserve">Holdings disclosure. </w:t>
      </w:r>
      <w:r>
        <w:rPr>
          <w:b w:val="0"/>
          <w:i w:val="0"/>
          <w:sz w:val="18"/>
        </w:rPr>
        <w:t>The preparer may hold, and may in the future take or dispose of, a position in the security discussed in this report, and may transact at any time without notice. This is a potential conflict of interest you should weigh.</w:t>
      </w:r>
    </w:p>
    <w:p>
      <w:pPr>
        <w:spacing w:after="120" w:line="264" w:lineRule="auto"/>
      </w:pPr>
      <w:r>
        <w:rPr>
          <w:b/>
          <w:i w:val="0"/>
          <w:color w:val="1C3A36"/>
          <w:sz w:val="18"/>
        </w:rPr>
        <w:t xml:space="preserve">Sources &amp; accuracy. </w:t>
      </w:r>
      <w:r>
        <w:rPr>
          <w:b w:val="0"/>
          <w:i w:val="0"/>
          <w:sz w:val="18"/>
        </w:rPr>
        <w:t>Reported financial and operating figures are drawn from the company's public disclosure and other public sources believed reliable but not independently verified; they may contain errors or be superseded. Forward-looking inputs are the preparer's own judgments and are inherently uncertain.</w:t>
      </w:r>
    </w:p>
    <w:p>
      <w:pPr>
        <w:spacing w:after="120" w:line="264" w:lineRule="auto"/>
      </w:pPr>
      <w:r>
        <w:rPr>
          <w:b/>
          <w:i w:val="0"/>
          <w:color w:val="1C3A36"/>
          <w:sz w:val="18"/>
        </w:rPr>
        <w:t xml:space="preserve">Forward-looking statements. </w:t>
      </w:r>
      <w:r>
        <w:rPr>
          <w:b w:val="0"/>
          <w:i w:val="0"/>
          <w:sz w:val="18"/>
        </w:rPr>
        <w:t>Any statements about the future are estimates subject to risks and uncertainties; actual results may differ materially. The Monte Carlo models price, not value, and encodes subjective probabilities for events that have not occurred.</w:t>
      </w:r>
    </w:p>
    <w:p>
      <w:pPr>
        <w:spacing w:after="120" w:line="264" w:lineRule="auto"/>
      </w:pPr>
      <w:r>
        <w:rPr>
          <w:b/>
          <w:i w:val="0"/>
          <w:color w:val="1C3A36"/>
          <w:sz w:val="18"/>
        </w:rPr>
        <w:t xml:space="preserve">No reliance; your responsibility. </w:t>
      </w:r>
      <w:r>
        <w:rPr>
          <w:b w:val="0"/>
          <w:i w:val="0"/>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line="264" w:lineRule="auto"/>
      </w:pPr>
      <w:r>
        <w:rPr>
          <w:b/>
          <w:i w:val="0"/>
          <w:color w:val="1C3A36"/>
          <w:sz w:val="18"/>
        </w:rPr>
        <w:t xml:space="preserve">Currency &amp; figures. </w:t>
      </w:r>
      <w:r>
        <w:rPr>
          <w:b w:val="0"/>
          <w:i w:val="0"/>
          <w:sz w:val="18"/>
        </w:rPr>
        <w:t>Group figures are in EGP. Rounding may cause totals to differ slightly. Spot price and market data are as of the study date and change continuously.</w:t>
      </w:r>
    </w:p>
    <w:p>
      <w:pPr>
        <w:spacing w:line="264" w:lineRule="auto"/>
      </w:pPr>
      <w:r>
        <w:rPr>
          <w:b w:val="0"/>
          <w:i/>
          <w:color w:val="666666"/>
          <w:sz w:val="16"/>
        </w:rPr>
        <w:t>TESTAHIL · Independent Valuation Study · Educational Analysis · Abu Qir Fertilizers and Chemical Industries (S.A.E.) (EGX: ABUK) · edition 01-07-2026 · reporting currency EGP</w:t>
      </w:r>
    </w:p>
    <w:sectPr w:rsidR="00FC693F" w:rsidRPr="0006063C" w:rsidSect="00034616">
      <w:pgSz w:w="12240" w:h="15840"/>
      <w:pgMar w:top="1181" w:right="1440" w:bottom="118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