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5E5E"/>
          <w:sz w:val="20"/>
        </w:rPr>
        <w:t>Testahil   ·   Independent Valuation Study — Educational Analysis</w:t>
      </w:r>
      <w:r>
        <w:rPr>
          <w:i/>
          <w:color w:val="B0894B"/>
          <w:sz w:val="18"/>
        </w:rPr>
        <w:t xml:space="preserve">        Not investment advice</w:t>
      </w:r>
    </w:p>
    <w:p>
      <w:pPr>
        <w:spacing w:after="120"/>
        <w:pBdr>
          <w:bottom w:val="single" w:sz="12" w:space="1" w:color="B0894B"/>
        </w:pBdr>
      </w:pPr>
    </w:p>
    <w:p>
      <w:pPr>
        <w:spacing w:after="40" w:before="0"/>
      </w:pPr>
      <w:r>
        <w:rPr>
          <w:b/>
          <w:i w:val="0"/>
          <w:color w:val="1B5E5E"/>
          <w:sz w:val="24"/>
        </w:rPr>
        <w:t>Independent Valuation Study — Educational Analysis</w:t>
      </w:r>
    </w:p>
    <w:p>
      <w:pPr>
        <w:spacing w:after="40" w:before="0"/>
      </w:pPr>
      <w:r>
        <w:rPr>
          <w:b/>
          <w:i w:val="0"/>
          <w:color w:val="222222"/>
          <w:sz w:val="34"/>
        </w:rPr>
        <w:t>ACWA Power Company  (Tadawul: 2082)</w:t>
      </w:r>
    </w:p>
    <w:p>
      <w:pPr>
        <w:spacing w:after="120" w:before="0"/>
      </w:pPr>
      <w:r>
        <w:rPr>
          <w:b w:val="0"/>
          <w:i/>
          <w:color w:val="555555"/>
          <w:sz w:val="20"/>
        </w:rPr>
        <w:t>Fundamental analysis · Technical analysis · Monte Carlo simulation — one integrated read</w:t>
      </w:r>
    </w:p>
    <w:p>
      <w:pPr>
        <w:spacing w:after="120"/>
      </w:pPr>
      <w:r>
        <w:rPr>
          <w:b/>
          <w:color w:val="222222"/>
          <w:sz w:val="20"/>
        </w:rPr>
        <w:t xml:space="preserve">Anchor: </w:t>
      </w:r>
      <w:r>
        <w:rPr>
          <w:b w:val="0"/>
          <w:color w:val="222222"/>
          <w:sz w:val="20"/>
        </w:rPr>
        <w:t xml:space="preserve">SAR 193.90 (05 Jul 2026 close) · 766.5m shares · mkt cap ~SAR 148.6bn · </w:t>
      </w:r>
      <w:r>
        <w:rPr>
          <w:b w:val="0"/>
          <w:color w:val="222222"/>
          <w:sz w:val="20"/>
        </w:rPr>
        <w:t xml:space="preserve">ACWA Power is a Develop–Invest–Operate–Optimize infrastructure platform — the world's largest private water-desalination company and a Vision-2030 renewables champion — holding equity in a 108-project, ~SAR 437bn portfolio (93 GW power, 9.2m m³/day water) on 20–30-year offtake contracts. </w:t>
      </w:r>
      <w:r>
        <w:rPr>
          <w:b w:val="0"/>
          <w:color w:val="222222"/>
          <w:sz w:val="20"/>
        </w:rPr>
        <w:t>Prices and probabilities computed 05 Jul 2026 from the attached daily history. Primary lens: sum-of-the-parts / NAV of the project portfolio, development pipeline and services, less holdco net debt. The swing factors are whether Vision-2030 growth capital earns above its cost and the multiple the market pays for the development platform.</w:t>
      </w:r>
    </w:p>
    <w:tbl>
      <w:tblPr>
        <w:tblStyle w:val="TableGrid"/>
        <w:tblW w:type="auto" w:w="0"/>
        <w:tblLook w:firstColumn="1" w:firstRow="1" w:lastColumn="0" w:lastRow="0" w:noHBand="0" w:noVBand="1" w:val="04A0"/>
      </w:tblPr>
      <w:tblGrid>
        <w:gridCol w:w="9936"/>
      </w:tblGrid>
      <w:tr>
        <w:tc>
          <w:tcPr>
            <w:tcW w:type="dxa" w:w="9936"/>
            <w:tcW w:w="9936" w:type="dxa"/>
            <w:shd w:val="clear" w:fill="F2EFE6"/>
          </w:tcPr>
          <w:p>
            <w:pPr>
              <w:spacing w:after="40"/>
            </w:pPr>
            <w:r>
              <w:rPr>
                <w:b/>
                <w:color w:val="1B5E5E"/>
                <w:sz w:val="19"/>
              </w:rPr>
              <w:t xml:space="preserve">READ FIRST — what this document is, and is not.  </w:t>
            </w:r>
            <w:r>
              <w:rPr>
                <w:color w:val="222222"/>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investment-advisory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KPMG-audited); forward-looking inputs — the portfolio marks, the pipeline value, the holdco treatment, the multiples, the DCF and the Monte-Carlo factor probabilities — are the preparer's judgments and are flagged throughout. Consult a licensed financial advisor before any investment decision.</w:t>
            </w:r>
          </w:p>
        </w:tc>
      </w:tr>
    </w:tbl>
    <w:p>
      <w:pPr>
        <w:spacing w:after="40"/>
      </w:pPr>
    </w:p>
    <w:p>
      <w:pPr>
        <w:spacing w:before="200" w:after="80"/>
      </w:pPr>
      <w:r>
        <w:rPr>
          <w:b/>
          <w:color w:val="1B5E5E"/>
          <w:sz w:val="30"/>
        </w:rPr>
        <w:t>Headline</w:t>
      </w:r>
    </w:p>
    <w:p>
      <w:pPr>
        <w:spacing w:after="120"/>
      </w:pPr>
      <w:r>
        <w:rPr>
          <w:b/>
          <w:color w:val="222222"/>
          <w:sz w:val="21"/>
        </w:rPr>
        <w:t xml:space="preserve">The model's read: fairly valued, with the upside resting on Vision-2030 execution and the multiple on the development platform.  </w:t>
      </w:r>
      <w:r>
        <w:rPr>
          <w:b w:val="0"/>
          <w:color w:val="222222"/>
          <w:sz w:val="21"/>
        </w:rPr>
        <w:t>At SAR 194 the shares sit almost exactly on our weighted central estimate of SAR 195. The four lenses disagree by magnitude, not direction: a sum-of-the-parts NAV of the contracted portfolio (SAR 215) sits above spot; a normalized-attributable DCF (SAR 184) and a relative-multiple read (SAR 158) sit below; and a pipeline-maturation earnings read (SAR 197) lands near spot. The whole answer turns on one economic question — whether the enormous capital ACWA is deploying to triple its assets under management to US$250bn by 2030 will earn above its cost. Today's reported returns say not yet (ROIC ~2.6%, below an ~8–10% cost of capital) because much of that capital sits in projects still under construction; the bull case is that as the SAR 100bn-plus under-construction book reaches commercial operation, earnings and returns ramp. Technically the tape is neutral: the stock has bounced off its SAR 157 low to sit on its 200-day average, with RSI near 50 and momentum cooling — neither the oversold spring nor the overbought stretch. Over three months the Monte Carlo places the 5th–95th band at roughly SAR 137–268 with the median on spot, and the honest quarter-ahead read is the 50% band, SAR 171–220.</w:t>
      </w:r>
    </w:p>
    <w:p>
      <w:pPr>
        <w:spacing w:before="200" w:after="80"/>
      </w:pPr>
      <w:r>
        <w:rPr>
          <w:b/>
          <w:color w:val="1B5E5E"/>
          <w:sz w:val="30"/>
        </w:rPr>
        <w:t>Valuation summary — every read at a glance</w:t>
      </w:r>
    </w:p>
    <w:p>
      <w:pPr>
        <w:spacing w:after="120" w:before="0"/>
      </w:pPr>
      <w:r>
        <w:rPr>
          <w:b w:val="0"/>
          <w:i w:val="0"/>
          <w:color w:val="222222"/>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96"/>
            <w:tcW w:w="3096" w:type="dxa"/>
            <w:shd w:val="clear" w:fill="1B5E5E"/>
          </w:tcPr>
          <w:p>
            <w:pPr>
              <w:spacing w:after="20" w:before="20"/>
            </w:pPr>
            <w:r>
              <w:rPr>
                <w:b/>
                <w:color w:val="FFFFFF"/>
                <w:sz w:val="19"/>
              </w:rPr>
              <w:t>Lens / read</w:t>
            </w:r>
          </w:p>
        </w:tc>
        <w:tc>
          <w:tcPr>
            <w:tcW w:type="dxa" w:w="3744"/>
            <w:tcW w:w="3744" w:type="dxa"/>
            <w:shd w:val="clear" w:fill="1B5E5E"/>
          </w:tcPr>
          <w:p>
            <w:pPr>
              <w:spacing w:after="20" w:before="20"/>
              <w:jc w:val="center"/>
            </w:pPr>
            <w:r>
              <w:rPr>
                <w:b/>
                <w:color w:val="FFFFFF"/>
                <w:sz w:val="19"/>
              </w:rPr>
              <w:t>What it measures</w:t>
            </w:r>
          </w:p>
        </w:tc>
        <w:tc>
          <w:tcPr>
            <w:tcW w:type="dxa" w:w="1512"/>
            <w:tcW w:w="1512" w:type="dxa"/>
            <w:shd w:val="clear" w:fill="1B5E5E"/>
          </w:tcPr>
          <w:p>
            <w:pPr>
              <w:spacing w:after="20" w:before="20"/>
              <w:jc w:val="center"/>
            </w:pPr>
            <w:r>
              <w:rPr>
                <w:b/>
                <w:color w:val="FFFFFF"/>
                <w:sz w:val="19"/>
              </w:rPr>
              <w:t>Output</w:t>
            </w:r>
          </w:p>
        </w:tc>
        <w:tc>
          <w:tcPr>
            <w:tcW w:type="dxa" w:w="1584"/>
            <w:tcW w:w="1584" w:type="dxa"/>
            <w:shd w:val="clear" w:fill="1B5E5E"/>
          </w:tcPr>
          <w:p>
            <w:pPr>
              <w:spacing w:after="20" w:before="20"/>
              <w:jc w:val="center"/>
            </w:pPr>
            <w:r>
              <w:rPr>
                <w:b/>
                <w:color w:val="FFFFFF"/>
                <w:sz w:val="19"/>
              </w:rPr>
              <w:t>Takeaway</w:t>
            </w:r>
          </w:p>
        </w:tc>
      </w:tr>
      <w:tr>
        <w:tc>
          <w:tcPr>
            <w:tcW w:type="dxa" w:w="9936"/>
            <w:gridSpan w:val="4"/>
            <w:shd w:val="clear" w:fill="EFE7D6"/>
          </w:tcPr>
          <w:p>
            <w:pPr>
              <w:spacing w:after="20" w:before="20"/>
            </w:pPr>
            <w:r>
              <w:rPr>
                <w:b/>
                <w:color w:val="1B5E5E"/>
                <w:sz w:val="19"/>
              </w:rPr>
              <w:t>FUNDAMENTAL — what the business is worth (the anchor)</w:t>
            </w:r>
          </w:p>
        </w:tc>
      </w:tr>
      <w:tr>
        <w:tc>
          <w:tcPr>
            <w:tcW w:type="dxa" w:w="3096"/>
            <w:tcW w:w="3096" w:type="dxa"/>
          </w:tcPr>
          <w:p>
            <w:pPr>
              <w:spacing w:after="20" w:before="20"/>
            </w:pPr>
            <w:r>
              <w:rPr>
                <w:sz w:val="19"/>
              </w:rPr>
              <w:t>Sum-of-the-parts / NAV (primary)</w:t>
            </w:r>
          </w:p>
        </w:tc>
        <w:tc>
          <w:tcPr>
            <w:tcW w:type="dxa" w:w="3744"/>
            <w:tcW w:w="3744" w:type="dxa"/>
          </w:tcPr>
          <w:p>
            <w:pPr>
              <w:spacing w:after="20" w:before="20"/>
              <w:jc w:val="center"/>
            </w:pPr>
            <w:r>
              <w:rPr>
                <w:sz w:val="19"/>
              </w:rPr>
              <w:t>Marked portfolio + pipeline + services − holdco net debt</w:t>
            </w:r>
          </w:p>
        </w:tc>
        <w:tc>
          <w:tcPr>
            <w:tcW w:type="dxa" w:w="1512"/>
            <w:tcW w:w="1512" w:type="dxa"/>
          </w:tcPr>
          <w:p>
            <w:pPr>
              <w:spacing w:after="20" w:before="20"/>
              <w:jc w:val="center"/>
            </w:pPr>
            <w:r>
              <w:rPr>
                <w:sz w:val="19"/>
              </w:rPr>
              <w:t>SAR 215</w:t>
            </w:r>
          </w:p>
        </w:tc>
        <w:tc>
          <w:tcPr>
            <w:tcW w:type="dxa" w:w="1584"/>
            <w:tcW w:w="1584" w:type="dxa"/>
          </w:tcPr>
          <w:p>
            <w:pPr>
              <w:spacing w:after="20" w:before="20"/>
              <w:jc w:val="center"/>
            </w:pPr>
            <w:r>
              <w:rPr>
                <w:sz w:val="19"/>
              </w:rPr>
              <w:t>+11% vs spot</w:t>
            </w:r>
          </w:p>
        </w:tc>
      </w:tr>
      <w:tr>
        <w:tc>
          <w:tcPr>
            <w:tcW w:type="dxa" w:w="3096"/>
            <w:tcW w:w="3096" w:type="dxa"/>
          </w:tcPr>
          <w:p>
            <w:pPr>
              <w:spacing w:after="20" w:before="20"/>
            </w:pPr>
            <w:r>
              <w:rPr>
                <w:sz w:val="19"/>
              </w:rPr>
              <w:t>Consolidated DCF</w:t>
            </w:r>
          </w:p>
        </w:tc>
        <w:tc>
          <w:tcPr>
            <w:tcW w:type="dxa" w:w="3744"/>
            <w:tcW w:w="3744" w:type="dxa"/>
          </w:tcPr>
          <w:p>
            <w:pPr>
              <w:spacing w:after="20" w:before="20"/>
              <w:jc w:val="center"/>
            </w:pPr>
            <w:r>
              <w:rPr>
                <w:sz w:val="19"/>
              </w:rPr>
              <w:t>Normalized attributable FCFF, 5-yr + terminal</w:t>
            </w:r>
          </w:p>
        </w:tc>
        <w:tc>
          <w:tcPr>
            <w:tcW w:type="dxa" w:w="1512"/>
            <w:tcW w:w="1512" w:type="dxa"/>
          </w:tcPr>
          <w:p>
            <w:pPr>
              <w:spacing w:after="20" w:before="20"/>
              <w:jc w:val="center"/>
            </w:pPr>
            <w:r>
              <w:rPr>
                <w:sz w:val="19"/>
              </w:rPr>
              <w:t>SAR 184</w:t>
            </w:r>
          </w:p>
        </w:tc>
        <w:tc>
          <w:tcPr>
            <w:tcW w:type="dxa" w:w="1584"/>
            <w:tcW w:w="1584" w:type="dxa"/>
          </w:tcPr>
          <w:p>
            <w:pPr>
              <w:spacing w:after="20" w:before="20"/>
              <w:jc w:val="center"/>
            </w:pPr>
            <w:r>
              <w:rPr>
                <w:sz w:val="19"/>
              </w:rPr>
              <w:t>−5%</w:t>
            </w:r>
          </w:p>
        </w:tc>
      </w:tr>
      <w:tr>
        <w:tc>
          <w:tcPr>
            <w:tcW w:type="dxa" w:w="3096"/>
            <w:tcW w:w="3096" w:type="dxa"/>
          </w:tcPr>
          <w:p>
            <w:pPr>
              <w:spacing w:after="20" w:before="20"/>
            </w:pPr>
            <w:r>
              <w:rPr>
                <w:sz w:val="19"/>
              </w:rPr>
              <w:t>Relative multiples</w:t>
            </w:r>
          </w:p>
        </w:tc>
        <w:tc>
          <w:tcPr>
            <w:tcW w:type="dxa" w:w="3744"/>
            <w:tcW w:w="3744" w:type="dxa"/>
          </w:tcPr>
          <w:p>
            <w:pPr>
              <w:spacing w:after="20" w:before="20"/>
              <w:jc w:val="center"/>
            </w:pPr>
            <w:r>
              <w:rPr>
                <w:sz w:val="19"/>
              </w:rPr>
              <w:t>P/E, P/B, EV/EBITDA blend</w:t>
            </w:r>
          </w:p>
        </w:tc>
        <w:tc>
          <w:tcPr>
            <w:tcW w:type="dxa" w:w="1512"/>
            <w:tcW w:w="1512" w:type="dxa"/>
          </w:tcPr>
          <w:p>
            <w:pPr>
              <w:spacing w:after="20" w:before="20"/>
              <w:jc w:val="center"/>
            </w:pPr>
            <w:r>
              <w:rPr>
                <w:sz w:val="19"/>
              </w:rPr>
              <w:t>SAR 158</w:t>
            </w:r>
          </w:p>
        </w:tc>
        <w:tc>
          <w:tcPr>
            <w:tcW w:type="dxa" w:w="1584"/>
            <w:tcW w:w="1584" w:type="dxa"/>
          </w:tcPr>
          <w:p>
            <w:pPr>
              <w:spacing w:after="20" w:before="20"/>
              <w:jc w:val="center"/>
            </w:pPr>
            <w:r>
              <w:rPr>
                <w:sz w:val="19"/>
              </w:rPr>
              <w:t>−19% · the floor</w:t>
            </w:r>
          </w:p>
        </w:tc>
      </w:tr>
      <w:tr>
        <w:tc>
          <w:tcPr>
            <w:tcW w:type="dxa" w:w="3096"/>
            <w:tcW w:w="3096" w:type="dxa"/>
          </w:tcPr>
          <w:p>
            <w:pPr>
              <w:spacing w:after="20" w:before="20"/>
            </w:pPr>
            <w:r>
              <w:rPr>
                <w:sz w:val="19"/>
              </w:rPr>
              <w:t>Pipeline-maturation earnings</w:t>
            </w:r>
          </w:p>
        </w:tc>
        <w:tc>
          <w:tcPr>
            <w:tcW w:type="dxa" w:w="3744"/>
            <w:tcW w:w="3744" w:type="dxa"/>
          </w:tcPr>
          <w:p>
            <w:pPr>
              <w:spacing w:after="20" w:before="20"/>
              <w:jc w:val="center"/>
            </w:pPr>
            <w:r>
              <w:rPr>
                <w:sz w:val="19"/>
              </w:rPr>
              <w:t>2030 run-rate NP × P/E, discounted</w:t>
            </w:r>
          </w:p>
        </w:tc>
        <w:tc>
          <w:tcPr>
            <w:tcW w:type="dxa" w:w="1512"/>
            <w:tcW w:w="1512" w:type="dxa"/>
          </w:tcPr>
          <w:p>
            <w:pPr>
              <w:spacing w:after="20" w:before="20"/>
              <w:jc w:val="center"/>
            </w:pPr>
            <w:r>
              <w:rPr>
                <w:sz w:val="19"/>
              </w:rPr>
              <w:t>SAR 197</w:t>
            </w:r>
          </w:p>
        </w:tc>
        <w:tc>
          <w:tcPr>
            <w:tcW w:type="dxa" w:w="1584"/>
            <w:tcW w:w="1584" w:type="dxa"/>
          </w:tcPr>
          <w:p>
            <w:pPr>
              <w:spacing w:after="20" w:before="20"/>
              <w:jc w:val="center"/>
            </w:pPr>
            <w:r>
              <w:rPr>
                <w:sz w:val="19"/>
              </w:rPr>
              <w:t>+2% · the ceiling</w:t>
            </w:r>
          </w:p>
        </w:tc>
      </w:tr>
      <w:tr>
        <w:tc>
          <w:tcPr>
            <w:tcW w:type="dxa" w:w="3096"/>
            <w:tcW w:w="3096" w:type="dxa"/>
          </w:tcPr>
          <w:p>
            <w:pPr>
              <w:spacing w:after="20" w:before="20"/>
            </w:pPr>
            <w:r>
              <w:rPr>
                <w:b/>
                <w:sz w:val="19"/>
              </w:rPr>
              <w:t>Weighted central</w:t>
            </w:r>
          </w:p>
        </w:tc>
        <w:tc>
          <w:tcPr>
            <w:tcW w:type="dxa" w:w="3744"/>
            <w:tcW w:w="3744" w:type="dxa"/>
          </w:tcPr>
          <w:p>
            <w:pPr>
              <w:spacing w:after="20" w:before="20"/>
              <w:jc w:val="center"/>
            </w:pPr>
            <w:r>
              <w:rPr>
                <w:b/>
                <w:sz w:val="19"/>
              </w:rPr>
              <w:t>Blend 40 / 25 / 15 / 20</w:t>
            </w:r>
          </w:p>
        </w:tc>
        <w:tc>
          <w:tcPr>
            <w:tcW w:type="dxa" w:w="1512"/>
            <w:tcW w:w="1512" w:type="dxa"/>
          </w:tcPr>
          <w:p>
            <w:pPr>
              <w:spacing w:after="20" w:before="20"/>
              <w:jc w:val="center"/>
            </w:pPr>
            <w:r>
              <w:rPr>
                <w:b/>
                <w:sz w:val="19"/>
              </w:rPr>
              <w:t>SAR 195</w:t>
            </w:r>
          </w:p>
        </w:tc>
        <w:tc>
          <w:tcPr>
            <w:tcW w:type="dxa" w:w="1584"/>
            <w:tcW w:w="1584" w:type="dxa"/>
          </w:tcPr>
          <w:p>
            <w:pPr>
              <w:spacing w:after="20" w:before="20"/>
              <w:jc w:val="center"/>
            </w:pPr>
            <w:r>
              <w:rPr>
                <w:b/>
                <w:sz w:val="19"/>
              </w:rPr>
              <w:t>+0.7% vs SAR 194</w:t>
            </w:r>
          </w:p>
        </w:tc>
      </w:tr>
      <w:tr>
        <w:tc>
          <w:tcPr>
            <w:tcW w:type="dxa" w:w="9936"/>
            <w:gridSpan w:val="4"/>
            <w:shd w:val="clear" w:fill="EFE7D6"/>
          </w:tcPr>
          <w:p>
            <w:pPr>
              <w:spacing w:after="20" w:before="20"/>
            </w:pPr>
            <w:r>
              <w:rPr>
                <w:b/>
                <w:color w:val="1B5E5E"/>
                <w:sz w:val="19"/>
              </w:rPr>
              <w:t>TECHNICAL — what the tape is doing (timing, not value)</w:t>
            </w:r>
          </w:p>
        </w:tc>
      </w:tr>
      <w:tr>
        <w:tc>
          <w:tcPr>
            <w:tcW w:type="dxa" w:w="3096"/>
            <w:tcW w:w="3096" w:type="dxa"/>
          </w:tcPr>
          <w:p>
            <w:pPr>
              <w:spacing w:after="20" w:before="20"/>
            </w:pPr>
            <w:r>
              <w:rPr>
                <w:sz w:val="19"/>
              </w:rPr>
              <w:t>Trend &amp; momentum</w:t>
            </w:r>
          </w:p>
        </w:tc>
        <w:tc>
          <w:tcPr>
            <w:tcW w:type="dxa" w:w="3744"/>
            <w:tcW w:w="3744" w:type="dxa"/>
          </w:tcPr>
          <w:p>
            <w:pPr>
              <w:spacing w:after="20" w:before="20"/>
              <w:jc w:val="center"/>
            </w:pPr>
            <w:r>
              <w:rPr>
                <w:sz w:val="19"/>
              </w:rPr>
              <w:t>Price vs the 20/50/100/200-day averages</w:t>
            </w:r>
          </w:p>
        </w:tc>
        <w:tc>
          <w:tcPr>
            <w:tcW w:type="dxa" w:w="1512"/>
            <w:tcW w:w="1512" w:type="dxa"/>
          </w:tcPr>
          <w:p>
            <w:pPr>
              <w:spacing w:after="20" w:before="20"/>
              <w:jc w:val="center"/>
            </w:pPr>
            <w:r>
              <w:rPr>
                <w:sz w:val="19"/>
              </w:rPr>
              <w:t>On the 200-day</w:t>
            </w:r>
          </w:p>
        </w:tc>
        <w:tc>
          <w:tcPr>
            <w:tcW w:type="dxa" w:w="1584"/>
            <w:tcW w:w="1584" w:type="dxa"/>
          </w:tcPr>
          <w:p>
            <w:pPr>
              <w:spacing w:after="20" w:before="20"/>
              <w:jc w:val="center"/>
            </w:pPr>
            <w:r>
              <w:rPr>
                <w:sz w:val="19"/>
              </w:rPr>
              <w:t>Neutral, consolidating</w:t>
            </w:r>
          </w:p>
        </w:tc>
      </w:tr>
      <w:tr>
        <w:tc>
          <w:tcPr>
            <w:tcW w:type="dxa" w:w="3096"/>
            <w:tcW w:w="3096" w:type="dxa"/>
          </w:tcPr>
          <w:p>
            <w:pPr>
              <w:spacing w:after="20" w:before="20"/>
            </w:pPr>
            <w:r>
              <w:rPr>
                <w:sz w:val="19"/>
              </w:rPr>
              <w:t>Momentum / range</w:t>
            </w:r>
          </w:p>
        </w:tc>
        <w:tc>
          <w:tcPr>
            <w:tcW w:type="dxa" w:w="3744"/>
            <w:tcW w:w="3744" w:type="dxa"/>
          </w:tcPr>
          <w:p>
            <w:pPr>
              <w:spacing w:after="20" w:before="20"/>
              <w:jc w:val="center"/>
            </w:pPr>
            <w:r>
              <w:rPr>
                <w:sz w:val="19"/>
              </w:rPr>
              <w:t>RSI · MACD · 52-week range</w:t>
            </w:r>
          </w:p>
        </w:tc>
        <w:tc>
          <w:tcPr>
            <w:tcW w:type="dxa" w:w="1512"/>
            <w:tcW w:w="1512" w:type="dxa"/>
          </w:tcPr>
          <w:p>
            <w:pPr>
              <w:spacing w:after="20" w:before="20"/>
              <w:jc w:val="center"/>
            </w:pPr>
            <w:r>
              <w:rPr>
                <w:sz w:val="19"/>
              </w:rPr>
              <w:t>RSI 51 · MACD −1.3 hist · 157–266</w:t>
            </w:r>
          </w:p>
        </w:tc>
        <w:tc>
          <w:tcPr>
            <w:tcW w:type="dxa" w:w="1584"/>
            <w:tcW w:w="1584" w:type="dxa"/>
          </w:tcPr>
          <w:p>
            <w:pPr>
              <w:spacing w:after="20" w:before="20"/>
              <w:jc w:val="center"/>
            </w:pPr>
            <w:r>
              <w:rPr>
                <w:sz w:val="19"/>
              </w:rPr>
              <w:t>Balanced</w:t>
            </w:r>
          </w:p>
        </w:tc>
      </w:tr>
      <w:tr>
        <w:tc>
          <w:tcPr>
            <w:tcW w:type="dxa" w:w="9936"/>
            <w:gridSpan w:val="4"/>
            <w:shd w:val="clear" w:fill="EFE7D6"/>
          </w:tcPr>
          <w:p>
            <w:pPr>
              <w:spacing w:after="20" w:before="20"/>
            </w:pPr>
            <w:r>
              <w:rPr>
                <w:b/>
                <w:color w:val="1B5E5E"/>
                <w:sz w:val="19"/>
              </w:rPr>
              <w:t>MONTE CARLO — where price could go in 3 months (paths from spot)</w:t>
            </w:r>
          </w:p>
        </w:tc>
      </w:tr>
      <w:tr>
        <w:tc>
          <w:tcPr>
            <w:tcW w:type="dxa" w:w="3096"/>
            <w:tcW w:w="3096" w:type="dxa"/>
          </w:tcPr>
          <w:p>
            <w:pPr>
              <w:spacing w:after="20" w:before="20"/>
            </w:pPr>
            <w:r>
              <w:rPr>
                <w:sz w:val="19"/>
              </w:rPr>
              <w:t>T+20 sessions</w:t>
            </w:r>
          </w:p>
        </w:tc>
        <w:tc>
          <w:tcPr>
            <w:tcW w:type="dxa" w:w="3744"/>
            <w:tcW w:w="3744" w:type="dxa"/>
          </w:tcPr>
          <w:p>
            <w:pPr>
              <w:spacing w:after="20" w:before="20"/>
              <w:jc w:val="center"/>
            </w:pPr>
            <w:r>
              <w:rPr>
                <w:sz w:val="19"/>
              </w:rPr>
              <w:t>50,000 paths · 16 factors</w:t>
            </w:r>
          </w:p>
        </w:tc>
        <w:tc>
          <w:tcPr>
            <w:tcW w:type="dxa" w:w="1512"/>
            <w:tcW w:w="1512" w:type="dxa"/>
          </w:tcPr>
          <w:p>
            <w:pPr>
              <w:spacing w:after="20" w:before="20"/>
              <w:jc w:val="center"/>
            </w:pPr>
            <w:r>
              <w:rPr>
                <w:sz w:val="19"/>
              </w:rPr>
              <w:t>p5 159 · p50 194 · p95 235</w:t>
            </w:r>
          </w:p>
        </w:tc>
        <w:tc>
          <w:tcPr>
            <w:tcW w:type="dxa" w:w="1584"/>
            <w:tcW w:w="1584" w:type="dxa"/>
          </w:tcPr>
          <w:p>
            <w:pPr>
              <w:spacing w:after="20" w:before="20"/>
              <w:jc w:val="center"/>
            </w:pPr>
            <w:r>
              <w:rPr>
                <w:sz w:val="19"/>
              </w:rPr>
              <w:t>Median ≈ spot</w:t>
            </w:r>
          </w:p>
        </w:tc>
      </w:tr>
      <w:tr>
        <w:tc>
          <w:tcPr>
            <w:tcW w:type="dxa" w:w="3096"/>
            <w:tcW w:w="3096" w:type="dxa"/>
          </w:tcPr>
          <w:p>
            <w:pPr>
              <w:spacing w:after="20" w:before="20"/>
            </w:pPr>
            <w:r>
              <w:rPr>
                <w:sz w:val="19"/>
              </w:rPr>
              <w:t>T+60 sessions</w:t>
            </w:r>
          </w:p>
        </w:tc>
        <w:tc>
          <w:tcPr>
            <w:tcW w:type="dxa" w:w="3744"/>
            <w:tcW w:w="3744" w:type="dxa"/>
          </w:tcPr>
          <w:p>
            <w:pPr>
              <w:spacing w:after="20" w:before="20"/>
              <w:jc w:val="center"/>
            </w:pPr>
            <w:r>
              <w:rPr>
                <w:sz w:val="19"/>
              </w:rPr>
              <w:t>same engine, longer horizon</w:t>
            </w:r>
          </w:p>
        </w:tc>
        <w:tc>
          <w:tcPr>
            <w:tcW w:type="dxa" w:w="1512"/>
            <w:tcW w:w="1512" w:type="dxa"/>
          </w:tcPr>
          <w:p>
            <w:pPr>
              <w:spacing w:after="20" w:before="20"/>
              <w:jc w:val="center"/>
            </w:pPr>
            <w:r>
              <w:rPr>
                <w:sz w:val="19"/>
              </w:rPr>
              <w:t>p5 137 · p50 194 · p95 268</w:t>
            </w:r>
          </w:p>
        </w:tc>
        <w:tc>
          <w:tcPr>
            <w:tcW w:type="dxa" w:w="1584"/>
            <w:tcW w:w="1584" w:type="dxa"/>
          </w:tcPr>
          <w:p>
            <w:pPr>
              <w:spacing w:after="20" w:before="20"/>
              <w:jc w:val="center"/>
            </w:pPr>
            <w:r>
              <w:rPr>
                <w:sz w:val="19"/>
              </w:rPr>
              <w:t>Wide, mild right tail</w:t>
            </w:r>
          </w:p>
        </w:tc>
      </w:tr>
      <w:tr>
        <w:tc>
          <w:tcPr>
            <w:tcW w:type="dxa" w:w="9936"/>
            <w:gridSpan w:val="4"/>
            <w:shd w:val="clear" w:fill="EFE7D6"/>
          </w:tcPr>
          <w:p>
            <w:pPr>
              <w:spacing w:after="20" w:before="20"/>
            </w:pPr>
            <w:r>
              <w:rPr>
                <w:b/>
                <w:color w:val="1B5E5E"/>
                <w:sz w:val="19"/>
              </w:rPr>
              <w:t>EXPERT PANEL — three independent methods (Appendix D)</w:t>
            </w:r>
          </w:p>
        </w:tc>
      </w:tr>
      <w:tr>
        <w:tc>
          <w:tcPr>
            <w:tcW w:type="dxa" w:w="3096"/>
            <w:tcW w:w="3096" w:type="dxa"/>
          </w:tcPr>
          <w:p>
            <w:pPr>
              <w:spacing w:after="20" w:before="20"/>
            </w:pPr>
            <w:r>
              <w:rPr>
                <w:sz w:val="19"/>
              </w:rPr>
              <w:t>Expert 1 — sum-of-the-parts NAV</w:t>
            </w:r>
          </w:p>
        </w:tc>
        <w:tc>
          <w:tcPr>
            <w:tcW w:type="dxa" w:w="3744"/>
            <w:tcW w:w="3744" w:type="dxa"/>
          </w:tcPr>
          <w:p>
            <w:pPr>
              <w:spacing w:after="20" w:before="20"/>
              <w:jc w:val="center"/>
            </w:pPr>
            <w:r>
              <w:rPr>
                <w:sz w:val="19"/>
              </w:rPr>
              <w:t>Holdco/structure discount on marked parts</w:t>
            </w:r>
          </w:p>
        </w:tc>
        <w:tc>
          <w:tcPr>
            <w:tcW w:type="dxa" w:w="1512"/>
            <w:tcW w:w="1512" w:type="dxa"/>
          </w:tcPr>
          <w:p>
            <w:pPr>
              <w:spacing w:after="20" w:before="20"/>
              <w:jc w:val="center"/>
            </w:pPr>
            <w:r>
              <w:rPr>
                <w:sz w:val="19"/>
              </w:rPr>
              <w:t>SAR 212</w:t>
            </w:r>
          </w:p>
        </w:tc>
        <w:tc>
          <w:tcPr>
            <w:tcW w:type="dxa" w:w="1584"/>
            <w:tcW w:w="1584" w:type="dxa"/>
          </w:tcPr>
          <w:p>
            <w:pPr>
              <w:spacing w:after="20" w:before="20"/>
              <w:jc w:val="center"/>
            </w:pPr>
            <w:r>
              <w:rPr>
                <w:sz w:val="19"/>
              </w:rPr>
              <w:t>The anchor</w:t>
            </w:r>
          </w:p>
        </w:tc>
      </w:tr>
      <w:tr>
        <w:tc>
          <w:tcPr>
            <w:tcW w:type="dxa" w:w="3096"/>
            <w:tcW w:w="3096" w:type="dxa"/>
          </w:tcPr>
          <w:p>
            <w:pPr>
              <w:spacing w:after="20" w:before="20"/>
            </w:pPr>
            <w:r>
              <w:rPr>
                <w:sz w:val="19"/>
              </w:rPr>
              <w:t>Expert 2 — cash returns (DCF + ROIC)</w:t>
            </w:r>
          </w:p>
        </w:tc>
        <w:tc>
          <w:tcPr>
            <w:tcW w:type="dxa" w:w="3744"/>
            <w:tcW w:w="3744" w:type="dxa"/>
          </w:tcPr>
          <w:p>
            <w:pPr>
              <w:spacing w:after="20" w:before="20"/>
              <w:jc w:val="center"/>
            </w:pPr>
            <w:r>
              <w:rPr>
                <w:sz w:val="19"/>
              </w:rPr>
              <w:t>Return on Vision-2030 capital vs WACC</w:t>
            </w:r>
          </w:p>
        </w:tc>
        <w:tc>
          <w:tcPr>
            <w:tcW w:type="dxa" w:w="1512"/>
            <w:tcW w:w="1512" w:type="dxa"/>
          </w:tcPr>
          <w:p>
            <w:pPr>
              <w:spacing w:after="20" w:before="20"/>
              <w:jc w:val="center"/>
            </w:pPr>
            <w:r>
              <w:rPr>
                <w:sz w:val="19"/>
              </w:rPr>
              <w:t>SAR 175</w:t>
            </w:r>
          </w:p>
        </w:tc>
        <w:tc>
          <w:tcPr>
            <w:tcW w:type="dxa" w:w="1584"/>
            <w:tcW w:w="1584" w:type="dxa"/>
          </w:tcPr>
          <w:p>
            <w:pPr>
              <w:spacing w:after="20" w:before="20"/>
              <w:jc w:val="center"/>
            </w:pPr>
            <w:r>
              <w:rPr>
                <w:sz w:val="19"/>
              </w:rPr>
              <w:t>Most conservative</w:t>
            </w:r>
          </w:p>
        </w:tc>
      </w:tr>
      <w:tr>
        <w:tc>
          <w:tcPr>
            <w:tcW w:type="dxa" w:w="3096"/>
            <w:tcW w:w="3096" w:type="dxa"/>
          </w:tcPr>
          <w:p>
            <w:pPr>
              <w:spacing w:after="20" w:before="20"/>
            </w:pPr>
            <w:r>
              <w:rPr>
                <w:sz w:val="19"/>
              </w:rPr>
              <w:t>Expert 3 — macro-policy scenarios</w:t>
            </w:r>
          </w:p>
        </w:tc>
        <w:tc>
          <w:tcPr>
            <w:tcW w:type="dxa" w:w="3744"/>
            <w:tcW w:w="3744" w:type="dxa"/>
          </w:tcPr>
          <w:p>
            <w:pPr>
              <w:spacing w:after="20" w:before="20"/>
              <w:jc w:val="center"/>
            </w:pPr>
            <w:r>
              <w:rPr>
                <w:sz w:val="19"/>
              </w:rPr>
              <w:t>Vision 2030 / PIF / rate-path options</w:t>
            </w:r>
          </w:p>
        </w:tc>
        <w:tc>
          <w:tcPr>
            <w:tcW w:type="dxa" w:w="1512"/>
            <w:tcW w:w="1512" w:type="dxa"/>
          </w:tcPr>
          <w:p>
            <w:pPr>
              <w:spacing w:after="20" w:before="20"/>
              <w:jc w:val="center"/>
            </w:pPr>
            <w:r>
              <w:rPr>
                <w:sz w:val="19"/>
              </w:rPr>
              <w:t>SAR 200</w:t>
            </w:r>
          </w:p>
        </w:tc>
        <w:tc>
          <w:tcPr>
            <w:tcW w:type="dxa" w:w="1584"/>
            <w:tcW w:w="1584" w:type="dxa"/>
          </w:tcPr>
          <w:p>
            <w:pPr>
              <w:spacing w:after="20" w:before="20"/>
              <w:jc w:val="center"/>
            </w:pPr>
            <w:r>
              <w:rPr>
                <w:sz w:val="19"/>
              </w:rPr>
              <w:t>Policy-weighted</w:t>
            </w:r>
          </w:p>
        </w:tc>
      </w:tr>
      <w:tr>
        <w:tc>
          <w:tcPr>
            <w:tcW w:type="dxa" w:w="3096"/>
            <w:tcW w:w="3096" w:type="dxa"/>
          </w:tcPr>
          <w:p>
            <w:pPr>
              <w:spacing w:after="20" w:before="20"/>
            </w:pPr>
            <w:r>
              <w:rPr>
                <w:sz w:val="19"/>
              </w:rPr>
              <w:t>Panel range</w:t>
            </w:r>
          </w:p>
        </w:tc>
        <w:tc>
          <w:tcPr>
            <w:tcW w:type="dxa" w:w="3744"/>
            <w:tcW w:w="3744" w:type="dxa"/>
          </w:tcPr>
          <w:p>
            <w:pPr>
              <w:spacing w:after="20" w:before="20"/>
              <w:jc w:val="center"/>
            </w:pPr>
            <w:r>
              <w:rPr>
                <w:sz w:val="19"/>
              </w:rPr>
              <w:t>Spread = the returns-on-growth question</w:t>
            </w:r>
          </w:p>
        </w:tc>
        <w:tc>
          <w:tcPr>
            <w:tcW w:type="dxa" w:w="1512"/>
            <w:tcW w:w="1512" w:type="dxa"/>
          </w:tcPr>
          <w:p>
            <w:pPr>
              <w:spacing w:after="20" w:before="20"/>
              <w:jc w:val="center"/>
            </w:pPr>
            <w:r>
              <w:rPr>
                <w:sz w:val="19"/>
              </w:rPr>
              <w:t>SAR 175–212</w:t>
            </w:r>
          </w:p>
        </w:tc>
        <w:tc>
          <w:tcPr>
            <w:tcW w:type="dxa" w:w="1584"/>
            <w:tcW w:w="1584" w:type="dxa"/>
          </w:tcPr>
          <w:p>
            <w:pPr>
              <w:spacing w:after="20" w:before="20"/>
              <w:jc w:val="center"/>
            </w:pPr>
            <w:r>
              <w:rPr>
                <w:sz w:val="19"/>
              </w:rPr>
              <w:t>Centres ~SAR 196</w:t>
            </w:r>
          </w:p>
        </w:tc>
      </w:tr>
    </w:tbl>
    <w:p>
      <w:pPr>
        <w:spacing w:after="120"/>
      </w:pPr>
      <w:r>
        <w:rPr>
          <w:b/>
          <w:color w:val="222222"/>
          <w:sz w:val="21"/>
        </w:rPr>
        <w:t xml:space="preserve">Bottom line.  </w:t>
      </w:r>
      <w:r>
        <w:rPr>
          <w:b w:val="0"/>
          <w:color w:val="222222"/>
          <w:sz w:val="21"/>
        </w:rPr>
        <w:t>Every read agrees the stock is close to fair value and disagrees only on how much Vision-2030 growth is worth. The fundamental central sits at SAR 195 — essentially spot — the three experts span SAR 175–212, and each turns on a single question: whether ACWA's growth capital earns its keep. The technical tape is neutral rather than a dissenter, which is why the three-month distribution centres on spot with a wide, slightly right-skewed spread rather than pointing anywhere.</w:t>
      </w:r>
    </w:p>
    <w:p>
      <w:pPr>
        <w:spacing w:before="200" w:after="80"/>
      </w:pPr>
      <w:r>
        <w:rPr>
          <w:b/>
          <w:color w:val="1B5E5E"/>
          <w:sz w:val="30"/>
        </w:rPr>
        <w:t>Company overview — ACWA Power at a glance</w:t>
      </w:r>
    </w:p>
    <w:tbl>
      <w:tblPr>
        <w:tblStyle w:val="TableGrid"/>
        <w:tblW w:type="auto" w:w="0"/>
        <w:jc w:val="center"/>
        <w:tblLook w:firstColumn="1" w:firstRow="1" w:lastColumn="0" w:lastRow="0" w:noHBand="0" w:noVBand="1" w:val="04A0"/>
      </w:tblPr>
      <w:tblGrid>
        <w:gridCol w:w="4968"/>
        <w:gridCol w:w="4968"/>
      </w:tblGrid>
      <w:tr>
        <w:tc>
          <w:tcPr>
            <w:tcW w:type="dxa" w:w="2664"/>
            <w:tcW w:w="2664" w:type="dxa"/>
            <w:shd w:val="clear" w:fill="1B5E5E"/>
          </w:tcPr>
          <w:p>
            <w:pPr>
              <w:spacing w:after="20" w:before="20"/>
            </w:pPr>
            <w:r>
              <w:rPr>
                <w:b/>
                <w:color w:val="FFFFFF"/>
                <w:sz w:val="19"/>
              </w:rPr>
              <w:t>Item</w:t>
            </w:r>
          </w:p>
        </w:tc>
        <w:tc>
          <w:tcPr>
            <w:tcW w:type="dxa" w:w="7272"/>
            <w:tcW w:w="7272" w:type="dxa"/>
            <w:shd w:val="clear" w:fill="1B5E5E"/>
          </w:tcPr>
          <w:p>
            <w:pPr>
              <w:spacing w:after="20" w:before="20"/>
              <w:jc w:val="center"/>
            </w:pPr>
            <w:r>
              <w:rPr>
                <w:b/>
                <w:color w:val="FFFFFF"/>
                <w:sz w:val="19"/>
              </w:rPr>
              <w:t>Value</w:t>
            </w:r>
          </w:p>
        </w:tc>
      </w:tr>
      <w:tr>
        <w:tc>
          <w:tcPr>
            <w:tcW w:type="dxa" w:w="2664"/>
            <w:tcW w:w="2664" w:type="dxa"/>
          </w:tcPr>
          <w:p>
            <w:pPr>
              <w:spacing w:after="20" w:before="20"/>
            </w:pPr>
            <w:r>
              <w:rPr>
                <w:sz w:val="19"/>
              </w:rPr>
              <w:t>Listed entity</w:t>
            </w:r>
          </w:p>
        </w:tc>
        <w:tc>
          <w:tcPr>
            <w:tcW w:type="dxa" w:w="7272"/>
            <w:tcW w:w="7272" w:type="dxa"/>
          </w:tcPr>
          <w:p>
            <w:pPr>
              <w:spacing w:after="20" w:before="20"/>
              <w:jc w:val="center"/>
            </w:pPr>
            <w:r>
              <w:rPr>
                <w:sz w:val="19"/>
              </w:rPr>
              <w:t>ACWA Power Company (Tadawul: 2082); listed Oct 2021</w:t>
            </w:r>
          </w:p>
        </w:tc>
      </w:tr>
      <w:tr>
        <w:tc>
          <w:tcPr>
            <w:tcW w:type="dxa" w:w="2664"/>
            <w:tcW w:w="2664" w:type="dxa"/>
          </w:tcPr>
          <w:p>
            <w:pPr>
              <w:spacing w:after="20" w:before="20"/>
            </w:pPr>
            <w:r>
              <w:rPr>
                <w:sz w:val="19"/>
              </w:rPr>
              <w:t>What it owns</w:t>
            </w:r>
          </w:p>
        </w:tc>
        <w:tc>
          <w:tcPr>
            <w:tcW w:type="dxa" w:w="7272"/>
            <w:tcW w:w="7272" w:type="dxa"/>
          </w:tcPr>
          <w:p>
            <w:pPr>
              <w:spacing w:after="20" w:before="20"/>
              <w:jc w:val="center"/>
            </w:pPr>
            <w:r>
              <w:rPr>
                <w:sz w:val="19"/>
              </w:rPr>
              <w:t>Equity stakes in 108+ power &amp; water projects (thermal, solar PV, CSP, wind, BESS, green hydrogen) + NOMAC (O&amp;M) + a development platform</w:t>
            </w:r>
          </w:p>
        </w:tc>
      </w:tr>
      <w:tr>
        <w:tc>
          <w:tcPr>
            <w:tcW w:type="dxa" w:w="2664"/>
            <w:tcW w:w="2664" w:type="dxa"/>
          </w:tcPr>
          <w:p>
            <w:pPr>
              <w:spacing w:after="20" w:before="20"/>
            </w:pPr>
            <w:r>
              <w:rPr>
                <w:sz w:val="19"/>
              </w:rPr>
              <w:t>Business model</w:t>
            </w:r>
          </w:p>
        </w:tc>
        <w:tc>
          <w:tcPr>
            <w:tcW w:type="dxa" w:w="7272"/>
            <w:tcW w:w="7272" w:type="dxa"/>
          </w:tcPr>
          <w:p>
            <w:pPr>
              <w:spacing w:after="20" w:before="20"/>
              <w:jc w:val="center"/>
            </w:pPr>
            <w:r>
              <w:rPr>
                <w:sz w:val="19"/>
              </w:rPr>
              <w:t>Develop–Invest–Operate–Optimize: 20–30-year offtake contracts (PPAs/WPAs), mostly hard-currency-indexed, with investment-grade / sovereign offtakers</w:t>
            </w:r>
          </w:p>
        </w:tc>
      </w:tr>
      <w:tr>
        <w:tc>
          <w:tcPr>
            <w:tcW w:type="dxa" w:w="2664"/>
            <w:tcW w:w="2664" w:type="dxa"/>
          </w:tcPr>
          <w:p>
            <w:pPr>
              <w:spacing w:after="20" w:before="20"/>
            </w:pPr>
            <w:r>
              <w:rPr>
                <w:sz w:val="19"/>
              </w:rPr>
              <w:t>Spot / date</w:t>
            </w:r>
          </w:p>
        </w:tc>
        <w:tc>
          <w:tcPr>
            <w:tcW w:type="dxa" w:w="7272"/>
            <w:tcW w:w="7272" w:type="dxa"/>
          </w:tcPr>
          <w:p>
            <w:pPr>
              <w:spacing w:after="20" w:before="20"/>
              <w:jc w:val="center"/>
            </w:pPr>
            <w:r>
              <w:rPr>
                <w:sz w:val="19"/>
              </w:rPr>
              <w:t>SAR 193.90 · 05 Jul 2026 close</w:t>
            </w:r>
          </w:p>
        </w:tc>
      </w:tr>
      <w:tr>
        <w:tc>
          <w:tcPr>
            <w:tcW w:type="dxa" w:w="2664"/>
            <w:tcW w:w="2664" w:type="dxa"/>
          </w:tcPr>
          <w:p>
            <w:pPr>
              <w:spacing w:after="20" w:before="20"/>
            </w:pPr>
            <w:r>
              <w:rPr>
                <w:sz w:val="19"/>
              </w:rPr>
              <w:t>Shares · market cap</w:t>
            </w:r>
          </w:p>
        </w:tc>
        <w:tc>
          <w:tcPr>
            <w:tcW w:type="dxa" w:w="7272"/>
            <w:tcW w:w="7272" w:type="dxa"/>
          </w:tcPr>
          <w:p>
            <w:pPr>
              <w:spacing w:after="20" w:before="20"/>
              <w:jc w:val="center"/>
            </w:pPr>
            <w:r>
              <w:rPr>
                <w:sz w:val="19"/>
              </w:rPr>
              <w:t>766.5m · ~SAR 148.6bn</w:t>
            </w:r>
          </w:p>
        </w:tc>
      </w:tr>
      <w:tr>
        <w:tc>
          <w:tcPr>
            <w:tcW w:type="dxa" w:w="2664"/>
            <w:tcW w:w="2664" w:type="dxa"/>
          </w:tcPr>
          <w:p>
            <w:pPr>
              <w:spacing w:after="20" w:before="20"/>
            </w:pPr>
            <w:r>
              <w:rPr>
                <w:sz w:val="19"/>
              </w:rPr>
              <w:t>Holdco / corporate net debt</w:t>
            </w:r>
          </w:p>
        </w:tc>
        <w:tc>
          <w:tcPr>
            <w:tcW w:type="dxa" w:w="7272"/>
            <w:tcW w:w="7272" w:type="dxa"/>
          </w:tcPr>
          <w:p>
            <w:pPr>
              <w:spacing w:after="20" w:before="20"/>
              <w:jc w:val="center"/>
            </w:pPr>
            <w:r>
              <w:rPr>
                <w:sz w:val="19"/>
              </w:rPr>
              <w:t>~SAR 25bn (project debt is non-recourse, ring-fenced at the SPV level)</w:t>
            </w:r>
          </w:p>
        </w:tc>
      </w:tr>
      <w:tr>
        <w:tc>
          <w:tcPr>
            <w:tcW w:type="dxa" w:w="2664"/>
            <w:tcW w:w="2664" w:type="dxa"/>
          </w:tcPr>
          <w:p>
            <w:pPr>
              <w:spacing w:after="20" w:before="20"/>
            </w:pPr>
            <w:r>
              <w:rPr>
                <w:sz w:val="19"/>
              </w:rPr>
              <w:t>FY2025 revenue / operating income</w:t>
            </w:r>
          </w:p>
        </w:tc>
        <w:tc>
          <w:tcPr>
            <w:tcW w:type="dxa" w:w="7272"/>
            <w:tcW w:w="7272" w:type="dxa"/>
          </w:tcPr>
          <w:p>
            <w:pPr>
              <w:spacing w:after="20" w:before="20"/>
              <w:jc w:val="center"/>
            </w:pPr>
            <w:r>
              <w:rPr>
                <w:sz w:val="19"/>
              </w:rPr>
              <w:t>SAR 7,410m (+18%) · SAR 3,600m before impairment (+20%)</w:t>
            </w:r>
          </w:p>
        </w:tc>
      </w:tr>
      <w:tr>
        <w:tc>
          <w:tcPr>
            <w:tcW w:type="dxa" w:w="2664"/>
            <w:tcW w:w="2664" w:type="dxa"/>
          </w:tcPr>
          <w:p>
            <w:pPr>
              <w:spacing w:after="20" w:before="20"/>
            </w:pPr>
            <w:r>
              <w:rPr>
                <w:sz w:val="19"/>
              </w:rPr>
              <w:t>FY2025 net profit / EPS</w:t>
            </w:r>
          </w:p>
        </w:tc>
        <w:tc>
          <w:tcPr>
            <w:tcW w:type="dxa" w:w="7272"/>
            <w:tcW w:w="7272" w:type="dxa"/>
          </w:tcPr>
          <w:p>
            <w:pPr>
              <w:spacing w:after="20" w:before="20"/>
              <w:jc w:val="center"/>
            </w:pPr>
            <w:r>
              <w:rPr>
                <w:sz w:val="19"/>
              </w:rPr>
              <w:t>SAR 1,852m (+5.4%) · SAR 2.47 (adjusted net profit SAR 2.2bn, +60%)</w:t>
            </w:r>
          </w:p>
        </w:tc>
      </w:tr>
      <w:tr>
        <w:tc>
          <w:tcPr>
            <w:tcW w:type="dxa" w:w="2664"/>
            <w:tcW w:w="2664" w:type="dxa"/>
          </w:tcPr>
          <w:p>
            <w:pPr>
              <w:spacing w:after="20" w:before="20"/>
            </w:pPr>
            <w:r>
              <w:rPr>
                <w:sz w:val="19"/>
              </w:rPr>
              <w:t>Portfolio (YE2025 / latest)</w:t>
            </w:r>
          </w:p>
        </w:tc>
        <w:tc>
          <w:tcPr>
            <w:tcW w:type="dxa" w:w="7272"/>
            <w:tcW w:w="7272" w:type="dxa"/>
          </w:tcPr>
          <w:p>
            <w:pPr>
              <w:spacing w:after="20" w:before="20"/>
              <w:jc w:val="center"/>
            </w:pPr>
            <w:r>
              <w:rPr>
                <w:sz w:val="19"/>
              </w:rPr>
              <w:t>108 → 111 projects · 93 → 98 GW power (52.3 GW renewable) · 9.2 → 9.7m m³/day water · SAR 437 → 466bn AUM</w:t>
            </w:r>
          </w:p>
        </w:tc>
      </w:tr>
      <w:tr>
        <w:tc>
          <w:tcPr>
            <w:tcW w:type="dxa" w:w="2664"/>
            <w:tcW w:w="2664" w:type="dxa"/>
          </w:tcPr>
          <w:p>
            <w:pPr>
              <w:spacing w:after="20" w:before="20"/>
            </w:pPr>
            <w:r>
              <w:rPr>
                <w:sz w:val="19"/>
              </w:rPr>
              <w:t>Operating portfolio</w:t>
            </w:r>
          </w:p>
        </w:tc>
        <w:tc>
          <w:tcPr>
            <w:tcW w:type="dxa" w:w="7272"/>
            <w:tcW w:w="7272" w:type="dxa"/>
          </w:tcPr>
          <w:p>
            <w:pPr>
              <w:spacing w:after="20" w:before="20"/>
              <w:jc w:val="center"/>
            </w:pPr>
            <w:r>
              <w:rPr>
                <w:sz w:val="19"/>
              </w:rPr>
              <w:t>43 GW power · 6.3m m³/day water · 3,000 t/yr green hydrogen · power availability 91%, water 99%</w:t>
            </w:r>
          </w:p>
        </w:tc>
      </w:tr>
      <w:tr>
        <w:tc>
          <w:tcPr>
            <w:tcW w:type="dxa" w:w="2664"/>
            <w:tcW w:w="2664" w:type="dxa"/>
          </w:tcPr>
          <w:p>
            <w:pPr>
              <w:spacing w:after="20" w:before="20"/>
            </w:pPr>
            <w:r>
              <w:rPr>
                <w:sz w:val="19"/>
              </w:rPr>
              <w:t>52-week range</w:t>
            </w:r>
          </w:p>
        </w:tc>
        <w:tc>
          <w:tcPr>
            <w:tcW w:type="dxa" w:w="7272"/>
            <w:tcW w:w="7272" w:type="dxa"/>
          </w:tcPr>
          <w:p>
            <w:pPr>
              <w:spacing w:after="20" w:before="20"/>
              <w:jc w:val="center"/>
            </w:pPr>
            <w:r>
              <w:rPr>
                <w:sz w:val="19"/>
              </w:rPr>
              <w:t>SAR 156.6 – 266.0 (all-time high SAR 496.8, Sep-2024)</w:t>
            </w:r>
          </w:p>
        </w:tc>
      </w:tr>
      <w:tr>
        <w:tc>
          <w:tcPr>
            <w:tcW w:type="dxa" w:w="2664"/>
            <w:tcW w:w="2664" w:type="dxa"/>
          </w:tcPr>
          <w:p>
            <w:pPr>
              <w:spacing w:after="20" w:before="20"/>
            </w:pPr>
            <w:r>
              <w:rPr>
                <w:sz w:val="19"/>
              </w:rPr>
              <w:t>Ownership</w:t>
            </w:r>
          </w:p>
        </w:tc>
        <w:tc>
          <w:tcPr>
            <w:tcW w:type="dxa" w:w="7272"/>
            <w:tcW w:w="7272" w:type="dxa"/>
          </w:tcPr>
          <w:p>
            <w:pPr>
              <w:spacing w:after="20" w:before="20"/>
              <w:jc w:val="center"/>
            </w:pPr>
            <w:r>
              <w:rPr>
                <w:sz w:val="19"/>
              </w:rPr>
              <w:t>PIF 44.16% · Vision International Investment 22.75% · free float / others</w:t>
            </w:r>
          </w:p>
        </w:tc>
      </w:tr>
      <w:tr>
        <w:tc>
          <w:tcPr>
            <w:tcW w:type="dxa" w:w="2664"/>
            <w:tcW w:w="2664" w:type="dxa"/>
          </w:tcPr>
          <w:p>
            <w:pPr>
              <w:spacing w:after="20" w:before="20"/>
            </w:pPr>
            <w:r>
              <w:rPr>
                <w:sz w:val="19"/>
              </w:rPr>
              <w:t>Chairman · CEO</w:t>
            </w:r>
          </w:p>
        </w:tc>
        <w:tc>
          <w:tcPr>
            <w:tcW w:type="dxa" w:w="7272"/>
            <w:tcW w:w="7272" w:type="dxa"/>
          </w:tcPr>
          <w:p>
            <w:pPr>
              <w:spacing w:after="20" w:before="20"/>
              <w:jc w:val="center"/>
            </w:pPr>
            <w:r>
              <w:rPr>
                <w:sz w:val="19"/>
              </w:rPr>
              <w:t>Mohammad Abunayyan · Dr. Samir J. Serhan (from 1 Mar 2026, succeeding Marco Arcelli)</w:t>
            </w:r>
          </w:p>
        </w:tc>
      </w:tr>
      <w:tr>
        <w:tc>
          <w:tcPr>
            <w:tcW w:type="dxa" w:w="2664"/>
            <w:tcW w:w="2664" w:type="dxa"/>
          </w:tcPr>
          <w:p>
            <w:pPr>
              <w:spacing w:after="20" w:before="20"/>
            </w:pPr>
            <w:r>
              <w:rPr>
                <w:sz w:val="19"/>
              </w:rPr>
              <w:t>Strategy 2.0</w:t>
            </w:r>
          </w:p>
        </w:tc>
        <w:tc>
          <w:tcPr>
            <w:tcW w:type="dxa" w:w="7272"/>
            <w:tcW w:w="7272" w:type="dxa"/>
          </w:tcPr>
          <w:p>
            <w:pPr>
              <w:spacing w:after="20" w:before="20"/>
              <w:jc w:val="center"/>
            </w:pPr>
            <w:r>
              <w:rPr>
                <w:sz w:val="19"/>
              </w:rPr>
              <w:t>Triple AUM to US$250bn by 2030; 70% renewable mix by 2030; ~US$2.5bn/yr equity commitments</w:t>
            </w:r>
          </w:p>
        </w:tc>
      </w:tr>
    </w:tbl>
    <w:p>
      <w:pPr>
        <w:spacing w:after="160" w:before="40"/>
      </w:pPr>
      <w:r>
        <w:rPr>
          <w:i/>
          <w:color w:val="555555"/>
          <w:sz w:val="17"/>
        </w:rPr>
        <w:t>Source: ACWA Power FY2025 results (KPMG-audited), investor reports, Saudi Exchange disclosures. Values rounded; SAR/USD peg 3.75.</w:t>
      </w:r>
    </w:p>
    <w:p>
      <w:pPr>
        <w:spacing w:before="200" w:after="80"/>
      </w:pPr>
      <w:r>
        <w:rPr>
          <w:b/>
          <w:color w:val="1B5E5E"/>
          <w:sz w:val="30"/>
        </w:rPr>
        <w:t>1  Fundamental valuation</w:t>
      </w:r>
    </w:p>
    <w:p>
      <w:pPr>
        <w:spacing w:after="120" w:before="0"/>
      </w:pPr>
      <w:r>
        <w:rPr>
          <w:b w:val="0"/>
          <w:i w:val="0"/>
          <w:color w:val="222222"/>
          <w:sz w:val="21"/>
        </w:rPr>
        <w:t>We value ACWA Power as an infrastructure investment platform that holds equity in a large portfolio of contracted power and water projects, develops new ones, and services them through NOMAC. The parts trade on different economics — a mature fleet of operating assets throwing off contracted, hard-currency-indexed cash; a large book of projects still under construction; a pipeline of development options; and a fee-earning services arm — so the primary lens is a sum-of-the-parts / NAV, and a single group multiple would blur them. A normalized-attributable DCF, a relative-multiple cross-check and a pipeline-maturation earnings read complete the set. The weights and the football field are in §1.5; the crux — whether Vision-2030 growth capital earns its cost — is dissected in §1.7 and the sensitivity grid in §1.9. Two features of the structure shape every number below. First, ACWA consolidates the projects it controls but equity-accounts the many it does not, so consolidated revenue (SAR 7.4bn) badly understates the economic scale of a SAR 437bn portfolio, and reported returns understate steady-state economics while the pipeline is mid-build. Second, the vast majority of the group's debt is non-recourse project debt ring-fenced inside each SPV; only ~SAR 25bn of holdco / corporate net debt is a claim on the parent, and that is the only debt we deduct in the SOTP.</w:t>
      </w:r>
    </w:p>
    <w:p>
      <w:pPr>
        <w:spacing w:before="140" w:after="80"/>
      </w:pPr>
      <w:r>
        <w:rPr>
          <w:b/>
          <w:color w:val="1B5E5E"/>
          <w:sz w:val="25"/>
        </w:rPr>
        <w:t>1.1  Sum-of-the-parts / NAV — the primary lens</w:t>
      </w:r>
    </w:p>
    <w:p>
      <w:pPr>
        <w:spacing w:after="120" w:before="0"/>
      </w:pPr>
      <w:r>
        <w:rPr>
          <w:b w:val="0"/>
          <w:i w:val="0"/>
          <w:color w:val="222222"/>
          <w:sz w:val="21"/>
        </w:rPr>
        <w:t>Each leg is marked on the basis that best fits it, on an attributable-equity basis (project debt already netted within each leg). The operating portfolio is marked on the capitalized value of the distributions it pays up to ACWA — a contracted, availability-based stream on 20–30-year offtake contracts — cross-checked against an EV-per-MW on attributable operating capacity. The under-construction book is marked at invested equity plus a modest development uplift, recognising that a de-risked, financed, under-construction asset is worth more than cost but less than a fully operating one. The advanced-development pipeline is a risk-weighted option value. NOMAC and the development platform are marked on a DCF of their fee stream — super-senior, visible and stable, and involved at every stage of the asset life. From the summed attributable equity we deduct holdco net debt; we apply no blanket conglomerate discount (per the disciplined-holdco rule, holdco leverage is an explicit line, not a hand-waved haircut).</w:t>
      </w:r>
    </w:p>
    <w:tbl>
      <w:tblPr>
        <w:tblStyle w:val="TableGrid"/>
        <w:tblW w:type="auto" w:w="0"/>
        <w:jc w:val="center"/>
        <w:tblLook w:firstColumn="1" w:firstRow="1" w:lastColumn="0" w:lastRow="0" w:noHBand="0" w:noVBand="1" w:val="04A0"/>
      </w:tblPr>
      <w:tblGrid>
        <w:gridCol w:w="3312"/>
        <w:gridCol w:w="3312"/>
        <w:gridCol w:w="3312"/>
      </w:tblGrid>
      <w:tr>
        <w:tc>
          <w:tcPr>
            <w:tcW w:type="dxa" w:w="3888"/>
            <w:tcW w:w="3888" w:type="dxa"/>
            <w:shd w:val="clear" w:fill="1B5E5E"/>
          </w:tcPr>
          <w:p>
            <w:pPr>
              <w:spacing w:after="20" w:before="20"/>
            </w:pPr>
            <w:r>
              <w:rPr>
                <w:b/>
                <w:color w:val="FFFFFF"/>
                <w:sz w:val="19"/>
              </w:rPr>
              <w:t>Part (base case)</w:t>
            </w:r>
          </w:p>
        </w:tc>
        <w:tc>
          <w:tcPr>
            <w:tcW w:type="dxa" w:w="4320"/>
            <w:tcW w:w="4320" w:type="dxa"/>
            <w:shd w:val="clear" w:fill="1B5E5E"/>
          </w:tcPr>
          <w:p>
            <w:pPr>
              <w:spacing w:after="20" w:before="20"/>
              <w:jc w:val="center"/>
            </w:pPr>
            <w:r>
              <w:rPr>
                <w:b/>
                <w:color w:val="FFFFFF"/>
                <w:sz w:val="19"/>
              </w:rPr>
              <w:t>Basis</w:t>
            </w:r>
          </w:p>
        </w:tc>
        <w:tc>
          <w:tcPr>
            <w:tcW w:type="dxa" w:w="1728"/>
            <w:tcW w:w="1728" w:type="dxa"/>
            <w:shd w:val="clear" w:fill="1B5E5E"/>
          </w:tcPr>
          <w:p>
            <w:pPr>
              <w:spacing w:after="20" w:before="20"/>
              <w:jc w:val="center"/>
            </w:pPr>
            <w:r>
              <w:rPr>
                <w:b/>
                <w:color w:val="FFFFFF"/>
                <w:sz w:val="19"/>
              </w:rPr>
              <w:t>Value (SAR bn)</w:t>
            </w:r>
          </w:p>
        </w:tc>
      </w:tr>
      <w:tr>
        <w:tc>
          <w:tcPr>
            <w:tcW w:type="dxa" w:w="3888"/>
            <w:tcW w:w="3888" w:type="dxa"/>
          </w:tcPr>
          <w:p>
            <w:pPr>
              <w:spacing w:after="20" w:before="20"/>
            </w:pPr>
            <w:r>
              <w:rPr>
                <w:sz w:val="19"/>
              </w:rPr>
              <w:t>Operating power &amp; water portfolio</w:t>
            </w:r>
          </w:p>
        </w:tc>
        <w:tc>
          <w:tcPr>
            <w:tcW w:type="dxa" w:w="4320"/>
            <w:tcW w:w="4320" w:type="dxa"/>
          </w:tcPr>
          <w:p>
            <w:pPr>
              <w:spacing w:after="20" w:before="20"/>
              <w:jc w:val="center"/>
            </w:pPr>
            <w:r>
              <w:rPr>
                <w:sz w:val="19"/>
              </w:rPr>
              <w:t>Capitalized attributable distributions / EV-per-MW</w:t>
            </w:r>
          </w:p>
        </w:tc>
        <w:tc>
          <w:tcPr>
            <w:tcW w:type="dxa" w:w="1728"/>
            <w:tcW w:w="1728" w:type="dxa"/>
          </w:tcPr>
          <w:p>
            <w:pPr>
              <w:spacing w:after="20" w:before="20"/>
              <w:jc w:val="center"/>
            </w:pPr>
            <w:r>
              <w:rPr>
                <w:sz w:val="19"/>
              </w:rPr>
              <w:t>115</w:t>
            </w:r>
          </w:p>
        </w:tc>
      </w:tr>
      <w:tr>
        <w:tc>
          <w:tcPr>
            <w:tcW w:type="dxa" w:w="3888"/>
            <w:tcW w:w="3888" w:type="dxa"/>
          </w:tcPr>
          <w:p>
            <w:pPr>
              <w:spacing w:after="20" w:before="20"/>
            </w:pPr>
            <w:r>
              <w:rPr>
                <w:sz w:val="19"/>
              </w:rPr>
              <w:t>Under-construction portfolio</w:t>
            </w:r>
          </w:p>
        </w:tc>
        <w:tc>
          <w:tcPr>
            <w:tcW w:type="dxa" w:w="4320"/>
            <w:tcW w:w="4320" w:type="dxa"/>
          </w:tcPr>
          <w:p>
            <w:pPr>
              <w:spacing w:after="20" w:before="20"/>
              <w:jc w:val="center"/>
            </w:pPr>
            <w:r>
              <w:rPr>
                <w:sz w:val="19"/>
              </w:rPr>
              <w:t>Invested equity + development uplift (to COD)</w:t>
            </w:r>
          </w:p>
        </w:tc>
        <w:tc>
          <w:tcPr>
            <w:tcW w:type="dxa" w:w="1728"/>
            <w:tcW w:w="1728" w:type="dxa"/>
          </w:tcPr>
          <w:p>
            <w:pPr>
              <w:spacing w:after="20" w:before="20"/>
              <w:jc w:val="center"/>
            </w:pPr>
            <w:r>
              <w:rPr>
                <w:sz w:val="19"/>
              </w:rPr>
              <w:t>42</w:t>
            </w:r>
          </w:p>
        </w:tc>
      </w:tr>
      <w:tr>
        <w:tc>
          <w:tcPr>
            <w:tcW w:type="dxa" w:w="3888"/>
            <w:tcW w:w="3888" w:type="dxa"/>
          </w:tcPr>
          <w:p>
            <w:pPr>
              <w:spacing w:after="20" w:before="20"/>
            </w:pPr>
            <w:r>
              <w:rPr>
                <w:sz w:val="19"/>
              </w:rPr>
              <w:t>Advanced development pipeline</w:t>
            </w:r>
          </w:p>
        </w:tc>
        <w:tc>
          <w:tcPr>
            <w:tcW w:type="dxa" w:w="4320"/>
            <w:tcW w:w="4320" w:type="dxa"/>
          </w:tcPr>
          <w:p>
            <w:pPr>
              <w:spacing w:after="20" w:before="20"/>
              <w:jc w:val="center"/>
            </w:pPr>
            <w:r>
              <w:rPr>
                <w:sz w:val="19"/>
              </w:rPr>
              <w:t>Risk-weighted optionality</w:t>
            </w:r>
          </w:p>
        </w:tc>
        <w:tc>
          <w:tcPr>
            <w:tcW w:type="dxa" w:w="1728"/>
            <w:tcW w:w="1728" w:type="dxa"/>
          </w:tcPr>
          <w:p>
            <w:pPr>
              <w:spacing w:after="20" w:before="20"/>
              <w:jc w:val="center"/>
            </w:pPr>
            <w:r>
              <w:rPr>
                <w:sz w:val="19"/>
              </w:rPr>
              <w:t>10</w:t>
            </w:r>
          </w:p>
        </w:tc>
      </w:tr>
      <w:tr>
        <w:tc>
          <w:tcPr>
            <w:tcW w:type="dxa" w:w="3888"/>
            <w:tcW w:w="3888" w:type="dxa"/>
          </w:tcPr>
          <w:p>
            <w:pPr>
              <w:spacing w:after="20" w:before="20"/>
            </w:pPr>
            <w:r>
              <w:rPr>
                <w:sz w:val="19"/>
              </w:rPr>
              <w:t>NOMAC + development / services</w:t>
            </w:r>
          </w:p>
        </w:tc>
        <w:tc>
          <w:tcPr>
            <w:tcW w:type="dxa" w:w="4320"/>
            <w:tcW w:w="4320" w:type="dxa"/>
          </w:tcPr>
          <w:p>
            <w:pPr>
              <w:spacing w:after="20" w:before="20"/>
              <w:jc w:val="center"/>
            </w:pPr>
            <w:r>
              <w:rPr>
                <w:sz w:val="19"/>
              </w:rPr>
              <w:t>Fee-stream DCF (super-senior, stable)</w:t>
            </w:r>
          </w:p>
        </w:tc>
        <w:tc>
          <w:tcPr>
            <w:tcW w:type="dxa" w:w="1728"/>
            <w:tcW w:w="1728" w:type="dxa"/>
          </w:tcPr>
          <w:p>
            <w:pPr>
              <w:spacing w:after="20" w:before="20"/>
              <w:jc w:val="center"/>
            </w:pPr>
            <w:r>
              <w:rPr>
                <w:sz w:val="19"/>
              </w:rPr>
              <w:t>23</w:t>
            </w:r>
          </w:p>
        </w:tc>
      </w:tr>
      <w:tr>
        <w:tc>
          <w:tcPr>
            <w:tcW w:type="dxa" w:w="3888"/>
            <w:tcW w:w="3888" w:type="dxa"/>
          </w:tcPr>
          <w:p>
            <w:pPr>
              <w:spacing w:after="20" w:before="20"/>
            </w:pPr>
            <w:r>
              <w:rPr>
                <w:b/>
                <w:sz w:val="19"/>
              </w:rPr>
              <w:t>Σ Gross asset value (attributable equity)</w:t>
            </w:r>
          </w:p>
        </w:tc>
        <w:tc>
          <w:tcPr>
            <w:tcW w:type="dxa" w:w="4320"/>
            <w:tcW w:w="4320" w:type="dxa"/>
          </w:tcPr>
          <w:p>
            <w:pPr>
              <w:spacing w:after="20" w:before="20"/>
              <w:jc w:val="center"/>
            </w:pPr>
            <w:r>
              <w:rPr>
                <w:b/>
                <w:sz w:val="19"/>
              </w:rPr>
            </w:r>
          </w:p>
        </w:tc>
        <w:tc>
          <w:tcPr>
            <w:tcW w:type="dxa" w:w="1728"/>
            <w:tcW w:w="1728" w:type="dxa"/>
          </w:tcPr>
          <w:p>
            <w:pPr>
              <w:spacing w:after="20" w:before="20"/>
              <w:jc w:val="center"/>
            </w:pPr>
            <w:r>
              <w:rPr>
                <w:b/>
                <w:sz w:val="19"/>
              </w:rPr>
              <w:t>190</w:t>
            </w:r>
          </w:p>
        </w:tc>
      </w:tr>
      <w:tr>
        <w:tc>
          <w:tcPr>
            <w:tcW w:type="dxa" w:w="3888"/>
            <w:tcW w:w="3888" w:type="dxa"/>
          </w:tcPr>
          <w:p>
            <w:pPr>
              <w:spacing w:after="20" w:before="20"/>
            </w:pPr>
            <w:r>
              <w:rPr>
                <w:sz w:val="19"/>
              </w:rPr>
              <w:t>less: holdco / corporate net debt</w:t>
            </w:r>
          </w:p>
        </w:tc>
        <w:tc>
          <w:tcPr>
            <w:tcW w:type="dxa" w:w="4320"/>
            <w:tcW w:w="4320" w:type="dxa"/>
          </w:tcPr>
          <w:p>
            <w:pPr>
              <w:spacing w:after="20" w:before="20"/>
              <w:jc w:val="center"/>
            </w:pPr>
            <w:r>
              <w:rPr>
                <w:sz w:val="19"/>
              </w:rPr>
            </w:r>
          </w:p>
        </w:tc>
        <w:tc>
          <w:tcPr>
            <w:tcW w:type="dxa" w:w="1728"/>
            <w:tcW w:w="1728" w:type="dxa"/>
          </w:tcPr>
          <w:p>
            <w:pPr>
              <w:spacing w:after="20" w:before="20"/>
              <w:jc w:val="center"/>
            </w:pPr>
            <w:r>
              <w:rPr>
                <w:sz w:val="19"/>
              </w:rPr>
              <w:t>(25)</w:t>
            </w:r>
          </w:p>
        </w:tc>
      </w:tr>
      <w:tr>
        <w:tc>
          <w:tcPr>
            <w:tcW w:type="dxa" w:w="3888"/>
            <w:tcW w:w="3888" w:type="dxa"/>
          </w:tcPr>
          <w:p>
            <w:pPr>
              <w:spacing w:after="20" w:before="20"/>
            </w:pPr>
            <w:r>
              <w:rPr>
                <w:b/>
                <w:sz w:val="19"/>
              </w:rPr>
              <w:t>SOTP equity value</w:t>
            </w:r>
          </w:p>
        </w:tc>
        <w:tc>
          <w:tcPr>
            <w:tcW w:type="dxa" w:w="4320"/>
            <w:tcW w:w="4320" w:type="dxa"/>
          </w:tcPr>
          <w:p>
            <w:pPr>
              <w:spacing w:after="20" w:before="20"/>
              <w:jc w:val="center"/>
            </w:pPr>
            <w:r>
              <w:rPr>
                <w:b/>
                <w:sz w:val="19"/>
              </w:rPr>
              <w:t>= SAR 215 / share</w:t>
            </w:r>
          </w:p>
        </w:tc>
        <w:tc>
          <w:tcPr>
            <w:tcW w:type="dxa" w:w="1728"/>
            <w:tcW w:w="1728" w:type="dxa"/>
          </w:tcPr>
          <w:p>
            <w:pPr>
              <w:spacing w:after="20" w:before="20"/>
              <w:jc w:val="center"/>
            </w:pPr>
            <w:r>
              <w:rPr>
                <w:b/>
                <w:sz w:val="19"/>
              </w:rPr>
              <w:t>165</w:t>
            </w:r>
          </w:p>
        </w:tc>
      </w:tr>
      <w:tr>
        <w:tc>
          <w:tcPr>
            <w:tcW w:type="dxa" w:w="3888"/>
            <w:tcW w:w="3888" w:type="dxa"/>
          </w:tcPr>
          <w:p>
            <w:pPr>
              <w:spacing w:after="20" w:before="20"/>
            </w:pPr>
            <w:r>
              <w:rPr>
                <w:sz w:val="19"/>
              </w:rPr>
              <w:t>Implied gross NAV (pre-net-debt)</w:t>
            </w:r>
          </w:p>
        </w:tc>
        <w:tc>
          <w:tcPr>
            <w:tcW w:type="dxa" w:w="4320"/>
            <w:tcW w:w="4320" w:type="dxa"/>
          </w:tcPr>
          <w:p>
            <w:pPr>
              <w:spacing w:after="20" w:before="20"/>
              <w:jc w:val="center"/>
            </w:pPr>
            <w:r>
              <w:rPr>
                <w:sz w:val="19"/>
              </w:rPr>
              <w:t>= SAR 248 / share</w:t>
            </w:r>
          </w:p>
        </w:tc>
        <w:tc>
          <w:tcPr>
            <w:tcW w:type="dxa" w:w="1728"/>
            <w:tcW w:w="1728" w:type="dxa"/>
          </w:tcPr>
          <w:p>
            <w:pPr>
              <w:spacing w:after="20" w:before="20"/>
              <w:jc w:val="center"/>
            </w:pPr>
            <w:r>
              <w:rPr>
                <w:sz w:val="19"/>
              </w:rPr>
              <w:t>190</w:t>
            </w:r>
          </w:p>
        </w:tc>
      </w:tr>
    </w:tbl>
    <w:p>
      <w:pPr>
        <w:spacing w:after="120"/>
      </w:pPr>
      <w:r>
        <w:rPr>
          <w:b/>
          <w:color w:val="222222"/>
          <w:sz w:val="21"/>
        </w:rPr>
        <w:t>SOTP base ≈ SAR 215/share</w:t>
      </w:r>
      <w:r>
        <w:rPr>
          <w:b w:val="0"/>
          <w:color w:val="222222"/>
          <w:sz w:val="21"/>
        </w:rPr>
        <w:t>, with a bear–bull span of roughly SAR 140–320 driven mainly by the operating-portfolio mark and the credit given to the pipeline (see §1.9). The pre-net-debt gross NAV of SAR 248 says the market is paying SAR 194 for SAR 248 of marked assets — a ~22% implied discount to gross NAV, wider than we would strike on a platform with this contract quality, which is the crux of the constructive case.</w:t>
      </w:r>
    </w:p>
    <w:p>
      <w:pPr>
        <w:spacing w:before="140" w:after="80"/>
      </w:pPr>
      <w:r>
        <w:rPr>
          <w:b/>
          <w:color w:val="1B5E5E"/>
          <w:sz w:val="25"/>
        </w:rPr>
        <w:t>1.2  Consolidated DCF — the cash-flow cross-check</w:t>
      </w:r>
    </w:p>
    <w:p>
      <w:pPr>
        <w:spacing w:after="120" w:before="0"/>
      </w:pPr>
      <w:r>
        <w:rPr>
          <w:b w:val="0"/>
          <w:i w:val="0"/>
          <w:color w:val="222222"/>
          <w:sz w:val="21"/>
        </w:rPr>
        <w:t>A discounted-cash-flow model is the natural check on the asset sum, but for ACWA it must be built with care: a naïve consolidated free-cash-flow model captures neither the cash ACWA receives from equity-accounted associates nor the development and services fees, and it is swamped by gross project construction funded by non-recourse debt. We therefore build the DCF on a normalized attributable free cash flow to the firm — the cash the whole portfolio generates for ACWA's account, net of maintenance and attributable growth equity — and let it ramp as the under-construction book reaches commercial operation. We fade the growth into a 3.5% terminal and discount at an 8.75% WACC. The cost of equity is published explicitly: Ke = risk-free 4.75% + beta 0.85 × ERP 6.0% = 9.85% (§1.9 and Appendix D sensitize it).</w:t>
      </w:r>
    </w:p>
    <w:p>
      <w:pPr>
        <w:spacing w:after="40" w:before="0"/>
      </w:pPr>
      <w:r>
        <w:rPr>
          <w:b w:val="0"/>
          <w:i w:val="0"/>
          <w:color w:val="222222"/>
          <w:sz w:val="21"/>
        </w:rPr>
        <w:t>The full five-year build (SAR m, normalized attributable FCFF):</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312"/>
            <w:tcW w:w="3311" w:type="dxa"/>
            <w:shd w:val="clear" w:fill="1B5E5E"/>
          </w:tcPr>
          <w:p>
            <w:pPr>
              <w:spacing w:after="20" w:before="20"/>
            </w:pPr>
            <w:r>
              <w:rPr>
                <w:b/>
                <w:color w:val="FFFFFF"/>
                <w:sz w:val="18"/>
              </w:rPr>
              <w:t>Line (SAR m)</w:t>
            </w:r>
          </w:p>
        </w:tc>
        <w:tc>
          <w:tcPr>
            <w:tcW w:type="dxa" w:w="1325"/>
            <w:tcW w:w="1324" w:type="dxa"/>
            <w:shd w:val="clear" w:fill="1B5E5E"/>
          </w:tcPr>
          <w:p>
            <w:pPr>
              <w:spacing w:after="20" w:before="20"/>
              <w:jc w:val="center"/>
            </w:pPr>
            <w:r>
              <w:rPr>
                <w:b/>
                <w:color w:val="FFFFFF"/>
                <w:sz w:val="18"/>
              </w:rPr>
              <w:t>FY2026E</w:t>
            </w:r>
          </w:p>
        </w:tc>
        <w:tc>
          <w:tcPr>
            <w:tcW w:type="dxa" w:w="1325"/>
            <w:tcW w:w="1324" w:type="dxa"/>
            <w:shd w:val="clear" w:fill="1B5E5E"/>
          </w:tcPr>
          <w:p>
            <w:pPr>
              <w:spacing w:after="20" w:before="20"/>
              <w:jc w:val="center"/>
            </w:pPr>
            <w:r>
              <w:rPr>
                <w:b/>
                <w:color w:val="FFFFFF"/>
                <w:sz w:val="18"/>
              </w:rPr>
              <w:t>FY2027E</w:t>
            </w:r>
          </w:p>
        </w:tc>
        <w:tc>
          <w:tcPr>
            <w:tcW w:type="dxa" w:w="1325"/>
            <w:tcW w:w="1324" w:type="dxa"/>
            <w:shd w:val="clear" w:fill="1B5E5E"/>
          </w:tcPr>
          <w:p>
            <w:pPr>
              <w:spacing w:after="20" w:before="20"/>
              <w:jc w:val="center"/>
            </w:pPr>
            <w:r>
              <w:rPr>
                <w:b/>
                <w:color w:val="FFFFFF"/>
                <w:sz w:val="18"/>
              </w:rPr>
              <w:t>FY2028E</w:t>
            </w:r>
          </w:p>
        </w:tc>
        <w:tc>
          <w:tcPr>
            <w:tcW w:type="dxa" w:w="1325"/>
            <w:tcW w:w="1324" w:type="dxa"/>
            <w:shd w:val="clear" w:fill="1B5E5E"/>
          </w:tcPr>
          <w:p>
            <w:pPr>
              <w:spacing w:after="20" w:before="20"/>
              <w:jc w:val="center"/>
            </w:pPr>
            <w:r>
              <w:rPr>
                <w:b/>
                <w:color w:val="FFFFFF"/>
                <w:sz w:val="18"/>
              </w:rPr>
              <w:t>FY2029E</w:t>
            </w:r>
          </w:p>
        </w:tc>
        <w:tc>
          <w:tcPr>
            <w:tcW w:type="dxa" w:w="1325"/>
            <w:tcW w:w="1324" w:type="dxa"/>
            <w:shd w:val="clear" w:fill="1B5E5E"/>
          </w:tcPr>
          <w:p>
            <w:pPr>
              <w:spacing w:after="20" w:before="20"/>
              <w:jc w:val="center"/>
            </w:pPr>
            <w:r>
              <w:rPr>
                <w:b/>
                <w:color w:val="FFFFFF"/>
                <w:sz w:val="18"/>
              </w:rPr>
              <w:t>FY2030E</w:t>
            </w:r>
          </w:p>
        </w:tc>
      </w:tr>
      <w:tr>
        <w:tc>
          <w:tcPr>
            <w:tcW w:type="dxa" w:w="3312"/>
            <w:tcW w:w="3311" w:type="dxa"/>
          </w:tcPr>
          <w:p>
            <w:pPr>
              <w:spacing w:after="20" w:before="20"/>
            </w:pPr>
            <w:r>
              <w:rPr>
                <w:sz w:val="18"/>
              </w:rPr>
              <w:t>EBITDA</w:t>
            </w:r>
          </w:p>
        </w:tc>
        <w:tc>
          <w:tcPr>
            <w:tcW w:type="dxa" w:w="1325"/>
            <w:tcW w:w="1324" w:type="dxa"/>
          </w:tcPr>
          <w:p>
            <w:pPr>
              <w:spacing w:after="20" w:before="20"/>
              <w:jc w:val="center"/>
            </w:pPr>
            <w:r>
              <w:rPr>
                <w:sz w:val="18"/>
              </w:rPr>
              <w:t>8,300</w:t>
            </w:r>
          </w:p>
        </w:tc>
        <w:tc>
          <w:tcPr>
            <w:tcW w:type="dxa" w:w="1325"/>
            <w:tcW w:w="1324" w:type="dxa"/>
          </w:tcPr>
          <w:p>
            <w:pPr>
              <w:spacing w:after="20" w:before="20"/>
              <w:jc w:val="center"/>
            </w:pPr>
            <w:r>
              <w:rPr>
                <w:sz w:val="18"/>
              </w:rPr>
              <w:t>9,650</w:t>
            </w:r>
          </w:p>
        </w:tc>
        <w:tc>
          <w:tcPr>
            <w:tcW w:type="dxa" w:w="1325"/>
            <w:tcW w:w="1324" w:type="dxa"/>
          </w:tcPr>
          <w:p>
            <w:pPr>
              <w:spacing w:after="20" w:before="20"/>
              <w:jc w:val="center"/>
            </w:pPr>
            <w:r>
              <w:rPr>
                <w:sz w:val="18"/>
              </w:rPr>
              <w:t>11,100</w:t>
            </w:r>
          </w:p>
        </w:tc>
        <w:tc>
          <w:tcPr>
            <w:tcW w:type="dxa" w:w="1325"/>
            <w:tcW w:w="1324" w:type="dxa"/>
          </w:tcPr>
          <w:p>
            <w:pPr>
              <w:spacing w:after="20" w:before="20"/>
              <w:jc w:val="center"/>
            </w:pPr>
            <w:r>
              <w:rPr>
                <w:sz w:val="18"/>
              </w:rPr>
              <w:t>12,650</w:t>
            </w:r>
          </w:p>
        </w:tc>
        <w:tc>
          <w:tcPr>
            <w:tcW w:type="dxa" w:w="1325"/>
            <w:tcW w:w="1324" w:type="dxa"/>
          </w:tcPr>
          <w:p>
            <w:pPr>
              <w:spacing w:after="20" w:before="20"/>
              <w:jc w:val="center"/>
            </w:pPr>
            <w:r>
              <w:rPr>
                <w:sz w:val="18"/>
              </w:rPr>
              <w:t>14,500</w:t>
            </w:r>
          </w:p>
        </w:tc>
      </w:tr>
      <w:tr>
        <w:tc>
          <w:tcPr>
            <w:tcW w:type="dxa" w:w="3312"/>
            <w:tcW w:w="3311" w:type="dxa"/>
          </w:tcPr>
          <w:p>
            <w:pPr>
              <w:spacing w:after="20" w:before="20"/>
            </w:pPr>
            <w:r>
              <w:rPr>
                <w:sz w:val="18"/>
              </w:rPr>
              <w:t>less: D&amp;A</w:t>
            </w:r>
          </w:p>
        </w:tc>
        <w:tc>
          <w:tcPr>
            <w:tcW w:type="dxa" w:w="1325"/>
            <w:tcW w:w="1324" w:type="dxa"/>
          </w:tcPr>
          <w:p>
            <w:pPr>
              <w:spacing w:after="20" w:before="20"/>
              <w:jc w:val="center"/>
            </w:pPr>
            <w:r>
              <w:rPr>
                <w:sz w:val="18"/>
              </w:rPr>
              <w:t>(1,300)</w:t>
            </w:r>
          </w:p>
        </w:tc>
        <w:tc>
          <w:tcPr>
            <w:tcW w:type="dxa" w:w="1325"/>
            <w:tcW w:w="1324" w:type="dxa"/>
          </w:tcPr>
          <w:p>
            <w:pPr>
              <w:spacing w:after="20" w:before="20"/>
              <w:jc w:val="center"/>
            </w:pPr>
            <w:r>
              <w:rPr>
                <w:sz w:val="18"/>
              </w:rPr>
              <w:t>(1,450)</w:t>
            </w:r>
          </w:p>
        </w:tc>
        <w:tc>
          <w:tcPr>
            <w:tcW w:type="dxa" w:w="1325"/>
            <w:tcW w:w="1324" w:type="dxa"/>
          </w:tcPr>
          <w:p>
            <w:pPr>
              <w:spacing w:after="20" w:before="20"/>
              <w:jc w:val="center"/>
            </w:pPr>
            <w:r>
              <w:rPr>
                <w:sz w:val="18"/>
              </w:rPr>
              <w:t>(1,600)</w:t>
            </w:r>
          </w:p>
        </w:tc>
        <w:tc>
          <w:tcPr>
            <w:tcW w:type="dxa" w:w="1325"/>
            <w:tcW w:w="1324" w:type="dxa"/>
          </w:tcPr>
          <w:p>
            <w:pPr>
              <w:spacing w:after="20" w:before="20"/>
              <w:jc w:val="center"/>
            </w:pPr>
            <w:r>
              <w:rPr>
                <w:sz w:val="18"/>
              </w:rPr>
              <w:t>(1,750)</w:t>
            </w:r>
          </w:p>
        </w:tc>
        <w:tc>
          <w:tcPr>
            <w:tcW w:type="dxa" w:w="1325"/>
            <w:tcW w:w="1324" w:type="dxa"/>
          </w:tcPr>
          <w:p>
            <w:pPr>
              <w:spacing w:after="20" w:before="20"/>
              <w:jc w:val="center"/>
            </w:pPr>
            <w:r>
              <w:rPr>
                <w:sz w:val="18"/>
              </w:rPr>
              <w:t>(1,900)</w:t>
            </w:r>
          </w:p>
        </w:tc>
      </w:tr>
      <w:tr>
        <w:tc>
          <w:tcPr>
            <w:tcW w:type="dxa" w:w="3312"/>
            <w:tcW w:w="3311" w:type="dxa"/>
          </w:tcPr>
          <w:p>
            <w:pPr>
              <w:spacing w:after="20" w:before="20"/>
            </w:pPr>
            <w:r>
              <w:rPr>
                <w:b/>
                <w:sz w:val="18"/>
              </w:rPr>
              <w:t>EBIT</w:t>
            </w:r>
          </w:p>
        </w:tc>
        <w:tc>
          <w:tcPr>
            <w:tcW w:type="dxa" w:w="1325"/>
            <w:tcW w:w="1324" w:type="dxa"/>
          </w:tcPr>
          <w:p>
            <w:pPr>
              <w:spacing w:after="20" w:before="20"/>
              <w:jc w:val="center"/>
            </w:pPr>
            <w:r>
              <w:rPr>
                <w:b/>
                <w:sz w:val="18"/>
              </w:rPr>
              <w:t>7,000</w:t>
            </w:r>
          </w:p>
        </w:tc>
        <w:tc>
          <w:tcPr>
            <w:tcW w:type="dxa" w:w="1325"/>
            <w:tcW w:w="1324" w:type="dxa"/>
          </w:tcPr>
          <w:p>
            <w:pPr>
              <w:spacing w:after="20" w:before="20"/>
              <w:jc w:val="center"/>
            </w:pPr>
            <w:r>
              <w:rPr>
                <w:b/>
                <w:sz w:val="18"/>
              </w:rPr>
              <w:t>8,200</w:t>
            </w:r>
          </w:p>
        </w:tc>
        <w:tc>
          <w:tcPr>
            <w:tcW w:type="dxa" w:w="1325"/>
            <w:tcW w:w="1324" w:type="dxa"/>
          </w:tcPr>
          <w:p>
            <w:pPr>
              <w:spacing w:after="20" w:before="20"/>
              <w:jc w:val="center"/>
            </w:pPr>
            <w:r>
              <w:rPr>
                <w:b/>
                <w:sz w:val="18"/>
              </w:rPr>
              <w:t>9,500</w:t>
            </w:r>
          </w:p>
        </w:tc>
        <w:tc>
          <w:tcPr>
            <w:tcW w:type="dxa" w:w="1325"/>
            <w:tcW w:w="1324" w:type="dxa"/>
          </w:tcPr>
          <w:p>
            <w:pPr>
              <w:spacing w:after="20" w:before="20"/>
              <w:jc w:val="center"/>
            </w:pPr>
            <w:r>
              <w:rPr>
                <w:b/>
                <w:sz w:val="18"/>
              </w:rPr>
              <w:t>10,900</w:t>
            </w:r>
          </w:p>
        </w:tc>
        <w:tc>
          <w:tcPr>
            <w:tcW w:type="dxa" w:w="1325"/>
            <w:tcW w:w="1324" w:type="dxa"/>
          </w:tcPr>
          <w:p>
            <w:pPr>
              <w:spacing w:after="20" w:before="20"/>
              <w:jc w:val="center"/>
            </w:pPr>
            <w:r>
              <w:rPr>
                <w:b/>
                <w:sz w:val="18"/>
              </w:rPr>
              <w:t>12,600</w:t>
            </w:r>
          </w:p>
        </w:tc>
      </w:tr>
      <w:tr>
        <w:tc>
          <w:tcPr>
            <w:tcW w:type="dxa" w:w="3312"/>
            <w:tcW w:w="3311" w:type="dxa"/>
          </w:tcPr>
          <w:p>
            <w:pPr>
              <w:spacing w:after="20" w:before="20"/>
            </w:pPr>
            <w:r>
              <w:rPr>
                <w:sz w:val="18"/>
              </w:rPr>
              <w:t>NOPAT = EBIT × (1 − 10%)</w:t>
            </w:r>
          </w:p>
        </w:tc>
        <w:tc>
          <w:tcPr>
            <w:tcW w:type="dxa" w:w="1325"/>
            <w:tcW w:w="1324" w:type="dxa"/>
          </w:tcPr>
          <w:p>
            <w:pPr>
              <w:spacing w:after="20" w:before="20"/>
              <w:jc w:val="center"/>
            </w:pPr>
            <w:r>
              <w:rPr>
                <w:sz w:val="18"/>
              </w:rPr>
              <w:t>6,300</w:t>
            </w:r>
          </w:p>
        </w:tc>
        <w:tc>
          <w:tcPr>
            <w:tcW w:type="dxa" w:w="1325"/>
            <w:tcW w:w="1324" w:type="dxa"/>
          </w:tcPr>
          <w:p>
            <w:pPr>
              <w:spacing w:after="20" w:before="20"/>
              <w:jc w:val="center"/>
            </w:pPr>
            <w:r>
              <w:rPr>
                <w:sz w:val="18"/>
              </w:rPr>
              <w:t>7,380</w:t>
            </w:r>
          </w:p>
        </w:tc>
        <w:tc>
          <w:tcPr>
            <w:tcW w:type="dxa" w:w="1325"/>
            <w:tcW w:w="1324" w:type="dxa"/>
          </w:tcPr>
          <w:p>
            <w:pPr>
              <w:spacing w:after="20" w:before="20"/>
              <w:jc w:val="center"/>
            </w:pPr>
            <w:r>
              <w:rPr>
                <w:sz w:val="18"/>
              </w:rPr>
              <w:t>8,550</w:t>
            </w:r>
          </w:p>
        </w:tc>
        <w:tc>
          <w:tcPr>
            <w:tcW w:type="dxa" w:w="1325"/>
            <w:tcW w:w="1324" w:type="dxa"/>
          </w:tcPr>
          <w:p>
            <w:pPr>
              <w:spacing w:after="20" w:before="20"/>
              <w:jc w:val="center"/>
            </w:pPr>
            <w:r>
              <w:rPr>
                <w:sz w:val="18"/>
              </w:rPr>
              <w:t>9,810</w:t>
            </w:r>
          </w:p>
        </w:tc>
        <w:tc>
          <w:tcPr>
            <w:tcW w:type="dxa" w:w="1325"/>
            <w:tcW w:w="1324" w:type="dxa"/>
          </w:tcPr>
          <w:p>
            <w:pPr>
              <w:spacing w:after="20" w:before="20"/>
              <w:jc w:val="center"/>
            </w:pPr>
            <w:r>
              <w:rPr>
                <w:sz w:val="18"/>
              </w:rPr>
              <w:t>11,340</w:t>
            </w:r>
          </w:p>
        </w:tc>
      </w:tr>
      <w:tr>
        <w:tc>
          <w:tcPr>
            <w:tcW w:type="dxa" w:w="3312"/>
            <w:tcW w:w="3311" w:type="dxa"/>
          </w:tcPr>
          <w:p>
            <w:pPr>
              <w:spacing w:after="20" w:before="20"/>
            </w:pPr>
            <w:r>
              <w:rPr>
                <w:sz w:val="18"/>
              </w:rPr>
              <w:t>plus: D&amp;A</w:t>
            </w:r>
          </w:p>
        </w:tc>
        <w:tc>
          <w:tcPr>
            <w:tcW w:type="dxa" w:w="1325"/>
            <w:tcW w:w="1324" w:type="dxa"/>
          </w:tcPr>
          <w:p>
            <w:pPr>
              <w:spacing w:after="20" w:before="20"/>
              <w:jc w:val="center"/>
            </w:pPr>
            <w:r>
              <w:rPr>
                <w:sz w:val="18"/>
              </w:rPr>
              <w:t>1,300</w:t>
            </w:r>
          </w:p>
        </w:tc>
        <w:tc>
          <w:tcPr>
            <w:tcW w:type="dxa" w:w="1325"/>
            <w:tcW w:w="1324" w:type="dxa"/>
          </w:tcPr>
          <w:p>
            <w:pPr>
              <w:spacing w:after="20" w:before="20"/>
              <w:jc w:val="center"/>
            </w:pPr>
            <w:r>
              <w:rPr>
                <w:sz w:val="18"/>
              </w:rPr>
              <w:t>1,450</w:t>
            </w:r>
          </w:p>
        </w:tc>
        <w:tc>
          <w:tcPr>
            <w:tcW w:type="dxa" w:w="1325"/>
            <w:tcW w:w="1324" w:type="dxa"/>
          </w:tcPr>
          <w:p>
            <w:pPr>
              <w:spacing w:after="20" w:before="20"/>
              <w:jc w:val="center"/>
            </w:pPr>
            <w:r>
              <w:rPr>
                <w:sz w:val="18"/>
              </w:rPr>
              <w:t>1,600</w:t>
            </w:r>
          </w:p>
        </w:tc>
        <w:tc>
          <w:tcPr>
            <w:tcW w:type="dxa" w:w="1325"/>
            <w:tcW w:w="1324" w:type="dxa"/>
          </w:tcPr>
          <w:p>
            <w:pPr>
              <w:spacing w:after="20" w:before="20"/>
              <w:jc w:val="center"/>
            </w:pPr>
            <w:r>
              <w:rPr>
                <w:sz w:val="18"/>
              </w:rPr>
              <w:t>1,750</w:t>
            </w:r>
          </w:p>
        </w:tc>
        <w:tc>
          <w:tcPr>
            <w:tcW w:type="dxa" w:w="1325"/>
            <w:tcW w:w="1324" w:type="dxa"/>
          </w:tcPr>
          <w:p>
            <w:pPr>
              <w:spacing w:after="20" w:before="20"/>
              <w:jc w:val="center"/>
            </w:pPr>
            <w:r>
              <w:rPr>
                <w:sz w:val="18"/>
              </w:rPr>
              <w:t>1,900</w:t>
            </w:r>
          </w:p>
        </w:tc>
      </w:tr>
      <w:tr>
        <w:tc>
          <w:tcPr>
            <w:tcW w:type="dxa" w:w="3312"/>
            <w:tcW w:w="3311" w:type="dxa"/>
          </w:tcPr>
          <w:p>
            <w:pPr>
              <w:spacing w:after="20" w:before="20"/>
            </w:pPr>
            <w:r>
              <w:rPr>
                <w:sz w:val="18"/>
              </w:rPr>
              <w:t>less: Capex</w:t>
            </w:r>
          </w:p>
        </w:tc>
        <w:tc>
          <w:tcPr>
            <w:tcW w:type="dxa" w:w="1325"/>
            <w:tcW w:w="1324" w:type="dxa"/>
          </w:tcPr>
          <w:p>
            <w:pPr>
              <w:spacing w:after="20" w:before="20"/>
              <w:jc w:val="center"/>
            </w:pPr>
            <w:r>
              <w:rPr>
                <w:sz w:val="18"/>
              </w:rPr>
              <w:t>(2,000)</w:t>
            </w:r>
          </w:p>
        </w:tc>
        <w:tc>
          <w:tcPr>
            <w:tcW w:type="dxa" w:w="1325"/>
            <w:tcW w:w="1324" w:type="dxa"/>
          </w:tcPr>
          <w:p>
            <w:pPr>
              <w:spacing w:after="20" w:before="20"/>
              <w:jc w:val="center"/>
            </w:pPr>
            <w:r>
              <w:rPr>
                <w:sz w:val="18"/>
              </w:rPr>
              <w:t>(2,100)</w:t>
            </w:r>
          </w:p>
        </w:tc>
        <w:tc>
          <w:tcPr>
            <w:tcW w:type="dxa" w:w="1325"/>
            <w:tcW w:w="1324" w:type="dxa"/>
          </w:tcPr>
          <w:p>
            <w:pPr>
              <w:spacing w:after="20" w:before="20"/>
              <w:jc w:val="center"/>
            </w:pPr>
            <w:r>
              <w:rPr>
                <w:sz w:val="18"/>
              </w:rPr>
              <w:t>(2,200)</w:t>
            </w:r>
          </w:p>
        </w:tc>
        <w:tc>
          <w:tcPr>
            <w:tcW w:type="dxa" w:w="1325"/>
            <w:tcW w:w="1324" w:type="dxa"/>
          </w:tcPr>
          <w:p>
            <w:pPr>
              <w:spacing w:after="20" w:before="20"/>
              <w:jc w:val="center"/>
            </w:pPr>
            <w:r>
              <w:rPr>
                <w:sz w:val="18"/>
              </w:rPr>
              <w:t>(2,300)</w:t>
            </w:r>
          </w:p>
        </w:tc>
        <w:tc>
          <w:tcPr>
            <w:tcW w:type="dxa" w:w="1325"/>
            <w:tcW w:w="1324" w:type="dxa"/>
          </w:tcPr>
          <w:p>
            <w:pPr>
              <w:spacing w:after="20" w:before="20"/>
              <w:jc w:val="center"/>
            </w:pPr>
            <w:r>
              <w:rPr>
                <w:sz w:val="18"/>
              </w:rPr>
              <w:t>(2,400)</w:t>
            </w:r>
          </w:p>
        </w:tc>
      </w:tr>
      <w:tr>
        <w:tc>
          <w:tcPr>
            <w:tcW w:type="dxa" w:w="3312"/>
            <w:tcW w:w="3311" w:type="dxa"/>
          </w:tcPr>
          <w:p>
            <w:pPr>
              <w:spacing w:after="20" w:before="20"/>
            </w:pPr>
            <w:r>
              <w:rPr>
                <w:sz w:val="18"/>
              </w:rPr>
              <w:t>less: Δ working capital</w:t>
            </w:r>
          </w:p>
        </w:tc>
        <w:tc>
          <w:tcPr>
            <w:tcW w:type="dxa" w:w="1325"/>
            <w:tcW w:w="1324" w:type="dxa"/>
          </w:tcPr>
          <w:p>
            <w:pPr>
              <w:spacing w:after="20" w:before="20"/>
              <w:jc w:val="center"/>
            </w:pPr>
            <w:r>
              <w:rPr>
                <w:sz w:val="18"/>
              </w:rPr>
              <w:t>(300)</w:t>
            </w:r>
          </w:p>
        </w:tc>
        <w:tc>
          <w:tcPr>
            <w:tcW w:type="dxa" w:w="1325"/>
            <w:tcW w:w="1324" w:type="dxa"/>
          </w:tcPr>
          <w:p>
            <w:pPr>
              <w:spacing w:after="20" w:before="20"/>
              <w:jc w:val="center"/>
            </w:pPr>
            <w:r>
              <w:rPr>
                <w:sz w:val="18"/>
              </w:rPr>
              <w:t>(300)</w:t>
            </w:r>
          </w:p>
        </w:tc>
        <w:tc>
          <w:tcPr>
            <w:tcW w:type="dxa" w:w="1325"/>
            <w:tcW w:w="1324" w:type="dxa"/>
          </w:tcPr>
          <w:p>
            <w:pPr>
              <w:spacing w:after="20" w:before="20"/>
              <w:jc w:val="center"/>
            </w:pPr>
            <w:r>
              <w:rPr>
                <w:sz w:val="18"/>
              </w:rPr>
              <w:t>(300)</w:t>
            </w:r>
          </w:p>
        </w:tc>
        <w:tc>
          <w:tcPr>
            <w:tcW w:type="dxa" w:w="1325"/>
            <w:tcW w:w="1324" w:type="dxa"/>
          </w:tcPr>
          <w:p>
            <w:pPr>
              <w:spacing w:after="20" w:before="20"/>
              <w:jc w:val="center"/>
            </w:pPr>
            <w:r>
              <w:rPr>
                <w:sz w:val="18"/>
              </w:rPr>
              <w:t>(300)</w:t>
            </w:r>
          </w:p>
        </w:tc>
        <w:tc>
          <w:tcPr>
            <w:tcW w:type="dxa" w:w="1325"/>
            <w:tcW w:w="1324" w:type="dxa"/>
          </w:tcPr>
          <w:p>
            <w:pPr>
              <w:spacing w:after="20" w:before="20"/>
              <w:jc w:val="center"/>
            </w:pPr>
            <w:r>
              <w:rPr>
                <w:sz w:val="18"/>
              </w:rPr>
              <w:t>(300)</w:t>
            </w:r>
          </w:p>
        </w:tc>
      </w:tr>
      <w:tr>
        <w:tc>
          <w:tcPr>
            <w:tcW w:type="dxa" w:w="3312"/>
            <w:tcW w:w="3311" w:type="dxa"/>
          </w:tcPr>
          <w:p>
            <w:pPr>
              <w:spacing w:after="20" w:before="20"/>
            </w:pPr>
            <w:r>
              <w:rPr>
                <w:b/>
                <w:sz w:val="18"/>
              </w:rPr>
              <w:t>Free cash flow to firm (FCFF)</w:t>
            </w:r>
          </w:p>
        </w:tc>
        <w:tc>
          <w:tcPr>
            <w:tcW w:type="dxa" w:w="1325"/>
            <w:tcW w:w="1324" w:type="dxa"/>
          </w:tcPr>
          <w:p>
            <w:pPr>
              <w:spacing w:after="20" w:before="20"/>
              <w:jc w:val="center"/>
            </w:pPr>
            <w:r>
              <w:rPr>
                <w:b/>
                <w:sz w:val="18"/>
              </w:rPr>
              <w:t>5,300</w:t>
            </w:r>
          </w:p>
        </w:tc>
        <w:tc>
          <w:tcPr>
            <w:tcW w:type="dxa" w:w="1325"/>
            <w:tcW w:w="1324" w:type="dxa"/>
          </w:tcPr>
          <w:p>
            <w:pPr>
              <w:spacing w:after="20" w:before="20"/>
              <w:jc w:val="center"/>
            </w:pPr>
            <w:r>
              <w:rPr>
                <w:b/>
                <w:sz w:val="18"/>
              </w:rPr>
              <w:t>6,430</w:t>
            </w:r>
          </w:p>
        </w:tc>
        <w:tc>
          <w:tcPr>
            <w:tcW w:type="dxa" w:w="1325"/>
            <w:tcW w:w="1324" w:type="dxa"/>
          </w:tcPr>
          <w:p>
            <w:pPr>
              <w:spacing w:after="20" w:before="20"/>
              <w:jc w:val="center"/>
            </w:pPr>
            <w:r>
              <w:rPr>
                <w:b/>
                <w:sz w:val="18"/>
              </w:rPr>
              <w:t>7,650</w:t>
            </w:r>
          </w:p>
        </w:tc>
        <w:tc>
          <w:tcPr>
            <w:tcW w:type="dxa" w:w="1325"/>
            <w:tcW w:w="1324" w:type="dxa"/>
          </w:tcPr>
          <w:p>
            <w:pPr>
              <w:spacing w:after="20" w:before="20"/>
              <w:jc w:val="center"/>
            </w:pPr>
            <w:r>
              <w:rPr>
                <w:b/>
                <w:sz w:val="18"/>
              </w:rPr>
              <w:t>8,960</w:t>
            </w:r>
          </w:p>
        </w:tc>
        <w:tc>
          <w:tcPr>
            <w:tcW w:type="dxa" w:w="1325"/>
            <w:tcW w:w="1324" w:type="dxa"/>
          </w:tcPr>
          <w:p>
            <w:pPr>
              <w:spacing w:after="20" w:before="20"/>
              <w:jc w:val="center"/>
            </w:pPr>
            <w:r>
              <w:rPr>
                <w:b/>
                <w:sz w:val="18"/>
              </w:rPr>
              <w:t>10,540</w:t>
            </w:r>
          </w:p>
        </w:tc>
      </w:tr>
      <w:tr>
        <w:tc>
          <w:tcPr>
            <w:tcW w:type="dxa" w:w="3312"/>
            <w:tcW w:w="3311" w:type="dxa"/>
          </w:tcPr>
          <w:p>
            <w:pPr>
              <w:spacing w:after="20" w:before="20"/>
            </w:pPr>
            <w:r>
              <w:rPr>
                <w:sz w:val="18"/>
              </w:rPr>
              <w:t>Discount factor @ 8.75%</w:t>
            </w:r>
          </w:p>
        </w:tc>
        <w:tc>
          <w:tcPr>
            <w:tcW w:type="dxa" w:w="1325"/>
            <w:tcW w:w="1324" w:type="dxa"/>
          </w:tcPr>
          <w:p>
            <w:pPr>
              <w:spacing w:after="20" w:before="20"/>
              <w:jc w:val="center"/>
            </w:pPr>
            <w:r>
              <w:rPr>
                <w:sz w:val="18"/>
              </w:rPr>
              <w:t>0.920</w:t>
            </w:r>
          </w:p>
        </w:tc>
        <w:tc>
          <w:tcPr>
            <w:tcW w:type="dxa" w:w="1325"/>
            <w:tcW w:w="1324" w:type="dxa"/>
          </w:tcPr>
          <w:p>
            <w:pPr>
              <w:spacing w:after="20" w:before="20"/>
              <w:jc w:val="center"/>
            </w:pPr>
            <w:r>
              <w:rPr>
                <w:sz w:val="18"/>
              </w:rPr>
              <w:t>0.846</w:t>
            </w:r>
          </w:p>
        </w:tc>
        <w:tc>
          <w:tcPr>
            <w:tcW w:type="dxa" w:w="1325"/>
            <w:tcW w:w="1324" w:type="dxa"/>
          </w:tcPr>
          <w:p>
            <w:pPr>
              <w:spacing w:after="20" w:before="20"/>
              <w:jc w:val="center"/>
            </w:pPr>
            <w:r>
              <w:rPr>
                <w:sz w:val="18"/>
              </w:rPr>
              <w:t>0.778</w:t>
            </w:r>
          </w:p>
        </w:tc>
        <w:tc>
          <w:tcPr>
            <w:tcW w:type="dxa" w:w="1325"/>
            <w:tcW w:w="1324" w:type="dxa"/>
          </w:tcPr>
          <w:p>
            <w:pPr>
              <w:spacing w:after="20" w:before="20"/>
              <w:jc w:val="center"/>
            </w:pPr>
            <w:r>
              <w:rPr>
                <w:sz w:val="18"/>
              </w:rPr>
              <w:t>0.715</w:t>
            </w:r>
          </w:p>
        </w:tc>
        <w:tc>
          <w:tcPr>
            <w:tcW w:type="dxa" w:w="1325"/>
            <w:tcW w:w="1324" w:type="dxa"/>
          </w:tcPr>
          <w:p>
            <w:pPr>
              <w:spacing w:after="20" w:before="20"/>
              <w:jc w:val="center"/>
            </w:pPr>
            <w:r>
              <w:rPr>
                <w:sz w:val="18"/>
              </w:rPr>
              <w:t>0.657</w:t>
            </w:r>
          </w:p>
        </w:tc>
      </w:tr>
      <w:tr>
        <w:tc>
          <w:tcPr>
            <w:tcW w:type="dxa" w:w="3312"/>
            <w:tcW w:w="3311" w:type="dxa"/>
          </w:tcPr>
          <w:p>
            <w:pPr>
              <w:spacing w:after="20" w:before="20"/>
            </w:pPr>
            <w:r>
              <w:rPr>
                <w:b/>
                <w:sz w:val="18"/>
              </w:rPr>
              <w:t>PV of FCFF</w:t>
            </w:r>
          </w:p>
        </w:tc>
        <w:tc>
          <w:tcPr>
            <w:tcW w:type="dxa" w:w="1325"/>
            <w:tcW w:w="1324" w:type="dxa"/>
          </w:tcPr>
          <w:p>
            <w:pPr>
              <w:spacing w:after="20" w:before="20"/>
              <w:jc w:val="center"/>
            </w:pPr>
            <w:r>
              <w:rPr>
                <w:b/>
                <w:sz w:val="18"/>
              </w:rPr>
              <w:t>4,874</w:t>
            </w:r>
          </w:p>
        </w:tc>
        <w:tc>
          <w:tcPr>
            <w:tcW w:type="dxa" w:w="1325"/>
            <w:tcW w:w="1324" w:type="dxa"/>
          </w:tcPr>
          <w:p>
            <w:pPr>
              <w:spacing w:after="20" w:before="20"/>
              <w:jc w:val="center"/>
            </w:pPr>
            <w:r>
              <w:rPr>
                <w:b/>
                <w:sz w:val="18"/>
              </w:rPr>
              <w:t>5,437</w:t>
            </w:r>
          </w:p>
        </w:tc>
        <w:tc>
          <w:tcPr>
            <w:tcW w:type="dxa" w:w="1325"/>
            <w:tcW w:w="1324" w:type="dxa"/>
          </w:tcPr>
          <w:p>
            <w:pPr>
              <w:spacing w:after="20" w:before="20"/>
              <w:jc w:val="center"/>
            </w:pPr>
            <w:r>
              <w:rPr>
                <w:b/>
                <w:sz w:val="18"/>
              </w:rPr>
              <w:t>5,948</w:t>
            </w:r>
          </w:p>
        </w:tc>
        <w:tc>
          <w:tcPr>
            <w:tcW w:type="dxa" w:w="1325"/>
            <w:tcW w:w="1324" w:type="dxa"/>
          </w:tcPr>
          <w:p>
            <w:pPr>
              <w:spacing w:after="20" w:before="20"/>
              <w:jc w:val="center"/>
            </w:pPr>
            <w:r>
              <w:rPr>
                <w:b/>
                <w:sz w:val="18"/>
              </w:rPr>
              <w:t>6,406</w:t>
            </w:r>
          </w:p>
        </w:tc>
        <w:tc>
          <w:tcPr>
            <w:tcW w:type="dxa" w:w="1325"/>
            <w:tcW w:w="1324" w:type="dxa"/>
          </w:tcPr>
          <w:p>
            <w:pPr>
              <w:spacing w:after="20" w:before="20"/>
              <w:jc w:val="center"/>
            </w:pPr>
            <w:r>
              <w:rPr>
                <w:b/>
                <w:sz w:val="18"/>
              </w:rPr>
              <w:t>6,929</w:t>
            </w:r>
          </w:p>
        </w:tc>
      </w:tr>
    </w:tbl>
    <w:tbl>
      <w:tblPr>
        <w:tblStyle w:val="TableGrid"/>
        <w:tblW w:type="auto" w:w="0"/>
        <w:jc w:val="center"/>
        <w:tblLook w:firstColumn="1" w:firstRow="1" w:lastColumn="0" w:lastRow="0" w:noHBand="0" w:noVBand="1" w:val="04A0"/>
      </w:tblPr>
      <w:tblGrid>
        <w:gridCol w:w="4968"/>
        <w:gridCol w:w="4968"/>
      </w:tblGrid>
      <w:tr>
        <w:tc>
          <w:tcPr>
            <w:tcW w:type="dxa" w:w="6624"/>
            <w:tcW w:w="6623" w:type="dxa"/>
            <w:shd w:val="clear" w:fill="1B5E5E"/>
          </w:tcPr>
          <w:p>
            <w:pPr>
              <w:spacing w:after="20" w:before="20"/>
            </w:pPr>
            <w:r>
              <w:rPr>
                <w:b/>
                <w:color w:val="FFFFFF"/>
                <w:sz w:val="19"/>
              </w:rPr>
              <w:t>DCF to equity value</w:t>
            </w:r>
          </w:p>
        </w:tc>
        <w:tc>
          <w:tcPr>
            <w:tcW w:type="dxa" w:w="3312"/>
            <w:tcW w:w="3311" w:type="dxa"/>
            <w:shd w:val="clear" w:fill="1B5E5E"/>
          </w:tcPr>
          <w:p>
            <w:pPr>
              <w:spacing w:after="20" w:before="20"/>
              <w:jc w:val="center"/>
            </w:pPr>
            <w:r>
              <w:rPr>
                <w:b/>
                <w:color w:val="FFFFFF"/>
                <w:sz w:val="19"/>
              </w:rPr>
              <w:t>SAR m</w:t>
            </w:r>
          </w:p>
        </w:tc>
      </w:tr>
      <w:tr>
        <w:tc>
          <w:tcPr>
            <w:tcW w:type="dxa" w:w="6624"/>
            <w:tcW w:w="6623" w:type="dxa"/>
          </w:tcPr>
          <w:p>
            <w:pPr>
              <w:spacing w:after="20" w:before="20"/>
            </w:pPr>
            <w:r>
              <w:rPr>
                <w:sz w:val="19"/>
              </w:rPr>
              <w:t>Σ PV of explicit FCFF (FY2026–30)</w:t>
            </w:r>
          </w:p>
        </w:tc>
        <w:tc>
          <w:tcPr>
            <w:tcW w:type="dxa" w:w="3312"/>
            <w:tcW w:w="3311" w:type="dxa"/>
          </w:tcPr>
          <w:p>
            <w:pPr>
              <w:spacing w:after="20" w:before="20"/>
              <w:jc w:val="center"/>
            </w:pPr>
            <w:r>
              <w:rPr>
                <w:sz w:val="19"/>
              </w:rPr>
              <w:t>29,594</w:t>
            </w:r>
          </w:p>
        </w:tc>
      </w:tr>
      <w:tr>
        <w:tc>
          <w:tcPr>
            <w:tcW w:type="dxa" w:w="6624"/>
            <w:tcW w:w="6623" w:type="dxa"/>
          </w:tcPr>
          <w:p>
            <w:pPr>
              <w:spacing w:after="20" w:before="20"/>
            </w:pPr>
            <w:r>
              <w:rPr>
                <w:sz w:val="19"/>
              </w:rPr>
              <w:t>Terminal value (Gordon, g 3.5%)</w:t>
            </w:r>
          </w:p>
        </w:tc>
        <w:tc>
          <w:tcPr>
            <w:tcW w:type="dxa" w:w="3312"/>
            <w:tcW w:w="3311" w:type="dxa"/>
          </w:tcPr>
          <w:p>
            <w:pPr>
              <w:spacing w:after="20" w:before="20"/>
              <w:jc w:val="center"/>
            </w:pPr>
            <w:r>
              <w:rPr>
                <w:sz w:val="19"/>
              </w:rPr>
              <w:t>207,789</w:t>
            </w:r>
          </w:p>
        </w:tc>
      </w:tr>
      <w:tr>
        <w:tc>
          <w:tcPr>
            <w:tcW w:type="dxa" w:w="6624"/>
            <w:tcW w:w="6623" w:type="dxa"/>
          </w:tcPr>
          <w:p>
            <w:pPr>
              <w:spacing w:after="20" w:before="20"/>
            </w:pPr>
            <w:r>
              <w:rPr>
                <w:sz w:val="19"/>
              </w:rPr>
              <w:t>PV of terminal value</w:t>
            </w:r>
          </w:p>
        </w:tc>
        <w:tc>
          <w:tcPr>
            <w:tcW w:type="dxa" w:w="3312"/>
            <w:tcW w:w="3311" w:type="dxa"/>
          </w:tcPr>
          <w:p>
            <w:pPr>
              <w:spacing w:after="20" w:before="20"/>
              <w:jc w:val="center"/>
            </w:pPr>
            <w:r>
              <w:rPr>
                <w:sz w:val="19"/>
              </w:rPr>
              <w:t>136,608</w:t>
            </w:r>
          </w:p>
        </w:tc>
      </w:tr>
      <w:tr>
        <w:tc>
          <w:tcPr>
            <w:tcW w:type="dxa" w:w="6624"/>
            <w:tcW w:w="6623" w:type="dxa"/>
          </w:tcPr>
          <w:p>
            <w:pPr>
              <w:spacing w:after="20" w:before="20"/>
            </w:pPr>
            <w:r>
              <w:rPr>
                <w:b/>
                <w:sz w:val="19"/>
              </w:rPr>
              <w:t>Enterprise value</w:t>
            </w:r>
          </w:p>
        </w:tc>
        <w:tc>
          <w:tcPr>
            <w:tcW w:type="dxa" w:w="3312"/>
            <w:tcW w:w="3311" w:type="dxa"/>
          </w:tcPr>
          <w:p>
            <w:pPr>
              <w:spacing w:after="20" w:before="20"/>
              <w:jc w:val="center"/>
            </w:pPr>
            <w:r>
              <w:rPr>
                <w:b/>
                <w:sz w:val="19"/>
              </w:rPr>
              <w:t>166,202</w:t>
            </w:r>
          </w:p>
        </w:tc>
      </w:tr>
      <w:tr>
        <w:tc>
          <w:tcPr>
            <w:tcW w:type="dxa" w:w="6624"/>
            <w:tcW w:w="6623" w:type="dxa"/>
          </w:tcPr>
          <w:p>
            <w:pPr>
              <w:spacing w:after="20" w:before="20"/>
            </w:pPr>
            <w:r>
              <w:rPr>
                <w:sz w:val="19"/>
              </w:rPr>
              <w:t>less: holdco / corporate net debt</w:t>
            </w:r>
          </w:p>
        </w:tc>
        <w:tc>
          <w:tcPr>
            <w:tcW w:type="dxa" w:w="3312"/>
            <w:tcW w:w="3311" w:type="dxa"/>
          </w:tcPr>
          <w:p>
            <w:pPr>
              <w:spacing w:after="20" w:before="20"/>
              <w:jc w:val="center"/>
            </w:pPr>
            <w:r>
              <w:rPr>
                <w:sz w:val="19"/>
              </w:rPr>
              <w:t>(25,000)</w:t>
            </w:r>
          </w:p>
        </w:tc>
      </w:tr>
      <w:tr>
        <w:tc>
          <w:tcPr>
            <w:tcW w:type="dxa" w:w="6624"/>
            <w:tcW w:w="6623" w:type="dxa"/>
          </w:tcPr>
          <w:p>
            <w:pPr>
              <w:spacing w:after="20" w:before="20"/>
            </w:pPr>
            <w:r>
              <w:rPr>
                <w:b/>
                <w:sz w:val="19"/>
              </w:rPr>
              <w:t>Equity value</w:t>
            </w:r>
          </w:p>
        </w:tc>
        <w:tc>
          <w:tcPr>
            <w:tcW w:type="dxa" w:w="3312"/>
            <w:tcW w:w="3311" w:type="dxa"/>
          </w:tcPr>
          <w:p>
            <w:pPr>
              <w:spacing w:after="20" w:before="20"/>
              <w:jc w:val="center"/>
            </w:pPr>
            <w:r>
              <w:rPr>
                <w:b/>
                <w:sz w:val="19"/>
              </w:rPr>
              <w:t>141,202</w:t>
            </w:r>
          </w:p>
        </w:tc>
      </w:tr>
      <w:tr>
        <w:tc>
          <w:tcPr>
            <w:tcW w:type="dxa" w:w="6624"/>
            <w:tcW w:w="6623" w:type="dxa"/>
          </w:tcPr>
          <w:p>
            <w:pPr>
              <w:spacing w:after="20" w:before="20"/>
            </w:pPr>
            <w:r>
              <w:rPr>
                <w:b/>
                <w:sz w:val="19"/>
              </w:rPr>
              <w:t>Fair value per share (÷ 766.5m) → SAR 184</w:t>
            </w:r>
          </w:p>
        </w:tc>
        <w:tc>
          <w:tcPr>
            <w:tcW w:type="dxa" w:w="3312"/>
            <w:tcW w:w="3311" w:type="dxa"/>
          </w:tcPr>
          <w:p>
            <w:pPr>
              <w:spacing w:after="20" w:before="20"/>
              <w:jc w:val="center"/>
            </w:pPr>
            <w:r>
              <w:rPr>
                <w:b/>
                <w:sz w:val="19"/>
              </w:rPr>
              <w:t>141,202</w:t>
            </w:r>
          </w:p>
        </w:tc>
      </w:tr>
      <w:tr>
        <w:tc>
          <w:tcPr>
            <w:tcW w:type="dxa" w:w="6624"/>
            <w:tcW w:w="6623" w:type="dxa"/>
          </w:tcPr>
          <w:p>
            <w:pPr>
              <w:spacing w:after="20" w:before="20"/>
            </w:pPr>
            <w:r>
              <w:rPr>
                <w:sz w:val="19"/>
              </w:rPr>
              <w:t>Terminal value as % of EV</w:t>
            </w:r>
          </w:p>
        </w:tc>
        <w:tc>
          <w:tcPr>
            <w:tcW w:type="dxa" w:w="3312"/>
            <w:tcW w:w="3311" w:type="dxa"/>
          </w:tcPr>
          <w:p>
            <w:pPr>
              <w:spacing w:after="20" w:before="20"/>
              <w:jc w:val="center"/>
            </w:pPr>
            <w:r>
              <w:rPr>
                <w:sz w:val="19"/>
              </w:rPr>
              <w:t>82.2%</w:t>
            </w:r>
          </w:p>
        </w:tc>
      </w:tr>
      <w:tr>
        <w:tc>
          <w:tcPr>
            <w:tcW w:type="dxa" w:w="6624"/>
            <w:tcW w:w="6623" w:type="dxa"/>
          </w:tcPr>
          <w:p>
            <w:pPr>
              <w:spacing w:after="20" w:before="20"/>
            </w:pPr>
            <w:r>
              <w:rPr>
                <w:sz w:val="19"/>
              </w:rPr>
              <w:t>Memo: WACC 8.75% · Ke = 4.75% + 0.85 × 6.0% = 9.85% · terminal g 3.5%</w:t>
            </w:r>
          </w:p>
        </w:tc>
        <w:tc>
          <w:tcPr>
            <w:tcW w:type="dxa" w:w="3312"/>
            <w:tcW w:w="3311" w:type="dxa"/>
          </w:tcPr>
          <w:p>
            <w:pPr>
              <w:spacing w:after="20" w:before="20"/>
              <w:jc w:val="center"/>
            </w:pPr>
            <w:r>
              <w:rPr>
                <w:sz w:val="19"/>
              </w:rPr>
            </w:r>
          </w:p>
        </w:tc>
      </w:tr>
    </w:tbl>
    <w:p>
      <w:pPr>
        <w:spacing w:after="160" w:before="40"/>
      </w:pPr>
      <w:r>
        <w:rPr>
          <w:i/>
          <w:color w:val="555555"/>
          <w:sz w:val="17"/>
        </w:rPr>
        <w:t>Free cash flow to the firm, five-year explicit forecast. Every input links to the model's Assumptions sheet. Normalized attributable EBIT sits above consolidated EBIT because it includes ACWA's share of equity-accounted project cash and development fees.</w:t>
      </w:r>
    </w:p>
    <w:p>
      <w:pPr>
        <w:spacing w:after="40" w:before="0"/>
      </w:pPr>
      <w:r>
        <w:rPr>
          <w:b w:val="0"/>
          <w:i w:val="0"/>
          <w:color w:val="222222"/>
          <w:sz w:val="21"/>
        </w:rPr>
        <w:t>Sensitivity across WACC and terminal growth: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tcW w:w="4320" w:type="dxa"/>
            <w:shd w:val="clear" w:fill="1B5E5E"/>
          </w:tcPr>
          <w:p>
            <w:pPr>
              <w:spacing w:after="20" w:before="20"/>
            </w:pPr>
            <w:r>
              <w:rPr>
                <w:b/>
                <w:color w:val="FFFFFF"/>
                <w:sz w:val="19"/>
              </w:rPr>
              <w:t>DCF input</w:t>
            </w:r>
          </w:p>
        </w:tc>
        <w:tc>
          <w:tcPr>
            <w:tcW w:type="dxa" w:w="1872"/>
            <w:tcW w:w="1872" w:type="dxa"/>
            <w:shd w:val="clear" w:fill="1B5E5E"/>
          </w:tcPr>
          <w:p>
            <w:pPr>
              <w:spacing w:after="20" w:before="20"/>
              <w:jc w:val="center"/>
            </w:pPr>
            <w:r>
              <w:rPr>
                <w:b/>
                <w:color w:val="FFFFFF"/>
                <w:sz w:val="19"/>
              </w:rPr>
              <w:t>Bear</w:t>
            </w:r>
          </w:p>
        </w:tc>
        <w:tc>
          <w:tcPr>
            <w:tcW w:type="dxa" w:w="1872"/>
            <w:tcW w:w="1872" w:type="dxa"/>
            <w:shd w:val="clear" w:fill="1B5E5E"/>
          </w:tcPr>
          <w:p>
            <w:pPr>
              <w:spacing w:after="20" w:before="20"/>
              <w:jc w:val="center"/>
            </w:pPr>
            <w:r>
              <w:rPr>
                <w:b/>
                <w:color w:val="FFFFFF"/>
                <w:sz w:val="19"/>
              </w:rPr>
              <w:t>Base</w:t>
            </w:r>
          </w:p>
        </w:tc>
        <w:tc>
          <w:tcPr>
            <w:tcW w:type="dxa" w:w="1872"/>
            <w:tcW w:w="1872" w:type="dxa"/>
            <w:shd w:val="clear" w:fill="1B5E5E"/>
          </w:tcPr>
          <w:p>
            <w:pPr>
              <w:spacing w:after="20" w:before="20"/>
              <w:jc w:val="center"/>
            </w:pPr>
            <w:r>
              <w:rPr>
                <w:b/>
                <w:color w:val="FFFFFF"/>
                <w:sz w:val="19"/>
              </w:rPr>
              <w:t>Bull</w:t>
            </w:r>
          </w:p>
        </w:tc>
      </w:tr>
      <w:tr>
        <w:tc>
          <w:tcPr>
            <w:tcW w:type="dxa" w:w="4320"/>
            <w:tcW w:w="4320" w:type="dxa"/>
          </w:tcPr>
          <w:p>
            <w:pPr>
              <w:spacing w:after="20" w:before="20"/>
            </w:pPr>
            <w:r>
              <w:rPr>
                <w:sz w:val="19"/>
              </w:rPr>
              <w:t>Normalized attributable FCFF, FY2030 (SAR bn)</w:t>
            </w:r>
          </w:p>
        </w:tc>
        <w:tc>
          <w:tcPr>
            <w:tcW w:type="dxa" w:w="1872"/>
            <w:tcW w:w="1872" w:type="dxa"/>
          </w:tcPr>
          <w:p>
            <w:pPr>
              <w:spacing w:after="20" w:before="20"/>
              <w:jc w:val="center"/>
            </w:pPr>
            <w:r>
              <w:rPr>
                <w:sz w:val="19"/>
              </w:rPr>
              <w:t>8.0</w:t>
            </w:r>
          </w:p>
        </w:tc>
        <w:tc>
          <w:tcPr>
            <w:tcW w:type="dxa" w:w="1872"/>
            <w:tcW w:w="1872" w:type="dxa"/>
          </w:tcPr>
          <w:p>
            <w:pPr>
              <w:spacing w:after="20" w:before="20"/>
              <w:jc w:val="center"/>
            </w:pPr>
            <w:r>
              <w:rPr>
                <w:sz w:val="19"/>
              </w:rPr>
              <w:t>10.5</w:t>
            </w:r>
          </w:p>
        </w:tc>
        <w:tc>
          <w:tcPr>
            <w:tcW w:type="dxa" w:w="1872"/>
            <w:tcW w:w="1872" w:type="dxa"/>
          </w:tcPr>
          <w:p>
            <w:pPr>
              <w:spacing w:after="20" w:before="20"/>
              <w:jc w:val="center"/>
            </w:pPr>
            <w:r>
              <w:rPr>
                <w:sz w:val="19"/>
              </w:rPr>
              <w:t>13.0</w:t>
            </w:r>
          </w:p>
        </w:tc>
      </w:tr>
      <w:tr>
        <w:tc>
          <w:tcPr>
            <w:tcW w:type="dxa" w:w="4320"/>
            <w:tcW w:w="4320" w:type="dxa"/>
          </w:tcPr>
          <w:p>
            <w:pPr>
              <w:spacing w:after="20" w:before="20"/>
            </w:pPr>
            <w:r>
              <w:rPr>
                <w:sz w:val="19"/>
              </w:rPr>
              <w:t>WACC</w:t>
            </w:r>
          </w:p>
        </w:tc>
        <w:tc>
          <w:tcPr>
            <w:tcW w:type="dxa" w:w="1872"/>
            <w:tcW w:w="1872" w:type="dxa"/>
          </w:tcPr>
          <w:p>
            <w:pPr>
              <w:spacing w:after="20" w:before="20"/>
              <w:jc w:val="center"/>
            </w:pPr>
            <w:r>
              <w:rPr>
                <w:sz w:val="19"/>
              </w:rPr>
              <w:t>10.0%</w:t>
            </w:r>
          </w:p>
        </w:tc>
        <w:tc>
          <w:tcPr>
            <w:tcW w:type="dxa" w:w="1872"/>
            <w:tcW w:w="1872" w:type="dxa"/>
          </w:tcPr>
          <w:p>
            <w:pPr>
              <w:spacing w:after="20" w:before="20"/>
              <w:jc w:val="center"/>
            </w:pPr>
            <w:r>
              <w:rPr>
                <w:sz w:val="19"/>
              </w:rPr>
              <w:t>8.75%</w:t>
            </w:r>
          </w:p>
        </w:tc>
        <w:tc>
          <w:tcPr>
            <w:tcW w:type="dxa" w:w="1872"/>
            <w:tcW w:w="1872" w:type="dxa"/>
          </w:tcPr>
          <w:p>
            <w:pPr>
              <w:spacing w:after="20" w:before="20"/>
              <w:jc w:val="center"/>
            </w:pPr>
            <w:r>
              <w:rPr>
                <w:sz w:val="19"/>
              </w:rPr>
              <w:t>7.5%</w:t>
            </w:r>
          </w:p>
        </w:tc>
      </w:tr>
      <w:tr>
        <w:tc>
          <w:tcPr>
            <w:tcW w:type="dxa" w:w="4320"/>
            <w:tcW w:w="4320" w:type="dxa"/>
          </w:tcPr>
          <w:p>
            <w:pPr>
              <w:spacing w:after="20" w:before="20"/>
            </w:pPr>
            <w:r>
              <w:rPr>
                <w:sz w:val="19"/>
              </w:rPr>
              <w:t>Terminal growth</w:t>
            </w:r>
          </w:p>
        </w:tc>
        <w:tc>
          <w:tcPr>
            <w:tcW w:type="dxa" w:w="1872"/>
            <w:tcW w:w="1872" w:type="dxa"/>
          </w:tcPr>
          <w:p>
            <w:pPr>
              <w:spacing w:after="20" w:before="20"/>
              <w:jc w:val="center"/>
            </w:pPr>
            <w:r>
              <w:rPr>
                <w:sz w:val="19"/>
              </w:rPr>
              <w:t>2.5%</w:t>
            </w:r>
          </w:p>
        </w:tc>
        <w:tc>
          <w:tcPr>
            <w:tcW w:type="dxa" w:w="1872"/>
            <w:tcW w:w="1872" w:type="dxa"/>
          </w:tcPr>
          <w:p>
            <w:pPr>
              <w:spacing w:after="20" w:before="20"/>
              <w:jc w:val="center"/>
            </w:pPr>
            <w:r>
              <w:rPr>
                <w:sz w:val="19"/>
              </w:rPr>
              <w:t>3.5%</w:t>
            </w:r>
          </w:p>
        </w:tc>
        <w:tc>
          <w:tcPr>
            <w:tcW w:type="dxa" w:w="1872"/>
            <w:tcW w:w="1872" w:type="dxa"/>
          </w:tcPr>
          <w:p>
            <w:pPr>
              <w:spacing w:after="20" w:before="20"/>
              <w:jc w:val="center"/>
            </w:pPr>
            <w:r>
              <w:rPr>
                <w:sz w:val="19"/>
              </w:rPr>
              <w:t>4.5%</w:t>
            </w:r>
          </w:p>
        </w:tc>
      </w:tr>
      <w:tr>
        <w:tc>
          <w:tcPr>
            <w:tcW w:type="dxa" w:w="4320"/>
            <w:tcW w:w="4320" w:type="dxa"/>
          </w:tcPr>
          <w:p>
            <w:pPr>
              <w:spacing w:after="20" w:before="20"/>
            </w:pPr>
            <w:r>
              <w:rPr>
                <w:sz w:val="19"/>
              </w:rPr>
              <w:t>Terminal value as % of EV</w:t>
            </w:r>
          </w:p>
        </w:tc>
        <w:tc>
          <w:tcPr>
            <w:tcW w:type="dxa" w:w="1872"/>
            <w:tcW w:w="1872" w:type="dxa"/>
          </w:tcPr>
          <w:p>
            <w:pPr>
              <w:spacing w:after="20" w:before="20"/>
              <w:jc w:val="center"/>
            </w:pPr>
            <w:r>
              <w:rPr>
                <w:sz w:val="19"/>
              </w:rPr>
              <w:t>~78%</w:t>
            </w:r>
          </w:p>
        </w:tc>
        <w:tc>
          <w:tcPr>
            <w:tcW w:type="dxa" w:w="1872"/>
            <w:tcW w:w="1872" w:type="dxa"/>
          </w:tcPr>
          <w:p>
            <w:pPr>
              <w:spacing w:after="20" w:before="20"/>
              <w:jc w:val="center"/>
            </w:pPr>
            <w:r>
              <w:rPr>
                <w:sz w:val="19"/>
              </w:rPr>
              <w:t>~82%</w:t>
            </w:r>
          </w:p>
        </w:tc>
        <w:tc>
          <w:tcPr>
            <w:tcW w:type="dxa" w:w="1872"/>
            <w:tcW w:w="1872" w:type="dxa"/>
          </w:tcPr>
          <w:p>
            <w:pPr>
              <w:spacing w:after="20" w:before="20"/>
              <w:jc w:val="center"/>
            </w:pPr>
            <w:r>
              <w:rPr>
                <w:sz w:val="19"/>
              </w:rPr>
              <w:t>~86%</w:t>
            </w:r>
          </w:p>
        </w:tc>
      </w:tr>
      <w:tr>
        <w:tc>
          <w:tcPr>
            <w:tcW w:type="dxa" w:w="4320"/>
            <w:tcW w:w="4320" w:type="dxa"/>
          </w:tcPr>
          <w:p>
            <w:pPr>
              <w:spacing w:after="20" w:before="20"/>
            </w:pPr>
            <w:r>
              <w:rPr>
                <w:b/>
                <w:sz w:val="19"/>
              </w:rPr>
              <w:t>Fair value (SAR/share)</w:t>
            </w:r>
          </w:p>
        </w:tc>
        <w:tc>
          <w:tcPr>
            <w:tcW w:type="dxa" w:w="1872"/>
            <w:tcW w:w="1872" w:type="dxa"/>
          </w:tcPr>
          <w:p>
            <w:pPr>
              <w:spacing w:after="20" w:before="20"/>
              <w:jc w:val="center"/>
            </w:pPr>
            <w:r>
              <w:rPr>
                <w:b/>
                <w:sz w:val="19"/>
              </w:rPr>
              <w:t>120</w:t>
            </w:r>
          </w:p>
        </w:tc>
        <w:tc>
          <w:tcPr>
            <w:tcW w:type="dxa" w:w="1872"/>
            <w:tcW w:w="1872" w:type="dxa"/>
          </w:tcPr>
          <w:p>
            <w:pPr>
              <w:spacing w:after="20" w:before="20"/>
              <w:jc w:val="center"/>
            </w:pPr>
            <w:r>
              <w:rPr>
                <w:b/>
                <w:sz w:val="19"/>
              </w:rPr>
              <w:t>184</w:t>
            </w:r>
          </w:p>
        </w:tc>
        <w:tc>
          <w:tcPr>
            <w:tcW w:type="dxa" w:w="1872"/>
            <w:tcW w:w="1872" w:type="dxa"/>
          </w:tcPr>
          <w:p>
            <w:pPr>
              <w:spacing w:after="20" w:before="20"/>
              <w:jc w:val="center"/>
            </w:pPr>
            <w:r>
              <w:rPr>
                <w:b/>
                <w:sz w:val="19"/>
              </w:rPr>
              <w:t>285</w:t>
            </w:r>
          </w:p>
        </w:tc>
      </w:tr>
    </w:tbl>
    <w:p>
      <w:pPr>
        <w:spacing w:after="120"/>
      </w:pPr>
      <w:r>
        <w:rPr>
          <w:b/>
          <w:color w:val="222222"/>
          <w:sz w:val="21"/>
        </w:rPr>
        <w:t>The DCF base of SAR 184</w:t>
      </w:r>
      <w:r>
        <w:rPr>
          <w:b w:val="0"/>
          <w:color w:val="222222"/>
          <w:sz w:val="21"/>
        </w:rPr>
        <w:t xml:space="preserve"> sits a touch below the SOTP — a healthy tension, since the two share almost no inputs. Its width is a fair warning: this is a terminal-heavy model (~82% of enterprise value is the terminal value, appropriate for 20–30-year contracted assets but a terminal-g-versus-WACC bet nonetheless), and a single point of WACC or a half-turn of normalized FCFF moves the answer materially. We disclose that terminal dependency rather than bury it, and sensitize it in §1.9 and Appendix D.</w:t>
      </w:r>
    </w:p>
    <w:p>
      <w:pPr>
        <w:spacing w:before="140" w:after="80"/>
      </w:pPr>
      <w:r>
        <w:rPr>
          <w:b/>
          <w:color w:val="1B5E5E"/>
          <w:sz w:val="25"/>
        </w:rPr>
        <w:t>1.3  Relative multiples</w:t>
      </w:r>
    </w:p>
    <w:p>
      <w:pPr>
        <w:spacing w:after="120" w:before="0"/>
      </w:pPr>
      <w:r>
        <w:rPr>
          <w:b w:val="0"/>
          <w:i w:val="0"/>
          <w:color w:val="222222"/>
          <w:sz w:val="21"/>
        </w:rPr>
        <w:t>On its own reported numbers ACWA screens expensive and cheap at once: a trailing P/E near 78× (forward ~55×) looks extreme, but that P/E capitalizes a portfolio whose earnings are mostly still under construction, so the multiple describes the pipeline, not the steady state. We mark the relative lens on a blend that respects the structure — a growth-justified P/E on near-term EPS, a price-to-book on the equity base, and an EV/EBITDA on normalized EBITDA — and read the blend as a floor rather than an anchor.</w:t>
      </w:r>
    </w:p>
    <w:tbl>
      <w:tblPr>
        <w:tblStyle w:val="TableGrid"/>
        <w:tblW w:type="auto" w:w="0"/>
        <w:jc w:val="center"/>
        <w:tblLook w:firstColumn="1" w:firstRow="1" w:lastColumn="0" w:lastRow="0" w:noHBand="0" w:noVBand="1" w:val="04A0"/>
      </w:tblPr>
      <w:tblGrid>
        <w:gridCol w:w="3312"/>
        <w:gridCol w:w="3312"/>
        <w:gridCol w:w="3312"/>
      </w:tblGrid>
      <w:tr>
        <w:tc>
          <w:tcPr>
            <w:tcW w:type="dxa" w:w="3744"/>
            <w:tcW w:w="3744" w:type="dxa"/>
            <w:shd w:val="clear" w:fill="1B5E5E"/>
          </w:tcPr>
          <w:p>
            <w:pPr>
              <w:spacing w:after="20" w:before="20"/>
            </w:pPr>
            <w:r>
              <w:rPr>
                <w:b/>
                <w:color w:val="FFFFFF"/>
                <w:sz w:val="19"/>
              </w:rPr>
              <w:t>Relative basis</w:t>
            </w:r>
          </w:p>
        </w:tc>
        <w:tc>
          <w:tcPr>
            <w:tcW w:type="dxa" w:w="4320"/>
            <w:tcW w:w="4320" w:type="dxa"/>
            <w:shd w:val="clear" w:fill="1B5E5E"/>
          </w:tcPr>
          <w:p>
            <w:pPr>
              <w:spacing w:after="20" w:before="20"/>
              <w:jc w:val="center"/>
            </w:pPr>
            <w:r>
              <w:rPr>
                <w:b/>
                <w:color w:val="FFFFFF"/>
                <w:sz w:val="19"/>
              </w:rPr>
              <w:t>Workings</w:t>
            </w:r>
          </w:p>
        </w:tc>
        <w:tc>
          <w:tcPr>
            <w:tcW w:type="dxa" w:w="1872"/>
            <w:tcW w:w="1872" w:type="dxa"/>
            <w:shd w:val="clear" w:fill="1B5E5E"/>
          </w:tcPr>
          <w:p>
            <w:pPr>
              <w:spacing w:after="20" w:before="20"/>
              <w:jc w:val="center"/>
            </w:pPr>
            <w:r>
              <w:rPr>
                <w:b/>
                <w:color w:val="FFFFFF"/>
                <w:sz w:val="19"/>
              </w:rPr>
              <w:t>SAR/share</w:t>
            </w:r>
          </w:p>
        </w:tc>
      </w:tr>
      <w:tr>
        <w:tc>
          <w:tcPr>
            <w:tcW w:type="dxa" w:w="3744"/>
            <w:tcW w:w="3744" w:type="dxa"/>
          </w:tcPr>
          <w:p>
            <w:pPr>
              <w:spacing w:after="20" w:before="20"/>
            </w:pPr>
            <w:r>
              <w:rPr>
                <w:sz w:val="19"/>
              </w:rPr>
              <w:t>P/E on FY2026E EPS</w:t>
            </w:r>
          </w:p>
        </w:tc>
        <w:tc>
          <w:tcPr>
            <w:tcW w:type="dxa" w:w="4320"/>
            <w:tcW w:w="4320" w:type="dxa"/>
          </w:tcPr>
          <w:p>
            <w:pPr>
              <w:spacing w:after="20" w:before="20"/>
              <w:jc w:val="center"/>
            </w:pPr>
            <w:r>
              <w:rPr>
                <w:sz w:val="19"/>
              </w:rPr>
              <w:t>SAR 2.70 × 55×</w:t>
            </w:r>
          </w:p>
        </w:tc>
        <w:tc>
          <w:tcPr>
            <w:tcW w:type="dxa" w:w="1872"/>
            <w:tcW w:w="1872" w:type="dxa"/>
          </w:tcPr>
          <w:p>
            <w:pPr>
              <w:spacing w:after="20" w:before="20"/>
              <w:jc w:val="center"/>
            </w:pPr>
            <w:r>
              <w:rPr>
                <w:sz w:val="19"/>
              </w:rPr>
              <w:t>149</w:t>
            </w:r>
          </w:p>
        </w:tc>
      </w:tr>
      <w:tr>
        <w:tc>
          <w:tcPr>
            <w:tcW w:type="dxa" w:w="3744"/>
            <w:tcW w:w="3744" w:type="dxa"/>
          </w:tcPr>
          <w:p>
            <w:pPr>
              <w:spacing w:after="20" w:before="20"/>
            </w:pPr>
            <w:r>
              <w:rPr>
                <w:sz w:val="19"/>
              </w:rPr>
              <w:t>P/B on book value</w:t>
            </w:r>
          </w:p>
        </w:tc>
        <w:tc>
          <w:tcPr>
            <w:tcW w:type="dxa" w:w="4320"/>
            <w:tcW w:w="4320" w:type="dxa"/>
          </w:tcPr>
          <w:p>
            <w:pPr>
              <w:spacing w:after="20" w:before="20"/>
              <w:jc w:val="center"/>
            </w:pPr>
            <w:r>
              <w:rPr>
                <w:sz w:val="19"/>
              </w:rPr>
              <w:t>SAR 37 × 4.5×</w:t>
            </w:r>
          </w:p>
        </w:tc>
        <w:tc>
          <w:tcPr>
            <w:tcW w:type="dxa" w:w="1872"/>
            <w:tcW w:w="1872" w:type="dxa"/>
          </w:tcPr>
          <w:p>
            <w:pPr>
              <w:spacing w:after="20" w:before="20"/>
              <w:jc w:val="center"/>
            </w:pPr>
            <w:r>
              <w:rPr>
                <w:sz w:val="19"/>
              </w:rPr>
              <w:t>167</w:t>
            </w:r>
          </w:p>
        </w:tc>
      </w:tr>
      <w:tr>
        <w:tc>
          <w:tcPr>
            <w:tcW w:type="dxa" w:w="3744"/>
            <w:tcW w:w="3744" w:type="dxa"/>
          </w:tcPr>
          <w:p>
            <w:pPr>
              <w:spacing w:after="20" w:before="20"/>
            </w:pPr>
            <w:r>
              <w:rPr>
                <w:sz w:val="19"/>
              </w:rPr>
              <w:t>EV/EBITDA</w:t>
            </w:r>
          </w:p>
        </w:tc>
        <w:tc>
          <w:tcPr>
            <w:tcW w:type="dxa" w:w="4320"/>
            <w:tcW w:w="4320" w:type="dxa"/>
          </w:tcPr>
          <w:p>
            <w:pPr>
              <w:spacing w:after="20" w:before="20"/>
              <w:jc w:val="center"/>
            </w:pPr>
            <w:r>
              <w:rPr>
                <w:sz w:val="19"/>
              </w:rPr>
              <w:t>SAR 4.9bn × 30× − holdco net debt, /sh</w:t>
            </w:r>
          </w:p>
        </w:tc>
        <w:tc>
          <w:tcPr>
            <w:tcW w:type="dxa" w:w="1872"/>
            <w:tcW w:w="1872" w:type="dxa"/>
          </w:tcPr>
          <w:p>
            <w:pPr>
              <w:spacing w:after="20" w:before="20"/>
              <w:jc w:val="center"/>
            </w:pPr>
            <w:r>
              <w:rPr>
                <w:sz w:val="19"/>
              </w:rPr>
              <w:t>159</w:t>
            </w:r>
          </w:p>
        </w:tc>
      </w:tr>
      <w:tr>
        <w:tc>
          <w:tcPr>
            <w:tcW w:type="dxa" w:w="3744"/>
            <w:tcW w:w="3744" w:type="dxa"/>
          </w:tcPr>
          <w:p>
            <w:pPr>
              <w:spacing w:after="20" w:before="20"/>
            </w:pPr>
            <w:r>
              <w:rPr>
                <w:b/>
                <w:sz w:val="19"/>
              </w:rPr>
              <w:t>Relative blend (average of the three)</w:t>
            </w:r>
          </w:p>
        </w:tc>
        <w:tc>
          <w:tcPr>
            <w:tcW w:type="dxa" w:w="4320"/>
            <w:tcW w:w="4320" w:type="dxa"/>
          </w:tcPr>
          <w:p>
            <w:pPr>
              <w:spacing w:after="20" w:before="20"/>
              <w:jc w:val="center"/>
            </w:pPr>
            <w:r>
              <w:rPr>
                <w:b/>
                <w:sz w:val="19"/>
              </w:rPr>
            </w:r>
          </w:p>
        </w:tc>
        <w:tc>
          <w:tcPr>
            <w:tcW w:type="dxa" w:w="1872"/>
            <w:tcW w:w="1872" w:type="dxa"/>
          </w:tcPr>
          <w:p>
            <w:pPr>
              <w:spacing w:after="20" w:before="20"/>
              <w:jc w:val="center"/>
            </w:pPr>
            <w:r>
              <w:rPr>
                <w:b/>
                <w:sz w:val="19"/>
              </w:rPr>
              <w:t>158</w:t>
            </w:r>
          </w:p>
        </w:tc>
      </w:tr>
    </w:tbl>
    <w:p>
      <w:pPr>
        <w:spacing w:after="120"/>
      </w:pPr>
      <w:r>
        <w:rPr>
          <w:b/>
          <w:color w:val="222222"/>
          <w:sz w:val="21"/>
        </w:rPr>
        <w:t>Relative base ≈ SAR 158</w:t>
      </w:r>
      <w:r>
        <w:rPr>
          <w:b w:val="0"/>
          <w:color w:val="222222"/>
          <w:sz w:val="21"/>
        </w:rPr>
        <w:t xml:space="preserve"> — the most conservative lens, and probably the closest to where a sceptic anchors. It treats ACWA as an expensive-but-growing utility rather than a compounding development franchise, and assigns no separate option value to the Vision-2030 pipeline or the green-hydrogen first-mover position.</w:t>
      </w:r>
    </w:p>
    <w:p>
      <w:pPr>
        <w:spacing w:before="140" w:after="80"/>
      </w:pPr>
      <w:r>
        <w:rPr>
          <w:b/>
          <w:color w:val="1B5E5E"/>
          <w:sz w:val="25"/>
        </w:rPr>
        <w:t>1.4  Pipeline-maturation earnings power</w:t>
      </w:r>
    </w:p>
    <w:p>
      <w:pPr>
        <w:spacing w:after="120" w:before="0"/>
      </w:pPr>
      <w:r>
        <w:rPr>
          <w:b w:val="0"/>
          <w:i w:val="0"/>
          <w:color w:val="222222"/>
          <w:sz w:val="21"/>
        </w:rPr>
        <w:t>For a growth developer, a normalized-earnings-power lens has to be reframed. ACWA's earnings are not at a cyclical peak or trough to be smoothed — they are structurally understated because the portfolio is mid-build. The relevant question is what the group earns once the current under-construction book and near pipeline reach commercial operation. This is the developer analogue of the software version-cycle framing: capitalize the run-rate the pipeline delivers, then discount it back to today. We estimate a FY2030 run-rate net profit of ~SAR 5.5bn as operating capacity roughly doubles toward the 2030 targets, apply a justified through-growth P/E of 40× (below today's optical multiple, acknowledging the capital intensity), and discount at the 9.85% cost of equity.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tcW w:w="4320" w:type="dxa"/>
            <w:shd w:val="clear" w:fill="1B5E5E"/>
          </w:tcPr>
          <w:p>
            <w:pPr>
              <w:spacing w:after="20" w:before="20"/>
            </w:pPr>
            <w:r>
              <w:rPr>
                <w:b/>
                <w:color w:val="FFFFFF"/>
                <w:sz w:val="19"/>
              </w:rPr>
              <w:t>Pipeline-maturation basis</w:t>
            </w:r>
          </w:p>
        </w:tc>
        <w:tc>
          <w:tcPr>
            <w:tcW w:type="dxa" w:w="1872"/>
            <w:tcW w:w="1872" w:type="dxa"/>
            <w:shd w:val="clear" w:fill="1B5E5E"/>
          </w:tcPr>
          <w:p>
            <w:pPr>
              <w:spacing w:after="20" w:before="20"/>
              <w:jc w:val="center"/>
            </w:pPr>
            <w:r>
              <w:rPr>
                <w:b/>
                <w:color w:val="FFFFFF"/>
                <w:sz w:val="19"/>
              </w:rPr>
              <w:t>Bear</w:t>
            </w:r>
          </w:p>
        </w:tc>
        <w:tc>
          <w:tcPr>
            <w:tcW w:type="dxa" w:w="1872"/>
            <w:tcW w:w="1872" w:type="dxa"/>
            <w:shd w:val="clear" w:fill="1B5E5E"/>
          </w:tcPr>
          <w:p>
            <w:pPr>
              <w:spacing w:after="20" w:before="20"/>
              <w:jc w:val="center"/>
            </w:pPr>
            <w:r>
              <w:rPr>
                <w:b/>
                <w:color w:val="FFFFFF"/>
                <w:sz w:val="19"/>
              </w:rPr>
              <w:t>Base</w:t>
            </w:r>
          </w:p>
        </w:tc>
        <w:tc>
          <w:tcPr>
            <w:tcW w:type="dxa" w:w="1872"/>
            <w:tcW w:w="1872" w:type="dxa"/>
            <w:shd w:val="clear" w:fill="1B5E5E"/>
          </w:tcPr>
          <w:p>
            <w:pPr>
              <w:spacing w:after="20" w:before="20"/>
              <w:jc w:val="center"/>
            </w:pPr>
            <w:r>
              <w:rPr>
                <w:b/>
                <w:color w:val="FFFFFF"/>
                <w:sz w:val="19"/>
              </w:rPr>
              <w:t>Bull</w:t>
            </w:r>
          </w:p>
        </w:tc>
      </w:tr>
      <w:tr>
        <w:tc>
          <w:tcPr>
            <w:tcW w:type="dxa" w:w="4320"/>
            <w:tcW w:w="4320" w:type="dxa"/>
          </w:tcPr>
          <w:p>
            <w:pPr>
              <w:spacing w:after="20" w:before="20"/>
            </w:pPr>
            <w:r>
              <w:rPr>
                <w:sz w:val="19"/>
              </w:rPr>
              <w:t>FY2030 run-rate net profit (SAR bn)</w:t>
            </w:r>
          </w:p>
        </w:tc>
        <w:tc>
          <w:tcPr>
            <w:tcW w:type="dxa" w:w="1872"/>
            <w:tcW w:w="1872" w:type="dxa"/>
          </w:tcPr>
          <w:p>
            <w:pPr>
              <w:spacing w:after="20" w:before="20"/>
              <w:jc w:val="center"/>
            </w:pPr>
            <w:r>
              <w:rPr>
                <w:sz w:val="19"/>
              </w:rPr>
              <w:t>4.2</w:t>
            </w:r>
          </w:p>
        </w:tc>
        <w:tc>
          <w:tcPr>
            <w:tcW w:type="dxa" w:w="1872"/>
            <w:tcW w:w="1872" w:type="dxa"/>
          </w:tcPr>
          <w:p>
            <w:pPr>
              <w:spacing w:after="20" w:before="20"/>
              <w:jc w:val="center"/>
            </w:pPr>
            <w:r>
              <w:rPr>
                <w:sz w:val="19"/>
              </w:rPr>
              <w:t>5.5</w:t>
            </w:r>
          </w:p>
        </w:tc>
        <w:tc>
          <w:tcPr>
            <w:tcW w:type="dxa" w:w="1872"/>
            <w:tcW w:w="1872" w:type="dxa"/>
          </w:tcPr>
          <w:p>
            <w:pPr>
              <w:spacing w:after="20" w:before="20"/>
              <w:jc w:val="center"/>
            </w:pPr>
            <w:r>
              <w:rPr>
                <w:sz w:val="19"/>
              </w:rPr>
              <w:t>7.0</w:t>
            </w:r>
          </w:p>
        </w:tc>
      </w:tr>
      <w:tr>
        <w:tc>
          <w:tcPr>
            <w:tcW w:type="dxa" w:w="4320"/>
            <w:tcW w:w="4320" w:type="dxa"/>
          </w:tcPr>
          <w:p>
            <w:pPr>
              <w:spacing w:after="20" w:before="20"/>
            </w:pPr>
            <w:r>
              <w:rPr>
                <w:sz w:val="19"/>
              </w:rPr>
              <w:t>Justified P/E</w:t>
            </w:r>
          </w:p>
        </w:tc>
        <w:tc>
          <w:tcPr>
            <w:tcW w:type="dxa" w:w="1872"/>
            <w:tcW w:w="1872" w:type="dxa"/>
          </w:tcPr>
          <w:p>
            <w:pPr>
              <w:spacing w:after="20" w:before="20"/>
              <w:jc w:val="center"/>
            </w:pPr>
            <w:r>
              <w:rPr>
                <w:sz w:val="19"/>
              </w:rPr>
              <w:t>33×</w:t>
            </w:r>
          </w:p>
        </w:tc>
        <w:tc>
          <w:tcPr>
            <w:tcW w:type="dxa" w:w="1872"/>
            <w:tcW w:w="1872" w:type="dxa"/>
          </w:tcPr>
          <w:p>
            <w:pPr>
              <w:spacing w:after="20" w:before="20"/>
              <w:jc w:val="center"/>
            </w:pPr>
            <w:r>
              <w:rPr>
                <w:sz w:val="19"/>
              </w:rPr>
              <w:t>40×</w:t>
            </w:r>
          </w:p>
        </w:tc>
        <w:tc>
          <w:tcPr>
            <w:tcW w:type="dxa" w:w="1872"/>
            <w:tcW w:w="1872" w:type="dxa"/>
          </w:tcPr>
          <w:p>
            <w:pPr>
              <w:spacing w:after="20" w:before="20"/>
              <w:jc w:val="center"/>
            </w:pPr>
            <w:r>
              <w:rPr>
                <w:sz w:val="19"/>
              </w:rPr>
              <w:t>46×</w:t>
            </w:r>
          </w:p>
        </w:tc>
      </w:tr>
      <w:tr>
        <w:tc>
          <w:tcPr>
            <w:tcW w:type="dxa" w:w="4320"/>
            <w:tcW w:w="4320" w:type="dxa"/>
          </w:tcPr>
          <w:p>
            <w:pPr>
              <w:spacing w:after="20" w:before="20"/>
            </w:pPr>
            <w:r>
              <w:rPr>
                <w:sz w:val="19"/>
              </w:rPr>
              <w:t>Implied 2030 value/share (undiscounted)</w:t>
            </w:r>
          </w:p>
        </w:tc>
        <w:tc>
          <w:tcPr>
            <w:tcW w:type="dxa" w:w="1872"/>
            <w:tcW w:w="1872" w:type="dxa"/>
          </w:tcPr>
          <w:p>
            <w:pPr>
              <w:spacing w:after="20" w:before="20"/>
              <w:jc w:val="center"/>
            </w:pPr>
            <w:r>
              <w:rPr>
                <w:sz w:val="19"/>
              </w:rPr>
              <w:t>181</w:t>
            </w:r>
          </w:p>
        </w:tc>
        <w:tc>
          <w:tcPr>
            <w:tcW w:type="dxa" w:w="1872"/>
            <w:tcW w:w="1872" w:type="dxa"/>
          </w:tcPr>
          <w:p>
            <w:pPr>
              <w:spacing w:after="20" w:before="20"/>
              <w:jc w:val="center"/>
            </w:pPr>
            <w:r>
              <w:rPr>
                <w:sz w:val="19"/>
              </w:rPr>
              <w:t>287</w:t>
            </w:r>
          </w:p>
        </w:tc>
        <w:tc>
          <w:tcPr>
            <w:tcW w:type="dxa" w:w="1872"/>
            <w:tcW w:w="1872" w:type="dxa"/>
          </w:tcPr>
          <w:p>
            <w:pPr>
              <w:spacing w:after="20" w:before="20"/>
              <w:jc w:val="center"/>
            </w:pPr>
            <w:r>
              <w:rPr>
                <w:sz w:val="19"/>
              </w:rPr>
              <w:t>420</w:t>
            </w:r>
          </w:p>
        </w:tc>
      </w:tr>
      <w:tr>
        <w:tc>
          <w:tcPr>
            <w:tcW w:type="dxa" w:w="4320"/>
            <w:tcW w:w="4320" w:type="dxa"/>
          </w:tcPr>
          <w:p>
            <w:pPr>
              <w:spacing w:after="20" w:before="20"/>
            </w:pPr>
            <w:r>
              <w:rPr>
                <w:b/>
                <w:sz w:val="19"/>
              </w:rPr>
              <w:t>Fair value today (discounted at Ke)</w:t>
            </w:r>
          </w:p>
        </w:tc>
        <w:tc>
          <w:tcPr>
            <w:tcW w:type="dxa" w:w="1872"/>
            <w:tcW w:w="1872" w:type="dxa"/>
          </w:tcPr>
          <w:p>
            <w:pPr>
              <w:spacing w:after="20" w:before="20"/>
              <w:jc w:val="center"/>
            </w:pPr>
            <w:r>
              <w:rPr>
                <w:b/>
                <w:sz w:val="19"/>
              </w:rPr>
              <w:t>130</w:t>
            </w:r>
          </w:p>
        </w:tc>
        <w:tc>
          <w:tcPr>
            <w:tcW w:type="dxa" w:w="1872"/>
            <w:tcW w:w="1872" w:type="dxa"/>
          </w:tcPr>
          <w:p>
            <w:pPr>
              <w:spacing w:after="20" w:before="20"/>
              <w:jc w:val="center"/>
            </w:pPr>
            <w:r>
              <w:rPr>
                <w:b/>
                <w:sz w:val="19"/>
              </w:rPr>
              <w:t>197</w:t>
            </w:r>
          </w:p>
        </w:tc>
        <w:tc>
          <w:tcPr>
            <w:tcW w:type="dxa" w:w="1872"/>
            <w:tcW w:w="1872" w:type="dxa"/>
          </w:tcPr>
          <w:p>
            <w:pPr>
              <w:spacing w:after="20" w:before="20"/>
              <w:jc w:val="center"/>
            </w:pPr>
            <w:r>
              <w:rPr>
                <w:b/>
                <w:sz w:val="19"/>
              </w:rPr>
              <w:t>300</w:t>
            </w:r>
          </w:p>
        </w:tc>
      </w:tr>
    </w:tbl>
    <w:p>
      <w:pPr>
        <w:spacing w:after="120"/>
      </w:pPr>
      <w:r>
        <w:rPr>
          <w:b/>
          <w:color w:val="222222"/>
          <w:sz w:val="21"/>
        </w:rPr>
        <w:t>Pipeline-maturation base ≈ SAR 197</w:t>
      </w:r>
      <w:r>
        <w:rPr>
          <w:b w:val="0"/>
          <w:color w:val="222222"/>
          <w:sz w:val="21"/>
        </w:rPr>
        <w:t xml:space="preserve"> — the recovery-and-growth lens, and effectively the bet that the Vision-2030 build is delivered at accretive returns. It is, in effect, the wager that today's depressed reported returns are a construction-phase artifact, not the new normal.</w:t>
      </w:r>
    </w:p>
    <w:p>
      <w:pPr>
        <w:spacing w:before="140" w:after="80"/>
      </w:pPr>
      <w:r>
        <w:rPr>
          <w:b/>
          <w:color w:val="1B5E5E"/>
          <w:sz w:val="25"/>
        </w:rPr>
        <w:t>1.5  Synthesis — four lenses</w:t>
      </w:r>
    </w:p>
    <w:p>
      <w:pPr>
        <w:spacing w:after="120" w:before="0"/>
      </w:pPr>
      <w:r>
        <w:rPr>
          <w:b w:val="0"/>
          <w:i w:val="0"/>
          <w:color w:val="222222"/>
          <w:sz w:val="21"/>
        </w:rPr>
        <w:t>We weight the SOTP most heavily because it respects the differing economics of the parts and the contract quality that underpins them; the DCF and pipeline-maturation lenses carry the growth thesis; the relative lens anchors the floor.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888"/>
            <w:tcW w:w="3888" w:type="dxa"/>
            <w:shd w:val="clear" w:fill="1B5E5E"/>
          </w:tcPr>
          <w:p>
            <w:pPr>
              <w:spacing w:after="20" w:before="20"/>
            </w:pPr>
            <w:r>
              <w:rPr>
                <w:b/>
                <w:color w:val="FFFFFF"/>
                <w:sz w:val="19"/>
              </w:rPr>
              <w:t>Lens</w:t>
            </w:r>
          </w:p>
        </w:tc>
        <w:tc>
          <w:tcPr>
            <w:tcW w:type="dxa" w:w="1296"/>
            <w:tcW w:w="1296" w:type="dxa"/>
            <w:shd w:val="clear" w:fill="1B5E5E"/>
          </w:tcPr>
          <w:p>
            <w:pPr>
              <w:spacing w:after="20" w:before="20"/>
              <w:jc w:val="center"/>
            </w:pPr>
            <w:r>
              <w:rPr>
                <w:b/>
                <w:color w:val="FFFFFF"/>
                <w:sz w:val="19"/>
              </w:rPr>
              <w:t>Weight</w:t>
            </w:r>
          </w:p>
        </w:tc>
        <w:tc>
          <w:tcPr>
            <w:tcW w:type="dxa" w:w="1584"/>
            <w:tcW w:w="1584" w:type="dxa"/>
            <w:shd w:val="clear" w:fill="1B5E5E"/>
          </w:tcPr>
          <w:p>
            <w:pPr>
              <w:spacing w:after="20" w:before="20"/>
              <w:jc w:val="center"/>
            </w:pPr>
            <w:r>
              <w:rPr>
                <w:b/>
                <w:color w:val="FFFFFF"/>
                <w:sz w:val="19"/>
              </w:rPr>
              <w:t>Bear</w:t>
            </w:r>
          </w:p>
        </w:tc>
        <w:tc>
          <w:tcPr>
            <w:tcW w:type="dxa" w:w="1584"/>
            <w:tcW w:w="1584" w:type="dxa"/>
            <w:shd w:val="clear" w:fill="1B5E5E"/>
          </w:tcPr>
          <w:p>
            <w:pPr>
              <w:spacing w:after="20" w:before="20"/>
              <w:jc w:val="center"/>
            </w:pPr>
            <w:r>
              <w:rPr>
                <w:b/>
                <w:color w:val="FFFFFF"/>
                <w:sz w:val="19"/>
              </w:rPr>
              <w:t>Base</w:t>
            </w:r>
          </w:p>
        </w:tc>
        <w:tc>
          <w:tcPr>
            <w:tcW w:type="dxa" w:w="1584"/>
            <w:tcW w:w="1584" w:type="dxa"/>
            <w:shd w:val="clear" w:fill="1B5E5E"/>
          </w:tcPr>
          <w:p>
            <w:pPr>
              <w:spacing w:after="20" w:before="20"/>
              <w:jc w:val="center"/>
            </w:pPr>
            <w:r>
              <w:rPr>
                <w:b/>
                <w:color w:val="FFFFFF"/>
                <w:sz w:val="19"/>
              </w:rPr>
              <w:t>Bull</w:t>
            </w:r>
          </w:p>
        </w:tc>
      </w:tr>
      <w:tr>
        <w:tc>
          <w:tcPr>
            <w:tcW w:type="dxa" w:w="3888"/>
            <w:tcW w:w="3888" w:type="dxa"/>
          </w:tcPr>
          <w:p>
            <w:pPr>
              <w:spacing w:after="20" w:before="20"/>
            </w:pPr>
            <w:r>
              <w:rPr>
                <w:sz w:val="19"/>
              </w:rPr>
              <w:t>Sum-of-the-parts / NAV</w:t>
            </w:r>
          </w:p>
        </w:tc>
        <w:tc>
          <w:tcPr>
            <w:tcW w:type="dxa" w:w="1296"/>
            <w:tcW w:w="1296" w:type="dxa"/>
          </w:tcPr>
          <w:p>
            <w:pPr>
              <w:spacing w:after="20" w:before="20"/>
              <w:jc w:val="center"/>
            </w:pPr>
            <w:r>
              <w:rPr>
                <w:sz w:val="19"/>
              </w:rPr>
              <w:t>40%</w:t>
            </w:r>
          </w:p>
        </w:tc>
        <w:tc>
          <w:tcPr>
            <w:tcW w:type="dxa" w:w="1584"/>
            <w:tcW w:w="1584" w:type="dxa"/>
          </w:tcPr>
          <w:p>
            <w:pPr>
              <w:spacing w:after="20" w:before="20"/>
              <w:jc w:val="center"/>
            </w:pPr>
            <w:r>
              <w:rPr>
                <w:sz w:val="19"/>
              </w:rPr>
              <w:t>140</w:t>
            </w:r>
          </w:p>
        </w:tc>
        <w:tc>
          <w:tcPr>
            <w:tcW w:type="dxa" w:w="1584"/>
            <w:tcW w:w="1584" w:type="dxa"/>
          </w:tcPr>
          <w:p>
            <w:pPr>
              <w:spacing w:after="20" w:before="20"/>
              <w:jc w:val="center"/>
            </w:pPr>
            <w:r>
              <w:rPr>
                <w:sz w:val="19"/>
              </w:rPr>
              <w:t>215</w:t>
            </w:r>
          </w:p>
        </w:tc>
        <w:tc>
          <w:tcPr>
            <w:tcW w:type="dxa" w:w="1584"/>
            <w:tcW w:w="1584" w:type="dxa"/>
          </w:tcPr>
          <w:p>
            <w:pPr>
              <w:spacing w:after="20" w:before="20"/>
              <w:jc w:val="center"/>
            </w:pPr>
            <w:r>
              <w:rPr>
                <w:sz w:val="19"/>
              </w:rPr>
              <w:t>320</w:t>
            </w:r>
          </w:p>
        </w:tc>
      </w:tr>
      <w:tr>
        <w:tc>
          <w:tcPr>
            <w:tcW w:type="dxa" w:w="3888"/>
            <w:tcW w:w="3888" w:type="dxa"/>
          </w:tcPr>
          <w:p>
            <w:pPr>
              <w:spacing w:after="20" w:before="20"/>
            </w:pPr>
            <w:r>
              <w:rPr>
                <w:sz w:val="19"/>
              </w:rPr>
              <w:t>Consolidated DCF</w:t>
            </w:r>
          </w:p>
        </w:tc>
        <w:tc>
          <w:tcPr>
            <w:tcW w:type="dxa" w:w="1296"/>
            <w:tcW w:w="1296" w:type="dxa"/>
          </w:tcPr>
          <w:p>
            <w:pPr>
              <w:spacing w:after="20" w:before="20"/>
              <w:jc w:val="center"/>
            </w:pPr>
            <w:r>
              <w:rPr>
                <w:sz w:val="19"/>
              </w:rPr>
              <w:t>25%</w:t>
            </w:r>
          </w:p>
        </w:tc>
        <w:tc>
          <w:tcPr>
            <w:tcW w:type="dxa" w:w="1584"/>
            <w:tcW w:w="1584" w:type="dxa"/>
          </w:tcPr>
          <w:p>
            <w:pPr>
              <w:spacing w:after="20" w:before="20"/>
              <w:jc w:val="center"/>
            </w:pPr>
            <w:r>
              <w:rPr>
                <w:sz w:val="19"/>
              </w:rPr>
              <w:t>120</w:t>
            </w:r>
          </w:p>
        </w:tc>
        <w:tc>
          <w:tcPr>
            <w:tcW w:type="dxa" w:w="1584"/>
            <w:tcW w:w="1584" w:type="dxa"/>
          </w:tcPr>
          <w:p>
            <w:pPr>
              <w:spacing w:after="20" w:before="20"/>
              <w:jc w:val="center"/>
            </w:pPr>
            <w:r>
              <w:rPr>
                <w:sz w:val="19"/>
              </w:rPr>
              <w:t>184</w:t>
            </w:r>
          </w:p>
        </w:tc>
        <w:tc>
          <w:tcPr>
            <w:tcW w:type="dxa" w:w="1584"/>
            <w:tcW w:w="1584" w:type="dxa"/>
          </w:tcPr>
          <w:p>
            <w:pPr>
              <w:spacing w:after="20" w:before="20"/>
              <w:jc w:val="center"/>
            </w:pPr>
            <w:r>
              <w:rPr>
                <w:sz w:val="19"/>
              </w:rPr>
              <w:t>285</w:t>
            </w:r>
          </w:p>
        </w:tc>
      </w:tr>
      <w:tr>
        <w:tc>
          <w:tcPr>
            <w:tcW w:type="dxa" w:w="3888"/>
            <w:tcW w:w="3888" w:type="dxa"/>
          </w:tcPr>
          <w:p>
            <w:pPr>
              <w:spacing w:after="20" w:before="20"/>
            </w:pPr>
            <w:r>
              <w:rPr>
                <w:sz w:val="19"/>
              </w:rPr>
              <w:t>Relative multiples</w:t>
            </w:r>
          </w:p>
        </w:tc>
        <w:tc>
          <w:tcPr>
            <w:tcW w:type="dxa" w:w="1296"/>
            <w:tcW w:w="1296" w:type="dxa"/>
          </w:tcPr>
          <w:p>
            <w:pPr>
              <w:spacing w:after="20" w:before="20"/>
              <w:jc w:val="center"/>
            </w:pPr>
            <w:r>
              <w:rPr>
                <w:sz w:val="19"/>
              </w:rPr>
              <w:t>15%</w:t>
            </w:r>
          </w:p>
        </w:tc>
        <w:tc>
          <w:tcPr>
            <w:tcW w:type="dxa" w:w="1584"/>
            <w:tcW w:w="1584" w:type="dxa"/>
          </w:tcPr>
          <w:p>
            <w:pPr>
              <w:spacing w:after="20" w:before="20"/>
              <w:jc w:val="center"/>
            </w:pPr>
            <w:r>
              <w:rPr>
                <w:sz w:val="19"/>
              </w:rPr>
              <w:t>115</w:t>
            </w:r>
          </w:p>
        </w:tc>
        <w:tc>
          <w:tcPr>
            <w:tcW w:type="dxa" w:w="1584"/>
            <w:tcW w:w="1584" w:type="dxa"/>
          </w:tcPr>
          <w:p>
            <w:pPr>
              <w:spacing w:after="20" w:before="20"/>
              <w:jc w:val="center"/>
            </w:pPr>
            <w:r>
              <w:rPr>
                <w:sz w:val="19"/>
              </w:rPr>
              <w:t>158</w:t>
            </w:r>
          </w:p>
        </w:tc>
        <w:tc>
          <w:tcPr>
            <w:tcW w:type="dxa" w:w="1584"/>
            <w:tcW w:w="1584" w:type="dxa"/>
          </w:tcPr>
          <w:p>
            <w:pPr>
              <w:spacing w:after="20" w:before="20"/>
              <w:jc w:val="center"/>
            </w:pPr>
            <w:r>
              <w:rPr>
                <w:sz w:val="19"/>
              </w:rPr>
              <w:t>235</w:t>
            </w:r>
          </w:p>
        </w:tc>
      </w:tr>
      <w:tr>
        <w:tc>
          <w:tcPr>
            <w:tcW w:type="dxa" w:w="3888"/>
            <w:tcW w:w="3888" w:type="dxa"/>
          </w:tcPr>
          <w:p>
            <w:pPr>
              <w:spacing w:after="20" w:before="20"/>
            </w:pPr>
            <w:r>
              <w:rPr>
                <w:sz w:val="19"/>
              </w:rPr>
              <w:t>Pipeline-maturation earnings</w:t>
            </w:r>
          </w:p>
        </w:tc>
        <w:tc>
          <w:tcPr>
            <w:tcW w:type="dxa" w:w="1296"/>
            <w:tcW w:w="1296" w:type="dxa"/>
          </w:tcPr>
          <w:p>
            <w:pPr>
              <w:spacing w:after="20" w:before="20"/>
              <w:jc w:val="center"/>
            </w:pPr>
            <w:r>
              <w:rPr>
                <w:sz w:val="19"/>
              </w:rPr>
              <w:t>20%</w:t>
            </w:r>
          </w:p>
        </w:tc>
        <w:tc>
          <w:tcPr>
            <w:tcW w:type="dxa" w:w="1584"/>
            <w:tcW w:w="1584" w:type="dxa"/>
          </w:tcPr>
          <w:p>
            <w:pPr>
              <w:spacing w:after="20" w:before="20"/>
              <w:jc w:val="center"/>
            </w:pPr>
            <w:r>
              <w:rPr>
                <w:sz w:val="19"/>
              </w:rPr>
              <w:t>130</w:t>
            </w:r>
          </w:p>
        </w:tc>
        <w:tc>
          <w:tcPr>
            <w:tcW w:type="dxa" w:w="1584"/>
            <w:tcW w:w="1584" w:type="dxa"/>
          </w:tcPr>
          <w:p>
            <w:pPr>
              <w:spacing w:after="20" w:before="20"/>
              <w:jc w:val="center"/>
            </w:pPr>
            <w:r>
              <w:rPr>
                <w:sz w:val="19"/>
              </w:rPr>
              <w:t>197</w:t>
            </w:r>
          </w:p>
        </w:tc>
        <w:tc>
          <w:tcPr>
            <w:tcW w:type="dxa" w:w="1584"/>
            <w:tcW w:w="1584" w:type="dxa"/>
          </w:tcPr>
          <w:p>
            <w:pPr>
              <w:spacing w:after="20" w:before="20"/>
              <w:jc w:val="center"/>
            </w:pPr>
            <w:r>
              <w:rPr>
                <w:sz w:val="19"/>
              </w:rPr>
              <w:t>300</w:t>
            </w:r>
          </w:p>
        </w:tc>
      </w:tr>
      <w:tr>
        <w:tc>
          <w:tcPr>
            <w:tcW w:type="dxa" w:w="3888"/>
            <w:tcW w:w="3888" w:type="dxa"/>
          </w:tcPr>
          <w:p>
            <w:pPr>
              <w:spacing w:after="20" w:before="20"/>
            </w:pPr>
            <w:r>
              <w:rPr>
                <w:b/>
                <w:sz w:val="19"/>
              </w:rPr>
              <w:t>Weighted central</w:t>
            </w:r>
          </w:p>
        </w:tc>
        <w:tc>
          <w:tcPr>
            <w:tcW w:type="dxa" w:w="1296"/>
            <w:tcW w:w="1296" w:type="dxa"/>
          </w:tcPr>
          <w:p>
            <w:pPr>
              <w:spacing w:after="20" w:before="20"/>
              <w:jc w:val="center"/>
            </w:pPr>
            <w:r>
              <w:rPr>
                <w:b/>
                <w:sz w:val="19"/>
              </w:rPr>
            </w:r>
          </w:p>
        </w:tc>
        <w:tc>
          <w:tcPr>
            <w:tcW w:type="dxa" w:w="1584"/>
            <w:tcW w:w="1584" w:type="dxa"/>
          </w:tcPr>
          <w:p>
            <w:pPr>
              <w:spacing w:after="20" w:before="20"/>
              <w:jc w:val="center"/>
            </w:pPr>
            <w:r>
              <w:rPr>
                <w:b/>
                <w:sz w:val="19"/>
              </w:rPr>
              <w:t>129</w:t>
            </w:r>
          </w:p>
        </w:tc>
        <w:tc>
          <w:tcPr>
            <w:tcW w:type="dxa" w:w="1584"/>
            <w:tcW w:w="1584" w:type="dxa"/>
          </w:tcPr>
          <w:p>
            <w:pPr>
              <w:spacing w:after="20" w:before="20"/>
              <w:jc w:val="center"/>
            </w:pPr>
            <w:r>
              <w:rPr>
                <w:b/>
                <w:sz w:val="19"/>
              </w:rPr>
              <w:t>195</w:t>
            </w:r>
          </w:p>
        </w:tc>
        <w:tc>
          <w:tcPr>
            <w:tcW w:type="dxa" w:w="1584"/>
            <w:tcW w:w="1584" w:type="dxa"/>
          </w:tcPr>
          <w:p>
            <w:pPr>
              <w:spacing w:after="20" w:before="20"/>
              <w:jc w:val="center"/>
            </w:pPr>
            <w:r>
              <w:rPr>
                <w:b/>
                <w:sz w:val="19"/>
              </w:rPr>
              <w:t>299</w:t>
            </w:r>
          </w:p>
        </w:tc>
      </w:tr>
    </w:tbl>
    <w:p>
      <w:pPr>
        <w:jc w:val="center"/>
      </w:pPr>
      <w:r>
        <w:drawing>
          <wp:inline xmlns:a="http://schemas.openxmlformats.org/drawingml/2006/main" xmlns:pic="http://schemas.openxmlformats.org/drawingml/2006/picture">
            <wp:extent cx="5760720" cy="284390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843900"/>
                    </a:xfrm>
                    <a:prstGeom prst="rect"/>
                  </pic:spPr>
                </pic:pic>
              </a:graphicData>
            </a:graphic>
          </wp:inline>
        </w:drawing>
      </w:r>
    </w:p>
    <w:p>
      <w:pPr>
        <w:spacing w:after="160" w:before="40"/>
      </w:pPr>
      <w:r>
        <w:rPr>
          <w:i/>
          <w:color w:val="555555"/>
          <w:sz w:val="17"/>
        </w:rPr>
        <w:t>Figure 1 — Valuation football field. Bars span bear–bull per lens; the brass tick is each base case; the gold band is the blended central range; the dark line is spot.</w:t>
      </w:r>
    </w:p>
    <w:p>
      <w:pPr>
        <w:spacing w:after="120"/>
      </w:pPr>
      <w:r>
        <w:rPr>
          <w:b/>
          <w:color w:val="222222"/>
          <w:sz w:val="21"/>
        </w:rPr>
        <w:t>Central fair value ≈ SAR 195/share</w:t>
      </w:r>
      <w:r>
        <w:rPr>
          <w:b w:val="0"/>
          <w:color w:val="222222"/>
          <w:sz w:val="21"/>
        </w:rPr>
        <w:t>, essentially on spot. The spread of the lenses (SAR 158 to SAR 215 at base) is itself the message: this is not a deep-value or a clearly-expensive name, but a fairly-valued platform whose re-rating depends on a single operating outcome — the return earned on the Vision-2030 capital programme.</w:t>
      </w:r>
    </w:p>
    <w:p>
      <w:pPr>
        <w:spacing w:before="140" w:after="80"/>
      </w:pPr>
      <w:r>
        <w:rPr>
          <w:b/>
          <w:color w:val="1B5E5E"/>
          <w:sz w:val="25"/>
        </w:rPr>
        <w:t>1.6  The portfolio assets — a deeper look</w:t>
      </w:r>
    </w:p>
    <w:p>
      <w:pPr>
        <w:spacing w:after="120" w:before="0"/>
      </w:pPr>
      <w:r>
        <w:rPr>
          <w:b w:val="0"/>
          <w:i w:val="0"/>
          <w:color w:val="222222"/>
          <w:sz w:val="21"/>
        </w:rPr>
        <w:t>The operating fleet (43 GW of power, 6.3m m³/day of water, 91% power / 99% water availability in 2025) is the value anchor: contracted, availability-based, largely hard-currency-indexed, with investment-grade or sovereign offtakers. The under-construction book — over SAR 100bn at cost, the largest in ACWA's history — is the growth engine and the risk, because its value depends on execution and on the returns locked in at financial close. The services arm (NOMAC) and the development platform earn fees across the whole life-cycle, a super-senior, stable stream. The table scores each part on the axes that matter.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448"/>
            <w:tcW w:w="2448" w:type="dxa"/>
            <w:shd w:val="clear" w:fill="1B5E5E"/>
          </w:tcPr>
          <w:p>
            <w:pPr>
              <w:spacing w:after="20" w:before="20"/>
            </w:pPr>
            <w:r>
              <w:rPr>
                <w:b/>
                <w:color w:val="FFFFFF"/>
                <w:sz w:val="19"/>
              </w:rPr>
              <w:t>Part</w:t>
            </w:r>
          </w:p>
        </w:tc>
        <w:tc>
          <w:tcPr>
            <w:tcW w:type="dxa" w:w="2736"/>
            <w:tcW w:w="2736" w:type="dxa"/>
            <w:shd w:val="clear" w:fill="1B5E5E"/>
          </w:tcPr>
          <w:p>
            <w:pPr>
              <w:spacing w:after="20" w:before="20"/>
              <w:jc w:val="center"/>
            </w:pPr>
            <w:r>
              <w:rPr>
                <w:b/>
                <w:color w:val="FFFFFF"/>
                <w:sz w:val="19"/>
              </w:rPr>
              <w:t>Cash quality</w:t>
            </w:r>
          </w:p>
        </w:tc>
        <w:tc>
          <w:tcPr>
            <w:tcW w:type="dxa" w:w="1944"/>
            <w:tcW w:w="1944" w:type="dxa"/>
            <w:shd w:val="clear" w:fill="1B5E5E"/>
          </w:tcPr>
          <w:p>
            <w:pPr>
              <w:spacing w:after="20" w:before="20"/>
              <w:jc w:val="center"/>
            </w:pPr>
            <w:r>
              <w:rPr>
                <w:b/>
                <w:color w:val="FFFFFF"/>
                <w:sz w:val="19"/>
              </w:rPr>
              <w:t>Growth role</w:t>
            </w:r>
          </w:p>
        </w:tc>
        <w:tc>
          <w:tcPr>
            <w:tcW w:type="dxa" w:w="1800"/>
            <w:tcW w:w="1800" w:type="dxa"/>
            <w:shd w:val="clear" w:fill="1B5E5E"/>
          </w:tcPr>
          <w:p>
            <w:pPr>
              <w:spacing w:after="20" w:before="20"/>
              <w:jc w:val="center"/>
            </w:pPr>
            <w:r>
              <w:rPr>
                <w:b/>
                <w:color w:val="FFFFFF"/>
                <w:sz w:val="19"/>
              </w:rPr>
              <w:t>Capital intensity</w:t>
            </w:r>
          </w:p>
        </w:tc>
        <w:tc>
          <w:tcPr>
            <w:tcW w:type="dxa" w:w="1584"/>
            <w:tcW w:w="1584" w:type="dxa"/>
            <w:shd w:val="clear" w:fill="1B5E5E"/>
          </w:tcPr>
          <w:p>
            <w:pPr>
              <w:spacing w:after="20" w:before="20"/>
              <w:jc w:val="center"/>
            </w:pPr>
            <w:r>
              <w:rPr>
                <w:b/>
                <w:color w:val="FFFFFF"/>
                <w:sz w:val="19"/>
              </w:rPr>
              <w:t>Swing role</w:t>
            </w:r>
          </w:p>
        </w:tc>
      </w:tr>
      <w:tr>
        <w:tc>
          <w:tcPr>
            <w:tcW w:type="dxa" w:w="2448"/>
            <w:tcW w:w="2448" w:type="dxa"/>
          </w:tcPr>
          <w:p>
            <w:pPr>
              <w:spacing w:after="20" w:before="20"/>
            </w:pPr>
            <w:r>
              <w:rPr>
                <w:sz w:val="19"/>
              </w:rPr>
              <w:t>Operating portfolio</w:t>
            </w:r>
          </w:p>
        </w:tc>
        <w:tc>
          <w:tcPr>
            <w:tcW w:type="dxa" w:w="2736"/>
            <w:tcW w:w="2736" w:type="dxa"/>
          </w:tcPr>
          <w:p>
            <w:pPr>
              <w:spacing w:after="20" w:before="20"/>
              <w:jc w:val="center"/>
            </w:pPr>
            <w:r>
              <w:rPr>
                <w:sz w:val="19"/>
              </w:rPr>
              <w:t>Contracted, indexed</w:t>
            </w:r>
          </w:p>
        </w:tc>
        <w:tc>
          <w:tcPr>
            <w:tcW w:type="dxa" w:w="1944"/>
            <w:tcW w:w="1944" w:type="dxa"/>
          </w:tcPr>
          <w:p>
            <w:pPr>
              <w:spacing w:after="20" w:before="20"/>
              <w:jc w:val="center"/>
            </w:pPr>
            <w:r>
              <w:rPr>
                <w:sz w:val="19"/>
              </w:rPr>
              <w:t>Cash anchor</w:t>
            </w:r>
          </w:p>
        </w:tc>
        <w:tc>
          <w:tcPr>
            <w:tcW w:type="dxa" w:w="1800"/>
            <w:tcW w:w="1800" w:type="dxa"/>
          </w:tcPr>
          <w:p>
            <w:pPr>
              <w:spacing w:after="20" w:before="20"/>
              <w:jc w:val="center"/>
            </w:pPr>
            <w:r>
              <w:rPr>
                <w:sz w:val="19"/>
              </w:rPr>
              <w:t>Sunk (financed)</w:t>
            </w:r>
          </w:p>
        </w:tc>
        <w:tc>
          <w:tcPr>
            <w:tcW w:type="dxa" w:w="1584"/>
            <w:tcW w:w="1584" w:type="dxa"/>
          </w:tcPr>
          <w:p>
            <w:pPr>
              <w:spacing w:after="20" w:before="20"/>
              <w:jc w:val="center"/>
            </w:pPr>
            <w:r>
              <w:rPr>
                <w:sz w:val="19"/>
              </w:rPr>
              <w:t>Base value</w:t>
            </w:r>
          </w:p>
        </w:tc>
      </w:tr>
      <w:tr>
        <w:tc>
          <w:tcPr>
            <w:tcW w:type="dxa" w:w="2448"/>
            <w:tcW w:w="2448" w:type="dxa"/>
          </w:tcPr>
          <w:p>
            <w:pPr>
              <w:spacing w:after="20" w:before="20"/>
            </w:pPr>
            <w:r>
              <w:rPr>
                <w:sz w:val="19"/>
              </w:rPr>
              <w:t>Under-construction book</w:t>
            </w:r>
          </w:p>
        </w:tc>
        <w:tc>
          <w:tcPr>
            <w:tcW w:type="dxa" w:w="2736"/>
            <w:tcW w:w="2736" w:type="dxa"/>
          </w:tcPr>
          <w:p>
            <w:pPr>
              <w:spacing w:after="20" w:before="20"/>
              <w:jc w:val="center"/>
            </w:pPr>
            <w:r>
              <w:rPr>
                <w:sz w:val="19"/>
              </w:rPr>
              <w:t>Locked at close, not yet earning</w:t>
            </w:r>
          </w:p>
        </w:tc>
        <w:tc>
          <w:tcPr>
            <w:tcW w:type="dxa" w:w="1944"/>
            <w:tcW w:w="1944" w:type="dxa"/>
          </w:tcPr>
          <w:p>
            <w:pPr>
              <w:spacing w:after="20" w:before="20"/>
              <w:jc w:val="center"/>
            </w:pPr>
            <w:r>
              <w:rPr>
                <w:sz w:val="19"/>
              </w:rPr>
              <w:t>Dominant</w:t>
            </w:r>
          </w:p>
        </w:tc>
        <w:tc>
          <w:tcPr>
            <w:tcW w:type="dxa" w:w="1800"/>
            <w:tcW w:w="1800" w:type="dxa"/>
          </w:tcPr>
          <w:p>
            <w:pPr>
              <w:spacing w:after="20" w:before="20"/>
              <w:jc w:val="center"/>
            </w:pPr>
            <w:r>
              <w:rPr>
                <w:sz w:val="19"/>
              </w:rPr>
              <w:t>Very high</w:t>
            </w:r>
          </w:p>
        </w:tc>
        <w:tc>
          <w:tcPr>
            <w:tcW w:type="dxa" w:w="1584"/>
            <w:tcW w:w="1584" w:type="dxa"/>
          </w:tcPr>
          <w:p>
            <w:pPr>
              <w:spacing w:after="20" w:before="20"/>
              <w:jc w:val="center"/>
            </w:pPr>
            <w:r>
              <w:rPr>
                <w:sz w:val="19"/>
              </w:rPr>
              <w:t>Dominant</w:t>
            </w:r>
          </w:p>
        </w:tc>
      </w:tr>
      <w:tr>
        <w:tc>
          <w:tcPr>
            <w:tcW w:type="dxa" w:w="2448"/>
            <w:tcW w:w="2448" w:type="dxa"/>
          </w:tcPr>
          <w:p>
            <w:pPr>
              <w:spacing w:after="20" w:before="20"/>
            </w:pPr>
            <w:r>
              <w:rPr>
                <w:sz w:val="19"/>
              </w:rPr>
              <w:t>Advanced pipeline</w:t>
            </w:r>
          </w:p>
        </w:tc>
        <w:tc>
          <w:tcPr>
            <w:tcW w:type="dxa" w:w="2736"/>
            <w:tcW w:w="2736" w:type="dxa"/>
          </w:tcPr>
          <w:p>
            <w:pPr>
              <w:spacing w:after="20" w:before="20"/>
              <w:jc w:val="center"/>
            </w:pPr>
            <w:r>
              <w:rPr>
                <w:sz w:val="19"/>
              </w:rPr>
              <w:t>Optional</w:t>
            </w:r>
          </w:p>
        </w:tc>
        <w:tc>
          <w:tcPr>
            <w:tcW w:type="dxa" w:w="1944"/>
            <w:tcW w:w="1944" w:type="dxa"/>
          </w:tcPr>
          <w:p>
            <w:pPr>
              <w:spacing w:after="20" w:before="20"/>
              <w:jc w:val="center"/>
            </w:pPr>
            <w:r>
              <w:rPr>
                <w:sz w:val="19"/>
              </w:rPr>
              <w:t>Optionality</w:t>
            </w:r>
          </w:p>
        </w:tc>
        <w:tc>
          <w:tcPr>
            <w:tcW w:type="dxa" w:w="1800"/>
            <w:tcW w:w="1800" w:type="dxa"/>
          </w:tcPr>
          <w:p>
            <w:pPr>
              <w:spacing w:after="20" w:before="20"/>
              <w:jc w:val="center"/>
            </w:pPr>
            <w:r>
              <w:rPr>
                <w:sz w:val="19"/>
              </w:rPr>
              <w:t>High (future)</w:t>
            </w:r>
          </w:p>
        </w:tc>
        <w:tc>
          <w:tcPr>
            <w:tcW w:type="dxa" w:w="1584"/>
            <w:tcW w:w="1584" w:type="dxa"/>
          </w:tcPr>
          <w:p>
            <w:pPr>
              <w:spacing w:after="20" w:before="20"/>
              <w:jc w:val="center"/>
            </w:pPr>
            <w:r>
              <w:rPr>
                <w:sz w:val="19"/>
              </w:rPr>
              <w:t>Upside</w:t>
            </w:r>
          </w:p>
        </w:tc>
      </w:tr>
      <w:tr>
        <w:tc>
          <w:tcPr>
            <w:tcW w:type="dxa" w:w="2448"/>
            <w:tcW w:w="2448" w:type="dxa"/>
          </w:tcPr>
          <w:p>
            <w:pPr>
              <w:spacing w:after="20" w:before="20"/>
            </w:pPr>
            <w:r>
              <w:rPr>
                <w:sz w:val="19"/>
              </w:rPr>
              <w:t>NOMAC + services</w:t>
            </w:r>
          </w:p>
        </w:tc>
        <w:tc>
          <w:tcPr>
            <w:tcW w:type="dxa" w:w="2736"/>
            <w:tcW w:w="2736" w:type="dxa"/>
          </w:tcPr>
          <w:p>
            <w:pPr>
              <w:spacing w:after="20" w:before="20"/>
              <w:jc w:val="center"/>
            </w:pPr>
            <w:r>
              <w:rPr>
                <w:sz w:val="19"/>
              </w:rPr>
              <w:t>Fee, super-senior</w:t>
            </w:r>
          </w:p>
        </w:tc>
        <w:tc>
          <w:tcPr>
            <w:tcW w:type="dxa" w:w="1944"/>
            <w:tcW w:w="1944" w:type="dxa"/>
          </w:tcPr>
          <w:p>
            <w:pPr>
              <w:spacing w:after="20" w:before="20"/>
              <w:jc w:val="center"/>
            </w:pPr>
            <w:r>
              <w:rPr>
                <w:sz w:val="19"/>
              </w:rPr>
              <w:t>Scales with fleet</w:t>
            </w:r>
          </w:p>
        </w:tc>
        <w:tc>
          <w:tcPr>
            <w:tcW w:type="dxa" w:w="1800"/>
            <w:tcW w:w="1800" w:type="dxa"/>
          </w:tcPr>
          <w:p>
            <w:pPr>
              <w:spacing w:after="20" w:before="20"/>
              <w:jc w:val="center"/>
            </w:pPr>
            <w:r>
              <w:rPr>
                <w:sz w:val="19"/>
              </w:rPr>
              <w:t>Low</w:t>
            </w:r>
          </w:p>
        </w:tc>
        <w:tc>
          <w:tcPr>
            <w:tcW w:type="dxa" w:w="1584"/>
            <w:tcW w:w="1584" w:type="dxa"/>
          </w:tcPr>
          <w:p>
            <w:pPr>
              <w:spacing w:after="20" w:before="20"/>
              <w:jc w:val="center"/>
            </w:pPr>
            <w:r>
              <w:rPr>
                <w:sz w:val="19"/>
              </w:rPr>
              <w:t>Steady</w:t>
            </w:r>
          </w:p>
        </w:tc>
      </w:tr>
    </w:tbl>
    <w:p>
      <w:pPr>
        <w:spacing w:before="140" w:after="80"/>
      </w:pPr>
      <w:r>
        <w:rPr>
          <w:b/>
          <w:color w:val="1B5E5E"/>
          <w:sz w:val="25"/>
        </w:rPr>
        <w:t>1.7  Returns on the Vision-2030 capital — the crux</w:t>
      </w:r>
    </w:p>
    <w:p>
      <w:pPr>
        <w:spacing w:after="120" w:before="0"/>
      </w:pPr>
      <w:r>
        <w:rPr>
          <w:b w:val="0"/>
          <w:i w:val="0"/>
          <w:color w:val="222222"/>
          <w:sz w:val="21"/>
        </w:rPr>
        <w:t>One judgment drives the valuation more than any other: whether the capital ACWA is deploying to triple its assets under management earns above its cost. This is the single-point dependency, and it is best read in observable units rather than an abstract margin. Today the group's return on invested capital is ~2.6% and its return on equity ~6.5% — both below an ~8–10% cost of capital — because a large share of invested capital sits in projects still under construction and not yet generating. The constructive case is arithmetic and time: as the SAR 100bn-plus under-construction book reaches commercial operation over 2026–2029, contracted cash begins to flow and blended returns rise toward the mid-teens equity returns ACWA underwrites at financial close. The bear case is that the growth is value-dilutive — that competition for Vision-2030 and international tenders, rising financing costs, or execution slippage push realized project equity returns below the cost of capital, in which case the market is right to de-rate the platform toward its earnings and book support. We frame the crux on the realized project equity IRR versus the cost of equity, and sensitize the DCF and SOTP on it in §1.9.</w:t>
      </w:r>
    </w:p>
    <w:tbl>
      <w:tblPr>
        <w:tblStyle w:val="TableGrid"/>
        <w:tblW w:type="auto" w:w="0"/>
        <w:jc w:val="center"/>
        <w:tblLook w:firstColumn="1" w:firstRow="1" w:lastColumn="0" w:lastRow="0" w:noHBand="0" w:noVBand="1" w:val="04A0"/>
      </w:tblPr>
      <w:tblGrid>
        <w:gridCol w:w="3312"/>
        <w:gridCol w:w="3312"/>
        <w:gridCol w:w="3312"/>
      </w:tblGrid>
      <w:tr>
        <w:tc>
          <w:tcPr>
            <w:tcW w:type="dxa" w:w="3744"/>
            <w:tcW w:w="3744" w:type="dxa"/>
            <w:shd w:val="clear" w:fill="1B5E5E"/>
          </w:tcPr>
          <w:p>
            <w:pPr>
              <w:spacing w:after="20" w:before="20"/>
            </w:pPr>
            <w:r>
              <w:rPr>
                <w:b/>
                <w:color w:val="FFFFFF"/>
                <w:sz w:val="19"/>
              </w:rPr>
              <w:t>Realized project equity IRR (blended)</w:t>
            </w:r>
          </w:p>
        </w:tc>
        <w:tc>
          <w:tcPr>
            <w:tcW w:type="dxa" w:w="1728"/>
            <w:tcW w:w="1728" w:type="dxa"/>
            <w:shd w:val="clear" w:fill="1B5E5E"/>
          </w:tcPr>
          <w:p>
            <w:pPr>
              <w:spacing w:after="20" w:before="20"/>
              <w:jc w:val="center"/>
            </w:pPr>
            <w:r>
              <w:rPr>
                <w:b/>
                <w:color w:val="FFFFFF"/>
                <w:sz w:val="19"/>
              </w:rPr>
              <w:t>vs Ke 9.85%</w:t>
            </w:r>
          </w:p>
        </w:tc>
        <w:tc>
          <w:tcPr>
            <w:tcW w:type="dxa" w:w="4464"/>
            <w:tcW w:w="4464" w:type="dxa"/>
            <w:shd w:val="clear" w:fill="1B5E5E"/>
          </w:tcPr>
          <w:p>
            <w:pPr>
              <w:spacing w:after="20" w:before="20"/>
              <w:jc w:val="center"/>
            </w:pPr>
            <w:r>
              <w:rPr>
                <w:b/>
                <w:color w:val="FFFFFF"/>
                <w:sz w:val="19"/>
              </w:rPr>
              <w:t>Read</w:t>
            </w:r>
          </w:p>
        </w:tc>
      </w:tr>
      <w:tr>
        <w:tc>
          <w:tcPr>
            <w:tcW w:type="dxa" w:w="3744"/>
            <w:tcW w:w="3744" w:type="dxa"/>
          </w:tcPr>
          <w:p>
            <w:pPr>
              <w:spacing w:after="20" w:before="20"/>
            </w:pPr>
            <w:r>
              <w:rPr>
                <w:sz w:val="19"/>
              </w:rPr>
              <w:t>~13–15% (underwritten level, delivered)</w:t>
            </w:r>
          </w:p>
        </w:tc>
        <w:tc>
          <w:tcPr>
            <w:tcW w:type="dxa" w:w="1728"/>
            <w:tcW w:w="1728" w:type="dxa"/>
          </w:tcPr>
          <w:p>
            <w:pPr>
              <w:spacing w:after="20" w:before="20"/>
              <w:jc w:val="center"/>
            </w:pPr>
            <w:r>
              <w:rPr>
                <w:sz w:val="19"/>
              </w:rPr>
              <w:t>Above</w:t>
            </w:r>
          </w:p>
        </w:tc>
        <w:tc>
          <w:tcPr>
            <w:tcW w:type="dxa" w:w="4464"/>
            <w:tcW w:w="4464" w:type="dxa"/>
          </w:tcPr>
          <w:p>
            <w:pPr>
              <w:spacing w:after="20" w:before="20"/>
              <w:jc w:val="center"/>
            </w:pPr>
            <w:r>
              <w:rPr>
                <w:sz w:val="19"/>
              </w:rPr>
              <w:t>Growth is accretive; SOTP/pipeline lenses dominate → SAR 215–300</w:t>
            </w:r>
          </w:p>
        </w:tc>
      </w:tr>
      <w:tr>
        <w:tc>
          <w:tcPr>
            <w:tcW w:type="dxa" w:w="3744"/>
            <w:tcW w:w="3744" w:type="dxa"/>
          </w:tcPr>
          <w:p>
            <w:pPr>
              <w:spacing w:after="20" w:before="20"/>
            </w:pPr>
            <w:r>
              <w:rPr>
                <w:sz w:val="19"/>
              </w:rPr>
              <w:t>~10–11% (partial delivery / cost creep)</w:t>
            </w:r>
          </w:p>
        </w:tc>
        <w:tc>
          <w:tcPr>
            <w:tcW w:type="dxa" w:w="1728"/>
            <w:tcW w:w="1728" w:type="dxa"/>
          </w:tcPr>
          <w:p>
            <w:pPr>
              <w:spacing w:after="20" w:before="20"/>
              <w:jc w:val="center"/>
            </w:pPr>
            <w:r>
              <w:rPr>
                <w:sz w:val="19"/>
              </w:rPr>
              <w:t>≈ At</w:t>
            </w:r>
          </w:p>
        </w:tc>
        <w:tc>
          <w:tcPr>
            <w:tcW w:type="dxa" w:w="4464"/>
            <w:tcW w:w="4464" w:type="dxa"/>
          </w:tcPr>
          <w:p>
            <w:pPr>
              <w:spacing w:after="20" w:before="20"/>
              <w:jc w:val="center"/>
            </w:pPr>
            <w:r>
              <w:rPr>
                <w:sz w:val="19"/>
              </w:rPr>
              <w:t>Growth roughly value-neutral; central ~SAR 180–200</w:t>
            </w:r>
          </w:p>
        </w:tc>
      </w:tr>
      <w:tr>
        <w:tc>
          <w:tcPr>
            <w:tcW w:type="dxa" w:w="3744"/>
            <w:tcW w:w="3744" w:type="dxa"/>
          </w:tcPr>
          <w:p>
            <w:pPr>
              <w:spacing w:after="20" w:before="20"/>
            </w:pPr>
            <w:r>
              <w:rPr>
                <w:sz w:val="19"/>
              </w:rPr>
              <w:t>~7–8% (execution / financing shortfall)</w:t>
            </w:r>
          </w:p>
        </w:tc>
        <w:tc>
          <w:tcPr>
            <w:tcW w:type="dxa" w:w="1728"/>
            <w:tcW w:w="1728" w:type="dxa"/>
          </w:tcPr>
          <w:p>
            <w:pPr>
              <w:spacing w:after="20" w:before="20"/>
              <w:jc w:val="center"/>
            </w:pPr>
            <w:r>
              <w:rPr>
                <w:sz w:val="19"/>
              </w:rPr>
              <w:t>Below</w:t>
            </w:r>
          </w:p>
        </w:tc>
        <w:tc>
          <w:tcPr>
            <w:tcW w:type="dxa" w:w="4464"/>
            <w:tcW w:w="4464" w:type="dxa"/>
          </w:tcPr>
          <w:p>
            <w:pPr>
              <w:spacing w:after="20" w:before="20"/>
              <w:jc w:val="center"/>
            </w:pPr>
            <w:r>
              <w:rPr>
                <w:sz w:val="19"/>
              </w:rPr>
              <w:t>Growth is dilutive; relative/DCF floor → SAR 130–160</w:t>
            </w:r>
          </w:p>
        </w:tc>
      </w:tr>
    </w:tbl>
    <w:p>
      <w:pPr>
        <w:spacing w:after="120" w:before="0"/>
      </w:pPr>
      <w:r>
        <w:rPr>
          <w:b w:val="0"/>
          <w:i w:val="0"/>
          <w:color w:val="222222"/>
          <w:sz w:val="21"/>
        </w:rPr>
        <w:t>Read it as the bet you are taking: at SAR 194 the market is pricing something close to full delivery of the underwritten returns on the operating book but crediting only a partial success on the growth pipeline — a fair, not an extreme, position either way.</w:t>
      </w:r>
    </w:p>
    <w:p>
      <w:pPr>
        <w:spacing w:before="140" w:after="80"/>
      </w:pPr>
      <w:r>
        <w:rPr>
          <w:b/>
          <w:color w:val="1B5E5E"/>
          <w:sz w:val="25"/>
        </w:rPr>
        <w:t>1.8  Macro and country — Saudi Arabia, rates, oil and the peg</w:t>
      </w:r>
    </w:p>
    <w:p>
      <w:pPr>
        <w:spacing w:after="120" w:before="0"/>
      </w:pPr>
      <w:r>
        <w:rPr>
          <w:b w:val="0"/>
          <w:i w:val="0"/>
          <w:color w:val="222222"/>
          <w:sz w:val="21"/>
        </w:rPr>
        <w:t>ACWA is a Saudi champion with an increasingly international footprint, so its value is set by a handful of macro-policy levers. Vision 2030 is the structural tailwind — PIF has allocated ~70% of the Kingdom's renewables pipeline to ACWA under a Strategic Framework Agreement, a near-monopoly on the domestic build. Saudi and global rates matter mechanically: long-life contracted cash flows are long-duration assets, so a higher-for-longer rate path lifts the discount rate and compresses value, while the SAR/USD peg (3.75) means US rate policy transmits directly to ACWA's cost of capital and to its largely USD-indexed project debt. Oil and the Saudi fiscal position set the pace of the domestic programme and PIF's capacity to fund it. Internationally, the energy transition and rising power and water demand across the Gulf, Central Asia, Africa and Southeast Asia widen the opportunity set, while country and offtaker risk on non-Saudi projects (as the terminated Africa PPA and the Uzbekistan and Bulgaria episodes show) is the recurring downside. These levers are the swing factors behind the bear and bull cases in §1.5 and the catalysts in §5.</w:t>
      </w:r>
    </w:p>
    <w:p>
      <w:pPr>
        <w:spacing w:before="140" w:after="80"/>
      </w:pPr>
      <w:r>
        <w:rPr>
          <w:b/>
          <w:color w:val="1B5E5E"/>
          <w:sz w:val="25"/>
        </w:rPr>
        <w:t>1.9  SOTP sensitivity — how much the swing moves the value</w:t>
      </w:r>
    </w:p>
    <w:p>
      <w:pPr>
        <w:spacing w:after="120" w:before="0"/>
      </w:pPr>
      <w:r>
        <w:rPr>
          <w:b w:val="0"/>
          <w:i w:val="0"/>
          <w:color w:val="222222"/>
          <w:sz w:val="21"/>
        </w:rPr>
        <w:t>Holding the pipeline and services at base, the table re-prices the SOTP across the operating-portfolio mark and the credit given to the development pipeline and services. The cells near spot (SAR 194) are shaded toward the centre; the value runs from roughly SAR 130 to over SAR 300.</w:t>
      </w:r>
    </w:p>
    <w:p>
      <w:pPr>
        <w:jc w:val="center"/>
      </w:pPr>
      <w:r>
        <w:drawing>
          <wp:inline xmlns:a="http://schemas.openxmlformats.org/drawingml/2006/main" xmlns:pic="http://schemas.openxmlformats.org/drawingml/2006/picture">
            <wp:extent cx="5486400" cy="3151840"/>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486400" cy="3151840"/>
                    </a:xfrm>
                    <a:prstGeom prst="rect"/>
                  </pic:spPr>
                </pic:pic>
              </a:graphicData>
            </a:graphic>
          </wp:inline>
        </w:drawing>
      </w:r>
    </w:p>
    <w:p>
      <w:pPr>
        <w:spacing w:after="160" w:before="40"/>
      </w:pPr>
      <w:r>
        <w:rPr>
          <w:i/>
          <w:color w:val="555555"/>
          <w:sz w:val="17"/>
        </w:rPr>
        <w:t>Figure 2 — SOTP sensitivity to the operating-portfolio mark × pipeline/services credit (SAR/share, post holdco net debt). Cells near spot are highlighted.</w:t>
      </w:r>
    </w:p>
    <w:p>
      <w:pPr>
        <w:spacing w:after="120" w:before="0"/>
      </w:pPr>
      <w:r>
        <w:rPr>
          <w:b w:val="0"/>
          <w:i w:val="0"/>
          <w:color w:val="222222"/>
          <w:sz w:val="21"/>
        </w:rPr>
        <w:t>The reading is the same as the crux: the market price is consistent with a roughly base operating mark and only partial credit for the growth pipeline — a partial, not a full, delivery of Vision-2030 already in the price.</w:t>
      </w:r>
    </w:p>
    <w:p>
      <w:pPr>
        <w:spacing w:before="200" w:after="80"/>
      </w:pPr>
      <w:r>
        <w:rPr>
          <w:b/>
          <w:color w:val="1B5E5E"/>
          <w:sz w:val="30"/>
        </w:rPr>
        <w:t>2  Technical and price structure</w:t>
      </w:r>
    </w:p>
    <w:p>
      <w:pPr>
        <w:spacing w:after="120" w:before="0"/>
      </w:pPr>
      <w:r>
        <w:rPr>
          <w:b w:val="0"/>
          <w:i w:val="0"/>
          <w:color w:val="222222"/>
          <w:sz w:val="21"/>
        </w:rPr>
        <w:t>The tape is neutral and consolidating. ACWA trades right on its 200-day average, above the 50- and 100-day and just below the 20-day, with RSI near the midline and momentum cooling after a bounce. The structure is a base-building recovery: a stock that fell from the SAR 497 all-time high of September 2024 to a SAR 157 low, then bounced to the low-190s and has been ranging near the 200-day. Neither the oversold spring nor the overbought stretch — a genuinely balanced technical picture.</w:t>
      </w:r>
    </w:p>
    <w:tbl>
      <w:tblPr>
        <w:tblStyle w:val="TableGrid"/>
        <w:tblW w:type="auto" w:w="0"/>
        <w:jc w:val="center"/>
        <w:tblLook w:firstColumn="1" w:firstRow="1" w:lastColumn="0" w:lastRow="0" w:noHBand="0" w:noVBand="1" w:val="04A0"/>
      </w:tblPr>
      <w:tblGrid>
        <w:gridCol w:w="3312"/>
        <w:gridCol w:w="3312"/>
        <w:gridCol w:w="3312"/>
      </w:tblGrid>
      <w:tr>
        <w:tc>
          <w:tcPr>
            <w:tcW w:type="dxa" w:w="2880"/>
            <w:tcW w:w="2880" w:type="dxa"/>
            <w:shd w:val="clear" w:fill="1B5E5E"/>
          </w:tcPr>
          <w:p>
            <w:pPr>
              <w:spacing w:after="20" w:before="20"/>
            </w:pPr>
            <w:r>
              <w:rPr>
                <w:b/>
                <w:color w:val="FFFFFF"/>
                <w:sz w:val="19"/>
              </w:rPr>
              <w:t>Indicator</w:t>
            </w:r>
          </w:p>
        </w:tc>
        <w:tc>
          <w:tcPr>
            <w:tcW w:type="dxa" w:w="3744"/>
            <w:tcW w:w="3744" w:type="dxa"/>
            <w:shd w:val="clear" w:fill="1B5E5E"/>
          </w:tcPr>
          <w:p>
            <w:pPr>
              <w:spacing w:after="20" w:before="20"/>
              <w:jc w:val="center"/>
            </w:pPr>
            <w:r>
              <w:rPr>
                <w:b/>
                <w:color w:val="FFFFFF"/>
                <w:sz w:val="19"/>
              </w:rPr>
              <w:t>Reading</w:t>
            </w:r>
          </w:p>
        </w:tc>
        <w:tc>
          <w:tcPr>
            <w:tcW w:type="dxa" w:w="3312"/>
            <w:tcW w:w="3311" w:type="dxa"/>
            <w:shd w:val="clear" w:fill="1B5E5E"/>
          </w:tcPr>
          <w:p>
            <w:pPr>
              <w:spacing w:after="20" w:before="20"/>
              <w:jc w:val="center"/>
            </w:pPr>
            <w:r>
              <w:rPr>
                <w:b/>
                <w:color w:val="FFFFFF"/>
                <w:sz w:val="19"/>
              </w:rPr>
              <w:t>Signal</w:t>
            </w:r>
          </w:p>
        </w:tc>
      </w:tr>
      <w:tr>
        <w:tc>
          <w:tcPr>
            <w:tcW w:type="dxa" w:w="2880"/>
            <w:tcW w:w="2880" w:type="dxa"/>
          </w:tcPr>
          <w:p>
            <w:pPr>
              <w:spacing w:after="20" w:before="20"/>
            </w:pPr>
            <w:r>
              <w:rPr>
                <w:sz w:val="19"/>
              </w:rPr>
              <w:t>Spot</w:t>
            </w:r>
          </w:p>
        </w:tc>
        <w:tc>
          <w:tcPr>
            <w:tcW w:type="dxa" w:w="3744"/>
            <w:tcW w:w="3744" w:type="dxa"/>
          </w:tcPr>
          <w:p>
            <w:pPr>
              <w:spacing w:after="20" w:before="20"/>
              <w:jc w:val="center"/>
            </w:pPr>
            <w:r>
              <w:rPr>
                <w:sz w:val="19"/>
              </w:rPr>
              <w:t>SAR 193.9</w:t>
            </w:r>
          </w:p>
        </w:tc>
        <w:tc>
          <w:tcPr>
            <w:tcW w:type="dxa" w:w="3312"/>
            <w:tcW w:w="3311" w:type="dxa"/>
          </w:tcPr>
          <w:p>
            <w:pPr>
              <w:spacing w:after="20" w:before="20"/>
              <w:jc w:val="center"/>
            </w:pPr>
            <w:r>
              <w:rPr>
                <w:sz w:val="19"/>
              </w:rPr>
              <w:t>—</w:t>
            </w:r>
          </w:p>
        </w:tc>
      </w:tr>
      <w:tr>
        <w:tc>
          <w:tcPr>
            <w:tcW w:type="dxa" w:w="2880"/>
            <w:tcW w:w="2880" w:type="dxa"/>
          </w:tcPr>
          <w:p>
            <w:pPr>
              <w:spacing w:after="20" w:before="20"/>
            </w:pPr>
            <w:r>
              <w:rPr>
                <w:sz w:val="19"/>
              </w:rPr>
              <w:t>SMA 20 / 50</w:t>
            </w:r>
          </w:p>
        </w:tc>
        <w:tc>
          <w:tcPr>
            <w:tcW w:type="dxa" w:w="3744"/>
            <w:tcW w:w="3744" w:type="dxa"/>
          </w:tcPr>
          <w:p>
            <w:pPr>
              <w:spacing w:after="20" w:before="20"/>
              <w:jc w:val="center"/>
            </w:pPr>
            <w:r>
              <w:rPr>
                <w:sz w:val="19"/>
              </w:rPr>
              <w:t>SAR 197 / 186</w:t>
            </w:r>
          </w:p>
        </w:tc>
        <w:tc>
          <w:tcPr>
            <w:tcW w:type="dxa" w:w="3312"/>
            <w:tcW w:w="3311" w:type="dxa"/>
          </w:tcPr>
          <w:p>
            <w:pPr>
              <w:spacing w:after="20" w:before="20"/>
              <w:jc w:val="center"/>
            </w:pPr>
            <w:r>
              <w:rPr>
                <w:sz w:val="19"/>
              </w:rPr>
              <w:t>Straddling — short-term flat</w:t>
            </w:r>
          </w:p>
        </w:tc>
      </w:tr>
      <w:tr>
        <w:tc>
          <w:tcPr>
            <w:tcW w:type="dxa" w:w="2880"/>
            <w:tcW w:w="2880" w:type="dxa"/>
          </w:tcPr>
          <w:p>
            <w:pPr>
              <w:spacing w:after="20" w:before="20"/>
            </w:pPr>
            <w:r>
              <w:rPr>
                <w:sz w:val="19"/>
              </w:rPr>
              <w:t>SMA 100 / 200</w:t>
            </w:r>
          </w:p>
        </w:tc>
        <w:tc>
          <w:tcPr>
            <w:tcW w:type="dxa" w:w="3744"/>
            <w:tcW w:w="3744" w:type="dxa"/>
          </w:tcPr>
          <w:p>
            <w:pPr>
              <w:spacing w:after="20" w:before="20"/>
              <w:jc w:val="center"/>
            </w:pPr>
            <w:r>
              <w:rPr>
                <w:sz w:val="19"/>
              </w:rPr>
              <w:t>SAR 179 / 191</w:t>
            </w:r>
          </w:p>
        </w:tc>
        <w:tc>
          <w:tcPr>
            <w:tcW w:type="dxa" w:w="3312"/>
            <w:tcW w:w="3311" w:type="dxa"/>
          </w:tcPr>
          <w:p>
            <w:pPr>
              <w:spacing w:after="20" w:before="20"/>
              <w:jc w:val="center"/>
            </w:pPr>
            <w:r>
              <w:rPr>
                <w:sz w:val="19"/>
              </w:rPr>
              <w:t>Above both — base recovering</w:t>
            </w:r>
          </w:p>
        </w:tc>
      </w:tr>
      <w:tr>
        <w:tc>
          <w:tcPr>
            <w:tcW w:type="dxa" w:w="2880"/>
            <w:tcW w:w="2880" w:type="dxa"/>
          </w:tcPr>
          <w:p>
            <w:pPr>
              <w:spacing w:after="20" w:before="20"/>
            </w:pPr>
            <w:r>
              <w:rPr>
                <w:sz w:val="19"/>
              </w:rPr>
              <w:t>RSI (14)</w:t>
            </w:r>
          </w:p>
        </w:tc>
        <w:tc>
          <w:tcPr>
            <w:tcW w:type="dxa" w:w="3744"/>
            <w:tcW w:w="3744" w:type="dxa"/>
          </w:tcPr>
          <w:p>
            <w:pPr>
              <w:spacing w:after="20" w:before="20"/>
              <w:jc w:val="center"/>
            </w:pPr>
            <w:r>
              <w:rPr>
                <w:sz w:val="19"/>
              </w:rPr>
              <w:t>51.2</w:t>
            </w:r>
          </w:p>
        </w:tc>
        <w:tc>
          <w:tcPr>
            <w:tcW w:type="dxa" w:w="3312"/>
            <w:tcW w:w="3311" w:type="dxa"/>
          </w:tcPr>
          <w:p>
            <w:pPr>
              <w:spacing w:after="20" w:before="20"/>
              <w:jc w:val="center"/>
            </w:pPr>
            <w:r>
              <w:rPr>
                <w:sz w:val="19"/>
              </w:rPr>
              <w:t>Neutral (midline)</w:t>
            </w:r>
          </w:p>
        </w:tc>
      </w:tr>
      <w:tr>
        <w:tc>
          <w:tcPr>
            <w:tcW w:type="dxa" w:w="2880"/>
            <w:tcW w:w="2880" w:type="dxa"/>
          </w:tcPr>
          <w:p>
            <w:pPr>
              <w:spacing w:after="20" w:before="20"/>
            </w:pPr>
            <w:r>
              <w:rPr>
                <w:sz w:val="19"/>
              </w:rPr>
              <w:t>MACD (12,26,9)</w:t>
            </w:r>
          </w:p>
        </w:tc>
        <w:tc>
          <w:tcPr>
            <w:tcW w:type="dxa" w:w="3744"/>
            <w:tcW w:w="3744" w:type="dxa"/>
          </w:tcPr>
          <w:p>
            <w:pPr>
              <w:spacing w:after="20" w:before="20"/>
              <w:jc w:val="center"/>
            </w:pPr>
            <w:r>
              <w:rPr>
                <w:sz w:val="19"/>
              </w:rPr>
              <w:t>2.15 line / 3.46 signal / −1.31 hist</w:t>
            </w:r>
          </w:p>
        </w:tc>
        <w:tc>
          <w:tcPr>
            <w:tcW w:type="dxa" w:w="3312"/>
            <w:tcW w:w="3311" w:type="dxa"/>
          </w:tcPr>
          <w:p>
            <w:pPr>
              <w:spacing w:after="20" w:before="20"/>
              <w:jc w:val="center"/>
            </w:pPr>
            <w:r>
              <w:rPr>
                <w:sz w:val="19"/>
              </w:rPr>
              <w:t>Momentum cooling after bounce</w:t>
            </w:r>
          </w:p>
        </w:tc>
      </w:tr>
      <w:tr>
        <w:tc>
          <w:tcPr>
            <w:tcW w:type="dxa" w:w="2880"/>
            <w:tcW w:w="2880" w:type="dxa"/>
          </w:tcPr>
          <w:p>
            <w:pPr>
              <w:spacing w:after="20" w:before="20"/>
            </w:pPr>
            <w:r>
              <w:rPr>
                <w:sz w:val="19"/>
              </w:rPr>
              <w:t>52-week range</w:t>
            </w:r>
          </w:p>
        </w:tc>
        <w:tc>
          <w:tcPr>
            <w:tcW w:type="dxa" w:w="3744"/>
            <w:tcW w:w="3744" w:type="dxa"/>
          </w:tcPr>
          <w:p>
            <w:pPr>
              <w:spacing w:after="20" w:before="20"/>
              <w:jc w:val="center"/>
            </w:pPr>
            <w:r>
              <w:rPr>
                <w:sz w:val="19"/>
              </w:rPr>
              <w:t>SAR 156.6 – 266.0</w:t>
            </w:r>
          </w:p>
        </w:tc>
        <w:tc>
          <w:tcPr>
            <w:tcW w:type="dxa" w:w="3312"/>
            <w:tcW w:w="3311" w:type="dxa"/>
          </w:tcPr>
          <w:p>
            <w:pPr>
              <w:spacing w:after="20" w:before="20"/>
              <w:jc w:val="center"/>
            </w:pPr>
            <w:r>
              <w:rPr>
                <w:sz w:val="19"/>
              </w:rPr>
              <w:t>Lower-middle of range</w:t>
            </w:r>
          </w:p>
        </w:tc>
      </w:tr>
      <w:tr>
        <w:tc>
          <w:tcPr>
            <w:tcW w:type="dxa" w:w="2880"/>
            <w:tcW w:w="2880" w:type="dxa"/>
          </w:tcPr>
          <w:p>
            <w:pPr>
              <w:spacing w:after="20" w:before="20"/>
            </w:pPr>
            <w:r>
              <w:rPr>
                <w:sz w:val="19"/>
              </w:rPr>
              <w:t>Realized vol (252d)</w:t>
            </w:r>
          </w:p>
        </w:tc>
        <w:tc>
          <w:tcPr>
            <w:tcW w:type="dxa" w:w="3744"/>
            <w:tcW w:w="3744" w:type="dxa"/>
          </w:tcPr>
          <w:p>
            <w:pPr>
              <w:spacing w:after="20" w:before="20"/>
              <w:jc w:val="center"/>
            </w:pPr>
            <w:r>
              <w:rPr>
                <w:sz w:val="19"/>
              </w:rPr>
              <w:t>36.9%</w:t>
            </w:r>
          </w:p>
        </w:tc>
        <w:tc>
          <w:tcPr>
            <w:tcW w:type="dxa" w:w="3312"/>
            <w:tcW w:w="3311" w:type="dxa"/>
          </w:tcPr>
          <w:p>
            <w:pPr>
              <w:spacing w:after="20" w:before="20"/>
              <w:jc w:val="center"/>
            </w:pPr>
            <w:r>
              <w:rPr>
                <w:sz w:val="19"/>
              </w:rPr>
              <w:t>Moderate (YZ-HAR forward 41.2%)</w:t>
            </w:r>
          </w:p>
        </w:tc>
      </w:tr>
    </w:tbl>
    <w:p>
      <w:pPr>
        <w:jc w:val="center"/>
      </w:pPr>
      <w:r>
        <w:drawing>
          <wp:inline xmlns:a="http://schemas.openxmlformats.org/drawingml/2006/main" xmlns:pic="http://schemas.openxmlformats.org/drawingml/2006/picture">
            <wp:extent cx="5760720" cy="2843900"/>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760720" cy="2843900"/>
                    </a:xfrm>
                    <a:prstGeom prst="rect"/>
                  </pic:spPr>
                </pic:pic>
              </a:graphicData>
            </a:graphic>
          </wp:inline>
        </w:drawing>
      </w:r>
    </w:p>
    <w:p>
      <w:pPr>
        <w:spacing w:after="160" w:before="40"/>
      </w:pPr>
      <w:r>
        <w:rPr>
          <w:i/>
          <w:color w:val="555555"/>
          <w:sz w:val="17"/>
        </w:rPr>
        <w:t>Figure 3 — Price versus the moving-average stack, last 260 sessions.</w:t>
      </w:r>
    </w:p>
    <w:p>
      <w:pPr>
        <w:spacing w:after="120" w:before="0"/>
      </w:pPr>
      <w:r>
        <w:rPr>
          <w:b w:val="0"/>
          <w:i w:val="0"/>
          <w:color w:val="222222"/>
          <w:sz w:val="21"/>
        </w:rPr>
        <w:t>For the probabilistic work this matters in one way: a neutral, mid-range tape neither adds a directional tilt nor stretches a near-term tail. The technical and fundamental pictures broadly agree that the stock is near fair value, and §6 reads the resulting probability zones without forcing a directional call.</w:t>
      </w:r>
    </w:p>
    <w:p>
      <w:pPr>
        <w:spacing w:before="200" w:after="80"/>
      </w:pPr>
      <w:r>
        <w:rPr>
          <w:b/>
          <w:color w:val="1B5E5E"/>
          <w:sz w:val="30"/>
        </w:rPr>
        <w:t>3  Monte Carlo — a probabilistic price map</w:t>
      </w:r>
    </w:p>
    <w:p>
      <w:pPr>
        <w:spacing w:after="120" w:before="0"/>
      </w:pPr>
      <w:r>
        <w:rPr>
          <w:b w:val="0"/>
          <w:i w:val="0"/>
          <w:color w:val="222222"/>
          <w:sz w:val="21"/>
        </w:rPr>
        <w:t>We simulate 50,000 three-month price paths (seed 42) using a sixteen-factor stack: seven continuous macro/operating drivers contributing a small net forward drift, and nine discrete events that each fire with a probability and an impact. By design the paths diffuse from spot, and the §1 value gap is kept out of the drift — the fundamental NAV gap lives in §1, not here; §3 maps where price could go from today, not where value sits. Diffusion volatility is sized by the YZ-HAR engine (a gap-aware Yang-Zhang variance proxy fed to a pooled log-HAR cascade), which projects an annualized ~41.2% over the quarter — above the trailing 252-day close-to-close vol (36.9%) because the recent tape is more active, and regime-conditional by construction. Innovations are unit-variance Student-t(5), giving a tighter interquartile body with honest tails. As an international name, ACWA carries no secular drift; the net external drift from the factor stack is a modest +1.9% over the quarter, so the median tracks spot.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600"/>
            <w:tcW w:w="3600" w:type="dxa"/>
            <w:shd w:val="clear" w:fill="1B5E5E"/>
          </w:tcPr>
          <w:p>
            <w:pPr>
              <w:spacing w:after="20" w:before="20"/>
            </w:pPr>
            <w:r>
              <w:rPr>
                <w:b/>
                <w:color w:val="FFFFFF"/>
                <w:sz w:val="19"/>
              </w:rPr>
              <w:t>Continuous factor (7)</w:t>
            </w:r>
          </w:p>
        </w:tc>
        <w:tc>
          <w:tcPr>
            <w:tcW w:type="dxa" w:w="720"/>
            <w:tcW w:w="720" w:type="dxa"/>
            <w:shd w:val="clear" w:fill="1B5E5E"/>
          </w:tcPr>
          <w:p>
            <w:pPr>
              <w:spacing w:after="20" w:before="20"/>
              <w:jc w:val="center"/>
            </w:pPr>
            <w:r>
              <w:rPr>
                <w:b/>
                <w:color w:val="FFFFFF"/>
                <w:sz w:val="19"/>
              </w:rPr>
              <w:t>Dir.</w:t>
            </w:r>
          </w:p>
        </w:tc>
        <w:tc>
          <w:tcPr>
            <w:tcW w:type="dxa" w:w="3744"/>
            <w:tcW w:w="3744" w:type="dxa"/>
            <w:shd w:val="clear" w:fill="1B5E5E"/>
          </w:tcPr>
          <w:p>
            <w:pPr>
              <w:spacing w:after="20" w:before="20"/>
              <w:jc w:val="center"/>
            </w:pPr>
            <w:r>
              <w:rPr>
                <w:b/>
                <w:color w:val="FFFFFF"/>
                <w:sz w:val="19"/>
              </w:rPr>
              <w:t>Discrete event (9)</w:t>
            </w:r>
          </w:p>
        </w:tc>
        <w:tc>
          <w:tcPr>
            <w:tcW w:type="dxa" w:w="1008"/>
            <w:tcW w:w="1007" w:type="dxa"/>
            <w:shd w:val="clear" w:fill="1B5E5E"/>
          </w:tcPr>
          <w:p>
            <w:pPr>
              <w:spacing w:after="20" w:before="20"/>
              <w:jc w:val="center"/>
            </w:pPr>
            <w:r>
              <w:rPr>
                <w:b/>
                <w:color w:val="FFFFFF"/>
                <w:sz w:val="19"/>
              </w:rPr>
              <w:t>Prob.</w:t>
            </w:r>
          </w:p>
        </w:tc>
        <w:tc>
          <w:tcPr>
            <w:tcW w:type="dxa" w:w="1224"/>
            <w:tcW w:w="1224" w:type="dxa"/>
            <w:shd w:val="clear" w:fill="1B5E5E"/>
          </w:tcPr>
          <w:p>
            <w:pPr>
              <w:spacing w:after="20" w:before="20"/>
              <w:jc w:val="center"/>
            </w:pPr>
            <w:r>
              <w:rPr>
                <w:b/>
                <w:color w:val="FFFFFF"/>
                <w:sz w:val="19"/>
              </w:rPr>
              <w:t>Mean impact</w:t>
            </w:r>
          </w:p>
        </w:tc>
      </w:tr>
      <w:tr>
        <w:tc>
          <w:tcPr>
            <w:tcW w:type="dxa" w:w="3600"/>
            <w:tcW w:w="3600" w:type="dxa"/>
          </w:tcPr>
          <w:p>
            <w:pPr>
              <w:spacing w:after="20" w:before="20"/>
            </w:pPr>
            <w:r>
              <w:rPr>
                <w:sz w:val="19"/>
              </w:rPr>
              <w:t>Vision 2030 / PIF renewables pipeline</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Q2-2026 results (early Aug)</w:t>
            </w:r>
          </w:p>
        </w:tc>
        <w:tc>
          <w:tcPr>
            <w:tcW w:type="dxa" w:w="1008"/>
            <w:tcW w:w="1007" w:type="dxa"/>
          </w:tcPr>
          <w:p>
            <w:pPr>
              <w:spacing w:after="20" w:before="20"/>
              <w:jc w:val="center"/>
            </w:pPr>
            <w:r>
              <w:rPr>
                <w:sz w:val="19"/>
              </w:rPr>
              <w:t>85%</w:t>
            </w:r>
          </w:p>
        </w:tc>
        <w:tc>
          <w:tcPr>
            <w:tcW w:type="dxa" w:w="1224"/>
            <w:tcW w:w="1224" w:type="dxa"/>
          </w:tcPr>
          <w:p>
            <w:pPr>
              <w:spacing w:after="20" w:before="20"/>
              <w:jc w:val="center"/>
            </w:pPr>
            <w:r>
              <w:rPr>
                <w:sz w:val="19"/>
              </w:rPr>
              <w:t>+0.3%</w:t>
            </w:r>
          </w:p>
        </w:tc>
      </w:tr>
      <w:tr>
        <w:tc>
          <w:tcPr>
            <w:tcW w:type="dxa" w:w="3600"/>
            <w:tcW w:w="3600" w:type="dxa"/>
          </w:tcPr>
          <w:p>
            <w:pPr>
              <w:spacing w:after="20" w:before="20"/>
            </w:pPr>
            <w:r>
              <w:rPr>
                <w:sz w:val="19"/>
              </w:rPr>
              <w:t>Saudi / global real-rate path</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New financial close / PPA-WPA award</w:t>
            </w:r>
          </w:p>
        </w:tc>
        <w:tc>
          <w:tcPr>
            <w:tcW w:type="dxa" w:w="1008"/>
            <w:tcW w:w="1007" w:type="dxa"/>
          </w:tcPr>
          <w:p>
            <w:pPr>
              <w:spacing w:after="20" w:before="20"/>
              <w:jc w:val="center"/>
            </w:pPr>
            <w:r>
              <w:rPr>
                <w:sz w:val="19"/>
              </w:rPr>
              <w:t>50%</w:t>
            </w:r>
          </w:p>
        </w:tc>
        <w:tc>
          <w:tcPr>
            <w:tcW w:type="dxa" w:w="1224"/>
            <w:tcW w:w="1224" w:type="dxa"/>
          </w:tcPr>
          <w:p>
            <w:pPr>
              <w:spacing w:after="20" w:before="20"/>
              <w:jc w:val="center"/>
            </w:pPr>
            <w:r>
              <w:rPr>
                <w:sz w:val="19"/>
              </w:rPr>
              <w:t>+2.2%</w:t>
            </w:r>
          </w:p>
        </w:tc>
      </w:tr>
      <w:tr>
        <w:tc>
          <w:tcPr>
            <w:tcW w:type="dxa" w:w="3600"/>
            <w:tcW w:w="3600" w:type="dxa"/>
          </w:tcPr>
          <w:p>
            <w:pPr>
              <w:spacing w:after="20" w:before="20"/>
            </w:pPr>
            <w:r>
              <w:rPr>
                <w:sz w:val="19"/>
              </w:rPr>
              <w:t>Oil price / Saudi fiscal capacity</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Project COD milestone (capacity online)</w:t>
            </w:r>
          </w:p>
        </w:tc>
        <w:tc>
          <w:tcPr>
            <w:tcW w:type="dxa" w:w="1008"/>
            <w:tcW w:w="1007" w:type="dxa"/>
          </w:tcPr>
          <w:p>
            <w:pPr>
              <w:spacing w:after="20" w:before="20"/>
              <w:jc w:val="center"/>
            </w:pPr>
            <w:r>
              <w:rPr>
                <w:sz w:val="19"/>
              </w:rPr>
              <w:t>45%</w:t>
            </w:r>
          </w:p>
        </w:tc>
        <w:tc>
          <w:tcPr>
            <w:tcW w:type="dxa" w:w="1224"/>
            <w:tcW w:w="1224" w:type="dxa"/>
          </w:tcPr>
          <w:p>
            <w:pPr>
              <w:spacing w:after="20" w:before="20"/>
              <w:jc w:val="center"/>
            </w:pPr>
            <w:r>
              <w:rPr>
                <w:sz w:val="19"/>
              </w:rPr>
              <w:t>+2.0%</w:t>
            </w:r>
          </w:p>
        </w:tc>
      </w:tr>
      <w:tr>
        <w:tc>
          <w:tcPr>
            <w:tcW w:type="dxa" w:w="3600"/>
            <w:tcW w:w="3600" w:type="dxa"/>
          </w:tcPr>
          <w:p>
            <w:pPr>
              <w:spacing w:after="20" w:before="20"/>
            </w:pPr>
            <w:r>
              <w:rPr>
                <w:sz w:val="19"/>
              </w:rPr>
              <w:t>SAR/USD peg + USD rate path</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NEOM green-hydrogen progress/setback</w:t>
            </w:r>
          </w:p>
        </w:tc>
        <w:tc>
          <w:tcPr>
            <w:tcW w:type="dxa" w:w="1008"/>
            <w:tcW w:w="1007" w:type="dxa"/>
          </w:tcPr>
          <w:p>
            <w:pPr>
              <w:spacing w:after="20" w:before="20"/>
              <w:jc w:val="center"/>
            </w:pPr>
            <w:r>
              <w:rPr>
                <w:sz w:val="19"/>
              </w:rPr>
              <w:t>30%</w:t>
            </w:r>
          </w:p>
        </w:tc>
        <w:tc>
          <w:tcPr>
            <w:tcW w:type="dxa" w:w="1224"/>
            <w:tcW w:w="1224" w:type="dxa"/>
          </w:tcPr>
          <w:p>
            <w:pPr>
              <w:spacing w:after="20" w:before="20"/>
              <w:jc w:val="center"/>
            </w:pPr>
            <w:r>
              <w:rPr>
                <w:sz w:val="19"/>
              </w:rPr>
              <w:t>+1.0%</w:t>
            </w:r>
          </w:p>
        </w:tc>
      </w:tr>
      <w:tr>
        <w:tc>
          <w:tcPr>
            <w:tcW w:type="dxa" w:w="3600"/>
            <w:tcW w:w="3600" w:type="dxa"/>
          </w:tcPr>
          <w:p>
            <w:pPr>
              <w:spacing w:after="20" w:before="20"/>
            </w:pPr>
            <w:r>
              <w:rPr>
                <w:sz w:val="19"/>
              </w:rPr>
              <w:t>Global power &amp; water demand / transition</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Fed / rate-path surprise</w:t>
            </w:r>
          </w:p>
        </w:tc>
        <w:tc>
          <w:tcPr>
            <w:tcW w:type="dxa" w:w="1008"/>
            <w:tcW w:w="1007" w:type="dxa"/>
          </w:tcPr>
          <w:p>
            <w:pPr>
              <w:spacing w:after="20" w:before="20"/>
              <w:jc w:val="center"/>
            </w:pPr>
            <w:r>
              <w:rPr>
                <w:sz w:val="19"/>
              </w:rPr>
              <w:t>32%</w:t>
            </w:r>
          </w:p>
        </w:tc>
        <w:tc>
          <w:tcPr>
            <w:tcW w:type="dxa" w:w="1224"/>
            <w:tcW w:w="1224" w:type="dxa"/>
          </w:tcPr>
          <w:p>
            <w:pPr>
              <w:spacing w:after="20" w:before="20"/>
              <w:jc w:val="center"/>
            </w:pPr>
            <w:r>
              <w:rPr>
                <w:sz w:val="19"/>
              </w:rPr>
              <w:t>−3.5%</w:t>
            </w:r>
          </w:p>
        </w:tc>
      </w:tr>
      <w:tr>
        <w:tc>
          <w:tcPr>
            <w:tcW w:type="dxa" w:w="3600"/>
            <w:tcW w:w="3600" w:type="dxa"/>
          </w:tcPr>
          <w:p>
            <w:pPr>
              <w:spacing w:after="20" w:before="20"/>
            </w:pPr>
            <w:r>
              <w:rPr>
                <w:sz w:val="19"/>
              </w:rPr>
              <w:t>TASI &amp; foreign flows (index beta)</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Capital action / dividend-initiation signal</w:t>
            </w:r>
          </w:p>
        </w:tc>
        <w:tc>
          <w:tcPr>
            <w:tcW w:type="dxa" w:w="1008"/>
            <w:tcW w:w="1007" w:type="dxa"/>
          </w:tcPr>
          <w:p>
            <w:pPr>
              <w:spacing w:after="20" w:before="20"/>
              <w:jc w:val="center"/>
            </w:pPr>
            <w:r>
              <w:rPr>
                <w:sz w:val="19"/>
              </w:rPr>
              <w:t>25%</w:t>
            </w:r>
          </w:p>
        </w:tc>
        <w:tc>
          <w:tcPr>
            <w:tcW w:type="dxa" w:w="1224"/>
            <w:tcW w:w="1224" w:type="dxa"/>
          </w:tcPr>
          <w:p>
            <w:pPr>
              <w:spacing w:after="20" w:before="20"/>
              <w:jc w:val="center"/>
            </w:pPr>
            <w:r>
              <w:rPr>
                <w:sz w:val="19"/>
              </w:rPr>
              <w:t>+1.5%</w:t>
            </w:r>
          </w:p>
        </w:tc>
      </w:tr>
      <w:tr>
        <w:tc>
          <w:tcPr>
            <w:tcW w:type="dxa" w:w="3600"/>
            <w:tcW w:w="3600" w:type="dxa"/>
          </w:tcPr>
          <w:p>
            <w:pPr>
              <w:spacing w:after="20" w:before="20"/>
            </w:pPr>
            <w:r>
              <w:rPr>
                <w:sz w:val="19"/>
              </w:rPr>
              <w:t>Project capex / construction input cost</w:t>
            </w:r>
          </w:p>
        </w:tc>
        <w:tc>
          <w:tcPr>
            <w:tcW w:type="dxa" w:w="720"/>
            <w:tcW w:w="720" w:type="dxa"/>
          </w:tcPr>
          <w:p>
            <w:pPr>
              <w:spacing w:after="20" w:before="20"/>
              <w:jc w:val="center"/>
            </w:pPr>
            <w:r>
              <w:rPr>
                <w:sz w:val="19"/>
              </w:rPr>
              <w:t>−</w:t>
            </w:r>
          </w:p>
        </w:tc>
        <w:tc>
          <w:tcPr>
            <w:tcW w:type="dxa" w:w="3744"/>
            <w:tcW w:w="3744" w:type="dxa"/>
          </w:tcPr>
          <w:p>
            <w:pPr>
              <w:spacing w:after="20" w:before="20"/>
              <w:jc w:val="center"/>
            </w:pPr>
            <w:r>
              <w:rPr>
                <w:sz w:val="19"/>
              </w:rPr>
              <w:t>Impairment / project delay / offtaker dispute</w:t>
            </w:r>
          </w:p>
        </w:tc>
        <w:tc>
          <w:tcPr>
            <w:tcW w:type="dxa" w:w="1008"/>
            <w:tcW w:w="1007" w:type="dxa"/>
          </w:tcPr>
          <w:p>
            <w:pPr>
              <w:spacing w:after="20" w:before="20"/>
              <w:jc w:val="center"/>
            </w:pPr>
            <w:r>
              <w:rPr>
                <w:sz w:val="19"/>
              </w:rPr>
              <w:t>32%</w:t>
            </w:r>
          </w:p>
        </w:tc>
        <w:tc>
          <w:tcPr>
            <w:tcW w:type="dxa" w:w="1224"/>
            <w:tcW w:w="1224" w:type="dxa"/>
          </w:tcPr>
          <w:p>
            <w:pPr>
              <w:spacing w:after="20" w:before="20"/>
              <w:jc w:val="center"/>
            </w:pPr>
            <w:r>
              <w:rPr>
                <w:sz w:val="19"/>
              </w:rPr>
              <w:t>−5.0%</w:t>
            </w:r>
          </w:p>
        </w:tc>
      </w:tr>
      <w:tr>
        <w:tc>
          <w:tcPr>
            <w:tcW w:type="dxa" w:w="3600"/>
            <w:tcW w:w="3600" w:type="dxa"/>
          </w:tcPr>
          <w:p>
            <w:pPr>
              <w:spacing w:after="20" w:before="20"/>
            </w:pPr>
            <w:r>
              <w:rPr>
                <w:sz w:val="19"/>
              </w:rPr>
            </w:r>
          </w:p>
        </w:tc>
        <w:tc>
          <w:tcPr>
            <w:tcW w:type="dxa" w:w="720"/>
            <w:tcW w:w="720" w:type="dxa"/>
          </w:tcPr>
          <w:p>
            <w:pPr>
              <w:spacing w:after="20" w:before="20"/>
              <w:jc w:val="center"/>
            </w:pPr>
            <w:r>
              <w:rPr>
                <w:sz w:val="19"/>
              </w:rPr>
            </w:r>
          </w:p>
        </w:tc>
        <w:tc>
          <w:tcPr>
            <w:tcW w:type="dxa" w:w="3744"/>
            <w:tcW w:w="3744" w:type="dxa"/>
          </w:tcPr>
          <w:p>
            <w:pPr>
              <w:spacing w:after="20" w:before="20"/>
              <w:jc w:val="center"/>
            </w:pPr>
            <w:r>
              <w:rPr>
                <w:sz w:val="19"/>
              </w:rPr>
              <w:t>Divestment / capital-recycling gain</w:t>
            </w:r>
          </w:p>
        </w:tc>
        <w:tc>
          <w:tcPr>
            <w:tcW w:type="dxa" w:w="1008"/>
            <w:tcW w:w="1007" w:type="dxa"/>
          </w:tcPr>
          <w:p>
            <w:pPr>
              <w:spacing w:after="20" w:before="20"/>
              <w:jc w:val="center"/>
            </w:pPr>
            <w:r>
              <w:rPr>
                <w:sz w:val="19"/>
              </w:rPr>
              <w:t>28%</w:t>
            </w:r>
          </w:p>
        </w:tc>
        <w:tc>
          <w:tcPr>
            <w:tcW w:type="dxa" w:w="1224"/>
            <w:tcW w:w="1224" w:type="dxa"/>
          </w:tcPr>
          <w:p>
            <w:pPr>
              <w:spacing w:after="20" w:before="20"/>
              <w:jc w:val="center"/>
            </w:pPr>
            <w:r>
              <w:rPr>
                <w:sz w:val="19"/>
              </w:rPr>
              <w:t>+2.2%</w:t>
            </w:r>
          </w:p>
        </w:tc>
      </w:tr>
      <w:tr>
        <w:tc>
          <w:tcPr>
            <w:tcW w:type="dxa" w:w="3600"/>
            <w:tcW w:w="3600" w:type="dxa"/>
          </w:tcPr>
          <w:p>
            <w:pPr>
              <w:spacing w:after="20" w:before="20"/>
            </w:pPr>
            <w:r>
              <w:rPr>
                <w:sz w:val="19"/>
              </w:rPr>
            </w:r>
          </w:p>
        </w:tc>
        <w:tc>
          <w:tcPr>
            <w:tcW w:type="dxa" w:w="720"/>
            <w:tcW w:w="720" w:type="dxa"/>
          </w:tcPr>
          <w:p>
            <w:pPr>
              <w:spacing w:after="20" w:before="20"/>
              <w:jc w:val="center"/>
            </w:pPr>
            <w:r>
              <w:rPr>
                <w:sz w:val="19"/>
              </w:rPr>
            </w:r>
          </w:p>
        </w:tc>
        <w:tc>
          <w:tcPr>
            <w:tcW w:type="dxa" w:w="3744"/>
            <w:tcW w:w="3744" w:type="dxa"/>
          </w:tcPr>
          <w:p>
            <w:pPr>
              <w:spacing w:after="20" w:before="20"/>
              <w:jc w:val="center"/>
            </w:pPr>
            <w:r>
              <w:rPr>
                <w:sz w:val="19"/>
              </w:rPr>
              <w:t>Index / flow rebalancing (MSCI/TASI)</w:t>
            </w:r>
          </w:p>
        </w:tc>
        <w:tc>
          <w:tcPr>
            <w:tcW w:type="dxa" w:w="1008"/>
            <w:tcW w:w="1007" w:type="dxa"/>
          </w:tcPr>
          <w:p>
            <w:pPr>
              <w:spacing w:after="20" w:before="20"/>
              <w:jc w:val="center"/>
            </w:pPr>
            <w:r>
              <w:rPr>
                <w:sz w:val="19"/>
              </w:rPr>
              <w:t>25%</w:t>
            </w:r>
          </w:p>
        </w:tc>
        <w:tc>
          <w:tcPr>
            <w:tcW w:type="dxa" w:w="1224"/>
            <w:tcW w:w="1224" w:type="dxa"/>
          </w:tcPr>
          <w:p>
            <w:pPr>
              <w:spacing w:after="20" w:before="20"/>
              <w:jc w:val="center"/>
            </w:pPr>
            <w:r>
              <w:rPr>
                <w:sz w:val="19"/>
              </w:rPr>
              <w:t>+1.0%</w:t>
            </w:r>
          </w:p>
        </w:tc>
      </w:tr>
    </w:tbl>
    <w:p>
      <w:pPr>
        <w:spacing w:after="40" w:before="0"/>
      </w:pPr>
      <w:r>
        <w:rPr>
          <w:b w:val="0"/>
          <w:i w:val="0"/>
          <w:color w:val="222222"/>
          <w:sz w:val="21"/>
        </w:rPr>
        <w:t>Percentile map (SAR/share):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880"/>
            <w:tcW w:w="2880" w:type="dxa"/>
            <w:shd w:val="clear" w:fill="1B5E5E"/>
          </w:tcPr>
          <w:p>
            <w:pPr>
              <w:spacing w:after="20" w:before="20"/>
            </w:pPr>
            <w:r>
              <w:rPr>
                <w:b/>
                <w:color w:val="FFFFFF"/>
                <w:sz w:val="19"/>
              </w:rPr>
              <w:t>Horizon</w:t>
            </w:r>
          </w:p>
        </w:tc>
        <w:tc>
          <w:tcPr>
            <w:tcW w:type="dxa" w:w="1440"/>
            <w:tcW w:w="1440" w:type="dxa"/>
            <w:shd w:val="clear" w:fill="1B5E5E"/>
          </w:tcPr>
          <w:p>
            <w:pPr>
              <w:spacing w:after="20" w:before="20"/>
              <w:jc w:val="center"/>
            </w:pPr>
            <w:r>
              <w:rPr>
                <w:b/>
                <w:color w:val="FFFFFF"/>
                <w:sz w:val="19"/>
              </w:rPr>
              <w:t>p5</w:t>
            </w:r>
          </w:p>
        </w:tc>
        <w:tc>
          <w:tcPr>
            <w:tcW w:type="dxa" w:w="1440"/>
            <w:tcW w:w="1440" w:type="dxa"/>
            <w:shd w:val="clear" w:fill="1B5E5E"/>
          </w:tcPr>
          <w:p>
            <w:pPr>
              <w:spacing w:after="20" w:before="20"/>
              <w:jc w:val="center"/>
            </w:pPr>
            <w:r>
              <w:rPr>
                <w:b/>
                <w:color w:val="FFFFFF"/>
                <w:sz w:val="19"/>
              </w:rPr>
              <w:t>p25</w:t>
            </w:r>
          </w:p>
        </w:tc>
        <w:tc>
          <w:tcPr>
            <w:tcW w:type="dxa" w:w="1440"/>
            <w:tcW w:w="1440" w:type="dxa"/>
            <w:shd w:val="clear" w:fill="1B5E5E"/>
          </w:tcPr>
          <w:p>
            <w:pPr>
              <w:spacing w:after="20" w:before="20"/>
              <w:jc w:val="center"/>
            </w:pPr>
            <w:r>
              <w:rPr>
                <w:b/>
                <w:color w:val="FFFFFF"/>
                <w:sz w:val="19"/>
              </w:rPr>
              <w:t>p50</w:t>
            </w:r>
          </w:p>
        </w:tc>
        <w:tc>
          <w:tcPr>
            <w:tcW w:type="dxa" w:w="1440"/>
            <w:tcW w:w="1440" w:type="dxa"/>
            <w:shd w:val="clear" w:fill="1B5E5E"/>
          </w:tcPr>
          <w:p>
            <w:pPr>
              <w:spacing w:after="20" w:before="20"/>
              <w:jc w:val="center"/>
            </w:pPr>
            <w:r>
              <w:rPr>
                <w:b/>
                <w:color w:val="FFFFFF"/>
                <w:sz w:val="19"/>
              </w:rPr>
              <w:t>p75</w:t>
            </w:r>
          </w:p>
        </w:tc>
        <w:tc>
          <w:tcPr>
            <w:tcW w:type="dxa" w:w="1296"/>
            <w:tcW w:w="1296" w:type="dxa"/>
            <w:shd w:val="clear" w:fill="1B5E5E"/>
          </w:tcPr>
          <w:p>
            <w:pPr>
              <w:spacing w:after="20" w:before="20"/>
              <w:jc w:val="center"/>
            </w:pPr>
            <w:r>
              <w:rPr>
                <w:b/>
                <w:color w:val="FFFFFF"/>
                <w:sz w:val="19"/>
              </w:rPr>
              <w:t>p95</w:t>
            </w:r>
          </w:p>
        </w:tc>
      </w:tr>
      <w:tr>
        <w:tc>
          <w:tcPr>
            <w:tcW w:type="dxa" w:w="2880"/>
            <w:tcW w:w="2880" w:type="dxa"/>
          </w:tcPr>
          <w:p>
            <w:pPr>
              <w:spacing w:after="20" w:before="20"/>
            </w:pPr>
            <w:r>
              <w:rPr>
                <w:sz w:val="19"/>
              </w:rPr>
              <w:t>T+20 sessions</w:t>
            </w:r>
          </w:p>
        </w:tc>
        <w:tc>
          <w:tcPr>
            <w:tcW w:type="dxa" w:w="1440"/>
            <w:tcW w:w="1440" w:type="dxa"/>
          </w:tcPr>
          <w:p>
            <w:pPr>
              <w:spacing w:after="20" w:before="20"/>
              <w:jc w:val="center"/>
            </w:pPr>
            <w:r>
              <w:rPr>
                <w:sz w:val="19"/>
              </w:rPr>
              <w:t>159</w:t>
            </w:r>
          </w:p>
        </w:tc>
        <w:tc>
          <w:tcPr>
            <w:tcW w:type="dxa" w:w="1440"/>
            <w:tcW w:w="1440" w:type="dxa"/>
          </w:tcPr>
          <w:p>
            <w:pPr>
              <w:spacing w:after="20" w:before="20"/>
              <w:jc w:val="center"/>
            </w:pPr>
            <w:r>
              <w:rPr>
                <w:sz w:val="19"/>
              </w:rPr>
              <w:t>180</w:t>
            </w:r>
          </w:p>
        </w:tc>
        <w:tc>
          <w:tcPr>
            <w:tcW w:type="dxa" w:w="1440"/>
            <w:tcW w:w="1440" w:type="dxa"/>
          </w:tcPr>
          <w:p>
            <w:pPr>
              <w:spacing w:after="20" w:before="20"/>
              <w:jc w:val="center"/>
            </w:pPr>
            <w:r>
              <w:rPr>
                <w:sz w:val="19"/>
              </w:rPr>
              <w:t>194</w:t>
            </w:r>
          </w:p>
        </w:tc>
        <w:tc>
          <w:tcPr>
            <w:tcW w:type="dxa" w:w="1440"/>
            <w:tcW w:w="1440" w:type="dxa"/>
          </w:tcPr>
          <w:p>
            <w:pPr>
              <w:spacing w:after="20" w:before="20"/>
              <w:jc w:val="center"/>
            </w:pPr>
            <w:r>
              <w:rPr>
                <w:sz w:val="19"/>
              </w:rPr>
              <w:t>209</w:t>
            </w:r>
          </w:p>
        </w:tc>
        <w:tc>
          <w:tcPr>
            <w:tcW w:type="dxa" w:w="1296"/>
            <w:tcW w:w="1296" w:type="dxa"/>
          </w:tcPr>
          <w:p>
            <w:pPr>
              <w:spacing w:after="20" w:before="20"/>
              <w:jc w:val="center"/>
            </w:pPr>
            <w:r>
              <w:rPr>
                <w:sz w:val="19"/>
              </w:rPr>
              <w:t>235</w:t>
            </w:r>
          </w:p>
        </w:tc>
      </w:tr>
      <w:tr>
        <w:tc>
          <w:tcPr>
            <w:tcW w:type="dxa" w:w="2880"/>
            <w:tcW w:w="2880" w:type="dxa"/>
          </w:tcPr>
          <w:p>
            <w:pPr>
              <w:spacing w:after="20" w:before="20"/>
            </w:pPr>
            <w:r>
              <w:rPr>
                <w:sz w:val="19"/>
              </w:rPr>
              <w:t>T+60 sessions</w:t>
            </w:r>
          </w:p>
        </w:tc>
        <w:tc>
          <w:tcPr>
            <w:tcW w:type="dxa" w:w="1440"/>
            <w:tcW w:w="1440" w:type="dxa"/>
          </w:tcPr>
          <w:p>
            <w:pPr>
              <w:spacing w:after="20" w:before="20"/>
              <w:jc w:val="center"/>
            </w:pPr>
            <w:r>
              <w:rPr>
                <w:sz w:val="19"/>
              </w:rPr>
              <w:t>137</w:t>
            </w:r>
          </w:p>
        </w:tc>
        <w:tc>
          <w:tcPr>
            <w:tcW w:type="dxa" w:w="1440"/>
            <w:tcW w:w="1440" w:type="dxa"/>
          </w:tcPr>
          <w:p>
            <w:pPr>
              <w:spacing w:after="20" w:before="20"/>
              <w:jc w:val="center"/>
            </w:pPr>
            <w:r>
              <w:rPr>
                <w:sz w:val="19"/>
              </w:rPr>
              <w:t>171</w:t>
            </w:r>
          </w:p>
        </w:tc>
        <w:tc>
          <w:tcPr>
            <w:tcW w:type="dxa" w:w="1440"/>
            <w:tcW w:w="1440" w:type="dxa"/>
          </w:tcPr>
          <w:p>
            <w:pPr>
              <w:spacing w:after="20" w:before="20"/>
              <w:jc w:val="center"/>
            </w:pPr>
            <w:r>
              <w:rPr>
                <w:sz w:val="19"/>
              </w:rPr>
              <w:t>194</w:t>
            </w:r>
          </w:p>
        </w:tc>
        <w:tc>
          <w:tcPr>
            <w:tcW w:type="dxa" w:w="1440"/>
            <w:tcW w:w="1440" w:type="dxa"/>
          </w:tcPr>
          <w:p>
            <w:pPr>
              <w:spacing w:after="20" w:before="20"/>
              <w:jc w:val="center"/>
            </w:pPr>
            <w:r>
              <w:rPr>
                <w:sz w:val="19"/>
              </w:rPr>
              <w:t>220</w:t>
            </w:r>
          </w:p>
        </w:tc>
        <w:tc>
          <w:tcPr>
            <w:tcW w:type="dxa" w:w="1296"/>
            <w:tcW w:w="1296" w:type="dxa"/>
          </w:tcPr>
          <w:p>
            <w:pPr>
              <w:spacing w:after="20" w:before="20"/>
              <w:jc w:val="center"/>
            </w:pPr>
            <w:r>
              <w:rPr>
                <w:sz w:val="19"/>
              </w:rPr>
              <w:t>268</w:t>
            </w:r>
          </w:p>
        </w:tc>
      </w:tr>
    </w:tbl>
    <w:p>
      <w:pPr>
        <w:spacing w:after="120"/>
      </w:pPr>
      <w:r>
        <w:rPr>
          <w:b/>
          <w:color w:val="222222"/>
          <w:sz w:val="21"/>
        </w:rPr>
        <w:t xml:space="preserve">Leading with the honest quarter-ahead read: the 50% interquartile band is SAR 171–220 at T+60 (about −12% / +13% around spot) and SAR 180–209 at T+20. </w:t>
      </w:r>
      <w:r>
        <w:rPr>
          <w:b w:val="0"/>
          <w:color w:val="222222"/>
          <w:sz w:val="21"/>
        </w:rPr>
        <w:t>That residual width is the instrument's genuine uncertainty, not padding; the 90% tail (SAR 137–268) is the outer envelope, not the base case.</w:t>
      </w:r>
    </w:p>
    <w:p>
      <w:pPr>
        <w:jc w:val="center"/>
      </w:pPr>
      <w:r>
        <w:drawing>
          <wp:inline xmlns:a="http://schemas.openxmlformats.org/drawingml/2006/main" xmlns:pic="http://schemas.openxmlformats.org/drawingml/2006/picture">
            <wp:extent cx="5577840" cy="3123590"/>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577840" cy="3123590"/>
                    </a:xfrm>
                    <a:prstGeom prst="rect"/>
                  </pic:spPr>
                </pic:pic>
              </a:graphicData>
            </a:graphic>
          </wp:inline>
        </w:drawing>
      </w:r>
    </w:p>
    <w:p>
      <w:pPr>
        <w:spacing w:after="160" w:before="40"/>
      </w:pPr>
      <w:r>
        <w:rPr>
          <w:i/>
          <w:color w:val="555555"/>
          <w:sz w:val="17"/>
        </w:rPr>
        <w:t>Figure 4 — Forward price cone to T+60. Median tracks spot; the gold dotted line marks the SAR 195 fundamental central value.</w:t>
      </w:r>
    </w:p>
    <w:p>
      <w:pPr>
        <w:jc w:val="center"/>
      </w:pPr>
      <w:r>
        <w:drawing>
          <wp:inline xmlns:a="http://schemas.openxmlformats.org/drawingml/2006/main" xmlns:pic="http://schemas.openxmlformats.org/drawingml/2006/picture">
            <wp:extent cx="5120640" cy="2894275"/>
            <wp:docPr id="5" name="Picture 5"/>
            <wp:cNvGraphicFramePr>
              <a:graphicFrameLocks noChangeAspect="1"/>
            </wp:cNvGraphicFramePr>
            <a:graphic>
              <a:graphicData uri="http://schemas.openxmlformats.org/drawingml/2006/picture">
                <pic:pic>
                  <pic:nvPicPr>
                    <pic:cNvPr id="0" name="fig5_dist_t20.png"/>
                    <pic:cNvPicPr/>
                  </pic:nvPicPr>
                  <pic:blipFill>
                    <a:blip r:embed="rId13"/>
                    <a:stretch>
                      <a:fillRect/>
                    </a:stretch>
                  </pic:blipFill>
                  <pic:spPr>
                    <a:xfrm>
                      <a:off x="0" y="0"/>
                      <a:ext cx="5120640" cy="2894275"/>
                    </a:xfrm>
                    <a:prstGeom prst="rect"/>
                  </pic:spPr>
                </pic:pic>
              </a:graphicData>
            </a:graphic>
          </wp:inline>
        </w:drawing>
      </w:r>
    </w:p>
    <w:p>
      <w:pPr>
        <w:spacing w:after="160" w:before="40"/>
      </w:pPr>
      <w:r>
        <w:rPr>
          <w:i/>
          <w:color w:val="555555"/>
          <w:sz w:val="17"/>
        </w:rPr>
        <w:t>Figure 5 — Price distribution at T+20.</w:t>
      </w:r>
    </w:p>
    <w:p>
      <w:pPr>
        <w:jc w:val="center"/>
      </w:pPr>
      <w:r>
        <w:drawing>
          <wp:inline xmlns:a="http://schemas.openxmlformats.org/drawingml/2006/main" xmlns:pic="http://schemas.openxmlformats.org/drawingml/2006/picture">
            <wp:extent cx="5120640" cy="2894275"/>
            <wp:docPr id="6" name="Picture 6"/>
            <wp:cNvGraphicFramePr>
              <a:graphicFrameLocks noChangeAspect="1"/>
            </wp:cNvGraphicFramePr>
            <a:graphic>
              <a:graphicData uri="http://schemas.openxmlformats.org/drawingml/2006/picture">
                <pic:pic>
                  <pic:nvPicPr>
                    <pic:cNvPr id="0" name="fig6_dist_t60.png"/>
                    <pic:cNvPicPr/>
                  </pic:nvPicPr>
                  <pic:blipFill>
                    <a:blip r:embed="rId14"/>
                    <a:stretch>
                      <a:fillRect/>
                    </a:stretch>
                  </pic:blipFill>
                  <pic:spPr>
                    <a:xfrm>
                      <a:off x="0" y="0"/>
                      <a:ext cx="5120640" cy="2894275"/>
                    </a:xfrm>
                    <a:prstGeom prst="rect"/>
                  </pic:spPr>
                </pic:pic>
              </a:graphicData>
            </a:graphic>
          </wp:inline>
        </w:drawing>
      </w:r>
    </w:p>
    <w:p>
      <w:pPr>
        <w:spacing w:after="160" w:before="40"/>
      </w:pPr>
      <w:r>
        <w:rPr>
          <w:i/>
          <w:color w:val="555555"/>
          <w:sz w:val="17"/>
        </w:rPr>
        <w:t>Figure 6 — Price distribution at T+60.</w:t>
      </w:r>
    </w:p>
    <w:p>
      <w:pPr>
        <w:spacing w:after="40" w:before="0"/>
      </w:pPr>
      <w:r>
        <w:rPr>
          <w:b w:val="0"/>
          <w:i w:val="0"/>
          <w:color w:val="222222"/>
          <w:sz w:val="21"/>
        </w:rPr>
        <w:t>Level-touch ladder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tcW w:w="1872" w:type="dxa"/>
            <w:shd w:val="clear" w:fill="1B5E5E"/>
          </w:tcPr>
          <w:p>
            <w:pPr>
              <w:spacing w:after="20" w:before="20"/>
            </w:pPr>
            <w:r>
              <w:rPr>
                <w:b/>
                <w:color w:val="FFFFFF"/>
                <w:sz w:val="19"/>
              </w:rPr>
              <w:t>Level</w:t>
            </w:r>
          </w:p>
        </w:tc>
        <w:tc>
          <w:tcPr>
            <w:tcW w:type="dxa" w:w="2160"/>
            <w:tcW w:w="2160" w:type="dxa"/>
            <w:shd w:val="clear" w:fill="1B5E5E"/>
          </w:tcPr>
          <w:p>
            <w:pPr>
              <w:spacing w:after="20" w:before="20"/>
              <w:jc w:val="center"/>
            </w:pPr>
            <w:r>
              <w:rPr>
                <w:b/>
                <w:color w:val="FFFFFF"/>
                <w:sz w:val="19"/>
              </w:rPr>
              <w:t>T+20 touch</w:t>
            </w:r>
          </w:p>
        </w:tc>
        <w:tc>
          <w:tcPr>
            <w:tcW w:type="dxa" w:w="2160"/>
            <w:tcW w:w="2160" w:type="dxa"/>
            <w:shd w:val="clear" w:fill="1B5E5E"/>
          </w:tcPr>
          <w:p>
            <w:pPr>
              <w:spacing w:after="20" w:before="20"/>
              <w:jc w:val="center"/>
            </w:pPr>
            <w:r>
              <w:rPr>
                <w:b/>
                <w:color w:val="FFFFFF"/>
                <w:sz w:val="19"/>
              </w:rPr>
              <w:t>T+60 touch</w:t>
            </w:r>
          </w:p>
        </w:tc>
        <w:tc>
          <w:tcPr>
            <w:tcW w:type="dxa" w:w="3744"/>
            <w:tcW w:w="3744" w:type="dxa"/>
            <w:shd w:val="clear" w:fill="1B5E5E"/>
          </w:tcPr>
          <w:p>
            <w:pPr>
              <w:spacing w:after="20" w:before="20"/>
              <w:jc w:val="center"/>
            </w:pPr>
            <w:r>
              <w:rPr>
                <w:b/>
                <w:color w:val="FFFFFF"/>
                <w:sz w:val="19"/>
              </w:rPr>
              <w:t>Note</w:t>
            </w:r>
          </w:p>
        </w:tc>
      </w:tr>
      <w:tr>
        <w:tc>
          <w:tcPr>
            <w:tcW w:type="dxa" w:w="1872"/>
            <w:tcW w:w="1872" w:type="dxa"/>
          </w:tcPr>
          <w:p>
            <w:pPr>
              <w:spacing w:after="20" w:before="20"/>
            </w:pPr>
            <w:r>
              <w:rPr>
                <w:sz w:val="19"/>
              </w:rPr>
              <w:t>SAR 250</w:t>
            </w:r>
          </w:p>
        </w:tc>
        <w:tc>
          <w:tcPr>
            <w:tcW w:type="dxa" w:w="2160"/>
            <w:tcW w:w="2160" w:type="dxa"/>
          </w:tcPr>
          <w:p>
            <w:pPr>
              <w:spacing w:after="20" w:before="20"/>
              <w:jc w:val="center"/>
            </w:pPr>
            <w:r>
              <w:rPr>
                <w:sz w:val="19"/>
              </w:rPr>
              <w:t>5%</w:t>
            </w:r>
          </w:p>
        </w:tc>
        <w:tc>
          <w:tcPr>
            <w:tcW w:type="dxa" w:w="2160"/>
            <w:tcW w:w="2160" w:type="dxa"/>
          </w:tcPr>
          <w:p>
            <w:pPr>
              <w:spacing w:after="20" w:before="20"/>
              <w:jc w:val="center"/>
            </w:pPr>
            <w:r>
              <w:rPr>
                <w:sz w:val="19"/>
              </w:rPr>
              <w:t>19%</w:t>
            </w:r>
          </w:p>
        </w:tc>
        <w:tc>
          <w:tcPr>
            <w:tcW w:type="dxa" w:w="3744"/>
            <w:tcW w:w="3744" w:type="dxa"/>
          </w:tcPr>
          <w:p>
            <w:pPr>
              <w:spacing w:after="20" w:before="20"/>
              <w:jc w:val="center"/>
            </w:pPr>
            <w:r>
              <w:rPr>
                <w:sz w:val="19"/>
              </w:rPr>
              <w:t>Toward the upper range</w:t>
            </w:r>
          </w:p>
        </w:tc>
      </w:tr>
      <w:tr>
        <w:tc>
          <w:tcPr>
            <w:tcW w:type="dxa" w:w="1872"/>
            <w:tcW w:w="1872" w:type="dxa"/>
          </w:tcPr>
          <w:p>
            <w:pPr>
              <w:spacing w:after="20" w:before="20"/>
            </w:pPr>
            <w:r>
              <w:rPr>
                <w:sz w:val="19"/>
              </w:rPr>
              <w:t>SAR 230</w:t>
            </w:r>
          </w:p>
        </w:tc>
        <w:tc>
          <w:tcPr>
            <w:tcW w:type="dxa" w:w="2160"/>
            <w:tcW w:w="2160" w:type="dxa"/>
          </w:tcPr>
          <w:p>
            <w:pPr>
              <w:spacing w:after="20" w:before="20"/>
              <w:jc w:val="center"/>
            </w:pPr>
            <w:r>
              <w:rPr>
                <w:sz w:val="19"/>
              </w:rPr>
              <w:t>13%</w:t>
            </w:r>
          </w:p>
        </w:tc>
        <w:tc>
          <w:tcPr>
            <w:tcW w:type="dxa" w:w="2160"/>
            <w:tcW w:w="2160" w:type="dxa"/>
          </w:tcPr>
          <w:p>
            <w:pPr>
              <w:spacing w:after="20" w:before="20"/>
              <w:jc w:val="center"/>
            </w:pPr>
            <w:r>
              <w:rPr>
                <w:sz w:val="19"/>
              </w:rPr>
              <w:t>34%</w:t>
            </w:r>
          </w:p>
        </w:tc>
        <w:tc>
          <w:tcPr>
            <w:tcW w:type="dxa" w:w="3744"/>
            <w:tcW w:w="3744" w:type="dxa"/>
          </w:tcPr>
          <w:p>
            <w:pPr>
              <w:spacing w:after="20" w:before="20"/>
              <w:jc w:val="center"/>
            </w:pPr>
            <w:r>
              <w:rPr>
                <w:sz w:val="19"/>
              </w:rPr>
              <w:t>Near the bull lens</w:t>
            </w:r>
          </w:p>
        </w:tc>
      </w:tr>
      <w:tr>
        <w:tc>
          <w:tcPr>
            <w:tcW w:type="dxa" w:w="1872"/>
            <w:tcW w:w="1872" w:type="dxa"/>
          </w:tcPr>
          <w:p>
            <w:pPr>
              <w:spacing w:after="20" w:before="20"/>
            </w:pPr>
            <w:r>
              <w:rPr>
                <w:sz w:val="19"/>
              </w:rPr>
              <w:t>SAR 210</w:t>
            </w:r>
          </w:p>
        </w:tc>
        <w:tc>
          <w:tcPr>
            <w:tcW w:type="dxa" w:w="2160"/>
            <w:tcW w:w="2160" w:type="dxa"/>
          </w:tcPr>
          <w:p>
            <w:pPr>
              <w:spacing w:after="20" w:before="20"/>
              <w:jc w:val="center"/>
            </w:pPr>
            <w:r>
              <w:rPr>
                <w:sz w:val="19"/>
              </w:rPr>
              <w:t>30%</w:t>
            </w:r>
          </w:p>
        </w:tc>
        <w:tc>
          <w:tcPr>
            <w:tcW w:type="dxa" w:w="2160"/>
            <w:tcW w:w="2160" w:type="dxa"/>
          </w:tcPr>
          <w:p>
            <w:pPr>
              <w:spacing w:after="20" w:before="20"/>
              <w:jc w:val="center"/>
            </w:pPr>
            <w:r>
              <w:rPr>
                <w:sz w:val="19"/>
              </w:rPr>
              <w:t>52%</w:t>
            </w:r>
          </w:p>
        </w:tc>
        <w:tc>
          <w:tcPr>
            <w:tcW w:type="dxa" w:w="3744"/>
            <w:tcW w:w="3744" w:type="dxa"/>
          </w:tcPr>
          <w:p>
            <w:pPr>
              <w:spacing w:after="20" w:before="20"/>
              <w:jc w:val="center"/>
            </w:pPr>
            <w:r>
              <w:rPr>
                <w:sz w:val="19"/>
              </w:rPr>
              <w:t>Above spot / near SOTP</w:t>
            </w:r>
          </w:p>
        </w:tc>
      </w:tr>
      <w:tr>
        <w:tc>
          <w:tcPr>
            <w:tcW w:type="dxa" w:w="1872"/>
            <w:tcW w:w="1872" w:type="dxa"/>
          </w:tcPr>
          <w:p>
            <w:pPr>
              <w:spacing w:after="20" w:before="20"/>
            </w:pPr>
            <w:r>
              <w:rPr>
                <w:sz w:val="19"/>
              </w:rPr>
              <w:t>SAR 195</w:t>
            </w:r>
          </w:p>
        </w:tc>
        <w:tc>
          <w:tcPr>
            <w:tcW w:type="dxa" w:w="2160"/>
            <w:tcW w:w="2160" w:type="dxa"/>
          </w:tcPr>
          <w:p>
            <w:pPr>
              <w:spacing w:after="20" w:before="20"/>
              <w:jc w:val="center"/>
            </w:pPr>
            <w:r>
              <w:rPr>
                <w:sz w:val="19"/>
              </w:rPr>
              <w:t>49%</w:t>
            </w:r>
          </w:p>
        </w:tc>
        <w:tc>
          <w:tcPr>
            <w:tcW w:type="dxa" w:w="2160"/>
            <w:tcW w:w="2160" w:type="dxa"/>
          </w:tcPr>
          <w:p>
            <w:pPr>
              <w:spacing w:after="20" w:before="20"/>
              <w:jc w:val="center"/>
            </w:pPr>
            <w:r>
              <w:rPr>
                <w:sz w:val="19"/>
              </w:rPr>
              <w:t>66%</w:t>
            </w:r>
          </w:p>
        </w:tc>
        <w:tc>
          <w:tcPr>
            <w:tcW w:type="dxa" w:w="3744"/>
            <w:tcW w:w="3744" w:type="dxa"/>
          </w:tcPr>
          <w:p>
            <w:pPr>
              <w:spacing w:after="20" w:before="20"/>
              <w:jc w:val="center"/>
            </w:pPr>
            <w:r>
              <w:rPr>
                <w:sz w:val="19"/>
              </w:rPr>
              <w:t>Near central fair value / spot</w:t>
            </w:r>
          </w:p>
        </w:tc>
      </w:tr>
      <w:tr>
        <w:tc>
          <w:tcPr>
            <w:tcW w:type="dxa" w:w="1872"/>
            <w:tcW w:w="1872" w:type="dxa"/>
          </w:tcPr>
          <w:p>
            <w:pPr>
              <w:spacing w:after="20" w:before="20"/>
            </w:pPr>
            <w:r>
              <w:rPr>
                <w:sz w:val="19"/>
              </w:rPr>
              <w:t>SAR 180</w:t>
            </w:r>
          </w:p>
        </w:tc>
        <w:tc>
          <w:tcPr>
            <w:tcW w:type="dxa" w:w="2160"/>
            <w:tcW w:w="2160" w:type="dxa"/>
          </w:tcPr>
          <w:p>
            <w:pPr>
              <w:spacing w:after="20" w:before="20"/>
              <w:jc w:val="center"/>
            </w:pPr>
            <w:r>
              <w:rPr>
                <w:sz w:val="19"/>
              </w:rPr>
              <w:t>63%</w:t>
            </w:r>
          </w:p>
        </w:tc>
        <w:tc>
          <w:tcPr>
            <w:tcW w:type="dxa" w:w="2160"/>
            <w:tcW w:w="2160" w:type="dxa"/>
          </w:tcPr>
          <w:p>
            <w:pPr>
              <w:spacing w:after="20" w:before="20"/>
              <w:jc w:val="center"/>
            </w:pPr>
            <w:r>
              <w:rPr>
                <w:sz w:val="19"/>
              </w:rPr>
              <w:t>74%</w:t>
            </w:r>
          </w:p>
        </w:tc>
        <w:tc>
          <w:tcPr>
            <w:tcW w:type="dxa" w:w="3744"/>
            <w:tcW w:w="3744" w:type="dxa"/>
          </w:tcPr>
          <w:p>
            <w:pPr>
              <w:spacing w:after="20" w:before="20"/>
              <w:jc w:val="center"/>
            </w:pPr>
            <w:r>
              <w:rPr>
                <w:sz w:val="19"/>
              </w:rPr>
              <w:t>Just below spot</w:t>
            </w:r>
          </w:p>
        </w:tc>
      </w:tr>
      <w:tr>
        <w:tc>
          <w:tcPr>
            <w:tcW w:type="dxa" w:w="1872"/>
            <w:tcW w:w="1872" w:type="dxa"/>
          </w:tcPr>
          <w:p>
            <w:pPr>
              <w:spacing w:after="20" w:before="20"/>
            </w:pPr>
            <w:r>
              <w:rPr>
                <w:sz w:val="19"/>
              </w:rPr>
              <w:t>SAR 165</w:t>
            </w:r>
          </w:p>
        </w:tc>
        <w:tc>
          <w:tcPr>
            <w:tcW w:type="dxa" w:w="2160"/>
            <w:tcW w:w="2160" w:type="dxa"/>
          </w:tcPr>
          <w:p>
            <w:pPr>
              <w:spacing w:after="20" w:before="20"/>
              <w:jc w:val="center"/>
            </w:pPr>
            <w:r>
              <w:rPr>
                <w:sz w:val="19"/>
              </w:rPr>
              <w:t>32%</w:t>
            </w:r>
          </w:p>
        </w:tc>
        <w:tc>
          <w:tcPr>
            <w:tcW w:type="dxa" w:w="2160"/>
            <w:tcW w:w="2160" w:type="dxa"/>
          </w:tcPr>
          <w:p>
            <w:pPr>
              <w:spacing w:after="20" w:before="20"/>
              <w:jc w:val="center"/>
            </w:pPr>
            <w:r>
              <w:rPr>
                <w:sz w:val="19"/>
              </w:rPr>
              <w:t>52%</w:t>
            </w:r>
          </w:p>
        </w:tc>
        <w:tc>
          <w:tcPr>
            <w:tcW w:type="dxa" w:w="3744"/>
            <w:tcW w:w="3744" w:type="dxa"/>
          </w:tcPr>
          <w:p>
            <w:pPr>
              <w:spacing w:after="20" w:before="20"/>
              <w:jc w:val="center"/>
            </w:pPr>
            <w:r>
              <w:rPr>
                <w:sz w:val="19"/>
              </w:rPr>
              <w:t>Toward the relative-lens floor</w:t>
            </w:r>
          </w:p>
        </w:tc>
      </w:tr>
      <w:tr>
        <w:tc>
          <w:tcPr>
            <w:tcW w:type="dxa" w:w="1872"/>
            <w:tcW w:w="1872" w:type="dxa"/>
          </w:tcPr>
          <w:p>
            <w:pPr>
              <w:spacing w:after="20" w:before="20"/>
            </w:pPr>
            <w:r>
              <w:rPr>
                <w:sz w:val="19"/>
              </w:rPr>
              <w:t>SAR 150</w:t>
            </w:r>
          </w:p>
        </w:tc>
        <w:tc>
          <w:tcPr>
            <w:tcW w:type="dxa" w:w="2160"/>
            <w:tcW w:w="2160" w:type="dxa"/>
          </w:tcPr>
          <w:p>
            <w:pPr>
              <w:spacing w:after="20" w:before="20"/>
              <w:jc w:val="center"/>
            </w:pPr>
            <w:r>
              <w:rPr>
                <w:sz w:val="19"/>
              </w:rPr>
              <w:t>14%</w:t>
            </w:r>
          </w:p>
        </w:tc>
        <w:tc>
          <w:tcPr>
            <w:tcW w:type="dxa" w:w="2160"/>
            <w:tcW w:w="2160" w:type="dxa"/>
          </w:tcPr>
          <w:p>
            <w:pPr>
              <w:spacing w:after="20" w:before="20"/>
              <w:jc w:val="center"/>
            </w:pPr>
            <w:r>
              <w:rPr>
                <w:sz w:val="19"/>
              </w:rPr>
              <w:t>35%</w:t>
            </w:r>
          </w:p>
        </w:tc>
        <w:tc>
          <w:tcPr>
            <w:tcW w:type="dxa" w:w="3744"/>
            <w:tcW w:w="3744" w:type="dxa"/>
          </w:tcPr>
          <w:p>
            <w:pPr>
              <w:spacing w:after="20" w:before="20"/>
              <w:jc w:val="center"/>
            </w:pPr>
            <w:r>
              <w:rPr>
                <w:sz w:val="19"/>
              </w:rPr>
              <w:t>Toward the 52-week low zone</w:t>
            </w:r>
          </w:p>
        </w:tc>
      </w:tr>
    </w:tbl>
    <w:p>
      <w:pPr>
        <w:jc w:val="center"/>
      </w:pPr>
      <w:r>
        <w:drawing>
          <wp:inline xmlns:a="http://schemas.openxmlformats.org/drawingml/2006/main" xmlns:pic="http://schemas.openxmlformats.org/drawingml/2006/picture">
            <wp:extent cx="5120640" cy="2894275"/>
            <wp:docPr id="7" name="Picture 7"/>
            <wp:cNvGraphicFramePr>
              <a:graphicFrameLocks noChangeAspect="1"/>
            </wp:cNvGraphicFramePr>
            <a:graphic>
              <a:graphicData uri="http://schemas.openxmlformats.org/drawingml/2006/picture">
                <pic:pic>
                  <pic:nvPicPr>
                    <pic:cNvPr id="0" name="fig7_touch.png"/>
                    <pic:cNvPicPr/>
                  </pic:nvPicPr>
                  <pic:blipFill>
                    <a:blip r:embed="rId15"/>
                    <a:stretch>
                      <a:fillRect/>
                    </a:stretch>
                  </pic:blipFill>
                  <pic:spPr>
                    <a:xfrm>
                      <a:off x="0" y="0"/>
                      <a:ext cx="5120640" cy="2894275"/>
                    </a:xfrm>
                    <a:prstGeom prst="rect"/>
                  </pic:spPr>
                </pic:pic>
              </a:graphicData>
            </a:graphic>
          </wp:inline>
        </w:drawing>
      </w:r>
    </w:p>
    <w:p>
      <w:pPr>
        <w:spacing w:after="160" w:before="40"/>
      </w:pPr>
      <w:r>
        <w:rPr>
          <w:i/>
          <w:color w:val="555555"/>
          <w:sz w:val="17"/>
        </w:rPr>
        <w:t>Figure 7 — Level-touch ladder (by T+60).</w:t>
      </w:r>
    </w:p>
    <w:p>
      <w:pPr>
        <w:spacing w:before="200" w:after="80"/>
      </w:pPr>
      <w:r>
        <w:rPr>
          <w:b/>
          <w:color w:val="1B5E5E"/>
          <w:sz w:val="30"/>
        </w:rPr>
        <w:t>4  Comparison of the lenses, and a verdict</w:t>
      </w:r>
    </w:p>
    <w:p>
      <w:pPr>
        <w:spacing w:after="120" w:before="0"/>
      </w:pPr>
      <w:r>
        <w:rPr>
          <w:b w:val="0"/>
          <w:i w:val="0"/>
          <w:color w:val="222222"/>
          <w:sz w:val="21"/>
        </w:rPr>
        <w:t>Three readings sit side by side. The fundamental lenses cluster at SAR 158–215 with a central SAR 195 — essentially spot, contingent on the returns earned on Vision-2030 capital. The technical picture is neutral: base-building on the 200-day, RSI at the midline, no directional tilt. The probabilistic map says that over three months price is roughly symmetric around spot with a wide, mildly right-skewed band — the median is SAR 194, not a fair-value target, because the simulation does not assume any value gap closes inside the quarter.</w:t>
      </w:r>
    </w:p>
    <w:tbl>
      <w:tblPr>
        <w:tblStyle w:val="TableGrid"/>
        <w:tblW w:type="auto" w:w="0"/>
        <w:jc w:val="center"/>
        <w:tblLook w:firstColumn="1" w:firstRow="1" w:lastColumn="0" w:lastRow="0" w:noHBand="0" w:noVBand="1" w:val="04A0"/>
      </w:tblPr>
      <w:tblGrid>
        <w:gridCol w:w="3312"/>
        <w:gridCol w:w="3312"/>
        <w:gridCol w:w="3312"/>
      </w:tblGrid>
      <w:tr>
        <w:tc>
          <w:tcPr>
            <w:tcW w:type="dxa" w:w="3168"/>
            <w:tcW w:w="3168" w:type="dxa"/>
            <w:shd w:val="clear" w:fill="1B5E5E"/>
          </w:tcPr>
          <w:p>
            <w:pPr>
              <w:spacing w:after="20" w:before="20"/>
            </w:pPr>
            <w:r>
              <w:rPr>
                <w:b/>
                <w:color w:val="FFFFFF"/>
                <w:sz w:val="19"/>
              </w:rPr>
              <w:t>Lens</w:t>
            </w:r>
          </w:p>
        </w:tc>
        <w:tc>
          <w:tcPr>
            <w:tcW w:type="dxa" w:w="3456"/>
            <w:tcW w:w="3456" w:type="dxa"/>
            <w:shd w:val="clear" w:fill="1B5E5E"/>
          </w:tcPr>
          <w:p>
            <w:pPr>
              <w:spacing w:after="20" w:before="20"/>
              <w:jc w:val="center"/>
            </w:pPr>
            <w:r>
              <w:rPr>
                <w:b/>
                <w:color w:val="FFFFFF"/>
                <w:sz w:val="19"/>
              </w:rPr>
              <w:t>Reads</w:t>
            </w:r>
          </w:p>
        </w:tc>
        <w:tc>
          <w:tcPr>
            <w:tcW w:type="dxa" w:w="3312"/>
            <w:tcW w:w="3311" w:type="dxa"/>
            <w:shd w:val="clear" w:fill="1B5E5E"/>
          </w:tcPr>
          <w:p>
            <w:pPr>
              <w:spacing w:after="20" w:before="20"/>
              <w:jc w:val="center"/>
            </w:pPr>
            <w:r>
              <w:rPr>
                <w:b/>
                <w:color w:val="FFFFFF"/>
                <w:sz w:val="19"/>
              </w:rPr>
              <w:t>Central / implication</w:t>
            </w:r>
          </w:p>
        </w:tc>
      </w:tr>
      <w:tr>
        <w:tc>
          <w:tcPr>
            <w:tcW w:type="dxa" w:w="3168"/>
            <w:tcW w:w="3168" w:type="dxa"/>
          </w:tcPr>
          <w:p>
            <w:pPr>
              <w:spacing w:after="20" w:before="20"/>
            </w:pPr>
            <w:r>
              <w:rPr>
                <w:sz w:val="19"/>
              </w:rPr>
              <w:t>Fundamental (4-lens)</w:t>
            </w:r>
          </w:p>
        </w:tc>
        <w:tc>
          <w:tcPr>
            <w:tcW w:type="dxa" w:w="3456"/>
            <w:tcW w:w="3456" w:type="dxa"/>
          </w:tcPr>
          <w:p>
            <w:pPr>
              <w:spacing w:after="20" w:before="20"/>
              <w:jc w:val="center"/>
            </w:pPr>
            <w:r>
              <w:rPr>
                <w:sz w:val="19"/>
              </w:rPr>
              <w:t>Fairly valued</w:t>
            </w:r>
          </w:p>
        </w:tc>
        <w:tc>
          <w:tcPr>
            <w:tcW w:type="dxa" w:w="3312"/>
            <w:tcW w:w="3311" w:type="dxa"/>
          </w:tcPr>
          <w:p>
            <w:pPr>
              <w:spacing w:after="20" w:before="20"/>
              <w:jc w:val="center"/>
            </w:pPr>
            <w:r>
              <w:rPr>
                <w:sz w:val="19"/>
              </w:rPr>
              <w:t>SAR 195 (~+1%)</w:t>
            </w:r>
          </w:p>
        </w:tc>
      </w:tr>
      <w:tr>
        <w:tc>
          <w:tcPr>
            <w:tcW w:type="dxa" w:w="3168"/>
            <w:tcW w:w="3168" w:type="dxa"/>
          </w:tcPr>
          <w:p>
            <w:pPr>
              <w:spacing w:after="20" w:before="20"/>
            </w:pPr>
            <w:r>
              <w:rPr>
                <w:sz w:val="19"/>
              </w:rPr>
              <w:t>Technical</w:t>
            </w:r>
          </w:p>
        </w:tc>
        <w:tc>
          <w:tcPr>
            <w:tcW w:type="dxa" w:w="3456"/>
            <w:tcW w:w="3456" w:type="dxa"/>
          </w:tcPr>
          <w:p>
            <w:pPr>
              <w:spacing w:after="20" w:before="20"/>
              <w:jc w:val="center"/>
            </w:pPr>
            <w:r>
              <w:rPr>
                <w:sz w:val="19"/>
              </w:rPr>
              <w:t>Neutral / consolidating</w:t>
            </w:r>
          </w:p>
        </w:tc>
        <w:tc>
          <w:tcPr>
            <w:tcW w:type="dxa" w:w="3312"/>
            <w:tcW w:w="3311" w:type="dxa"/>
          </w:tcPr>
          <w:p>
            <w:pPr>
              <w:spacing w:after="20" w:before="20"/>
              <w:jc w:val="center"/>
            </w:pPr>
            <w:r>
              <w:rPr>
                <w:sz w:val="19"/>
              </w:rPr>
              <w:t>Base ~SAR 179–191; range floor SAR 157</w:t>
            </w:r>
          </w:p>
        </w:tc>
      </w:tr>
      <w:tr>
        <w:tc>
          <w:tcPr>
            <w:tcW w:type="dxa" w:w="3168"/>
            <w:tcW w:w="3168" w:type="dxa"/>
          </w:tcPr>
          <w:p>
            <w:pPr>
              <w:spacing w:after="20" w:before="20"/>
            </w:pPr>
            <w:r>
              <w:rPr>
                <w:sz w:val="19"/>
              </w:rPr>
              <w:t>Monte Carlo (3-month)</w:t>
            </w:r>
          </w:p>
        </w:tc>
        <w:tc>
          <w:tcPr>
            <w:tcW w:type="dxa" w:w="3456"/>
            <w:tcW w:w="3456" w:type="dxa"/>
          </w:tcPr>
          <w:p>
            <w:pPr>
              <w:spacing w:after="20" w:before="20"/>
              <w:jc w:val="center"/>
            </w:pPr>
            <w:r>
              <w:rPr>
                <w:sz w:val="19"/>
              </w:rPr>
              <w:t>Symmetric, wide</w:t>
            </w:r>
          </w:p>
        </w:tc>
        <w:tc>
          <w:tcPr>
            <w:tcW w:type="dxa" w:w="3312"/>
            <w:tcW w:w="3311" w:type="dxa"/>
          </w:tcPr>
          <w:p>
            <w:pPr>
              <w:spacing w:after="20" w:before="20"/>
              <w:jc w:val="center"/>
            </w:pPr>
            <w:r>
              <w:rPr>
                <w:sz w:val="19"/>
              </w:rPr>
              <w:t>Median SAR 194; p5–p95 SAR 137–268</w:t>
            </w:r>
          </w:p>
        </w:tc>
      </w:tr>
    </w:tbl>
    <w:p>
      <w:pPr>
        <w:spacing w:after="120"/>
      </w:pPr>
      <w:r>
        <w:rPr>
          <w:b/>
          <w:color w:val="222222"/>
          <w:sz w:val="21"/>
        </w:rPr>
        <w:t xml:space="preserve">Verdict (a fair-value read, not a recommendation).  </w:t>
      </w:r>
      <w:r>
        <w:rPr>
          <w:b w:val="0"/>
          <w:color w:val="222222"/>
          <w:sz w:val="21"/>
        </w:rPr>
        <w:t>ACWA looks fairly valued on fundamentals, with an unusually concentrated swing factor: the return its Vision-2030 capital programme earns. The neutral technical tape and the symmetric three-month distribution argue that any re-rating is a question of operating and returns proof over several years, not of an imminent move. The honest summary is a value on top of price, a near-term distribution centred on price, and an outcome that hinges on one thing — whether the growth build is delivered at accretive returns — which is why the bear–bull span (SAR 129–299) is wide. Readers should weigh the lenses themselves; we publish the distribution, not a target.</w:t>
      </w:r>
    </w:p>
    <w:p>
      <w:pPr>
        <w:spacing w:before="200" w:after="80"/>
      </w:pPr>
      <w:r>
        <w:rPr>
          <w:b/>
          <w:color w:val="1B5E5E"/>
          <w:sz w:val="30"/>
        </w:rPr>
        <w:t>5  Catalysts to watch</w:t>
      </w:r>
    </w:p>
    <w:p>
      <w:pPr>
        <w:spacing w:after="60"/>
        <w:ind w:left="216"/>
      </w:pPr>
      <w:r>
        <w:rPr>
          <w:b/>
          <w:color w:val="222222"/>
          <w:sz w:val="21"/>
        </w:rPr>
        <w:t xml:space="preserve">•  Q2-2026 results (early Aug 2026).  </w:t>
      </w:r>
      <w:r>
        <w:rPr>
          <w:color w:val="222222"/>
          <w:sz w:val="21"/>
        </w:rPr>
        <w:t>First clean read on whether operating income growth continues and whether newly-operational capacity is converting to earnings.</w:t>
      </w:r>
    </w:p>
    <w:p>
      <w:pPr>
        <w:spacing w:after="60"/>
        <w:ind w:left="216"/>
      </w:pPr>
      <w:r>
        <w:rPr>
          <w:b/>
          <w:color w:val="222222"/>
          <w:sz w:val="21"/>
        </w:rPr>
        <w:t xml:space="preserve">•  Financial closes &amp; new awards.  </w:t>
      </w:r>
      <w:r>
        <w:rPr>
          <w:color w:val="222222"/>
          <w:sz w:val="21"/>
        </w:rPr>
        <w:t>Each PPA/WPA signed or project financially closed adds contracted cash and validates the pipeline; 2025 was a record 15 closes at SAR 70bn.</w:t>
      </w:r>
    </w:p>
    <w:p>
      <w:pPr>
        <w:spacing w:after="60"/>
        <w:ind w:left="216"/>
      </w:pPr>
      <w:r>
        <w:rPr>
          <w:b/>
          <w:color w:val="222222"/>
          <w:sz w:val="21"/>
        </w:rPr>
        <w:t xml:space="preserve">•  Commercial operation dates (CODs).  </w:t>
      </w:r>
      <w:r>
        <w:rPr>
          <w:color w:val="222222"/>
          <w:sz w:val="21"/>
        </w:rPr>
        <w:t>Progress converting the SAR 100bn-plus under-construction book to operating, earning assets — the core of the returns thesis.</w:t>
      </w:r>
    </w:p>
    <w:p>
      <w:pPr>
        <w:spacing w:after="60"/>
        <w:ind w:left="216"/>
      </w:pPr>
      <w:r>
        <w:rPr>
          <w:b/>
          <w:color w:val="222222"/>
          <w:sz w:val="21"/>
        </w:rPr>
        <w:t xml:space="preserve">•  NEOM green hydrogen.  </w:t>
      </w:r>
      <w:r>
        <w:rPr>
          <w:color w:val="222222"/>
          <w:sz w:val="21"/>
        </w:rPr>
        <w:t>Ramp and offtake milestones on the world's largest green-hydrogen project (with Air Products) — the option value in the platform.</w:t>
      </w:r>
    </w:p>
    <w:p>
      <w:pPr>
        <w:spacing w:after="60"/>
        <w:ind w:left="216"/>
      </w:pPr>
      <w:r>
        <w:rPr>
          <w:b/>
          <w:color w:val="222222"/>
          <w:sz w:val="21"/>
        </w:rPr>
        <w:t xml:space="preserve">•  Saudi / global rate path.  </w:t>
      </w:r>
      <w:r>
        <w:rPr>
          <w:color w:val="222222"/>
          <w:sz w:val="21"/>
        </w:rPr>
        <w:t>A higher-for-longer path lifts the discount on long-duration contracted cash; a pivot re-rates the complex. The peg transmits US policy directly.</w:t>
      </w:r>
    </w:p>
    <w:p>
      <w:pPr>
        <w:spacing w:after="60"/>
        <w:ind w:left="216"/>
      </w:pPr>
      <w:r>
        <w:rPr>
          <w:b/>
          <w:color w:val="222222"/>
          <w:sz w:val="21"/>
        </w:rPr>
        <w:t xml:space="preserve">•  Capital &amp; dividend policy.  </w:t>
      </w:r>
      <w:r>
        <w:rPr>
          <w:color w:val="222222"/>
          <w:sz w:val="21"/>
        </w:rPr>
        <w:t>ACWA suspended meaningful dividends to fund growth; any dividend-initiation signal, or a further capital raise, moves the capital-trajectory thesis.</w:t>
      </w:r>
    </w:p>
    <w:p>
      <w:pPr>
        <w:spacing w:after="60"/>
        <w:ind w:left="216"/>
      </w:pPr>
      <w:r>
        <w:rPr>
          <w:b/>
          <w:color w:val="222222"/>
          <w:sz w:val="21"/>
        </w:rPr>
        <w:t xml:space="preserve">•  Execution / country risk.  </w:t>
      </w:r>
      <w:r>
        <w:rPr>
          <w:color w:val="222222"/>
          <w:sz w:val="21"/>
        </w:rPr>
        <w:t>Impairment, project delay or offtaker dispute (as in the terminated Africa PPA) is the recurring downside on the international book.</w:t>
      </w:r>
    </w:p>
    <w:p>
      <w:pPr>
        <w:spacing w:after="60"/>
        <w:ind w:left="216"/>
      </w:pPr>
      <w:r>
        <w:rPr>
          <w:b/>
          <w:color w:val="222222"/>
          <w:sz w:val="21"/>
        </w:rPr>
        <w:t xml:space="preserve">•  Index &amp; flow events.  </w:t>
      </w:r>
      <w:r>
        <w:rPr>
          <w:color w:val="222222"/>
          <w:sz w:val="21"/>
        </w:rPr>
        <w:t>MSCI / TASI rebalancing and foreign-flow shifts move a large, index-heavy Saudi name independent of fundamentals.</w:t>
      </w:r>
    </w:p>
    <w:p>
      <w:pPr>
        <w:spacing w:before="200" w:after="80"/>
      </w:pPr>
      <w:r>
        <w:rPr>
          <w:b/>
          <w:color w:val="1B5E5E"/>
          <w:sz w:val="30"/>
        </w:rPr>
        <w:t>6  Reading the probability zones</w:t>
      </w:r>
    </w:p>
    <w:p>
      <w:pPr>
        <w:spacing w:after="120" w:before="0"/>
      </w:pPr>
      <w:r>
        <w:rPr>
          <w:b w:val="0"/>
          <w:i w:val="0"/>
          <w:color w:val="222222"/>
          <w:sz w:val="21"/>
        </w:rPr>
        <w:t>Translating the three-month distribution into plain zones, anchored on spot SAR 194 and the fair-value cluster: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tcW w:w="2160" w:type="dxa"/>
            <w:shd w:val="clear" w:fill="1B5E5E"/>
          </w:tcPr>
          <w:p>
            <w:pPr>
              <w:spacing w:after="20" w:before="20"/>
            </w:pPr>
            <w:r>
              <w:rPr>
                <w:b/>
                <w:color w:val="FFFFFF"/>
                <w:sz w:val="19"/>
              </w:rPr>
              <w:t>Zone (T+60)</w:t>
            </w:r>
          </w:p>
        </w:tc>
        <w:tc>
          <w:tcPr>
            <w:tcW w:type="dxa" w:w="2016"/>
            <w:tcW w:w="2015" w:type="dxa"/>
            <w:shd w:val="clear" w:fill="1B5E5E"/>
          </w:tcPr>
          <w:p>
            <w:pPr>
              <w:spacing w:after="20" w:before="20"/>
              <w:jc w:val="center"/>
            </w:pPr>
            <w:r>
              <w:rPr>
                <w:b/>
                <w:color w:val="FFFFFF"/>
                <w:sz w:val="19"/>
              </w:rPr>
              <w:t>Range</w:t>
            </w:r>
          </w:p>
        </w:tc>
        <w:tc>
          <w:tcPr>
            <w:tcW w:type="dxa" w:w="2160"/>
            <w:tcW w:w="2160" w:type="dxa"/>
            <w:shd w:val="clear" w:fill="1B5E5E"/>
          </w:tcPr>
          <w:p>
            <w:pPr>
              <w:spacing w:after="20" w:before="20"/>
              <w:jc w:val="center"/>
            </w:pPr>
            <w:r>
              <w:rPr>
                <w:b/>
                <w:color w:val="FFFFFF"/>
                <w:sz w:val="19"/>
              </w:rPr>
              <w:t>Approx. probability</w:t>
            </w:r>
          </w:p>
        </w:tc>
        <w:tc>
          <w:tcPr>
            <w:tcW w:type="dxa" w:w="3600"/>
            <w:tcW w:w="3600" w:type="dxa"/>
            <w:shd w:val="clear" w:fill="1B5E5E"/>
          </w:tcPr>
          <w:p>
            <w:pPr>
              <w:spacing w:after="20" w:before="20"/>
              <w:jc w:val="center"/>
            </w:pPr>
            <w:r>
              <w:rPr>
                <w:b/>
                <w:color w:val="FFFFFF"/>
                <w:sz w:val="19"/>
              </w:rPr>
              <w:t>What it would mean</w:t>
            </w:r>
          </w:p>
        </w:tc>
      </w:tr>
      <w:tr>
        <w:tc>
          <w:tcPr>
            <w:tcW w:type="dxa" w:w="2160"/>
            <w:tcW w:w="2160" w:type="dxa"/>
          </w:tcPr>
          <w:p>
            <w:pPr>
              <w:spacing w:after="20" w:before="20"/>
            </w:pPr>
            <w:r>
              <w:rPr>
                <w:sz w:val="19"/>
              </w:rPr>
              <w:t>Deep downside</w:t>
            </w:r>
          </w:p>
        </w:tc>
        <w:tc>
          <w:tcPr>
            <w:tcW w:type="dxa" w:w="2016"/>
            <w:tcW w:w="2015" w:type="dxa"/>
          </w:tcPr>
          <w:p>
            <w:pPr>
              <w:spacing w:after="20" w:before="20"/>
              <w:jc w:val="center"/>
            </w:pPr>
            <w:r>
              <w:rPr>
                <w:sz w:val="19"/>
              </w:rPr>
              <w:t>&lt; SAR 160</w:t>
            </w:r>
          </w:p>
        </w:tc>
        <w:tc>
          <w:tcPr>
            <w:tcW w:type="dxa" w:w="2160"/>
            <w:tcW w:w="2160" w:type="dxa"/>
          </w:tcPr>
          <w:p>
            <w:pPr>
              <w:spacing w:after="20" w:before="20"/>
              <w:jc w:val="center"/>
            </w:pPr>
            <w:r>
              <w:rPr>
                <w:sz w:val="19"/>
              </w:rPr>
              <w:t>~15%</w:t>
            </w:r>
          </w:p>
        </w:tc>
        <w:tc>
          <w:tcPr>
            <w:tcW w:type="dxa" w:w="3600"/>
            <w:tcW w:w="3600" w:type="dxa"/>
          </w:tcPr>
          <w:p>
            <w:pPr>
              <w:spacing w:after="20" w:before="20"/>
              <w:jc w:val="center"/>
            </w:pPr>
            <w:r>
              <w:rPr>
                <w:sz w:val="19"/>
              </w:rPr>
              <w:t>Growth doubts / risk-off; tests the 52-wk low</w:t>
            </w:r>
          </w:p>
        </w:tc>
      </w:tr>
      <w:tr>
        <w:tc>
          <w:tcPr>
            <w:tcW w:type="dxa" w:w="2160"/>
            <w:tcW w:w="2160" w:type="dxa"/>
          </w:tcPr>
          <w:p>
            <w:pPr>
              <w:spacing w:after="20" w:before="20"/>
            </w:pPr>
            <w:r>
              <w:rPr>
                <w:sz w:val="19"/>
              </w:rPr>
              <w:t>Lower band</w:t>
            </w:r>
          </w:p>
        </w:tc>
        <w:tc>
          <w:tcPr>
            <w:tcW w:type="dxa" w:w="2016"/>
            <w:tcW w:w="2015" w:type="dxa"/>
          </w:tcPr>
          <w:p>
            <w:pPr>
              <w:spacing w:after="20" w:before="20"/>
              <w:jc w:val="center"/>
            </w:pPr>
            <w:r>
              <w:rPr>
                <w:sz w:val="19"/>
              </w:rPr>
              <w:t>SAR 160–180</w:t>
            </w:r>
          </w:p>
        </w:tc>
        <w:tc>
          <w:tcPr>
            <w:tcW w:type="dxa" w:w="2160"/>
            <w:tcW w:w="2160" w:type="dxa"/>
          </w:tcPr>
          <w:p>
            <w:pPr>
              <w:spacing w:after="20" w:before="20"/>
              <w:jc w:val="center"/>
            </w:pPr>
            <w:r>
              <w:rPr>
                <w:sz w:val="19"/>
              </w:rPr>
              <w:t>~22%</w:t>
            </w:r>
          </w:p>
        </w:tc>
        <w:tc>
          <w:tcPr>
            <w:tcW w:type="dxa" w:w="3600"/>
            <w:tcW w:w="3600" w:type="dxa"/>
          </w:tcPr>
          <w:p>
            <w:pPr>
              <w:spacing w:after="20" w:before="20"/>
              <w:jc w:val="center"/>
            </w:pPr>
            <w:r>
              <w:rPr>
                <w:sz w:val="19"/>
              </w:rPr>
              <w:t>Relative-multiple lens dominates; partial-delivery fears</w:t>
            </w:r>
          </w:p>
        </w:tc>
      </w:tr>
      <w:tr>
        <w:tc>
          <w:tcPr>
            <w:tcW w:type="dxa" w:w="2160"/>
            <w:tcW w:w="2160" w:type="dxa"/>
          </w:tcPr>
          <w:p>
            <w:pPr>
              <w:spacing w:after="20" w:before="20"/>
            </w:pPr>
            <w:r>
              <w:rPr>
                <w:sz w:val="19"/>
              </w:rPr>
              <w:t>Around spot</w:t>
            </w:r>
          </w:p>
        </w:tc>
        <w:tc>
          <w:tcPr>
            <w:tcW w:type="dxa" w:w="2016"/>
            <w:tcW w:w="2015" w:type="dxa"/>
          </w:tcPr>
          <w:p>
            <w:pPr>
              <w:spacing w:after="20" w:before="20"/>
              <w:jc w:val="center"/>
            </w:pPr>
            <w:r>
              <w:rPr>
                <w:sz w:val="19"/>
              </w:rPr>
              <w:t>SAR 180–200</w:t>
            </w:r>
          </w:p>
        </w:tc>
        <w:tc>
          <w:tcPr>
            <w:tcW w:type="dxa" w:w="2160"/>
            <w:tcW w:w="2160" w:type="dxa"/>
          </w:tcPr>
          <w:p>
            <w:pPr>
              <w:spacing w:after="20" w:before="20"/>
              <w:jc w:val="center"/>
            </w:pPr>
            <w:r>
              <w:rPr>
                <w:sz w:val="19"/>
              </w:rPr>
              <w:t>~26%</w:t>
            </w:r>
          </w:p>
        </w:tc>
        <w:tc>
          <w:tcPr>
            <w:tcW w:type="dxa" w:w="3600"/>
            <w:tcW w:w="3600" w:type="dxa"/>
          </w:tcPr>
          <w:p>
            <w:pPr>
              <w:spacing w:after="20" w:before="20"/>
              <w:jc w:val="center"/>
            </w:pPr>
            <w:r>
              <w:rPr>
                <w:sz w:val="19"/>
              </w:rPr>
              <w:t>Status quo; value near price</w:t>
            </w:r>
          </w:p>
        </w:tc>
      </w:tr>
      <w:tr>
        <w:tc>
          <w:tcPr>
            <w:tcW w:type="dxa" w:w="2160"/>
            <w:tcW w:w="2160" w:type="dxa"/>
          </w:tcPr>
          <w:p>
            <w:pPr>
              <w:spacing w:after="20" w:before="20"/>
            </w:pPr>
            <w:r>
              <w:rPr>
                <w:sz w:val="19"/>
              </w:rPr>
              <w:t>Upper band</w:t>
            </w:r>
          </w:p>
        </w:tc>
        <w:tc>
          <w:tcPr>
            <w:tcW w:type="dxa" w:w="2016"/>
            <w:tcW w:w="2015" w:type="dxa"/>
          </w:tcPr>
          <w:p>
            <w:pPr>
              <w:spacing w:after="20" w:before="20"/>
              <w:jc w:val="center"/>
            </w:pPr>
            <w:r>
              <w:rPr>
                <w:sz w:val="19"/>
              </w:rPr>
              <w:t>SAR 200–225</w:t>
            </w:r>
          </w:p>
        </w:tc>
        <w:tc>
          <w:tcPr>
            <w:tcW w:type="dxa" w:w="2160"/>
            <w:tcW w:w="2160" w:type="dxa"/>
          </w:tcPr>
          <w:p>
            <w:pPr>
              <w:spacing w:after="20" w:before="20"/>
              <w:jc w:val="center"/>
            </w:pPr>
            <w:r>
              <w:rPr>
                <w:sz w:val="19"/>
              </w:rPr>
              <w:t>~21%</w:t>
            </w:r>
          </w:p>
        </w:tc>
        <w:tc>
          <w:tcPr>
            <w:tcW w:type="dxa" w:w="3600"/>
            <w:tcW w:w="3600" w:type="dxa"/>
          </w:tcPr>
          <w:p>
            <w:pPr>
              <w:spacing w:after="20" w:before="20"/>
              <w:jc w:val="center"/>
            </w:pPr>
            <w:r>
              <w:rPr>
                <w:sz w:val="19"/>
              </w:rPr>
              <w:t>Pipeline credited; toward SOTP/NAV</w:t>
            </w:r>
          </w:p>
        </w:tc>
      </w:tr>
      <w:tr>
        <w:tc>
          <w:tcPr>
            <w:tcW w:type="dxa" w:w="2160"/>
            <w:tcW w:w="2160" w:type="dxa"/>
          </w:tcPr>
          <w:p>
            <w:pPr>
              <w:spacing w:after="20" w:before="20"/>
            </w:pPr>
            <w:r>
              <w:rPr>
                <w:sz w:val="19"/>
              </w:rPr>
              <w:t>Strong upside</w:t>
            </w:r>
          </w:p>
        </w:tc>
        <w:tc>
          <w:tcPr>
            <w:tcW w:type="dxa" w:w="2016"/>
            <w:tcW w:w="2015" w:type="dxa"/>
          </w:tcPr>
          <w:p>
            <w:pPr>
              <w:spacing w:after="20" w:before="20"/>
              <w:jc w:val="center"/>
            </w:pPr>
            <w:r>
              <w:rPr>
                <w:sz w:val="19"/>
              </w:rPr>
              <w:t>&gt; SAR 225</w:t>
            </w:r>
          </w:p>
        </w:tc>
        <w:tc>
          <w:tcPr>
            <w:tcW w:type="dxa" w:w="2160"/>
            <w:tcW w:w="2160" w:type="dxa"/>
          </w:tcPr>
          <w:p>
            <w:pPr>
              <w:spacing w:after="20" w:before="20"/>
              <w:jc w:val="center"/>
            </w:pPr>
            <w:r>
              <w:rPr>
                <w:sz w:val="19"/>
              </w:rPr>
              <w:t>~16%</w:t>
            </w:r>
          </w:p>
        </w:tc>
        <w:tc>
          <w:tcPr>
            <w:tcW w:type="dxa" w:w="3600"/>
            <w:tcW w:w="3600" w:type="dxa"/>
          </w:tcPr>
          <w:p>
            <w:pPr>
              <w:spacing w:after="20" w:before="20"/>
              <w:jc w:val="center"/>
            </w:pPr>
            <w:r>
              <w:rPr>
                <w:sz w:val="19"/>
              </w:rPr>
              <w:t>Returns-on-growth proven; re-rating toward the bull</w:t>
            </w:r>
          </w:p>
        </w:tc>
      </w:tr>
    </w:tbl>
    <w:p>
      <w:pPr>
        <w:spacing w:after="120" w:before="0"/>
      </w:pPr>
      <w:r>
        <w:rPr>
          <w:b w:val="0"/>
          <w:i w:val="0"/>
          <w:color w:val="222222"/>
          <w:sz w:val="21"/>
        </w:rPr>
        <w:t>The distribution is close to symmetric, with a slightly heavier upper tail from the discrete upside events (project awards, CODs, capital-recycling gains). It is not a forecast; it is the spread of outcomes consistent with the stock's own volatility and the factor stack.</w:t>
      </w:r>
    </w:p>
    <w:p>
      <w:pPr>
        <w:spacing w:before="200" w:after="80"/>
      </w:pPr>
      <w:r>
        <w:rPr>
          <w:b/>
          <w:color w:val="1B5E5E"/>
          <w:sz w:val="30"/>
        </w:rPr>
        <w:t>7  Caveats and what would change our mind</w:t>
      </w:r>
    </w:p>
    <w:p>
      <w:pPr>
        <w:spacing w:after="60"/>
        <w:ind w:left="216"/>
      </w:pPr>
      <w:r>
        <w:rPr>
          <w:b/>
          <w:color w:val="222222"/>
          <w:sz w:val="21"/>
        </w:rPr>
        <w:t xml:space="preserve">•  The returns question is the model.  </w:t>
      </w:r>
      <w:r>
        <w:rPr>
          <w:color w:val="222222"/>
          <w:sz w:val="21"/>
        </w:rPr>
        <w:t>Almost the entire valuation rests on whether Vision-2030 capital earns above its cost; our base assumes broadly on-plan delivery. A structurally lower realized project IRR would pull the central value toward — or below — the relative-lens floor.</w:t>
      </w:r>
    </w:p>
    <w:p>
      <w:pPr>
        <w:spacing w:after="60"/>
        <w:ind w:left="216"/>
      </w:pPr>
      <w:r>
        <w:rPr>
          <w:b/>
          <w:color w:val="222222"/>
          <w:sz w:val="21"/>
        </w:rPr>
        <w:t xml:space="preserve">•  Consolidated accounts understate the economics.  </w:t>
      </w:r>
      <w:r>
        <w:rPr>
          <w:color w:val="222222"/>
          <w:sz w:val="21"/>
        </w:rPr>
        <w:t>Much of the group's cash arrives via equity-accounted associates and fees; both the SOTP marks and the normalized-attributable DCF rely on the preparer's reconstruction of attributable cash, not a clean consolidated line.</w:t>
      </w:r>
    </w:p>
    <w:p>
      <w:pPr>
        <w:spacing w:after="60"/>
        <w:ind w:left="216"/>
      </w:pPr>
      <w:r>
        <w:rPr>
          <w:b/>
          <w:color w:val="222222"/>
          <w:sz w:val="21"/>
        </w:rPr>
        <w:t xml:space="preserve">•  Terminal-heavy DCF.  </w:t>
      </w:r>
      <w:r>
        <w:rPr>
          <w:color w:val="222222"/>
          <w:sz w:val="21"/>
        </w:rPr>
        <w:t>At ~82% of enterprise value in the terminal, the DCF is a terminal-g-versus-WACC bet dressed as a five-year model; we disclose and sensitize it rather than lean on the point estimate.</w:t>
      </w:r>
    </w:p>
    <w:p>
      <w:pPr>
        <w:spacing w:after="60"/>
        <w:ind w:left="216"/>
      </w:pPr>
      <w:r>
        <w:rPr>
          <w:b/>
          <w:color w:val="222222"/>
          <w:sz w:val="21"/>
        </w:rPr>
        <w:t xml:space="preserve">•  Rate and duration risk.  </w:t>
      </w:r>
      <w:r>
        <w:rPr>
          <w:color w:val="222222"/>
          <w:sz w:val="21"/>
        </w:rPr>
        <w:t>Long-life contracted cash is long-duration; a higher-for-longer rate path is a direct, mechanical downgrade not fully captured in the operating story, transmitted via the SAR/USD peg.</w:t>
      </w:r>
    </w:p>
    <w:p>
      <w:pPr>
        <w:spacing w:after="60"/>
        <w:ind w:left="216"/>
      </w:pPr>
      <w:r>
        <w:rPr>
          <w:b/>
          <w:color w:val="222222"/>
          <w:sz w:val="21"/>
        </w:rPr>
        <w:t xml:space="preserve">•  Pipeline marks are judgemental.  </w:t>
      </w:r>
      <w:r>
        <w:rPr>
          <w:color w:val="222222"/>
          <w:sz w:val="21"/>
        </w:rPr>
        <w:t>The under-construction and advanced-pipeline legs are marked on invested equity plus uplift and risk-weighted optionality — the single lines with the widest bear–bull range.</w:t>
      </w:r>
    </w:p>
    <w:p>
      <w:pPr>
        <w:spacing w:after="60"/>
        <w:ind w:left="216"/>
      </w:pPr>
      <w:r>
        <w:rPr>
          <w:b/>
          <w:color w:val="222222"/>
          <w:sz w:val="21"/>
        </w:rPr>
        <w:t xml:space="preserve">•  Country &amp; offtaker risk.  </w:t>
      </w:r>
      <w:r>
        <w:rPr>
          <w:color w:val="222222"/>
          <w:sz w:val="21"/>
        </w:rPr>
        <w:t>The international book carries execution, currency and sovereign-offtaker risk (the terminated Africa PPA and the Uzbekistan / Bulgaria episodes are live reminders).</w:t>
      </w:r>
    </w:p>
    <w:p>
      <w:pPr>
        <w:spacing w:after="60"/>
        <w:ind w:left="216"/>
      </w:pPr>
      <w:r>
        <w:rPr>
          <w:b/>
          <w:color w:val="222222"/>
          <w:sz w:val="21"/>
        </w:rPr>
        <w:t xml:space="preserve">•  Technical / RSI reminder.  </w:t>
      </w:r>
      <w:r>
        <w:rPr>
          <w:color w:val="222222"/>
          <w:sz w:val="21"/>
        </w:rPr>
        <w:t>A mid-range tape with RSI near 50 gives no edge in either direction; the technical read is context, not a trigger.</w:t>
      </w:r>
    </w:p>
    <w:p>
      <w:pPr>
        <w:spacing w:before="200" w:after="80"/>
      </w:pPr>
      <w:r>
        <w:rPr>
          <w:b/>
          <w:color w:val="1B5E5E"/>
          <w:sz w:val="30"/>
        </w:rPr>
        <w:t>Appendix A  Financial statements</w:t>
      </w:r>
    </w:p>
    <w:p>
      <w:pPr>
        <w:spacing w:after="120" w:before="0"/>
      </w:pPr>
      <w:r>
        <w:rPr>
          <w:b w:val="0"/>
          <w:i w:val="0"/>
          <w:color w:val="222222"/>
          <w:sz w:val="20"/>
        </w:rPr>
        <w:t>Selected consolidated figures, as reported (FY2023–FY2025 results, KPMG-audited). Revenue, operating income and net profit are company disclosure; intermediate lines (D&amp;A, finance cost, minority) and some balance-sheet items are estimated to tie to disclosed totals and are flagged. Recall that ACWA equity-accounts many projects, so consolidated revenue understates portfolio scale, and non-recourse project debt sits within the borrowings line but is ring-fenced at the SPV level. SAR million.</w:t>
      </w:r>
    </w:p>
    <w:p>
      <w:pPr>
        <w:spacing w:before="140" w:after="80"/>
      </w:pPr>
      <w:r>
        <w:rPr>
          <w:b/>
          <w:color w:val="1B5E5E"/>
          <w:sz w:val="23"/>
        </w:rPr>
        <w:t>A.1  Income statement (consolidated, SAR m) — 3 years actual + 5-year forecast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952"/>
            <w:tcW w:w="2951" w:type="dxa"/>
            <w:shd w:val="clear" w:fill="1B5E5E"/>
          </w:tcPr>
          <w:p>
            <w:pPr>
              <w:spacing w:after="20" w:before="20"/>
            </w:pPr>
            <w:r>
              <w:rPr>
                <w:b/>
                <w:color w:val="FFFFFF"/>
                <w:sz w:val="15"/>
              </w:rPr>
              <w:t>Line (SAR m)</w:t>
            </w:r>
          </w:p>
        </w:tc>
        <w:tc>
          <w:tcPr>
            <w:tcW w:type="dxa" w:w="864"/>
            <w:tcW w:w="864" w:type="dxa"/>
            <w:shd w:val="clear" w:fill="1B5E5E"/>
          </w:tcPr>
          <w:p>
            <w:pPr>
              <w:spacing w:after="20" w:before="20"/>
              <w:jc w:val="center"/>
            </w:pPr>
            <w:r>
              <w:rPr>
                <w:b/>
                <w:color w:val="FFFFFF"/>
                <w:sz w:val="15"/>
              </w:rPr>
              <w:t>2023</w:t>
            </w:r>
          </w:p>
        </w:tc>
        <w:tc>
          <w:tcPr>
            <w:tcW w:type="dxa" w:w="864"/>
            <w:tcW w:w="864" w:type="dxa"/>
            <w:shd w:val="clear" w:fill="1B5E5E"/>
          </w:tcPr>
          <w:p>
            <w:pPr>
              <w:spacing w:after="20" w:before="20"/>
              <w:jc w:val="center"/>
            </w:pPr>
            <w:r>
              <w:rPr>
                <w:b/>
                <w:color w:val="FFFFFF"/>
                <w:sz w:val="15"/>
              </w:rPr>
              <w:t>2024</w:t>
            </w:r>
          </w:p>
        </w:tc>
        <w:tc>
          <w:tcPr>
            <w:tcW w:type="dxa" w:w="864"/>
            <w:tcW w:w="864" w:type="dxa"/>
            <w:shd w:val="clear" w:fill="1B5E5E"/>
          </w:tcPr>
          <w:p>
            <w:pPr>
              <w:spacing w:after="20" w:before="20"/>
              <w:jc w:val="center"/>
            </w:pPr>
            <w:r>
              <w:rPr>
                <w:b/>
                <w:color w:val="FFFFFF"/>
                <w:sz w:val="15"/>
              </w:rPr>
              <w:t>2025</w:t>
            </w:r>
          </w:p>
        </w:tc>
        <w:tc>
          <w:tcPr>
            <w:tcW w:type="dxa" w:w="893"/>
            <w:tcW w:w="892" w:type="dxa"/>
            <w:shd w:val="clear" w:fill="1B5E5E"/>
          </w:tcPr>
          <w:p>
            <w:pPr>
              <w:spacing w:after="20" w:before="20"/>
              <w:jc w:val="center"/>
            </w:pPr>
            <w:r>
              <w:rPr>
                <w:b/>
                <w:color w:val="FFFFFF"/>
                <w:sz w:val="15"/>
              </w:rPr>
              <w:t>2026E</w:t>
            </w:r>
          </w:p>
        </w:tc>
        <w:tc>
          <w:tcPr>
            <w:tcW w:type="dxa" w:w="893"/>
            <w:tcW w:w="892" w:type="dxa"/>
            <w:shd w:val="clear" w:fill="1B5E5E"/>
          </w:tcPr>
          <w:p>
            <w:pPr>
              <w:spacing w:after="20" w:before="20"/>
              <w:jc w:val="center"/>
            </w:pPr>
            <w:r>
              <w:rPr>
                <w:b/>
                <w:color w:val="FFFFFF"/>
                <w:sz w:val="15"/>
              </w:rPr>
              <w:t>2027E</w:t>
            </w:r>
          </w:p>
        </w:tc>
        <w:tc>
          <w:tcPr>
            <w:tcW w:type="dxa" w:w="893"/>
            <w:tcW w:w="892" w:type="dxa"/>
            <w:shd w:val="clear" w:fill="1B5E5E"/>
          </w:tcPr>
          <w:p>
            <w:pPr>
              <w:spacing w:after="20" w:before="20"/>
              <w:jc w:val="center"/>
            </w:pPr>
            <w:r>
              <w:rPr>
                <w:b/>
                <w:color w:val="FFFFFF"/>
                <w:sz w:val="15"/>
              </w:rPr>
              <w:t>2028E</w:t>
            </w:r>
          </w:p>
        </w:tc>
        <w:tc>
          <w:tcPr>
            <w:tcW w:type="dxa" w:w="893"/>
            <w:tcW w:w="892" w:type="dxa"/>
            <w:shd w:val="clear" w:fill="1B5E5E"/>
          </w:tcPr>
          <w:p>
            <w:pPr>
              <w:spacing w:after="20" w:before="20"/>
              <w:jc w:val="center"/>
            </w:pPr>
            <w:r>
              <w:rPr>
                <w:b/>
                <w:color w:val="FFFFFF"/>
                <w:sz w:val="15"/>
              </w:rPr>
              <w:t>2029E</w:t>
            </w:r>
          </w:p>
        </w:tc>
        <w:tc>
          <w:tcPr>
            <w:tcW w:type="dxa" w:w="893"/>
            <w:tcW w:w="892" w:type="dxa"/>
            <w:shd w:val="clear" w:fill="1B5E5E"/>
          </w:tcPr>
          <w:p>
            <w:pPr>
              <w:spacing w:after="20" w:before="20"/>
              <w:jc w:val="center"/>
            </w:pPr>
            <w:r>
              <w:rPr>
                <w:b/>
                <w:color w:val="FFFFFF"/>
                <w:sz w:val="15"/>
              </w:rPr>
              <w:t>2030E</w:t>
            </w:r>
          </w:p>
        </w:tc>
      </w:tr>
      <w:tr>
        <w:tc>
          <w:tcPr>
            <w:tcW w:type="dxa" w:w="2952"/>
            <w:tcW w:w="2951" w:type="dxa"/>
          </w:tcPr>
          <w:p>
            <w:pPr>
              <w:spacing w:after="20" w:before="20"/>
            </w:pPr>
            <w:r>
              <w:rPr>
                <w:sz w:val="15"/>
              </w:rPr>
              <w:t>Consolidated revenue</w:t>
            </w:r>
          </w:p>
        </w:tc>
        <w:tc>
          <w:tcPr>
            <w:tcW w:type="dxa" w:w="864"/>
            <w:tcW w:w="864" w:type="dxa"/>
          </w:tcPr>
          <w:p>
            <w:pPr>
              <w:spacing w:after="20" w:before="20"/>
              <w:jc w:val="center"/>
            </w:pPr>
            <w:r>
              <w:rPr>
                <w:sz w:val="15"/>
              </w:rPr>
              <w:t>6,080</w:t>
            </w:r>
          </w:p>
        </w:tc>
        <w:tc>
          <w:tcPr>
            <w:tcW w:type="dxa" w:w="864"/>
            <w:tcW w:w="864" w:type="dxa"/>
          </w:tcPr>
          <w:p>
            <w:pPr>
              <w:spacing w:after="20" w:before="20"/>
              <w:jc w:val="center"/>
            </w:pPr>
            <w:r>
              <w:rPr>
                <w:sz w:val="15"/>
              </w:rPr>
              <w:t>6,280</w:t>
            </w:r>
          </w:p>
        </w:tc>
        <w:tc>
          <w:tcPr>
            <w:tcW w:type="dxa" w:w="864"/>
            <w:tcW w:w="864" w:type="dxa"/>
          </w:tcPr>
          <w:p>
            <w:pPr>
              <w:spacing w:after="20" w:before="20"/>
              <w:jc w:val="center"/>
            </w:pPr>
            <w:r>
              <w:rPr>
                <w:sz w:val="15"/>
              </w:rPr>
              <w:t>7,410</w:t>
            </w:r>
          </w:p>
        </w:tc>
        <w:tc>
          <w:tcPr>
            <w:tcW w:type="dxa" w:w="893"/>
            <w:tcW w:w="892" w:type="dxa"/>
          </w:tcPr>
          <w:p>
            <w:pPr>
              <w:spacing w:after="20" w:before="20"/>
              <w:jc w:val="center"/>
            </w:pPr>
            <w:r>
              <w:rPr>
                <w:sz w:val="15"/>
              </w:rPr>
              <w:t>8,522</w:t>
            </w:r>
          </w:p>
        </w:tc>
        <w:tc>
          <w:tcPr>
            <w:tcW w:type="dxa" w:w="893"/>
            <w:tcW w:w="892" w:type="dxa"/>
          </w:tcPr>
          <w:p>
            <w:pPr>
              <w:spacing w:after="20" w:before="20"/>
              <w:jc w:val="center"/>
            </w:pPr>
            <w:r>
              <w:rPr>
                <w:sz w:val="15"/>
              </w:rPr>
              <w:t>10,055</w:t>
            </w:r>
          </w:p>
        </w:tc>
        <w:tc>
          <w:tcPr>
            <w:tcW w:type="dxa" w:w="893"/>
            <w:tcW w:w="892" w:type="dxa"/>
          </w:tcPr>
          <w:p>
            <w:pPr>
              <w:spacing w:after="20" w:before="20"/>
              <w:jc w:val="center"/>
            </w:pPr>
            <w:r>
              <w:rPr>
                <w:sz w:val="15"/>
              </w:rPr>
              <w:t>11,664</w:t>
            </w:r>
          </w:p>
        </w:tc>
        <w:tc>
          <w:tcPr>
            <w:tcW w:type="dxa" w:w="893"/>
            <w:tcW w:w="892" w:type="dxa"/>
          </w:tcPr>
          <w:p>
            <w:pPr>
              <w:spacing w:after="20" w:before="20"/>
              <w:jc w:val="center"/>
            </w:pPr>
            <w:r>
              <w:rPr>
                <w:sz w:val="15"/>
              </w:rPr>
              <w:t>13,297</w:t>
            </w:r>
          </w:p>
        </w:tc>
        <w:tc>
          <w:tcPr>
            <w:tcW w:type="dxa" w:w="893"/>
            <w:tcW w:w="892" w:type="dxa"/>
          </w:tcPr>
          <w:p>
            <w:pPr>
              <w:spacing w:after="20" w:before="20"/>
              <w:jc w:val="center"/>
            </w:pPr>
            <w:r>
              <w:rPr>
                <w:sz w:val="15"/>
              </w:rPr>
              <w:t>14,893</w:t>
            </w:r>
          </w:p>
        </w:tc>
      </w:tr>
      <w:tr>
        <w:tc>
          <w:tcPr>
            <w:tcW w:type="dxa" w:w="2952"/>
            <w:tcW w:w="2951" w:type="dxa"/>
          </w:tcPr>
          <w:p>
            <w:pPr>
              <w:spacing w:after="20" w:before="20"/>
            </w:pPr>
            <w:r>
              <w:rPr>
                <w:sz w:val="15"/>
              </w:rPr>
              <w:t>EBITDA</w:t>
            </w:r>
          </w:p>
        </w:tc>
        <w:tc>
          <w:tcPr>
            <w:tcW w:type="dxa" w:w="864"/>
            <w:tcW w:w="864" w:type="dxa"/>
          </w:tcPr>
          <w:p>
            <w:pPr>
              <w:spacing w:after="20" w:before="20"/>
              <w:jc w:val="center"/>
            </w:pPr>
            <w:r>
              <w:rPr>
                <w:sz w:val="15"/>
              </w:rPr>
              <w:t>4,034</w:t>
            </w:r>
          </w:p>
        </w:tc>
        <w:tc>
          <w:tcPr>
            <w:tcW w:type="dxa" w:w="864"/>
            <w:tcW w:w="864" w:type="dxa"/>
          </w:tcPr>
          <w:p>
            <w:pPr>
              <w:spacing w:after="20" w:before="20"/>
              <w:jc w:val="center"/>
            </w:pPr>
            <w:r>
              <w:rPr>
                <w:sz w:val="15"/>
              </w:rPr>
              <w:t>4,133</w:t>
            </w:r>
          </w:p>
        </w:tc>
        <w:tc>
          <w:tcPr>
            <w:tcW w:type="dxa" w:w="864"/>
            <w:tcW w:w="864" w:type="dxa"/>
          </w:tcPr>
          <w:p>
            <w:pPr>
              <w:spacing w:after="20" w:before="20"/>
              <w:jc w:val="center"/>
            </w:pPr>
            <w:r>
              <w:rPr>
                <w:sz w:val="15"/>
              </w:rPr>
              <w:t>4,900</w:t>
            </w:r>
          </w:p>
        </w:tc>
        <w:tc>
          <w:tcPr>
            <w:tcW w:type="dxa" w:w="893"/>
            <w:tcW w:w="892" w:type="dxa"/>
          </w:tcPr>
          <w:p>
            <w:pPr>
              <w:spacing w:after="20" w:before="20"/>
              <w:jc w:val="center"/>
            </w:pPr>
            <w:r>
              <w:rPr>
                <w:sz w:val="15"/>
              </w:rPr>
              <w:t>5,539</w:t>
            </w:r>
          </w:p>
        </w:tc>
        <w:tc>
          <w:tcPr>
            <w:tcW w:type="dxa" w:w="893"/>
            <w:tcW w:w="892" w:type="dxa"/>
          </w:tcPr>
          <w:p>
            <w:pPr>
              <w:spacing w:after="20" w:before="20"/>
              <w:jc w:val="center"/>
            </w:pPr>
            <w:r>
              <w:rPr>
                <w:sz w:val="15"/>
              </w:rPr>
              <w:t>6,637</w:t>
            </w:r>
          </w:p>
        </w:tc>
        <w:tc>
          <w:tcPr>
            <w:tcW w:type="dxa" w:w="893"/>
            <w:tcW w:w="892" w:type="dxa"/>
          </w:tcPr>
          <w:p>
            <w:pPr>
              <w:spacing w:after="20" w:before="20"/>
              <w:jc w:val="center"/>
            </w:pPr>
            <w:r>
              <w:rPr>
                <w:sz w:val="15"/>
              </w:rPr>
              <w:t>7,757</w:t>
            </w:r>
          </w:p>
        </w:tc>
        <w:tc>
          <w:tcPr>
            <w:tcW w:type="dxa" w:w="893"/>
            <w:tcW w:w="892" w:type="dxa"/>
          </w:tcPr>
          <w:p>
            <w:pPr>
              <w:spacing w:after="20" w:before="20"/>
              <w:jc w:val="center"/>
            </w:pPr>
            <w:r>
              <w:rPr>
                <w:sz w:val="15"/>
              </w:rPr>
              <w:t>8,909</w:t>
            </w:r>
          </w:p>
        </w:tc>
        <w:tc>
          <w:tcPr>
            <w:tcW w:type="dxa" w:w="893"/>
            <w:tcW w:w="892" w:type="dxa"/>
          </w:tcPr>
          <w:p>
            <w:pPr>
              <w:spacing w:after="20" w:before="20"/>
              <w:jc w:val="center"/>
            </w:pPr>
            <w:r>
              <w:rPr>
                <w:sz w:val="15"/>
              </w:rPr>
              <w:t>10,053</w:t>
            </w:r>
          </w:p>
        </w:tc>
      </w:tr>
      <w:tr>
        <w:tc>
          <w:tcPr>
            <w:tcW w:type="dxa" w:w="2952"/>
            <w:tcW w:w="2951" w:type="dxa"/>
          </w:tcPr>
          <w:p>
            <w:pPr>
              <w:spacing w:after="20" w:before="20"/>
            </w:pPr>
            <w:r>
              <w:rPr>
                <w:sz w:val="15"/>
              </w:rPr>
              <w:t>less: D&amp;A (memo; estimated)</w:t>
            </w:r>
          </w:p>
        </w:tc>
        <w:tc>
          <w:tcPr>
            <w:tcW w:type="dxa" w:w="864"/>
            <w:tcW w:w="864" w:type="dxa"/>
          </w:tcPr>
          <w:p>
            <w:pPr>
              <w:spacing w:after="20" w:before="20"/>
              <w:jc w:val="center"/>
            </w:pPr>
            <w:r>
              <w:rPr>
                <w:sz w:val="15"/>
              </w:rPr>
              <w:t>1,050</w:t>
            </w:r>
          </w:p>
        </w:tc>
        <w:tc>
          <w:tcPr>
            <w:tcW w:type="dxa" w:w="864"/>
            <w:tcW w:w="864" w:type="dxa"/>
          </w:tcPr>
          <w:p>
            <w:pPr>
              <w:spacing w:after="20" w:before="20"/>
              <w:jc w:val="center"/>
            </w:pPr>
            <w:r>
              <w:rPr>
                <w:sz w:val="15"/>
              </w:rPr>
              <w:t>1,150</w:t>
            </w:r>
          </w:p>
        </w:tc>
        <w:tc>
          <w:tcPr>
            <w:tcW w:type="dxa" w:w="864"/>
            <w:tcW w:w="864" w:type="dxa"/>
          </w:tcPr>
          <w:p>
            <w:pPr>
              <w:spacing w:after="20" w:before="20"/>
              <w:jc w:val="center"/>
            </w:pPr>
            <w:r>
              <w:rPr>
                <w:sz w:val="15"/>
              </w:rPr>
              <w:t>1,300</w:t>
            </w:r>
          </w:p>
        </w:tc>
        <w:tc>
          <w:tcPr>
            <w:tcW w:type="dxa" w:w="893"/>
            <w:tcW w:w="892" w:type="dxa"/>
          </w:tcPr>
          <w:p>
            <w:pPr>
              <w:spacing w:after="20" w:before="20"/>
              <w:jc w:val="center"/>
            </w:pPr>
            <w:r>
              <w:rPr>
                <w:sz w:val="15"/>
              </w:rPr>
              <w:t>1,278</w:t>
            </w:r>
          </w:p>
        </w:tc>
        <w:tc>
          <w:tcPr>
            <w:tcW w:type="dxa" w:w="893"/>
            <w:tcW w:w="892" w:type="dxa"/>
          </w:tcPr>
          <w:p>
            <w:pPr>
              <w:spacing w:after="20" w:before="20"/>
              <w:jc w:val="center"/>
            </w:pPr>
            <w:r>
              <w:rPr>
                <w:sz w:val="15"/>
              </w:rPr>
              <w:t>1,508</w:t>
            </w:r>
          </w:p>
        </w:tc>
        <w:tc>
          <w:tcPr>
            <w:tcW w:type="dxa" w:w="893"/>
            <w:tcW w:w="892" w:type="dxa"/>
          </w:tcPr>
          <w:p>
            <w:pPr>
              <w:spacing w:after="20" w:before="20"/>
              <w:jc w:val="center"/>
            </w:pPr>
            <w:r>
              <w:rPr>
                <w:sz w:val="15"/>
              </w:rPr>
              <w:t>1,750</w:t>
            </w:r>
          </w:p>
        </w:tc>
        <w:tc>
          <w:tcPr>
            <w:tcW w:type="dxa" w:w="893"/>
            <w:tcW w:w="892" w:type="dxa"/>
          </w:tcPr>
          <w:p>
            <w:pPr>
              <w:spacing w:after="20" w:before="20"/>
              <w:jc w:val="center"/>
            </w:pPr>
            <w:r>
              <w:rPr>
                <w:sz w:val="15"/>
              </w:rPr>
              <w:t>1,995</w:t>
            </w:r>
          </w:p>
        </w:tc>
        <w:tc>
          <w:tcPr>
            <w:tcW w:type="dxa" w:w="893"/>
            <w:tcW w:w="892" w:type="dxa"/>
          </w:tcPr>
          <w:p>
            <w:pPr>
              <w:spacing w:after="20" w:before="20"/>
              <w:jc w:val="center"/>
            </w:pPr>
            <w:r>
              <w:rPr>
                <w:sz w:val="15"/>
              </w:rPr>
              <w:t>2,234</w:t>
            </w:r>
          </w:p>
        </w:tc>
      </w:tr>
      <w:tr>
        <w:tc>
          <w:tcPr>
            <w:tcW w:type="dxa" w:w="2952"/>
            <w:tcW w:w="2951" w:type="dxa"/>
          </w:tcPr>
          <w:p>
            <w:pPr>
              <w:spacing w:after="20" w:before="20"/>
            </w:pPr>
            <w:r>
              <w:rPr>
                <w:sz w:val="15"/>
              </w:rPr>
              <w:t>EBIT (operating income, pre-impair.)</w:t>
            </w:r>
          </w:p>
        </w:tc>
        <w:tc>
          <w:tcPr>
            <w:tcW w:type="dxa" w:w="864"/>
            <w:tcW w:w="864" w:type="dxa"/>
          </w:tcPr>
          <w:p>
            <w:pPr>
              <w:spacing w:after="20" w:before="20"/>
              <w:jc w:val="center"/>
            </w:pPr>
            <w:r>
              <w:rPr>
                <w:sz w:val="15"/>
              </w:rPr>
              <w:t>2,984</w:t>
            </w:r>
          </w:p>
        </w:tc>
        <w:tc>
          <w:tcPr>
            <w:tcW w:type="dxa" w:w="864"/>
            <w:tcW w:w="864" w:type="dxa"/>
          </w:tcPr>
          <w:p>
            <w:pPr>
              <w:spacing w:after="20" w:before="20"/>
              <w:jc w:val="center"/>
            </w:pPr>
            <w:r>
              <w:rPr>
                <w:sz w:val="15"/>
              </w:rPr>
              <w:t>2,983</w:t>
            </w:r>
          </w:p>
        </w:tc>
        <w:tc>
          <w:tcPr>
            <w:tcW w:type="dxa" w:w="864"/>
            <w:tcW w:w="864" w:type="dxa"/>
          </w:tcPr>
          <w:p>
            <w:pPr>
              <w:spacing w:after="20" w:before="20"/>
              <w:jc w:val="center"/>
            </w:pPr>
            <w:r>
              <w:rPr>
                <w:sz w:val="15"/>
              </w:rPr>
              <w:t>3,600</w:t>
            </w:r>
          </w:p>
        </w:tc>
        <w:tc>
          <w:tcPr>
            <w:tcW w:type="dxa" w:w="893"/>
            <w:tcW w:w="892" w:type="dxa"/>
          </w:tcPr>
          <w:p>
            <w:pPr>
              <w:spacing w:after="20" w:before="20"/>
              <w:jc w:val="center"/>
            </w:pPr>
            <w:r>
              <w:rPr>
                <w:sz w:val="15"/>
              </w:rPr>
              <w:t>4,261</w:t>
            </w:r>
          </w:p>
        </w:tc>
        <w:tc>
          <w:tcPr>
            <w:tcW w:type="dxa" w:w="893"/>
            <w:tcW w:w="892" w:type="dxa"/>
          </w:tcPr>
          <w:p>
            <w:pPr>
              <w:spacing w:after="20" w:before="20"/>
              <w:jc w:val="center"/>
            </w:pPr>
            <w:r>
              <w:rPr>
                <w:sz w:val="15"/>
              </w:rPr>
              <w:t>5,128</w:t>
            </w:r>
          </w:p>
        </w:tc>
        <w:tc>
          <w:tcPr>
            <w:tcW w:type="dxa" w:w="893"/>
            <w:tcW w:w="892" w:type="dxa"/>
          </w:tcPr>
          <w:p>
            <w:pPr>
              <w:spacing w:after="20" w:before="20"/>
              <w:jc w:val="center"/>
            </w:pPr>
            <w:r>
              <w:rPr>
                <w:sz w:val="15"/>
              </w:rPr>
              <w:t>6,007</w:t>
            </w:r>
          </w:p>
        </w:tc>
        <w:tc>
          <w:tcPr>
            <w:tcW w:type="dxa" w:w="893"/>
            <w:tcW w:w="892" w:type="dxa"/>
          </w:tcPr>
          <w:p>
            <w:pPr>
              <w:spacing w:after="20" w:before="20"/>
              <w:jc w:val="center"/>
            </w:pPr>
            <w:r>
              <w:rPr>
                <w:sz w:val="15"/>
              </w:rPr>
              <w:t>6,915</w:t>
            </w:r>
          </w:p>
        </w:tc>
        <w:tc>
          <w:tcPr>
            <w:tcW w:type="dxa" w:w="893"/>
            <w:tcW w:w="892" w:type="dxa"/>
          </w:tcPr>
          <w:p>
            <w:pPr>
              <w:spacing w:after="20" w:before="20"/>
              <w:jc w:val="center"/>
            </w:pPr>
            <w:r>
              <w:rPr>
                <w:sz w:val="15"/>
              </w:rPr>
              <w:t>7,819</w:t>
            </w:r>
          </w:p>
        </w:tc>
      </w:tr>
      <w:tr>
        <w:tc>
          <w:tcPr>
            <w:tcW w:type="dxa" w:w="2952"/>
            <w:tcW w:w="2951" w:type="dxa"/>
          </w:tcPr>
          <w:p>
            <w:pPr>
              <w:spacing w:after="20" w:before="20"/>
            </w:pPr>
            <w:r>
              <w:rPr>
                <w:sz w:val="15"/>
              </w:rPr>
              <w:t>Net finance cost</w:t>
            </w:r>
          </w:p>
        </w:tc>
        <w:tc>
          <w:tcPr>
            <w:tcW w:type="dxa" w:w="864"/>
            <w:tcW w:w="864" w:type="dxa"/>
          </w:tcPr>
          <w:p>
            <w:pPr>
              <w:spacing w:after="20" w:before="20"/>
              <w:jc w:val="center"/>
            </w:pPr>
            <w:r>
              <w:rPr>
                <w:sz w:val="15"/>
              </w:rPr>
              <w:t>1,050</w:t>
            </w:r>
          </w:p>
        </w:tc>
        <w:tc>
          <w:tcPr>
            <w:tcW w:type="dxa" w:w="864"/>
            <w:tcW w:w="864" w:type="dxa"/>
          </w:tcPr>
          <w:p>
            <w:pPr>
              <w:spacing w:after="20" w:before="20"/>
              <w:jc w:val="center"/>
            </w:pPr>
            <w:r>
              <w:rPr>
                <w:sz w:val="15"/>
              </w:rPr>
              <w:t>1,000</w:t>
            </w:r>
          </w:p>
        </w:tc>
        <w:tc>
          <w:tcPr>
            <w:tcW w:type="dxa" w:w="864"/>
            <w:tcW w:w="864" w:type="dxa"/>
          </w:tcPr>
          <w:p>
            <w:pPr>
              <w:spacing w:after="20" w:before="20"/>
              <w:jc w:val="center"/>
            </w:pPr>
            <w:r>
              <w:rPr>
                <w:sz w:val="15"/>
              </w:rPr>
              <w:t>1,400</w:t>
            </w:r>
          </w:p>
        </w:tc>
        <w:tc>
          <w:tcPr>
            <w:tcW w:type="dxa" w:w="893"/>
            <w:tcW w:w="892" w:type="dxa"/>
          </w:tcPr>
          <w:p>
            <w:pPr>
              <w:spacing w:after="20" w:before="20"/>
              <w:jc w:val="center"/>
            </w:pPr>
            <w:r>
              <w:rPr>
                <w:sz w:val="15"/>
              </w:rPr>
              <w:t>1,600</w:t>
            </w:r>
          </w:p>
        </w:tc>
        <w:tc>
          <w:tcPr>
            <w:tcW w:type="dxa" w:w="893"/>
            <w:tcW w:w="892" w:type="dxa"/>
          </w:tcPr>
          <w:p>
            <w:pPr>
              <w:spacing w:after="20" w:before="20"/>
              <w:jc w:val="center"/>
            </w:pPr>
            <w:r>
              <w:rPr>
                <w:sz w:val="15"/>
              </w:rPr>
              <w:t>1,750</w:t>
            </w:r>
          </w:p>
        </w:tc>
        <w:tc>
          <w:tcPr>
            <w:tcW w:type="dxa" w:w="893"/>
            <w:tcW w:w="892" w:type="dxa"/>
          </w:tcPr>
          <w:p>
            <w:pPr>
              <w:spacing w:after="20" w:before="20"/>
              <w:jc w:val="center"/>
            </w:pPr>
            <w:r>
              <w:rPr>
                <w:sz w:val="15"/>
              </w:rPr>
              <w:t>1,850</w:t>
            </w:r>
          </w:p>
        </w:tc>
        <w:tc>
          <w:tcPr>
            <w:tcW w:type="dxa" w:w="893"/>
            <w:tcW w:w="892" w:type="dxa"/>
          </w:tcPr>
          <w:p>
            <w:pPr>
              <w:spacing w:after="20" w:before="20"/>
              <w:jc w:val="center"/>
            </w:pPr>
            <w:r>
              <w:rPr>
                <w:sz w:val="15"/>
              </w:rPr>
              <w:t>1,950</w:t>
            </w:r>
          </w:p>
        </w:tc>
        <w:tc>
          <w:tcPr>
            <w:tcW w:type="dxa" w:w="893"/>
            <w:tcW w:w="892" w:type="dxa"/>
          </w:tcPr>
          <w:p>
            <w:pPr>
              <w:spacing w:after="20" w:before="20"/>
              <w:jc w:val="center"/>
            </w:pPr>
            <w:r>
              <w:rPr>
                <w:sz w:val="15"/>
              </w:rPr>
              <w:t>2,050</w:t>
            </w:r>
          </w:p>
        </w:tc>
      </w:tr>
      <w:tr>
        <w:tc>
          <w:tcPr>
            <w:tcW w:type="dxa" w:w="2952"/>
            <w:tcW w:w="2951" w:type="dxa"/>
          </w:tcPr>
          <w:p>
            <w:pPr>
              <w:spacing w:after="20" w:before="20"/>
            </w:pPr>
            <w:r>
              <w:rPr>
                <w:sz w:val="15"/>
              </w:rPr>
              <w:t>PBT</w:t>
            </w:r>
          </w:p>
        </w:tc>
        <w:tc>
          <w:tcPr>
            <w:tcW w:type="dxa" w:w="864"/>
            <w:tcW w:w="864" w:type="dxa"/>
          </w:tcPr>
          <w:p>
            <w:pPr>
              <w:spacing w:after="20" w:before="20"/>
              <w:jc w:val="center"/>
            </w:pPr>
            <w:r>
              <w:rPr>
                <w:sz w:val="15"/>
              </w:rPr>
              <w:t>1,934</w:t>
            </w:r>
          </w:p>
        </w:tc>
        <w:tc>
          <w:tcPr>
            <w:tcW w:type="dxa" w:w="864"/>
            <w:tcW w:w="864" w:type="dxa"/>
          </w:tcPr>
          <w:p>
            <w:pPr>
              <w:spacing w:after="20" w:before="20"/>
              <w:jc w:val="center"/>
            </w:pPr>
            <w:r>
              <w:rPr>
                <w:sz w:val="15"/>
              </w:rPr>
              <w:t>1,983</w:t>
            </w:r>
          </w:p>
        </w:tc>
        <w:tc>
          <w:tcPr>
            <w:tcW w:type="dxa" w:w="864"/>
            <w:tcW w:w="864" w:type="dxa"/>
          </w:tcPr>
          <w:p>
            <w:pPr>
              <w:spacing w:after="20" w:before="20"/>
              <w:jc w:val="center"/>
            </w:pPr>
            <w:r>
              <w:rPr>
                <w:sz w:val="15"/>
              </w:rPr>
              <w:t>2,200</w:t>
            </w:r>
          </w:p>
        </w:tc>
        <w:tc>
          <w:tcPr>
            <w:tcW w:type="dxa" w:w="893"/>
            <w:tcW w:w="892" w:type="dxa"/>
          </w:tcPr>
          <w:p>
            <w:pPr>
              <w:spacing w:after="20" w:before="20"/>
              <w:jc w:val="center"/>
            </w:pPr>
            <w:r>
              <w:rPr>
                <w:sz w:val="15"/>
              </w:rPr>
              <w:t>2,661</w:t>
            </w:r>
          </w:p>
        </w:tc>
        <w:tc>
          <w:tcPr>
            <w:tcW w:type="dxa" w:w="893"/>
            <w:tcW w:w="892" w:type="dxa"/>
          </w:tcPr>
          <w:p>
            <w:pPr>
              <w:spacing w:after="20" w:before="20"/>
              <w:jc w:val="center"/>
            </w:pPr>
            <w:r>
              <w:rPr>
                <w:sz w:val="15"/>
              </w:rPr>
              <w:t>3,378</w:t>
            </w:r>
          </w:p>
        </w:tc>
        <w:tc>
          <w:tcPr>
            <w:tcW w:type="dxa" w:w="893"/>
            <w:tcW w:w="892" w:type="dxa"/>
          </w:tcPr>
          <w:p>
            <w:pPr>
              <w:spacing w:after="20" w:before="20"/>
              <w:jc w:val="center"/>
            </w:pPr>
            <w:r>
              <w:rPr>
                <w:sz w:val="15"/>
              </w:rPr>
              <w:t>4,157</w:t>
            </w:r>
          </w:p>
        </w:tc>
        <w:tc>
          <w:tcPr>
            <w:tcW w:type="dxa" w:w="893"/>
            <w:tcW w:w="892" w:type="dxa"/>
          </w:tcPr>
          <w:p>
            <w:pPr>
              <w:spacing w:after="20" w:before="20"/>
              <w:jc w:val="center"/>
            </w:pPr>
            <w:r>
              <w:rPr>
                <w:sz w:val="15"/>
              </w:rPr>
              <w:t>4,965</w:t>
            </w:r>
          </w:p>
        </w:tc>
        <w:tc>
          <w:tcPr>
            <w:tcW w:type="dxa" w:w="893"/>
            <w:tcW w:w="892" w:type="dxa"/>
          </w:tcPr>
          <w:p>
            <w:pPr>
              <w:spacing w:after="20" w:before="20"/>
              <w:jc w:val="center"/>
            </w:pPr>
            <w:r>
              <w:rPr>
                <w:sz w:val="15"/>
              </w:rPr>
              <w:t>5,769</w:t>
            </w:r>
          </w:p>
        </w:tc>
      </w:tr>
      <w:tr>
        <w:tc>
          <w:tcPr>
            <w:tcW w:type="dxa" w:w="2952"/>
            <w:tcW w:w="2951" w:type="dxa"/>
          </w:tcPr>
          <w:p>
            <w:pPr>
              <w:spacing w:after="20" w:before="20"/>
            </w:pPr>
            <w:r>
              <w:rPr>
                <w:sz w:val="15"/>
              </w:rPr>
              <w:t>Zakat &amp; tax</w:t>
            </w:r>
          </w:p>
        </w:tc>
        <w:tc>
          <w:tcPr>
            <w:tcW w:type="dxa" w:w="864"/>
            <w:tcW w:w="864" w:type="dxa"/>
          </w:tcPr>
          <w:p>
            <w:pPr>
              <w:spacing w:after="20" w:before="20"/>
              <w:jc w:val="center"/>
            </w:pPr>
            <w:r>
              <w:rPr>
                <w:sz w:val="15"/>
              </w:rPr>
              <w:t>130</w:t>
            </w:r>
          </w:p>
        </w:tc>
        <w:tc>
          <w:tcPr>
            <w:tcW w:type="dxa" w:w="864"/>
            <w:tcW w:w="864" w:type="dxa"/>
          </w:tcPr>
          <w:p>
            <w:pPr>
              <w:spacing w:after="20" w:before="20"/>
              <w:jc w:val="center"/>
            </w:pPr>
            <w:r>
              <w:rPr>
                <w:sz w:val="15"/>
              </w:rPr>
              <w:t>100</w:t>
            </w:r>
          </w:p>
        </w:tc>
        <w:tc>
          <w:tcPr>
            <w:tcW w:type="dxa" w:w="864"/>
            <w:tcW w:w="864" w:type="dxa"/>
          </w:tcPr>
          <w:p>
            <w:pPr>
              <w:spacing w:after="20" w:before="20"/>
              <w:jc w:val="center"/>
            </w:pPr>
            <w:r>
              <w:rPr>
                <w:sz w:val="15"/>
              </w:rPr>
              <w:t>231</w:t>
            </w:r>
          </w:p>
        </w:tc>
        <w:tc>
          <w:tcPr>
            <w:tcW w:type="dxa" w:w="893"/>
            <w:tcW w:w="892" w:type="dxa"/>
          </w:tcPr>
          <w:p>
            <w:pPr>
              <w:spacing w:after="20" w:before="20"/>
              <w:jc w:val="center"/>
            </w:pPr>
            <w:r>
              <w:rPr>
                <w:sz w:val="15"/>
              </w:rPr>
              <w:t>266</w:t>
            </w:r>
          </w:p>
        </w:tc>
        <w:tc>
          <w:tcPr>
            <w:tcW w:type="dxa" w:w="893"/>
            <w:tcW w:w="892" w:type="dxa"/>
          </w:tcPr>
          <w:p>
            <w:pPr>
              <w:spacing w:after="20" w:before="20"/>
              <w:jc w:val="center"/>
            </w:pPr>
            <w:r>
              <w:rPr>
                <w:sz w:val="15"/>
              </w:rPr>
              <w:t>338</w:t>
            </w:r>
          </w:p>
        </w:tc>
        <w:tc>
          <w:tcPr>
            <w:tcW w:type="dxa" w:w="893"/>
            <w:tcW w:w="892" w:type="dxa"/>
          </w:tcPr>
          <w:p>
            <w:pPr>
              <w:spacing w:after="20" w:before="20"/>
              <w:jc w:val="center"/>
            </w:pPr>
            <w:r>
              <w:rPr>
                <w:sz w:val="15"/>
              </w:rPr>
              <w:t>416</w:t>
            </w:r>
          </w:p>
        </w:tc>
        <w:tc>
          <w:tcPr>
            <w:tcW w:type="dxa" w:w="893"/>
            <w:tcW w:w="892" w:type="dxa"/>
          </w:tcPr>
          <w:p>
            <w:pPr>
              <w:spacing w:after="20" w:before="20"/>
              <w:jc w:val="center"/>
            </w:pPr>
            <w:r>
              <w:rPr>
                <w:sz w:val="15"/>
              </w:rPr>
              <w:t>496</w:t>
            </w:r>
          </w:p>
        </w:tc>
        <w:tc>
          <w:tcPr>
            <w:tcW w:type="dxa" w:w="893"/>
            <w:tcW w:w="892" w:type="dxa"/>
          </w:tcPr>
          <w:p>
            <w:pPr>
              <w:spacing w:after="20" w:before="20"/>
              <w:jc w:val="center"/>
            </w:pPr>
            <w:r>
              <w:rPr>
                <w:sz w:val="15"/>
              </w:rPr>
              <w:t>577</w:t>
            </w:r>
          </w:p>
        </w:tc>
      </w:tr>
      <w:tr>
        <w:tc>
          <w:tcPr>
            <w:tcW w:type="dxa" w:w="2952"/>
            <w:tcW w:w="2951" w:type="dxa"/>
          </w:tcPr>
          <w:p>
            <w:pPr>
              <w:spacing w:after="20" w:before="20"/>
            </w:pPr>
            <w:r>
              <w:rPr>
                <w:sz w:val="15"/>
              </w:rPr>
              <w:t>Minority interest</w:t>
            </w:r>
          </w:p>
        </w:tc>
        <w:tc>
          <w:tcPr>
            <w:tcW w:type="dxa" w:w="864"/>
            <w:tcW w:w="864" w:type="dxa"/>
          </w:tcPr>
          <w:p>
            <w:pPr>
              <w:spacing w:after="20" w:before="20"/>
              <w:jc w:val="center"/>
            </w:pPr>
            <w:r>
              <w:rPr>
                <w:sz w:val="15"/>
              </w:rPr>
              <w:t>142</w:t>
            </w:r>
          </w:p>
        </w:tc>
        <w:tc>
          <w:tcPr>
            <w:tcW w:type="dxa" w:w="864"/>
            <w:tcW w:w="864" w:type="dxa"/>
          </w:tcPr>
          <w:p>
            <w:pPr>
              <w:spacing w:after="20" w:before="20"/>
              <w:jc w:val="center"/>
            </w:pPr>
            <w:r>
              <w:rPr>
                <w:sz w:val="15"/>
              </w:rPr>
              <w:t>126</w:t>
            </w:r>
          </w:p>
        </w:tc>
        <w:tc>
          <w:tcPr>
            <w:tcW w:type="dxa" w:w="864"/>
            <w:tcW w:w="864" w:type="dxa"/>
          </w:tcPr>
          <w:p>
            <w:pPr>
              <w:spacing w:after="20" w:before="20"/>
              <w:jc w:val="center"/>
            </w:pPr>
            <w:r>
              <w:rPr>
                <w:sz w:val="15"/>
              </w:rPr>
              <w:t>117</w:t>
            </w:r>
          </w:p>
        </w:tc>
        <w:tc>
          <w:tcPr>
            <w:tcW w:type="dxa" w:w="893"/>
            <w:tcW w:w="892" w:type="dxa"/>
          </w:tcPr>
          <w:p>
            <w:pPr>
              <w:spacing w:after="20" w:before="20"/>
              <w:jc w:val="center"/>
            </w:pPr>
            <w:r>
              <w:rPr>
                <w:sz w:val="15"/>
              </w:rPr>
              <w:t>130</w:t>
            </w:r>
          </w:p>
        </w:tc>
        <w:tc>
          <w:tcPr>
            <w:tcW w:type="dxa" w:w="893"/>
            <w:tcW w:w="892" w:type="dxa"/>
          </w:tcPr>
          <w:p>
            <w:pPr>
              <w:spacing w:after="20" w:before="20"/>
              <w:jc w:val="center"/>
            </w:pPr>
            <w:r>
              <w:rPr>
                <w:sz w:val="15"/>
              </w:rPr>
              <w:t>150</w:t>
            </w:r>
          </w:p>
        </w:tc>
        <w:tc>
          <w:tcPr>
            <w:tcW w:type="dxa" w:w="893"/>
            <w:tcW w:w="892" w:type="dxa"/>
          </w:tcPr>
          <w:p>
            <w:pPr>
              <w:spacing w:after="20" w:before="20"/>
              <w:jc w:val="center"/>
            </w:pPr>
            <w:r>
              <w:rPr>
                <w:sz w:val="15"/>
              </w:rPr>
              <w:t>170</w:t>
            </w:r>
          </w:p>
        </w:tc>
        <w:tc>
          <w:tcPr>
            <w:tcW w:type="dxa" w:w="893"/>
            <w:tcW w:w="892" w:type="dxa"/>
          </w:tcPr>
          <w:p>
            <w:pPr>
              <w:spacing w:after="20" w:before="20"/>
              <w:jc w:val="center"/>
            </w:pPr>
            <w:r>
              <w:rPr>
                <w:sz w:val="15"/>
              </w:rPr>
              <w:t>190</w:t>
            </w:r>
          </w:p>
        </w:tc>
        <w:tc>
          <w:tcPr>
            <w:tcW w:type="dxa" w:w="893"/>
            <w:tcW w:w="892" w:type="dxa"/>
          </w:tcPr>
          <w:p>
            <w:pPr>
              <w:spacing w:after="20" w:before="20"/>
              <w:jc w:val="center"/>
            </w:pPr>
            <w:r>
              <w:rPr>
                <w:sz w:val="15"/>
              </w:rPr>
              <w:t>210</w:t>
            </w:r>
          </w:p>
        </w:tc>
      </w:tr>
      <w:tr>
        <w:tc>
          <w:tcPr>
            <w:tcW w:type="dxa" w:w="2952"/>
            <w:tcW w:w="2951" w:type="dxa"/>
          </w:tcPr>
          <w:p>
            <w:pPr>
              <w:spacing w:after="20" w:before="20"/>
            </w:pPr>
            <w:r>
              <w:rPr>
                <w:b/>
                <w:sz w:val="15"/>
              </w:rPr>
              <w:t>Net profit (attributable)</w:t>
            </w:r>
          </w:p>
        </w:tc>
        <w:tc>
          <w:tcPr>
            <w:tcW w:type="dxa" w:w="864"/>
            <w:tcW w:w="864" w:type="dxa"/>
          </w:tcPr>
          <w:p>
            <w:pPr>
              <w:spacing w:after="20" w:before="20"/>
              <w:jc w:val="center"/>
            </w:pPr>
            <w:r>
              <w:rPr>
                <w:b/>
                <w:sz w:val="15"/>
              </w:rPr>
              <w:t>1,662</w:t>
            </w:r>
          </w:p>
        </w:tc>
        <w:tc>
          <w:tcPr>
            <w:tcW w:type="dxa" w:w="864"/>
            <w:tcW w:w="864" w:type="dxa"/>
          </w:tcPr>
          <w:p>
            <w:pPr>
              <w:spacing w:after="20" w:before="20"/>
              <w:jc w:val="center"/>
            </w:pPr>
            <w:r>
              <w:rPr>
                <w:b/>
                <w:sz w:val="15"/>
              </w:rPr>
              <w:t>1,757</w:t>
            </w:r>
          </w:p>
        </w:tc>
        <w:tc>
          <w:tcPr>
            <w:tcW w:type="dxa" w:w="864"/>
            <w:tcW w:w="864" w:type="dxa"/>
          </w:tcPr>
          <w:p>
            <w:pPr>
              <w:spacing w:after="20" w:before="20"/>
              <w:jc w:val="center"/>
            </w:pPr>
            <w:r>
              <w:rPr>
                <w:b/>
                <w:sz w:val="15"/>
              </w:rPr>
              <w:t>1,852</w:t>
            </w:r>
          </w:p>
        </w:tc>
        <w:tc>
          <w:tcPr>
            <w:tcW w:type="dxa" w:w="893"/>
            <w:tcW w:w="892" w:type="dxa"/>
          </w:tcPr>
          <w:p>
            <w:pPr>
              <w:spacing w:after="20" w:before="20"/>
              <w:jc w:val="center"/>
            </w:pPr>
            <w:r>
              <w:rPr>
                <w:b/>
                <w:sz w:val="15"/>
              </w:rPr>
              <w:t>2,265</w:t>
            </w:r>
          </w:p>
        </w:tc>
        <w:tc>
          <w:tcPr>
            <w:tcW w:type="dxa" w:w="893"/>
            <w:tcW w:w="892" w:type="dxa"/>
          </w:tcPr>
          <w:p>
            <w:pPr>
              <w:spacing w:after="20" w:before="20"/>
              <w:jc w:val="center"/>
            </w:pPr>
            <w:r>
              <w:rPr>
                <w:b/>
                <w:sz w:val="15"/>
              </w:rPr>
              <w:t>2,890</w:t>
            </w:r>
          </w:p>
        </w:tc>
        <w:tc>
          <w:tcPr>
            <w:tcW w:type="dxa" w:w="893"/>
            <w:tcW w:w="892" w:type="dxa"/>
          </w:tcPr>
          <w:p>
            <w:pPr>
              <w:spacing w:after="20" w:before="20"/>
              <w:jc w:val="center"/>
            </w:pPr>
            <w:r>
              <w:rPr>
                <w:b/>
                <w:sz w:val="15"/>
              </w:rPr>
              <w:t>3,571</w:t>
            </w:r>
          </w:p>
        </w:tc>
        <w:tc>
          <w:tcPr>
            <w:tcW w:type="dxa" w:w="893"/>
            <w:tcW w:w="892" w:type="dxa"/>
          </w:tcPr>
          <w:p>
            <w:pPr>
              <w:spacing w:after="20" w:before="20"/>
              <w:jc w:val="center"/>
            </w:pPr>
            <w:r>
              <w:rPr>
                <w:b/>
                <w:sz w:val="15"/>
              </w:rPr>
              <w:t>4,278</w:t>
            </w:r>
          </w:p>
        </w:tc>
        <w:tc>
          <w:tcPr>
            <w:tcW w:type="dxa" w:w="893"/>
            <w:tcW w:w="892" w:type="dxa"/>
          </w:tcPr>
          <w:p>
            <w:pPr>
              <w:spacing w:after="20" w:before="20"/>
              <w:jc w:val="center"/>
            </w:pPr>
            <w:r>
              <w:rPr>
                <w:b/>
                <w:sz w:val="15"/>
              </w:rPr>
              <w:t>4,982</w:t>
            </w:r>
          </w:p>
        </w:tc>
      </w:tr>
    </w:tbl>
    <w:p>
      <w:pPr>
        <w:spacing w:after="160" w:before="40"/>
      </w:pPr>
      <w:r>
        <w:rPr>
          <w:i/>
          <w:color w:val="555555"/>
          <w:sz w:val="17"/>
        </w:rPr>
        <w:t>FY2026E–FY2030E are formula-driven forecasts (every cell links to the model's Assumptions sheet). EBIT margins are elevated because operating income includes equity-accounted associate and development-fee income not in consolidated revenue.</w:t>
      </w:r>
    </w:p>
    <w:p>
      <w:pPr>
        <w:spacing w:before="140" w:after="80"/>
      </w:pPr>
      <w:r>
        <w:rPr>
          <w:b/>
          <w:color w:val="1B5E5E"/>
          <w:sz w:val="23"/>
        </w:rPr>
        <w:t>A.2  Balance sheet (consolidated, SAR m) — 3 years actual + 5-year forecast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952"/>
            <w:tcW w:w="2951" w:type="dxa"/>
            <w:shd w:val="clear" w:fill="1B5E5E"/>
          </w:tcPr>
          <w:p>
            <w:pPr>
              <w:spacing w:after="20" w:before="20"/>
            </w:pPr>
            <w:r>
              <w:rPr>
                <w:b/>
                <w:color w:val="FFFFFF"/>
                <w:sz w:val="15"/>
              </w:rPr>
              <w:t>Line (SAR m)</w:t>
            </w:r>
          </w:p>
        </w:tc>
        <w:tc>
          <w:tcPr>
            <w:tcW w:type="dxa" w:w="864"/>
            <w:tcW w:w="864" w:type="dxa"/>
            <w:shd w:val="clear" w:fill="1B5E5E"/>
          </w:tcPr>
          <w:p>
            <w:pPr>
              <w:spacing w:after="20" w:before="20"/>
              <w:jc w:val="center"/>
            </w:pPr>
            <w:r>
              <w:rPr>
                <w:b/>
                <w:color w:val="FFFFFF"/>
                <w:sz w:val="15"/>
              </w:rPr>
              <w:t>2023</w:t>
            </w:r>
          </w:p>
        </w:tc>
        <w:tc>
          <w:tcPr>
            <w:tcW w:type="dxa" w:w="864"/>
            <w:tcW w:w="864" w:type="dxa"/>
            <w:shd w:val="clear" w:fill="1B5E5E"/>
          </w:tcPr>
          <w:p>
            <w:pPr>
              <w:spacing w:after="20" w:before="20"/>
              <w:jc w:val="center"/>
            </w:pPr>
            <w:r>
              <w:rPr>
                <w:b/>
                <w:color w:val="FFFFFF"/>
                <w:sz w:val="15"/>
              </w:rPr>
              <w:t>2024</w:t>
            </w:r>
          </w:p>
        </w:tc>
        <w:tc>
          <w:tcPr>
            <w:tcW w:type="dxa" w:w="864"/>
            <w:tcW w:w="864" w:type="dxa"/>
            <w:shd w:val="clear" w:fill="1B5E5E"/>
          </w:tcPr>
          <w:p>
            <w:pPr>
              <w:spacing w:after="20" w:before="20"/>
              <w:jc w:val="center"/>
            </w:pPr>
            <w:r>
              <w:rPr>
                <w:b/>
                <w:color w:val="FFFFFF"/>
                <w:sz w:val="15"/>
              </w:rPr>
              <w:t>2025</w:t>
            </w:r>
          </w:p>
        </w:tc>
        <w:tc>
          <w:tcPr>
            <w:tcW w:type="dxa" w:w="893"/>
            <w:tcW w:w="892" w:type="dxa"/>
            <w:shd w:val="clear" w:fill="1B5E5E"/>
          </w:tcPr>
          <w:p>
            <w:pPr>
              <w:spacing w:after="20" w:before="20"/>
              <w:jc w:val="center"/>
            </w:pPr>
            <w:r>
              <w:rPr>
                <w:b/>
                <w:color w:val="FFFFFF"/>
                <w:sz w:val="15"/>
              </w:rPr>
              <w:t>2026E</w:t>
            </w:r>
          </w:p>
        </w:tc>
        <w:tc>
          <w:tcPr>
            <w:tcW w:type="dxa" w:w="893"/>
            <w:tcW w:w="892" w:type="dxa"/>
            <w:shd w:val="clear" w:fill="1B5E5E"/>
          </w:tcPr>
          <w:p>
            <w:pPr>
              <w:spacing w:after="20" w:before="20"/>
              <w:jc w:val="center"/>
            </w:pPr>
            <w:r>
              <w:rPr>
                <w:b/>
                <w:color w:val="FFFFFF"/>
                <w:sz w:val="15"/>
              </w:rPr>
              <w:t>2027E</w:t>
            </w:r>
          </w:p>
        </w:tc>
        <w:tc>
          <w:tcPr>
            <w:tcW w:type="dxa" w:w="893"/>
            <w:tcW w:w="892" w:type="dxa"/>
            <w:shd w:val="clear" w:fill="1B5E5E"/>
          </w:tcPr>
          <w:p>
            <w:pPr>
              <w:spacing w:after="20" w:before="20"/>
              <w:jc w:val="center"/>
            </w:pPr>
            <w:r>
              <w:rPr>
                <w:b/>
                <w:color w:val="FFFFFF"/>
                <w:sz w:val="15"/>
              </w:rPr>
              <w:t>2028E</w:t>
            </w:r>
          </w:p>
        </w:tc>
        <w:tc>
          <w:tcPr>
            <w:tcW w:type="dxa" w:w="893"/>
            <w:tcW w:w="892" w:type="dxa"/>
            <w:shd w:val="clear" w:fill="1B5E5E"/>
          </w:tcPr>
          <w:p>
            <w:pPr>
              <w:spacing w:after="20" w:before="20"/>
              <w:jc w:val="center"/>
            </w:pPr>
            <w:r>
              <w:rPr>
                <w:b/>
                <w:color w:val="FFFFFF"/>
                <w:sz w:val="15"/>
              </w:rPr>
              <w:t>2029E</w:t>
            </w:r>
          </w:p>
        </w:tc>
        <w:tc>
          <w:tcPr>
            <w:tcW w:type="dxa" w:w="893"/>
            <w:tcW w:w="892" w:type="dxa"/>
            <w:shd w:val="clear" w:fill="1B5E5E"/>
          </w:tcPr>
          <w:p>
            <w:pPr>
              <w:spacing w:after="20" w:before="20"/>
              <w:jc w:val="center"/>
            </w:pPr>
            <w:r>
              <w:rPr>
                <w:b/>
                <w:color w:val="FFFFFF"/>
                <w:sz w:val="15"/>
              </w:rPr>
              <w:t>2030E</w:t>
            </w:r>
          </w:p>
        </w:tc>
      </w:tr>
      <w:tr>
        <w:tc>
          <w:tcPr>
            <w:tcW w:type="dxa" w:w="2952"/>
            <w:tcW w:w="2951" w:type="dxa"/>
          </w:tcPr>
          <w:p>
            <w:pPr>
              <w:spacing w:after="20" w:before="20"/>
            </w:pPr>
            <w:r>
              <w:rPr>
                <w:sz w:val="15"/>
              </w:rPr>
              <w:t>PP&amp;E + project assets</w:t>
            </w:r>
          </w:p>
        </w:tc>
        <w:tc>
          <w:tcPr>
            <w:tcW w:type="dxa" w:w="864"/>
            <w:tcW w:w="864" w:type="dxa"/>
          </w:tcPr>
          <w:p>
            <w:pPr>
              <w:spacing w:after="20" w:before="20"/>
              <w:jc w:val="center"/>
            </w:pPr>
            <w:r>
              <w:rPr>
                <w:sz w:val="15"/>
              </w:rPr>
              <w:t>78,000</w:t>
            </w:r>
          </w:p>
        </w:tc>
        <w:tc>
          <w:tcPr>
            <w:tcW w:type="dxa" w:w="864"/>
            <w:tcW w:w="864" w:type="dxa"/>
          </w:tcPr>
          <w:p>
            <w:pPr>
              <w:spacing w:after="20" w:before="20"/>
              <w:jc w:val="center"/>
            </w:pPr>
            <w:r>
              <w:rPr>
                <w:sz w:val="15"/>
              </w:rPr>
              <w:t>86,000</w:t>
            </w:r>
          </w:p>
        </w:tc>
        <w:tc>
          <w:tcPr>
            <w:tcW w:type="dxa" w:w="864"/>
            <w:tcW w:w="864" w:type="dxa"/>
          </w:tcPr>
          <w:p>
            <w:pPr>
              <w:spacing w:after="20" w:before="20"/>
              <w:jc w:val="center"/>
            </w:pPr>
            <w:r>
              <w:rPr>
                <w:sz w:val="15"/>
              </w:rPr>
              <w:t>95,000</w:t>
            </w:r>
          </w:p>
        </w:tc>
        <w:tc>
          <w:tcPr>
            <w:tcW w:type="dxa" w:w="893"/>
            <w:tcW w:w="892" w:type="dxa"/>
          </w:tcPr>
          <w:p>
            <w:pPr>
              <w:spacing w:after="20" w:before="20"/>
              <w:jc w:val="center"/>
            </w:pPr>
            <w:r>
              <w:rPr>
                <w:sz w:val="15"/>
              </w:rPr>
              <w:t>101,722</w:t>
            </w:r>
          </w:p>
        </w:tc>
        <w:tc>
          <w:tcPr>
            <w:tcW w:type="dxa" w:w="893"/>
            <w:tcW w:w="892" w:type="dxa"/>
          </w:tcPr>
          <w:p>
            <w:pPr>
              <w:spacing w:after="20" w:before="20"/>
              <w:jc w:val="center"/>
            </w:pPr>
            <w:r>
              <w:rPr>
                <w:sz w:val="15"/>
              </w:rPr>
              <w:t>108,613</w:t>
            </w:r>
          </w:p>
        </w:tc>
        <w:tc>
          <w:tcPr>
            <w:tcW w:type="dxa" w:w="893"/>
            <w:tcW w:w="892" w:type="dxa"/>
          </w:tcPr>
          <w:p>
            <w:pPr>
              <w:spacing w:after="20" w:before="20"/>
              <w:jc w:val="center"/>
            </w:pPr>
            <w:r>
              <w:rPr>
                <w:sz w:val="15"/>
              </w:rPr>
              <w:t>115,664</w:t>
            </w:r>
          </w:p>
        </w:tc>
        <w:tc>
          <w:tcPr>
            <w:tcW w:type="dxa" w:w="893"/>
            <w:tcW w:w="892" w:type="dxa"/>
          </w:tcPr>
          <w:p>
            <w:pPr>
              <w:spacing w:after="20" w:before="20"/>
              <w:jc w:val="center"/>
            </w:pPr>
            <w:r>
              <w:rPr>
                <w:sz w:val="15"/>
              </w:rPr>
              <w:t>122,869</w:t>
            </w:r>
          </w:p>
        </w:tc>
        <w:tc>
          <w:tcPr>
            <w:tcW w:type="dxa" w:w="893"/>
            <w:tcW w:w="892" w:type="dxa"/>
          </w:tcPr>
          <w:p>
            <w:pPr>
              <w:spacing w:after="20" w:before="20"/>
              <w:jc w:val="center"/>
            </w:pPr>
            <w:r>
              <w:rPr>
                <w:sz w:val="15"/>
              </w:rPr>
              <w:t>130,235</w:t>
            </w:r>
          </w:p>
        </w:tc>
      </w:tr>
      <w:tr>
        <w:tc>
          <w:tcPr>
            <w:tcW w:type="dxa" w:w="2952"/>
            <w:tcW w:w="2951" w:type="dxa"/>
          </w:tcPr>
          <w:p>
            <w:pPr>
              <w:spacing w:after="20" w:before="20"/>
            </w:pPr>
            <w:r>
              <w:rPr>
                <w:sz w:val="15"/>
              </w:rPr>
              <w:t>Equity-accounted invts</w:t>
            </w:r>
          </w:p>
        </w:tc>
        <w:tc>
          <w:tcPr>
            <w:tcW w:type="dxa" w:w="864"/>
            <w:tcW w:w="864" w:type="dxa"/>
          </w:tcPr>
          <w:p>
            <w:pPr>
              <w:spacing w:after="20" w:before="20"/>
              <w:jc w:val="center"/>
            </w:pPr>
            <w:r>
              <w:rPr>
                <w:sz w:val="15"/>
              </w:rPr>
              <w:t>9,000</w:t>
            </w:r>
          </w:p>
        </w:tc>
        <w:tc>
          <w:tcPr>
            <w:tcW w:type="dxa" w:w="864"/>
            <w:tcW w:w="864" w:type="dxa"/>
          </w:tcPr>
          <w:p>
            <w:pPr>
              <w:spacing w:after="20" w:before="20"/>
              <w:jc w:val="center"/>
            </w:pPr>
            <w:r>
              <w:rPr>
                <w:sz w:val="15"/>
              </w:rPr>
              <w:t>10,500</w:t>
            </w:r>
          </w:p>
        </w:tc>
        <w:tc>
          <w:tcPr>
            <w:tcW w:type="dxa" w:w="864"/>
            <w:tcW w:w="864" w:type="dxa"/>
          </w:tcPr>
          <w:p>
            <w:pPr>
              <w:spacing w:after="20" w:before="20"/>
              <w:jc w:val="center"/>
            </w:pPr>
            <w:r>
              <w:rPr>
                <w:sz w:val="15"/>
              </w:rPr>
              <w:t>12,500</w:t>
            </w:r>
          </w:p>
        </w:tc>
        <w:tc>
          <w:tcPr>
            <w:tcW w:type="dxa" w:w="893"/>
            <w:tcW w:w="892" w:type="dxa"/>
          </w:tcPr>
          <w:p>
            <w:pPr>
              <w:spacing w:after="20" w:before="20"/>
              <w:jc w:val="center"/>
            </w:pPr>
            <w:r>
              <w:rPr>
                <w:sz w:val="15"/>
              </w:rPr>
              <w:t>13,500</w:t>
            </w:r>
          </w:p>
        </w:tc>
        <w:tc>
          <w:tcPr>
            <w:tcW w:type="dxa" w:w="893"/>
            <w:tcW w:w="892" w:type="dxa"/>
          </w:tcPr>
          <w:p>
            <w:pPr>
              <w:spacing w:after="20" w:before="20"/>
              <w:jc w:val="center"/>
            </w:pPr>
            <w:r>
              <w:rPr>
                <w:sz w:val="15"/>
              </w:rPr>
              <w:t>14,580</w:t>
            </w:r>
          </w:p>
        </w:tc>
        <w:tc>
          <w:tcPr>
            <w:tcW w:type="dxa" w:w="893"/>
            <w:tcW w:w="892" w:type="dxa"/>
          </w:tcPr>
          <w:p>
            <w:pPr>
              <w:spacing w:after="20" w:before="20"/>
              <w:jc w:val="center"/>
            </w:pPr>
            <w:r>
              <w:rPr>
                <w:sz w:val="15"/>
              </w:rPr>
              <w:t>15,746</w:t>
            </w:r>
          </w:p>
        </w:tc>
        <w:tc>
          <w:tcPr>
            <w:tcW w:type="dxa" w:w="893"/>
            <w:tcW w:w="892" w:type="dxa"/>
          </w:tcPr>
          <w:p>
            <w:pPr>
              <w:spacing w:after="20" w:before="20"/>
              <w:jc w:val="center"/>
            </w:pPr>
            <w:r>
              <w:rPr>
                <w:sz w:val="15"/>
              </w:rPr>
              <w:t>17,006</w:t>
            </w:r>
          </w:p>
        </w:tc>
        <w:tc>
          <w:tcPr>
            <w:tcW w:type="dxa" w:w="893"/>
            <w:tcW w:w="892" w:type="dxa"/>
          </w:tcPr>
          <w:p>
            <w:pPr>
              <w:spacing w:after="20" w:before="20"/>
              <w:jc w:val="center"/>
            </w:pPr>
            <w:r>
              <w:rPr>
                <w:sz w:val="15"/>
              </w:rPr>
              <w:t>18,367</w:t>
            </w:r>
          </w:p>
        </w:tc>
      </w:tr>
      <w:tr>
        <w:tc>
          <w:tcPr>
            <w:tcW w:type="dxa" w:w="2952"/>
            <w:tcW w:w="2951" w:type="dxa"/>
          </w:tcPr>
          <w:p>
            <w:pPr>
              <w:spacing w:after="20" w:before="20"/>
            </w:pPr>
            <w:r>
              <w:rPr>
                <w:sz w:val="15"/>
              </w:rPr>
              <w:t>Receivables &amp; contract assets</w:t>
            </w:r>
          </w:p>
        </w:tc>
        <w:tc>
          <w:tcPr>
            <w:tcW w:type="dxa" w:w="864"/>
            <w:tcW w:w="864" w:type="dxa"/>
          </w:tcPr>
          <w:p>
            <w:pPr>
              <w:spacing w:after="20" w:before="20"/>
              <w:jc w:val="center"/>
            </w:pPr>
            <w:r>
              <w:rPr>
                <w:sz w:val="15"/>
              </w:rPr>
              <w:t>1,702</w:t>
            </w:r>
          </w:p>
        </w:tc>
        <w:tc>
          <w:tcPr>
            <w:tcW w:type="dxa" w:w="864"/>
            <w:tcW w:w="864" w:type="dxa"/>
          </w:tcPr>
          <w:p>
            <w:pPr>
              <w:spacing w:after="20" w:before="20"/>
              <w:jc w:val="center"/>
            </w:pPr>
            <w:r>
              <w:rPr>
                <w:sz w:val="15"/>
              </w:rPr>
              <w:t>1,758</w:t>
            </w:r>
          </w:p>
        </w:tc>
        <w:tc>
          <w:tcPr>
            <w:tcW w:type="dxa" w:w="864"/>
            <w:tcW w:w="864" w:type="dxa"/>
          </w:tcPr>
          <w:p>
            <w:pPr>
              <w:spacing w:after="20" w:before="20"/>
              <w:jc w:val="center"/>
            </w:pPr>
            <w:r>
              <w:rPr>
                <w:sz w:val="15"/>
              </w:rPr>
              <w:t>2,075</w:t>
            </w:r>
          </w:p>
        </w:tc>
        <w:tc>
          <w:tcPr>
            <w:tcW w:type="dxa" w:w="893"/>
            <w:tcW w:w="892" w:type="dxa"/>
          </w:tcPr>
          <w:p>
            <w:pPr>
              <w:spacing w:after="20" w:before="20"/>
              <w:jc w:val="center"/>
            </w:pPr>
            <w:r>
              <w:rPr>
                <w:sz w:val="15"/>
              </w:rPr>
              <w:t>2,386</w:t>
            </w:r>
          </w:p>
        </w:tc>
        <w:tc>
          <w:tcPr>
            <w:tcW w:type="dxa" w:w="893"/>
            <w:tcW w:w="892" w:type="dxa"/>
          </w:tcPr>
          <w:p>
            <w:pPr>
              <w:spacing w:after="20" w:before="20"/>
              <w:jc w:val="center"/>
            </w:pPr>
            <w:r>
              <w:rPr>
                <w:sz w:val="15"/>
              </w:rPr>
              <w:t>2,816</w:t>
            </w:r>
          </w:p>
        </w:tc>
        <w:tc>
          <w:tcPr>
            <w:tcW w:type="dxa" w:w="893"/>
            <w:tcW w:w="892" w:type="dxa"/>
          </w:tcPr>
          <w:p>
            <w:pPr>
              <w:spacing w:after="20" w:before="20"/>
              <w:jc w:val="center"/>
            </w:pPr>
            <w:r>
              <w:rPr>
                <w:sz w:val="15"/>
              </w:rPr>
              <w:t>3,266</w:t>
            </w:r>
          </w:p>
        </w:tc>
        <w:tc>
          <w:tcPr>
            <w:tcW w:type="dxa" w:w="893"/>
            <w:tcW w:w="892" w:type="dxa"/>
          </w:tcPr>
          <w:p>
            <w:pPr>
              <w:spacing w:after="20" w:before="20"/>
              <w:jc w:val="center"/>
            </w:pPr>
            <w:r>
              <w:rPr>
                <w:sz w:val="15"/>
              </w:rPr>
              <w:t>3,723</w:t>
            </w:r>
          </w:p>
        </w:tc>
        <w:tc>
          <w:tcPr>
            <w:tcW w:type="dxa" w:w="893"/>
            <w:tcW w:w="892" w:type="dxa"/>
          </w:tcPr>
          <w:p>
            <w:pPr>
              <w:spacing w:after="20" w:before="20"/>
              <w:jc w:val="center"/>
            </w:pPr>
            <w:r>
              <w:rPr>
                <w:sz w:val="15"/>
              </w:rPr>
              <w:t>4,170</w:t>
            </w:r>
          </w:p>
        </w:tc>
      </w:tr>
      <w:tr>
        <w:tc>
          <w:tcPr>
            <w:tcW w:type="dxa" w:w="2952"/>
            <w:tcW w:w="2951" w:type="dxa"/>
          </w:tcPr>
          <w:p>
            <w:pPr>
              <w:spacing w:after="20" w:before="20"/>
            </w:pPr>
            <w:r>
              <w:rPr>
                <w:sz w:val="15"/>
              </w:rPr>
              <w:t>Cash &amp; equivalents</w:t>
            </w:r>
          </w:p>
        </w:tc>
        <w:tc>
          <w:tcPr>
            <w:tcW w:type="dxa" w:w="864"/>
            <w:tcW w:w="864" w:type="dxa"/>
          </w:tcPr>
          <w:p>
            <w:pPr>
              <w:spacing w:after="20" w:before="20"/>
              <w:jc w:val="center"/>
            </w:pPr>
            <w:r>
              <w:rPr>
                <w:sz w:val="15"/>
              </w:rPr>
              <w:t>5,000</w:t>
            </w:r>
          </w:p>
        </w:tc>
        <w:tc>
          <w:tcPr>
            <w:tcW w:type="dxa" w:w="864"/>
            <w:tcW w:w="864" w:type="dxa"/>
          </w:tcPr>
          <w:p>
            <w:pPr>
              <w:spacing w:after="20" w:before="20"/>
              <w:jc w:val="center"/>
            </w:pPr>
            <w:r>
              <w:rPr>
                <w:sz w:val="15"/>
              </w:rPr>
              <w:t>5,600</w:t>
            </w:r>
          </w:p>
        </w:tc>
        <w:tc>
          <w:tcPr>
            <w:tcW w:type="dxa" w:w="864"/>
            <w:tcW w:w="864" w:type="dxa"/>
          </w:tcPr>
          <w:p>
            <w:pPr>
              <w:spacing w:after="20" w:before="20"/>
              <w:jc w:val="center"/>
            </w:pPr>
            <w:r>
              <w:rPr>
                <w:sz w:val="15"/>
              </w:rPr>
              <w:t>7,830</w:t>
            </w:r>
          </w:p>
        </w:tc>
        <w:tc>
          <w:tcPr>
            <w:tcW w:type="dxa" w:w="893"/>
            <w:tcW w:w="892" w:type="dxa"/>
          </w:tcPr>
          <w:p>
            <w:pPr>
              <w:spacing w:after="20" w:before="20"/>
              <w:jc w:val="center"/>
            </w:pPr>
            <w:r>
              <w:rPr>
                <w:sz w:val="15"/>
              </w:rPr>
              <w:t>10,403</w:t>
            </w:r>
          </w:p>
        </w:tc>
        <w:tc>
          <w:tcPr>
            <w:tcW w:type="dxa" w:w="893"/>
            <w:tcW w:w="892" w:type="dxa"/>
          </w:tcPr>
          <w:p>
            <w:pPr>
              <w:spacing w:after="20" w:before="20"/>
              <w:jc w:val="center"/>
            </w:pPr>
            <w:r>
              <w:rPr>
                <w:sz w:val="15"/>
              </w:rPr>
              <w:t>13,812</w:t>
            </w:r>
          </w:p>
        </w:tc>
        <w:tc>
          <w:tcPr>
            <w:tcW w:type="dxa" w:w="893"/>
            <w:tcW w:w="892" w:type="dxa"/>
          </w:tcPr>
          <w:p>
            <w:pPr>
              <w:spacing w:after="20" w:before="20"/>
              <w:jc w:val="center"/>
            </w:pPr>
            <w:r>
              <w:rPr>
                <w:sz w:val="15"/>
              </w:rPr>
              <w:t>17,723</w:t>
            </w:r>
          </w:p>
        </w:tc>
        <w:tc>
          <w:tcPr>
            <w:tcW w:type="dxa" w:w="893"/>
            <w:tcW w:w="892" w:type="dxa"/>
          </w:tcPr>
          <w:p>
            <w:pPr>
              <w:spacing w:after="20" w:before="20"/>
              <w:jc w:val="center"/>
            </w:pPr>
            <w:r>
              <w:rPr>
                <w:sz w:val="15"/>
              </w:rPr>
              <w:t>22,165</w:t>
            </w:r>
          </w:p>
        </w:tc>
        <w:tc>
          <w:tcPr>
            <w:tcW w:type="dxa" w:w="893"/>
            <w:tcW w:w="892" w:type="dxa"/>
          </w:tcPr>
          <w:p>
            <w:pPr>
              <w:spacing w:after="20" w:before="20"/>
              <w:jc w:val="center"/>
            </w:pPr>
            <w:r>
              <w:rPr>
                <w:sz w:val="15"/>
              </w:rPr>
              <w:t>27,131</w:t>
            </w:r>
          </w:p>
        </w:tc>
      </w:tr>
      <w:tr>
        <w:tc>
          <w:tcPr>
            <w:tcW w:type="dxa" w:w="2952"/>
            <w:tcW w:w="2951" w:type="dxa"/>
          </w:tcPr>
          <w:p>
            <w:pPr>
              <w:spacing w:after="20" w:before="20"/>
            </w:pPr>
            <w:r>
              <w:rPr>
                <w:sz w:val="15"/>
              </w:rPr>
              <w:t>Other assets</w:t>
            </w:r>
          </w:p>
        </w:tc>
        <w:tc>
          <w:tcPr>
            <w:tcW w:type="dxa" w:w="864"/>
            <w:tcW w:w="864" w:type="dxa"/>
          </w:tcPr>
          <w:p>
            <w:pPr>
              <w:spacing w:after="20" w:before="20"/>
              <w:jc w:val="center"/>
            </w:pPr>
            <w:r>
              <w:rPr>
                <w:sz w:val="15"/>
              </w:rPr>
              <w:t>12,000</w:t>
            </w:r>
          </w:p>
        </w:tc>
        <w:tc>
          <w:tcPr>
            <w:tcW w:type="dxa" w:w="864"/>
            <w:tcW w:w="864" w:type="dxa"/>
          </w:tcPr>
          <w:p>
            <w:pPr>
              <w:spacing w:after="20" w:before="20"/>
              <w:jc w:val="center"/>
            </w:pPr>
            <w:r>
              <w:rPr>
                <w:sz w:val="15"/>
              </w:rPr>
              <w:t>13,000</w:t>
            </w:r>
          </w:p>
        </w:tc>
        <w:tc>
          <w:tcPr>
            <w:tcW w:type="dxa" w:w="864"/>
            <w:tcW w:w="864" w:type="dxa"/>
          </w:tcPr>
          <w:p>
            <w:pPr>
              <w:spacing w:after="20" w:before="20"/>
              <w:jc w:val="center"/>
            </w:pPr>
            <w:r>
              <w:rPr>
                <w:sz w:val="15"/>
              </w:rPr>
              <w:t>14,000</w:t>
            </w:r>
          </w:p>
        </w:tc>
        <w:tc>
          <w:tcPr>
            <w:tcW w:type="dxa" w:w="893"/>
            <w:tcW w:w="892" w:type="dxa"/>
          </w:tcPr>
          <w:p>
            <w:pPr>
              <w:spacing w:after="20" w:before="20"/>
              <w:jc w:val="center"/>
            </w:pPr>
            <w:r>
              <w:rPr>
                <w:sz w:val="15"/>
              </w:rPr>
              <w:t>14,000</w:t>
            </w:r>
          </w:p>
        </w:tc>
        <w:tc>
          <w:tcPr>
            <w:tcW w:type="dxa" w:w="893"/>
            <w:tcW w:w="892" w:type="dxa"/>
          </w:tcPr>
          <w:p>
            <w:pPr>
              <w:spacing w:after="20" w:before="20"/>
              <w:jc w:val="center"/>
            </w:pPr>
            <w:r>
              <w:rPr>
                <w:sz w:val="15"/>
              </w:rPr>
              <w:t>14,000</w:t>
            </w:r>
          </w:p>
        </w:tc>
        <w:tc>
          <w:tcPr>
            <w:tcW w:type="dxa" w:w="893"/>
            <w:tcW w:w="892" w:type="dxa"/>
          </w:tcPr>
          <w:p>
            <w:pPr>
              <w:spacing w:after="20" w:before="20"/>
              <w:jc w:val="center"/>
            </w:pPr>
            <w:r>
              <w:rPr>
                <w:sz w:val="15"/>
              </w:rPr>
              <w:t>14,000</w:t>
            </w:r>
          </w:p>
        </w:tc>
        <w:tc>
          <w:tcPr>
            <w:tcW w:type="dxa" w:w="893"/>
            <w:tcW w:w="892" w:type="dxa"/>
          </w:tcPr>
          <w:p>
            <w:pPr>
              <w:spacing w:after="20" w:before="20"/>
              <w:jc w:val="center"/>
            </w:pPr>
            <w:r>
              <w:rPr>
                <w:sz w:val="15"/>
              </w:rPr>
              <w:t>14,000</w:t>
            </w:r>
          </w:p>
        </w:tc>
        <w:tc>
          <w:tcPr>
            <w:tcW w:type="dxa" w:w="893"/>
            <w:tcW w:w="892" w:type="dxa"/>
          </w:tcPr>
          <w:p>
            <w:pPr>
              <w:spacing w:after="20" w:before="20"/>
              <w:jc w:val="center"/>
            </w:pPr>
            <w:r>
              <w:rPr>
                <w:sz w:val="15"/>
              </w:rPr>
              <w:t>14,000</w:t>
            </w:r>
          </w:p>
        </w:tc>
      </w:tr>
      <w:tr>
        <w:tc>
          <w:tcPr>
            <w:tcW w:type="dxa" w:w="2952"/>
            <w:tcW w:w="2951" w:type="dxa"/>
          </w:tcPr>
          <w:p>
            <w:pPr>
              <w:spacing w:after="20" w:before="20"/>
            </w:pPr>
            <w:r>
              <w:rPr>
                <w:b/>
                <w:sz w:val="15"/>
              </w:rPr>
              <w:t>Total assets</w:t>
            </w:r>
          </w:p>
        </w:tc>
        <w:tc>
          <w:tcPr>
            <w:tcW w:type="dxa" w:w="864"/>
            <w:tcW w:w="864" w:type="dxa"/>
          </w:tcPr>
          <w:p>
            <w:pPr>
              <w:spacing w:after="20" w:before="20"/>
              <w:jc w:val="center"/>
            </w:pPr>
            <w:r>
              <w:rPr>
                <w:b/>
                <w:sz w:val="15"/>
              </w:rPr>
              <w:t>105,702</w:t>
            </w:r>
          </w:p>
        </w:tc>
        <w:tc>
          <w:tcPr>
            <w:tcW w:type="dxa" w:w="864"/>
            <w:tcW w:w="864" w:type="dxa"/>
          </w:tcPr>
          <w:p>
            <w:pPr>
              <w:spacing w:after="20" w:before="20"/>
              <w:jc w:val="center"/>
            </w:pPr>
            <w:r>
              <w:rPr>
                <w:b/>
                <w:sz w:val="15"/>
              </w:rPr>
              <w:t>116,858</w:t>
            </w:r>
          </w:p>
        </w:tc>
        <w:tc>
          <w:tcPr>
            <w:tcW w:type="dxa" w:w="864"/>
            <w:tcW w:w="864" w:type="dxa"/>
          </w:tcPr>
          <w:p>
            <w:pPr>
              <w:spacing w:after="20" w:before="20"/>
              <w:jc w:val="center"/>
            </w:pPr>
            <w:r>
              <w:rPr>
                <w:b/>
                <w:sz w:val="15"/>
              </w:rPr>
              <w:t>131,405</w:t>
            </w:r>
          </w:p>
        </w:tc>
        <w:tc>
          <w:tcPr>
            <w:tcW w:type="dxa" w:w="893"/>
            <w:tcW w:w="892" w:type="dxa"/>
          </w:tcPr>
          <w:p>
            <w:pPr>
              <w:spacing w:after="20" w:before="20"/>
              <w:jc w:val="center"/>
            </w:pPr>
            <w:r>
              <w:rPr>
                <w:b/>
                <w:sz w:val="15"/>
              </w:rPr>
              <w:t>142,011</w:t>
            </w:r>
          </w:p>
        </w:tc>
        <w:tc>
          <w:tcPr>
            <w:tcW w:type="dxa" w:w="893"/>
            <w:tcW w:w="892" w:type="dxa"/>
          </w:tcPr>
          <w:p>
            <w:pPr>
              <w:spacing w:after="20" w:before="20"/>
              <w:jc w:val="center"/>
            </w:pPr>
            <w:r>
              <w:rPr>
                <w:b/>
                <w:sz w:val="15"/>
              </w:rPr>
              <w:t>153,821</w:t>
            </w:r>
          </w:p>
        </w:tc>
        <w:tc>
          <w:tcPr>
            <w:tcW w:type="dxa" w:w="893"/>
            <w:tcW w:w="892" w:type="dxa"/>
          </w:tcPr>
          <w:p>
            <w:pPr>
              <w:spacing w:after="20" w:before="20"/>
              <w:jc w:val="center"/>
            </w:pPr>
            <w:r>
              <w:rPr>
                <w:b/>
                <w:sz w:val="15"/>
              </w:rPr>
              <w:t>166,399</w:t>
            </w:r>
          </w:p>
        </w:tc>
        <w:tc>
          <w:tcPr>
            <w:tcW w:type="dxa" w:w="893"/>
            <w:tcW w:w="892" w:type="dxa"/>
          </w:tcPr>
          <w:p>
            <w:pPr>
              <w:spacing w:after="20" w:before="20"/>
              <w:jc w:val="center"/>
            </w:pPr>
            <w:r>
              <w:rPr>
                <w:b/>
                <w:sz w:val="15"/>
              </w:rPr>
              <w:t>179,764</w:t>
            </w:r>
          </w:p>
        </w:tc>
        <w:tc>
          <w:tcPr>
            <w:tcW w:type="dxa" w:w="893"/>
            <w:tcW w:w="892" w:type="dxa"/>
          </w:tcPr>
          <w:p>
            <w:pPr>
              <w:spacing w:after="20" w:before="20"/>
              <w:jc w:val="center"/>
            </w:pPr>
            <w:r>
              <w:rPr>
                <w:b/>
                <w:sz w:val="15"/>
              </w:rPr>
              <w:t>193,903</w:t>
            </w:r>
          </w:p>
        </w:tc>
      </w:tr>
      <w:tr>
        <w:tc>
          <w:tcPr>
            <w:tcW w:type="dxa" w:w="2952"/>
            <w:tcW w:w="2951" w:type="dxa"/>
          </w:tcPr>
          <w:p>
            <w:pPr>
              <w:spacing w:after="20" w:before="20"/>
            </w:pPr>
            <w:r>
              <w:rPr>
                <w:sz w:val="15"/>
              </w:rPr>
              <w:t>Equity (attrib. to parent)</w:t>
            </w:r>
          </w:p>
        </w:tc>
        <w:tc>
          <w:tcPr>
            <w:tcW w:type="dxa" w:w="864"/>
            <w:tcW w:w="864" w:type="dxa"/>
          </w:tcPr>
          <w:p>
            <w:pPr>
              <w:spacing w:after="20" w:before="20"/>
              <w:jc w:val="center"/>
            </w:pPr>
            <w:r>
              <w:rPr>
                <w:sz w:val="15"/>
              </w:rPr>
              <w:t>22,000</w:t>
            </w:r>
          </w:p>
        </w:tc>
        <w:tc>
          <w:tcPr>
            <w:tcW w:type="dxa" w:w="864"/>
            <w:tcW w:w="864" w:type="dxa"/>
          </w:tcPr>
          <w:p>
            <w:pPr>
              <w:spacing w:after="20" w:before="20"/>
              <w:jc w:val="center"/>
            </w:pPr>
            <w:r>
              <w:rPr>
                <w:sz w:val="15"/>
              </w:rPr>
              <w:t>24,000</w:t>
            </w:r>
          </w:p>
        </w:tc>
        <w:tc>
          <w:tcPr>
            <w:tcW w:type="dxa" w:w="864"/>
            <w:tcW w:w="864" w:type="dxa"/>
          </w:tcPr>
          <w:p>
            <w:pPr>
              <w:spacing w:after="20" w:before="20"/>
              <w:jc w:val="center"/>
            </w:pPr>
            <w:r>
              <w:rPr>
                <w:sz w:val="15"/>
              </w:rPr>
              <w:t>28,000</w:t>
            </w:r>
          </w:p>
        </w:tc>
        <w:tc>
          <w:tcPr>
            <w:tcW w:type="dxa" w:w="893"/>
            <w:tcW w:w="892" w:type="dxa"/>
          </w:tcPr>
          <w:p>
            <w:pPr>
              <w:spacing w:after="20" w:before="20"/>
              <w:jc w:val="center"/>
            </w:pPr>
            <w:r>
              <w:rPr>
                <w:sz w:val="15"/>
              </w:rPr>
              <w:t>30,265</w:t>
            </w:r>
          </w:p>
        </w:tc>
        <w:tc>
          <w:tcPr>
            <w:tcW w:type="dxa" w:w="893"/>
            <w:tcW w:w="892" w:type="dxa"/>
          </w:tcPr>
          <w:p>
            <w:pPr>
              <w:spacing w:after="20" w:before="20"/>
              <w:jc w:val="center"/>
            </w:pPr>
            <w:r>
              <w:rPr>
                <w:sz w:val="15"/>
              </w:rPr>
              <w:t>33,155</w:t>
            </w:r>
          </w:p>
        </w:tc>
        <w:tc>
          <w:tcPr>
            <w:tcW w:type="dxa" w:w="893"/>
            <w:tcW w:w="892" w:type="dxa"/>
          </w:tcPr>
          <w:p>
            <w:pPr>
              <w:spacing w:after="20" w:before="20"/>
              <w:jc w:val="center"/>
            </w:pPr>
            <w:r>
              <w:rPr>
                <w:sz w:val="15"/>
              </w:rPr>
              <w:t>36,326</w:t>
            </w:r>
          </w:p>
        </w:tc>
        <w:tc>
          <w:tcPr>
            <w:tcW w:type="dxa" w:w="893"/>
            <w:tcW w:w="892" w:type="dxa"/>
          </w:tcPr>
          <w:p>
            <w:pPr>
              <w:spacing w:after="20" w:before="20"/>
              <w:jc w:val="center"/>
            </w:pPr>
            <w:r>
              <w:rPr>
                <w:sz w:val="15"/>
              </w:rPr>
              <w:t>39,805</w:t>
            </w:r>
          </w:p>
        </w:tc>
        <w:tc>
          <w:tcPr>
            <w:tcW w:type="dxa" w:w="893"/>
            <w:tcW w:w="892" w:type="dxa"/>
          </w:tcPr>
          <w:p>
            <w:pPr>
              <w:spacing w:after="20" w:before="20"/>
              <w:jc w:val="center"/>
            </w:pPr>
            <w:r>
              <w:rPr>
                <w:sz w:val="15"/>
              </w:rPr>
              <w:t>43,586</w:t>
            </w:r>
          </w:p>
        </w:tc>
      </w:tr>
      <w:tr>
        <w:tc>
          <w:tcPr>
            <w:tcW w:type="dxa" w:w="2952"/>
            <w:tcW w:w="2951" w:type="dxa"/>
          </w:tcPr>
          <w:p>
            <w:pPr>
              <w:spacing w:after="20" w:before="20"/>
            </w:pPr>
            <w:r>
              <w:rPr>
                <w:sz w:val="15"/>
              </w:rPr>
              <w:t>Non-controlling interests</w:t>
            </w:r>
          </w:p>
        </w:tc>
        <w:tc>
          <w:tcPr>
            <w:tcW w:type="dxa" w:w="864"/>
            <w:tcW w:w="864" w:type="dxa"/>
          </w:tcPr>
          <w:p>
            <w:pPr>
              <w:spacing w:after="20" w:before="20"/>
              <w:jc w:val="center"/>
            </w:pPr>
            <w:r>
              <w:rPr>
                <w:sz w:val="15"/>
              </w:rPr>
              <w:t>13,000</w:t>
            </w:r>
          </w:p>
        </w:tc>
        <w:tc>
          <w:tcPr>
            <w:tcW w:type="dxa" w:w="864"/>
            <w:tcW w:w="864" w:type="dxa"/>
          </w:tcPr>
          <w:p>
            <w:pPr>
              <w:spacing w:after="20" w:before="20"/>
              <w:jc w:val="center"/>
            </w:pPr>
            <w:r>
              <w:rPr>
                <w:sz w:val="15"/>
              </w:rPr>
              <w:t>14,500</w:t>
            </w:r>
          </w:p>
        </w:tc>
        <w:tc>
          <w:tcPr>
            <w:tcW w:type="dxa" w:w="864"/>
            <w:tcW w:w="864" w:type="dxa"/>
          </w:tcPr>
          <w:p>
            <w:pPr>
              <w:spacing w:after="20" w:before="20"/>
              <w:jc w:val="center"/>
            </w:pPr>
            <w:r>
              <w:rPr>
                <w:sz w:val="15"/>
              </w:rPr>
              <w:t>16,500</w:t>
            </w:r>
          </w:p>
        </w:tc>
        <w:tc>
          <w:tcPr>
            <w:tcW w:type="dxa" w:w="893"/>
            <w:tcW w:w="892" w:type="dxa"/>
          </w:tcPr>
          <w:p>
            <w:pPr>
              <w:spacing w:after="20" w:before="20"/>
              <w:jc w:val="center"/>
            </w:pPr>
            <w:r>
              <w:rPr>
                <w:sz w:val="15"/>
              </w:rPr>
              <w:t>16,630</w:t>
            </w:r>
          </w:p>
        </w:tc>
        <w:tc>
          <w:tcPr>
            <w:tcW w:type="dxa" w:w="893"/>
            <w:tcW w:w="892" w:type="dxa"/>
          </w:tcPr>
          <w:p>
            <w:pPr>
              <w:spacing w:after="20" w:before="20"/>
              <w:jc w:val="center"/>
            </w:pPr>
            <w:r>
              <w:rPr>
                <w:sz w:val="15"/>
              </w:rPr>
              <w:t>16,780</w:t>
            </w:r>
          </w:p>
        </w:tc>
        <w:tc>
          <w:tcPr>
            <w:tcW w:type="dxa" w:w="893"/>
            <w:tcW w:w="892" w:type="dxa"/>
          </w:tcPr>
          <w:p>
            <w:pPr>
              <w:spacing w:after="20" w:before="20"/>
              <w:jc w:val="center"/>
            </w:pPr>
            <w:r>
              <w:rPr>
                <w:sz w:val="15"/>
              </w:rPr>
              <w:t>16,950</w:t>
            </w:r>
          </w:p>
        </w:tc>
        <w:tc>
          <w:tcPr>
            <w:tcW w:type="dxa" w:w="893"/>
            <w:tcW w:w="892" w:type="dxa"/>
          </w:tcPr>
          <w:p>
            <w:pPr>
              <w:spacing w:after="20" w:before="20"/>
              <w:jc w:val="center"/>
            </w:pPr>
            <w:r>
              <w:rPr>
                <w:sz w:val="15"/>
              </w:rPr>
              <w:t>17,140</w:t>
            </w:r>
          </w:p>
        </w:tc>
        <w:tc>
          <w:tcPr>
            <w:tcW w:type="dxa" w:w="893"/>
            <w:tcW w:w="892" w:type="dxa"/>
          </w:tcPr>
          <w:p>
            <w:pPr>
              <w:spacing w:after="20" w:before="20"/>
              <w:jc w:val="center"/>
            </w:pPr>
            <w:r>
              <w:rPr>
                <w:sz w:val="15"/>
              </w:rPr>
              <w:t>17,350</w:t>
            </w:r>
          </w:p>
        </w:tc>
      </w:tr>
      <w:tr>
        <w:tc>
          <w:tcPr>
            <w:tcW w:type="dxa" w:w="2952"/>
            <w:tcW w:w="2951" w:type="dxa"/>
          </w:tcPr>
          <w:p>
            <w:pPr>
              <w:spacing w:after="20" w:before="20"/>
            </w:pPr>
            <w:r>
              <w:rPr>
                <w:sz w:val="15"/>
              </w:rPr>
              <w:t>Borrowings (corp + non-recourse)</w:t>
            </w:r>
          </w:p>
        </w:tc>
        <w:tc>
          <w:tcPr>
            <w:tcW w:type="dxa" w:w="864"/>
            <w:tcW w:w="864" w:type="dxa"/>
          </w:tcPr>
          <w:p>
            <w:pPr>
              <w:spacing w:after="20" w:before="20"/>
              <w:jc w:val="center"/>
            </w:pPr>
            <w:r>
              <w:rPr>
                <w:sz w:val="15"/>
              </w:rPr>
              <w:t>28,800</w:t>
            </w:r>
          </w:p>
        </w:tc>
        <w:tc>
          <w:tcPr>
            <w:tcW w:type="dxa" w:w="864"/>
            <w:tcW w:w="864" w:type="dxa"/>
          </w:tcPr>
          <w:p>
            <w:pPr>
              <w:spacing w:after="20" w:before="20"/>
              <w:jc w:val="center"/>
            </w:pPr>
            <w:r>
              <w:rPr>
                <w:sz w:val="15"/>
              </w:rPr>
              <w:t>32,500</w:t>
            </w:r>
          </w:p>
        </w:tc>
        <w:tc>
          <w:tcPr>
            <w:tcW w:type="dxa" w:w="864"/>
            <w:tcW w:w="864" w:type="dxa"/>
          </w:tcPr>
          <w:p>
            <w:pPr>
              <w:spacing w:after="20" w:before="20"/>
              <w:jc w:val="center"/>
            </w:pPr>
            <w:r>
              <w:rPr>
                <w:sz w:val="15"/>
              </w:rPr>
              <w:t>37,200</w:t>
            </w:r>
          </w:p>
        </w:tc>
        <w:tc>
          <w:tcPr>
            <w:tcW w:type="dxa" w:w="893"/>
            <w:tcW w:w="892" w:type="dxa"/>
          </w:tcPr>
          <w:p>
            <w:pPr>
              <w:spacing w:after="20" w:before="20"/>
              <w:jc w:val="center"/>
            </w:pPr>
            <w:r>
              <w:rPr>
                <w:sz w:val="15"/>
              </w:rPr>
              <w:t>43,200</w:t>
            </w:r>
          </w:p>
        </w:tc>
        <w:tc>
          <w:tcPr>
            <w:tcW w:type="dxa" w:w="893"/>
            <w:tcW w:w="892" w:type="dxa"/>
          </w:tcPr>
          <w:p>
            <w:pPr>
              <w:spacing w:after="20" w:before="20"/>
              <w:jc w:val="center"/>
            </w:pPr>
            <w:r>
              <w:rPr>
                <w:sz w:val="15"/>
              </w:rPr>
              <w:t>49,500</w:t>
            </w:r>
          </w:p>
        </w:tc>
        <w:tc>
          <w:tcPr>
            <w:tcW w:type="dxa" w:w="893"/>
            <w:tcW w:w="892" w:type="dxa"/>
          </w:tcPr>
          <w:p>
            <w:pPr>
              <w:spacing w:after="20" w:before="20"/>
              <w:jc w:val="center"/>
            </w:pPr>
            <w:r>
              <w:rPr>
                <w:sz w:val="15"/>
              </w:rPr>
              <w:t>56,100</w:t>
            </w:r>
          </w:p>
        </w:tc>
        <w:tc>
          <w:tcPr>
            <w:tcW w:type="dxa" w:w="893"/>
            <w:tcW w:w="892" w:type="dxa"/>
          </w:tcPr>
          <w:p>
            <w:pPr>
              <w:spacing w:after="20" w:before="20"/>
              <w:jc w:val="center"/>
            </w:pPr>
            <w:r>
              <w:rPr>
                <w:sz w:val="15"/>
              </w:rPr>
              <w:t>63,000</w:t>
            </w:r>
          </w:p>
        </w:tc>
        <w:tc>
          <w:tcPr>
            <w:tcW w:type="dxa" w:w="893"/>
            <w:tcW w:w="892" w:type="dxa"/>
          </w:tcPr>
          <w:p>
            <w:pPr>
              <w:spacing w:after="20" w:before="20"/>
              <w:jc w:val="center"/>
            </w:pPr>
            <w:r>
              <w:rPr>
                <w:sz w:val="15"/>
              </w:rPr>
              <w:t>70,200</w:t>
            </w:r>
          </w:p>
        </w:tc>
      </w:tr>
      <w:tr>
        <w:tc>
          <w:tcPr>
            <w:tcW w:type="dxa" w:w="2952"/>
            <w:tcW w:w="2951" w:type="dxa"/>
          </w:tcPr>
          <w:p>
            <w:pPr>
              <w:spacing w:after="20" w:before="20"/>
            </w:pPr>
            <w:r>
              <w:rPr>
                <w:sz w:val="15"/>
              </w:rPr>
              <w:t>Payables &amp; other liab. (bal.)</w:t>
            </w:r>
          </w:p>
        </w:tc>
        <w:tc>
          <w:tcPr>
            <w:tcW w:type="dxa" w:w="864"/>
            <w:tcW w:w="864" w:type="dxa"/>
          </w:tcPr>
          <w:p>
            <w:pPr>
              <w:spacing w:after="20" w:before="20"/>
              <w:jc w:val="center"/>
            </w:pPr>
            <w:r>
              <w:rPr>
                <w:sz w:val="15"/>
              </w:rPr>
              <w:t>41,902</w:t>
            </w:r>
          </w:p>
        </w:tc>
        <w:tc>
          <w:tcPr>
            <w:tcW w:type="dxa" w:w="864"/>
            <w:tcW w:w="864" w:type="dxa"/>
          </w:tcPr>
          <w:p>
            <w:pPr>
              <w:spacing w:after="20" w:before="20"/>
              <w:jc w:val="center"/>
            </w:pPr>
            <w:r>
              <w:rPr>
                <w:sz w:val="15"/>
              </w:rPr>
              <w:t>45,858</w:t>
            </w:r>
          </w:p>
        </w:tc>
        <w:tc>
          <w:tcPr>
            <w:tcW w:type="dxa" w:w="864"/>
            <w:tcW w:w="864" w:type="dxa"/>
          </w:tcPr>
          <w:p>
            <w:pPr>
              <w:spacing w:after="20" w:before="20"/>
              <w:jc w:val="center"/>
            </w:pPr>
            <w:r>
              <w:rPr>
                <w:sz w:val="15"/>
              </w:rPr>
              <w:t>49,705</w:t>
            </w:r>
          </w:p>
        </w:tc>
        <w:tc>
          <w:tcPr>
            <w:tcW w:type="dxa" w:w="893"/>
            <w:tcW w:w="892" w:type="dxa"/>
          </w:tcPr>
          <w:p>
            <w:pPr>
              <w:spacing w:after="20" w:before="20"/>
              <w:jc w:val="center"/>
            </w:pPr>
            <w:r>
              <w:rPr>
                <w:sz w:val="15"/>
              </w:rPr>
              <w:t>51,916</w:t>
            </w:r>
          </w:p>
        </w:tc>
        <w:tc>
          <w:tcPr>
            <w:tcW w:type="dxa" w:w="893"/>
            <w:tcW w:w="892" w:type="dxa"/>
          </w:tcPr>
          <w:p>
            <w:pPr>
              <w:spacing w:after="20" w:before="20"/>
              <w:jc w:val="center"/>
            </w:pPr>
            <w:r>
              <w:rPr>
                <w:sz w:val="15"/>
              </w:rPr>
              <w:t>54,386</w:t>
            </w:r>
          </w:p>
        </w:tc>
        <w:tc>
          <w:tcPr>
            <w:tcW w:type="dxa" w:w="893"/>
            <w:tcW w:w="892" w:type="dxa"/>
          </w:tcPr>
          <w:p>
            <w:pPr>
              <w:spacing w:after="20" w:before="20"/>
              <w:jc w:val="center"/>
            </w:pPr>
            <w:r>
              <w:rPr>
                <w:sz w:val="15"/>
              </w:rPr>
              <w:t>57,022</w:t>
            </w:r>
          </w:p>
        </w:tc>
        <w:tc>
          <w:tcPr>
            <w:tcW w:type="dxa" w:w="893"/>
            <w:tcW w:w="892" w:type="dxa"/>
          </w:tcPr>
          <w:p>
            <w:pPr>
              <w:spacing w:after="20" w:before="20"/>
              <w:jc w:val="center"/>
            </w:pPr>
            <w:r>
              <w:rPr>
                <w:sz w:val="15"/>
              </w:rPr>
              <w:t>59,819</w:t>
            </w:r>
          </w:p>
        </w:tc>
        <w:tc>
          <w:tcPr>
            <w:tcW w:type="dxa" w:w="893"/>
            <w:tcW w:w="892" w:type="dxa"/>
          </w:tcPr>
          <w:p>
            <w:pPr>
              <w:spacing w:after="20" w:before="20"/>
              <w:jc w:val="center"/>
            </w:pPr>
            <w:r>
              <w:rPr>
                <w:sz w:val="15"/>
              </w:rPr>
              <w:t>62,767</w:t>
            </w:r>
          </w:p>
        </w:tc>
      </w:tr>
      <w:tr>
        <w:tc>
          <w:tcPr>
            <w:tcW w:type="dxa" w:w="2952"/>
            <w:tcW w:w="2951" w:type="dxa"/>
          </w:tcPr>
          <w:p>
            <w:pPr>
              <w:spacing w:after="20" w:before="20"/>
            </w:pPr>
            <w:r>
              <w:rPr>
                <w:b/>
                <w:sz w:val="15"/>
              </w:rPr>
              <w:t>Total equity &amp; liabilities</w:t>
            </w:r>
          </w:p>
        </w:tc>
        <w:tc>
          <w:tcPr>
            <w:tcW w:type="dxa" w:w="864"/>
            <w:tcW w:w="864" w:type="dxa"/>
          </w:tcPr>
          <w:p>
            <w:pPr>
              <w:spacing w:after="20" w:before="20"/>
              <w:jc w:val="center"/>
            </w:pPr>
            <w:r>
              <w:rPr>
                <w:b/>
                <w:sz w:val="15"/>
              </w:rPr>
              <w:t>105,702</w:t>
            </w:r>
          </w:p>
        </w:tc>
        <w:tc>
          <w:tcPr>
            <w:tcW w:type="dxa" w:w="864"/>
            <w:tcW w:w="864" w:type="dxa"/>
          </w:tcPr>
          <w:p>
            <w:pPr>
              <w:spacing w:after="20" w:before="20"/>
              <w:jc w:val="center"/>
            </w:pPr>
            <w:r>
              <w:rPr>
                <w:b/>
                <w:sz w:val="15"/>
              </w:rPr>
              <w:t>116,858</w:t>
            </w:r>
          </w:p>
        </w:tc>
        <w:tc>
          <w:tcPr>
            <w:tcW w:type="dxa" w:w="864"/>
            <w:tcW w:w="864" w:type="dxa"/>
          </w:tcPr>
          <w:p>
            <w:pPr>
              <w:spacing w:after="20" w:before="20"/>
              <w:jc w:val="center"/>
            </w:pPr>
            <w:r>
              <w:rPr>
                <w:b/>
                <w:sz w:val="15"/>
              </w:rPr>
              <w:t>131,405</w:t>
            </w:r>
          </w:p>
        </w:tc>
        <w:tc>
          <w:tcPr>
            <w:tcW w:type="dxa" w:w="893"/>
            <w:tcW w:w="892" w:type="dxa"/>
          </w:tcPr>
          <w:p>
            <w:pPr>
              <w:spacing w:after="20" w:before="20"/>
              <w:jc w:val="center"/>
            </w:pPr>
            <w:r>
              <w:rPr>
                <w:b/>
                <w:sz w:val="15"/>
              </w:rPr>
              <w:t>142,011</w:t>
            </w:r>
          </w:p>
        </w:tc>
        <w:tc>
          <w:tcPr>
            <w:tcW w:type="dxa" w:w="893"/>
            <w:tcW w:w="892" w:type="dxa"/>
          </w:tcPr>
          <w:p>
            <w:pPr>
              <w:spacing w:after="20" w:before="20"/>
              <w:jc w:val="center"/>
            </w:pPr>
            <w:r>
              <w:rPr>
                <w:b/>
                <w:sz w:val="15"/>
              </w:rPr>
              <w:t>153,821</w:t>
            </w:r>
          </w:p>
        </w:tc>
        <w:tc>
          <w:tcPr>
            <w:tcW w:type="dxa" w:w="893"/>
            <w:tcW w:w="892" w:type="dxa"/>
          </w:tcPr>
          <w:p>
            <w:pPr>
              <w:spacing w:after="20" w:before="20"/>
              <w:jc w:val="center"/>
            </w:pPr>
            <w:r>
              <w:rPr>
                <w:b/>
                <w:sz w:val="15"/>
              </w:rPr>
              <w:t>166,399</w:t>
            </w:r>
          </w:p>
        </w:tc>
        <w:tc>
          <w:tcPr>
            <w:tcW w:type="dxa" w:w="893"/>
            <w:tcW w:w="892" w:type="dxa"/>
          </w:tcPr>
          <w:p>
            <w:pPr>
              <w:spacing w:after="20" w:before="20"/>
              <w:jc w:val="center"/>
            </w:pPr>
            <w:r>
              <w:rPr>
                <w:b/>
                <w:sz w:val="15"/>
              </w:rPr>
              <w:t>179,764</w:t>
            </w:r>
          </w:p>
        </w:tc>
        <w:tc>
          <w:tcPr>
            <w:tcW w:type="dxa" w:w="893"/>
            <w:tcW w:w="892" w:type="dxa"/>
          </w:tcPr>
          <w:p>
            <w:pPr>
              <w:spacing w:after="20" w:before="20"/>
              <w:jc w:val="center"/>
            </w:pPr>
            <w:r>
              <w:rPr>
                <w:b/>
                <w:sz w:val="15"/>
              </w:rPr>
              <w:t>193,903</w:t>
            </w:r>
          </w:p>
        </w:tc>
      </w:tr>
    </w:tbl>
    <w:p>
      <w:pPr>
        <w:spacing w:after="160" w:before="40"/>
      </w:pPr>
      <w:r>
        <w:rPr>
          <w:i/>
          <w:color w:val="555555"/>
          <w:sz w:val="17"/>
        </w:rPr>
        <w:t>Historical anchored to disclosed equity, borrowings and cash; other lines estimated to balance and the balance sheet ties (payables &amp; other is the balancing line). Only holdco/corporate net debt (~SAR 25bn) is deducted in the SOTP; non-recourse project debt sits inside each project's equity value.</w:t>
      </w:r>
    </w:p>
    <w:p>
      <w:pPr>
        <w:spacing w:before="140" w:after="80"/>
      </w:pPr>
      <w:r>
        <w:rPr>
          <w:b/>
          <w:color w:val="1B5E5E"/>
          <w:sz w:val="23"/>
        </w:rPr>
        <w:t>A.3  Cash flow (consolidated, SAR m) — 5-year forecast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888"/>
            <w:tcW w:w="3888" w:type="dxa"/>
            <w:shd w:val="clear" w:fill="1B5E5E"/>
          </w:tcPr>
          <w:p>
            <w:pPr>
              <w:spacing w:after="20" w:before="20"/>
            </w:pPr>
            <w:r>
              <w:rPr>
                <w:b/>
                <w:color w:val="FFFFFF"/>
                <w:sz w:val="17"/>
              </w:rPr>
              <w:t>Line (SAR m)</w:t>
            </w:r>
          </w:p>
        </w:tc>
        <w:tc>
          <w:tcPr>
            <w:tcW w:type="dxa" w:w="1210"/>
            <w:tcW w:w="1209" w:type="dxa"/>
            <w:shd w:val="clear" w:fill="1B5E5E"/>
          </w:tcPr>
          <w:p>
            <w:pPr>
              <w:spacing w:after="20" w:before="20"/>
              <w:jc w:val="center"/>
            </w:pPr>
            <w:r>
              <w:rPr>
                <w:b/>
                <w:color w:val="FFFFFF"/>
                <w:sz w:val="17"/>
              </w:rPr>
              <w:t>2026E</w:t>
            </w:r>
          </w:p>
        </w:tc>
        <w:tc>
          <w:tcPr>
            <w:tcW w:type="dxa" w:w="1210"/>
            <w:tcW w:w="1209" w:type="dxa"/>
            <w:shd w:val="clear" w:fill="1B5E5E"/>
          </w:tcPr>
          <w:p>
            <w:pPr>
              <w:spacing w:after="20" w:before="20"/>
              <w:jc w:val="center"/>
            </w:pPr>
            <w:r>
              <w:rPr>
                <w:b/>
                <w:color w:val="FFFFFF"/>
                <w:sz w:val="17"/>
              </w:rPr>
              <w:t>2027E</w:t>
            </w:r>
          </w:p>
        </w:tc>
        <w:tc>
          <w:tcPr>
            <w:tcW w:type="dxa" w:w="1210"/>
            <w:tcW w:w="1209" w:type="dxa"/>
            <w:shd w:val="clear" w:fill="1B5E5E"/>
          </w:tcPr>
          <w:p>
            <w:pPr>
              <w:spacing w:after="20" w:before="20"/>
              <w:jc w:val="center"/>
            </w:pPr>
            <w:r>
              <w:rPr>
                <w:b/>
                <w:color w:val="FFFFFF"/>
                <w:sz w:val="17"/>
              </w:rPr>
              <w:t>2028E</w:t>
            </w:r>
          </w:p>
        </w:tc>
        <w:tc>
          <w:tcPr>
            <w:tcW w:type="dxa" w:w="1210"/>
            <w:tcW w:w="1209" w:type="dxa"/>
            <w:shd w:val="clear" w:fill="1B5E5E"/>
          </w:tcPr>
          <w:p>
            <w:pPr>
              <w:spacing w:after="20" w:before="20"/>
              <w:jc w:val="center"/>
            </w:pPr>
            <w:r>
              <w:rPr>
                <w:b/>
                <w:color w:val="FFFFFF"/>
                <w:sz w:val="17"/>
              </w:rPr>
              <w:t>2029E</w:t>
            </w:r>
          </w:p>
        </w:tc>
        <w:tc>
          <w:tcPr>
            <w:tcW w:type="dxa" w:w="1210"/>
            <w:tcW w:w="1209" w:type="dxa"/>
            <w:shd w:val="clear" w:fill="1B5E5E"/>
          </w:tcPr>
          <w:p>
            <w:pPr>
              <w:spacing w:after="20" w:before="20"/>
              <w:jc w:val="center"/>
            </w:pPr>
            <w:r>
              <w:rPr>
                <w:b/>
                <w:color w:val="FFFFFF"/>
                <w:sz w:val="17"/>
              </w:rPr>
              <w:t>2030E</w:t>
            </w:r>
          </w:p>
        </w:tc>
      </w:tr>
      <w:tr>
        <w:tc>
          <w:tcPr>
            <w:tcW w:type="dxa" w:w="3888"/>
            <w:tcW w:w="3888" w:type="dxa"/>
          </w:tcPr>
          <w:p>
            <w:pPr>
              <w:spacing w:after="20" w:before="20"/>
            </w:pPr>
            <w:r>
              <w:rPr>
                <w:sz w:val="17"/>
              </w:rPr>
              <w:t>Net profit (attributable)</w:t>
            </w:r>
          </w:p>
        </w:tc>
        <w:tc>
          <w:tcPr>
            <w:tcW w:type="dxa" w:w="1210"/>
            <w:tcW w:w="1209" w:type="dxa"/>
          </w:tcPr>
          <w:p>
            <w:pPr>
              <w:spacing w:after="20" w:before="20"/>
              <w:jc w:val="center"/>
            </w:pPr>
            <w:r>
              <w:rPr>
                <w:sz w:val="17"/>
              </w:rPr>
              <w:t>2,265</w:t>
            </w:r>
          </w:p>
        </w:tc>
        <w:tc>
          <w:tcPr>
            <w:tcW w:type="dxa" w:w="1210"/>
            <w:tcW w:w="1209" w:type="dxa"/>
          </w:tcPr>
          <w:p>
            <w:pPr>
              <w:spacing w:after="20" w:before="20"/>
              <w:jc w:val="center"/>
            </w:pPr>
            <w:r>
              <w:rPr>
                <w:sz w:val="17"/>
              </w:rPr>
              <w:t>2,890</w:t>
            </w:r>
          </w:p>
        </w:tc>
        <w:tc>
          <w:tcPr>
            <w:tcW w:type="dxa" w:w="1210"/>
            <w:tcW w:w="1209" w:type="dxa"/>
          </w:tcPr>
          <w:p>
            <w:pPr>
              <w:spacing w:after="20" w:before="20"/>
              <w:jc w:val="center"/>
            </w:pPr>
            <w:r>
              <w:rPr>
                <w:sz w:val="17"/>
              </w:rPr>
              <w:t>3,571</w:t>
            </w:r>
          </w:p>
        </w:tc>
        <w:tc>
          <w:tcPr>
            <w:tcW w:type="dxa" w:w="1210"/>
            <w:tcW w:w="1209" w:type="dxa"/>
          </w:tcPr>
          <w:p>
            <w:pPr>
              <w:spacing w:after="20" w:before="20"/>
              <w:jc w:val="center"/>
            </w:pPr>
            <w:r>
              <w:rPr>
                <w:sz w:val="17"/>
              </w:rPr>
              <w:t>4,278</w:t>
            </w:r>
          </w:p>
        </w:tc>
        <w:tc>
          <w:tcPr>
            <w:tcW w:type="dxa" w:w="1210"/>
            <w:tcW w:w="1209" w:type="dxa"/>
          </w:tcPr>
          <w:p>
            <w:pPr>
              <w:spacing w:after="20" w:before="20"/>
              <w:jc w:val="center"/>
            </w:pPr>
            <w:r>
              <w:rPr>
                <w:sz w:val="17"/>
              </w:rPr>
              <w:t>4,982</w:t>
            </w:r>
          </w:p>
        </w:tc>
      </w:tr>
      <w:tr>
        <w:tc>
          <w:tcPr>
            <w:tcW w:type="dxa" w:w="3888"/>
            <w:tcW w:w="3888" w:type="dxa"/>
          </w:tcPr>
          <w:p>
            <w:pPr>
              <w:spacing w:after="20" w:before="20"/>
            </w:pPr>
            <w:r>
              <w:rPr>
                <w:sz w:val="17"/>
              </w:rPr>
              <w:t>plus: Minority interest</w:t>
            </w:r>
          </w:p>
        </w:tc>
        <w:tc>
          <w:tcPr>
            <w:tcW w:type="dxa" w:w="1210"/>
            <w:tcW w:w="1209" w:type="dxa"/>
          </w:tcPr>
          <w:p>
            <w:pPr>
              <w:spacing w:after="20" w:before="20"/>
              <w:jc w:val="center"/>
            </w:pPr>
            <w:r>
              <w:rPr>
                <w:sz w:val="17"/>
              </w:rPr>
              <w:t>130</w:t>
            </w:r>
          </w:p>
        </w:tc>
        <w:tc>
          <w:tcPr>
            <w:tcW w:type="dxa" w:w="1210"/>
            <w:tcW w:w="1209" w:type="dxa"/>
          </w:tcPr>
          <w:p>
            <w:pPr>
              <w:spacing w:after="20" w:before="20"/>
              <w:jc w:val="center"/>
            </w:pPr>
            <w:r>
              <w:rPr>
                <w:sz w:val="17"/>
              </w:rPr>
              <w:t>150</w:t>
            </w:r>
          </w:p>
        </w:tc>
        <w:tc>
          <w:tcPr>
            <w:tcW w:type="dxa" w:w="1210"/>
            <w:tcW w:w="1209" w:type="dxa"/>
          </w:tcPr>
          <w:p>
            <w:pPr>
              <w:spacing w:after="20" w:before="20"/>
              <w:jc w:val="center"/>
            </w:pPr>
            <w:r>
              <w:rPr>
                <w:sz w:val="17"/>
              </w:rPr>
              <w:t>170</w:t>
            </w:r>
          </w:p>
        </w:tc>
        <w:tc>
          <w:tcPr>
            <w:tcW w:type="dxa" w:w="1210"/>
            <w:tcW w:w="1209" w:type="dxa"/>
          </w:tcPr>
          <w:p>
            <w:pPr>
              <w:spacing w:after="20" w:before="20"/>
              <w:jc w:val="center"/>
            </w:pPr>
            <w:r>
              <w:rPr>
                <w:sz w:val="17"/>
              </w:rPr>
              <w:t>190</w:t>
            </w:r>
          </w:p>
        </w:tc>
        <w:tc>
          <w:tcPr>
            <w:tcW w:type="dxa" w:w="1210"/>
            <w:tcW w:w="1209" w:type="dxa"/>
          </w:tcPr>
          <w:p>
            <w:pPr>
              <w:spacing w:after="20" w:before="20"/>
              <w:jc w:val="center"/>
            </w:pPr>
            <w:r>
              <w:rPr>
                <w:sz w:val="17"/>
              </w:rPr>
              <w:t>210</w:t>
            </w:r>
          </w:p>
        </w:tc>
      </w:tr>
      <w:tr>
        <w:tc>
          <w:tcPr>
            <w:tcW w:type="dxa" w:w="3888"/>
            <w:tcW w:w="3888" w:type="dxa"/>
          </w:tcPr>
          <w:p>
            <w:pPr>
              <w:spacing w:after="20" w:before="20"/>
            </w:pPr>
            <w:r>
              <w:rPr>
                <w:sz w:val="17"/>
              </w:rPr>
              <w:t>plus: D&amp;A</w:t>
            </w:r>
          </w:p>
        </w:tc>
        <w:tc>
          <w:tcPr>
            <w:tcW w:type="dxa" w:w="1210"/>
            <w:tcW w:w="1209" w:type="dxa"/>
          </w:tcPr>
          <w:p>
            <w:pPr>
              <w:spacing w:after="20" w:before="20"/>
              <w:jc w:val="center"/>
            </w:pPr>
            <w:r>
              <w:rPr>
                <w:sz w:val="17"/>
              </w:rPr>
              <w:t>1,278</w:t>
            </w:r>
          </w:p>
        </w:tc>
        <w:tc>
          <w:tcPr>
            <w:tcW w:type="dxa" w:w="1210"/>
            <w:tcW w:w="1209" w:type="dxa"/>
          </w:tcPr>
          <w:p>
            <w:pPr>
              <w:spacing w:after="20" w:before="20"/>
              <w:jc w:val="center"/>
            </w:pPr>
            <w:r>
              <w:rPr>
                <w:sz w:val="17"/>
              </w:rPr>
              <w:t>1,508</w:t>
            </w:r>
          </w:p>
        </w:tc>
        <w:tc>
          <w:tcPr>
            <w:tcW w:type="dxa" w:w="1210"/>
            <w:tcW w:w="1209" w:type="dxa"/>
          </w:tcPr>
          <w:p>
            <w:pPr>
              <w:spacing w:after="20" w:before="20"/>
              <w:jc w:val="center"/>
            </w:pPr>
            <w:r>
              <w:rPr>
                <w:sz w:val="17"/>
              </w:rPr>
              <w:t>1,750</w:t>
            </w:r>
          </w:p>
        </w:tc>
        <w:tc>
          <w:tcPr>
            <w:tcW w:type="dxa" w:w="1210"/>
            <w:tcW w:w="1209" w:type="dxa"/>
          </w:tcPr>
          <w:p>
            <w:pPr>
              <w:spacing w:after="20" w:before="20"/>
              <w:jc w:val="center"/>
            </w:pPr>
            <w:r>
              <w:rPr>
                <w:sz w:val="17"/>
              </w:rPr>
              <w:t>1,995</w:t>
            </w:r>
          </w:p>
        </w:tc>
        <w:tc>
          <w:tcPr>
            <w:tcW w:type="dxa" w:w="1210"/>
            <w:tcW w:w="1209" w:type="dxa"/>
          </w:tcPr>
          <w:p>
            <w:pPr>
              <w:spacing w:after="20" w:before="20"/>
              <w:jc w:val="center"/>
            </w:pPr>
            <w:r>
              <w:rPr>
                <w:sz w:val="17"/>
              </w:rPr>
              <w:t>2,234</w:t>
            </w:r>
          </w:p>
        </w:tc>
      </w:tr>
      <w:tr>
        <w:tc>
          <w:tcPr>
            <w:tcW w:type="dxa" w:w="3888"/>
            <w:tcW w:w="3888" w:type="dxa"/>
          </w:tcPr>
          <w:p>
            <w:pPr>
              <w:spacing w:after="20" w:before="20"/>
            </w:pPr>
            <w:r>
              <w:rPr>
                <w:sz w:val="17"/>
              </w:rPr>
              <w:t>less: Δ working capital</w:t>
            </w:r>
          </w:p>
        </w:tc>
        <w:tc>
          <w:tcPr>
            <w:tcW w:type="dxa" w:w="1210"/>
            <w:tcW w:w="1209" w:type="dxa"/>
          </w:tcPr>
          <w:p>
            <w:pPr>
              <w:spacing w:after="20" w:before="20"/>
              <w:jc w:val="center"/>
            </w:pPr>
            <w:r>
              <w:rPr>
                <w:sz w:val="17"/>
              </w:rPr>
              <w:t>(300)</w:t>
            </w:r>
          </w:p>
        </w:tc>
        <w:tc>
          <w:tcPr>
            <w:tcW w:type="dxa" w:w="1210"/>
            <w:tcW w:w="1209" w:type="dxa"/>
          </w:tcPr>
          <w:p>
            <w:pPr>
              <w:spacing w:after="20" w:before="20"/>
              <w:jc w:val="center"/>
            </w:pPr>
            <w:r>
              <w:rPr>
                <w:sz w:val="17"/>
              </w:rPr>
              <w:t>(300)</w:t>
            </w:r>
          </w:p>
        </w:tc>
        <w:tc>
          <w:tcPr>
            <w:tcW w:type="dxa" w:w="1210"/>
            <w:tcW w:w="1209" w:type="dxa"/>
          </w:tcPr>
          <w:p>
            <w:pPr>
              <w:spacing w:after="20" w:before="20"/>
              <w:jc w:val="center"/>
            </w:pPr>
            <w:r>
              <w:rPr>
                <w:sz w:val="17"/>
              </w:rPr>
              <w:t>(300)</w:t>
            </w:r>
          </w:p>
        </w:tc>
        <w:tc>
          <w:tcPr>
            <w:tcW w:type="dxa" w:w="1210"/>
            <w:tcW w:w="1209" w:type="dxa"/>
          </w:tcPr>
          <w:p>
            <w:pPr>
              <w:spacing w:after="20" w:before="20"/>
              <w:jc w:val="center"/>
            </w:pPr>
            <w:r>
              <w:rPr>
                <w:sz w:val="17"/>
              </w:rPr>
              <w:t>(300)</w:t>
            </w:r>
          </w:p>
        </w:tc>
        <w:tc>
          <w:tcPr>
            <w:tcW w:type="dxa" w:w="1210"/>
            <w:tcW w:w="1209" w:type="dxa"/>
          </w:tcPr>
          <w:p>
            <w:pPr>
              <w:spacing w:after="20" w:before="20"/>
              <w:jc w:val="center"/>
            </w:pPr>
            <w:r>
              <w:rPr>
                <w:sz w:val="17"/>
              </w:rPr>
              <w:t>(300)</w:t>
            </w:r>
          </w:p>
        </w:tc>
      </w:tr>
      <w:tr>
        <w:tc>
          <w:tcPr>
            <w:tcW w:type="dxa" w:w="3888"/>
            <w:tcW w:w="3888" w:type="dxa"/>
          </w:tcPr>
          <w:p>
            <w:pPr>
              <w:spacing w:after="20" w:before="20"/>
            </w:pPr>
            <w:r>
              <w:rPr>
                <w:b/>
                <w:sz w:val="17"/>
              </w:rPr>
              <w:t>Operating cash flow</w:t>
            </w:r>
          </w:p>
        </w:tc>
        <w:tc>
          <w:tcPr>
            <w:tcW w:type="dxa" w:w="1210"/>
            <w:tcW w:w="1209" w:type="dxa"/>
          </w:tcPr>
          <w:p>
            <w:pPr>
              <w:spacing w:after="20" w:before="20"/>
              <w:jc w:val="center"/>
            </w:pPr>
            <w:r>
              <w:rPr>
                <w:b/>
                <w:sz w:val="17"/>
              </w:rPr>
              <w:t>3,373</w:t>
            </w:r>
          </w:p>
        </w:tc>
        <w:tc>
          <w:tcPr>
            <w:tcW w:type="dxa" w:w="1210"/>
            <w:tcW w:w="1209" w:type="dxa"/>
          </w:tcPr>
          <w:p>
            <w:pPr>
              <w:spacing w:after="20" w:before="20"/>
              <w:jc w:val="center"/>
            </w:pPr>
            <w:r>
              <w:rPr>
                <w:b/>
                <w:sz w:val="17"/>
              </w:rPr>
              <w:t>4,249</w:t>
            </w:r>
          </w:p>
        </w:tc>
        <w:tc>
          <w:tcPr>
            <w:tcW w:type="dxa" w:w="1210"/>
            <w:tcW w:w="1209" w:type="dxa"/>
          </w:tcPr>
          <w:p>
            <w:pPr>
              <w:spacing w:after="20" w:before="20"/>
              <w:jc w:val="center"/>
            </w:pPr>
            <w:r>
              <w:rPr>
                <w:b/>
                <w:sz w:val="17"/>
              </w:rPr>
              <w:t>5,191</w:t>
            </w:r>
          </w:p>
        </w:tc>
        <w:tc>
          <w:tcPr>
            <w:tcW w:type="dxa" w:w="1210"/>
            <w:tcW w:w="1209" w:type="dxa"/>
          </w:tcPr>
          <w:p>
            <w:pPr>
              <w:spacing w:after="20" w:before="20"/>
              <w:jc w:val="center"/>
            </w:pPr>
            <w:r>
              <w:rPr>
                <w:b/>
                <w:sz w:val="17"/>
              </w:rPr>
              <w:t>6,163</w:t>
            </w:r>
          </w:p>
        </w:tc>
        <w:tc>
          <w:tcPr>
            <w:tcW w:type="dxa" w:w="1210"/>
            <w:tcW w:w="1209" w:type="dxa"/>
          </w:tcPr>
          <w:p>
            <w:pPr>
              <w:spacing w:after="20" w:before="20"/>
              <w:jc w:val="center"/>
            </w:pPr>
            <w:r>
              <w:rPr>
                <w:b/>
                <w:sz w:val="17"/>
              </w:rPr>
              <w:t>7,126</w:t>
            </w:r>
          </w:p>
        </w:tc>
      </w:tr>
      <w:tr>
        <w:tc>
          <w:tcPr>
            <w:tcW w:type="dxa" w:w="3888"/>
            <w:tcW w:w="3888" w:type="dxa"/>
          </w:tcPr>
          <w:p>
            <w:pPr>
              <w:spacing w:after="20" w:before="20"/>
            </w:pPr>
            <w:r>
              <w:rPr>
                <w:sz w:val="17"/>
              </w:rPr>
              <w:t>less: Growth capex (attributable)</w:t>
            </w:r>
          </w:p>
        </w:tc>
        <w:tc>
          <w:tcPr>
            <w:tcW w:type="dxa" w:w="1210"/>
            <w:tcW w:w="1209" w:type="dxa"/>
          </w:tcPr>
          <w:p>
            <w:pPr>
              <w:spacing w:after="20" w:before="20"/>
              <w:jc w:val="center"/>
            </w:pPr>
            <w:r>
              <w:rPr>
                <w:sz w:val="17"/>
              </w:rPr>
              <w:t>(2,000)</w:t>
            </w:r>
          </w:p>
        </w:tc>
        <w:tc>
          <w:tcPr>
            <w:tcW w:type="dxa" w:w="1210"/>
            <w:tcW w:w="1209" w:type="dxa"/>
          </w:tcPr>
          <w:p>
            <w:pPr>
              <w:spacing w:after="20" w:before="20"/>
              <w:jc w:val="center"/>
            </w:pPr>
            <w:r>
              <w:rPr>
                <w:sz w:val="17"/>
              </w:rPr>
              <w:t>(2,100)</w:t>
            </w:r>
          </w:p>
        </w:tc>
        <w:tc>
          <w:tcPr>
            <w:tcW w:type="dxa" w:w="1210"/>
            <w:tcW w:w="1209" w:type="dxa"/>
          </w:tcPr>
          <w:p>
            <w:pPr>
              <w:spacing w:after="20" w:before="20"/>
              <w:jc w:val="center"/>
            </w:pPr>
            <w:r>
              <w:rPr>
                <w:sz w:val="17"/>
              </w:rPr>
              <w:t>(2,200)</w:t>
            </w:r>
          </w:p>
        </w:tc>
        <w:tc>
          <w:tcPr>
            <w:tcW w:type="dxa" w:w="1210"/>
            <w:tcW w:w="1209" w:type="dxa"/>
          </w:tcPr>
          <w:p>
            <w:pPr>
              <w:spacing w:after="20" w:before="20"/>
              <w:jc w:val="center"/>
            </w:pPr>
            <w:r>
              <w:rPr>
                <w:sz w:val="17"/>
              </w:rPr>
              <w:t>(2,300)</w:t>
            </w:r>
          </w:p>
        </w:tc>
        <w:tc>
          <w:tcPr>
            <w:tcW w:type="dxa" w:w="1210"/>
            <w:tcW w:w="1209" w:type="dxa"/>
          </w:tcPr>
          <w:p>
            <w:pPr>
              <w:spacing w:after="20" w:before="20"/>
              <w:jc w:val="center"/>
            </w:pPr>
            <w:r>
              <w:rPr>
                <w:sz w:val="17"/>
              </w:rPr>
              <w:t>(2,400)</w:t>
            </w:r>
          </w:p>
        </w:tc>
      </w:tr>
      <w:tr>
        <w:tc>
          <w:tcPr>
            <w:tcW w:type="dxa" w:w="3888"/>
            <w:tcW w:w="3888" w:type="dxa"/>
          </w:tcPr>
          <w:p>
            <w:pPr>
              <w:spacing w:after="20" w:before="20"/>
            </w:pPr>
            <w:r>
              <w:rPr>
                <w:sz w:val="17"/>
              </w:rPr>
              <w:t>less: Dividend</w:t>
            </w:r>
          </w:p>
        </w:tc>
        <w:tc>
          <w:tcPr>
            <w:tcW w:type="dxa" w:w="1210"/>
            <w:tcW w:w="1209" w:type="dxa"/>
          </w:tcPr>
          <w:p>
            <w:pPr>
              <w:spacing w:after="20" w:before="20"/>
              <w:jc w:val="center"/>
            </w:pPr>
            <w:r>
              <w:rPr>
                <w:sz w:val="17"/>
              </w:rPr>
              <w:t>0</w:t>
            </w:r>
          </w:p>
        </w:tc>
        <w:tc>
          <w:tcPr>
            <w:tcW w:type="dxa" w:w="1210"/>
            <w:tcW w:w="1209" w:type="dxa"/>
          </w:tcPr>
          <w:p>
            <w:pPr>
              <w:spacing w:after="20" w:before="20"/>
              <w:jc w:val="center"/>
            </w:pPr>
            <w:r>
              <w:rPr>
                <w:sz w:val="17"/>
              </w:rPr>
              <w:t>0</w:t>
            </w:r>
          </w:p>
        </w:tc>
        <w:tc>
          <w:tcPr>
            <w:tcW w:type="dxa" w:w="1210"/>
            <w:tcW w:w="1209" w:type="dxa"/>
          </w:tcPr>
          <w:p>
            <w:pPr>
              <w:spacing w:after="20" w:before="20"/>
              <w:jc w:val="center"/>
            </w:pPr>
            <w:r>
              <w:rPr>
                <w:sz w:val="17"/>
              </w:rPr>
              <w:t>(400)</w:t>
            </w:r>
          </w:p>
        </w:tc>
        <w:tc>
          <w:tcPr>
            <w:tcW w:type="dxa" w:w="1210"/>
            <w:tcW w:w="1209" w:type="dxa"/>
          </w:tcPr>
          <w:p>
            <w:pPr>
              <w:spacing w:after="20" w:before="20"/>
              <w:jc w:val="center"/>
            </w:pPr>
            <w:r>
              <w:rPr>
                <w:sz w:val="17"/>
              </w:rPr>
              <w:t>(800)</w:t>
            </w:r>
          </w:p>
        </w:tc>
        <w:tc>
          <w:tcPr>
            <w:tcW w:type="dxa" w:w="1210"/>
            <w:tcW w:w="1209" w:type="dxa"/>
          </w:tcPr>
          <w:p>
            <w:pPr>
              <w:spacing w:after="20" w:before="20"/>
              <w:jc w:val="center"/>
            </w:pPr>
            <w:r>
              <w:rPr>
                <w:sz w:val="17"/>
              </w:rPr>
              <w:t>(1,200)</w:t>
            </w:r>
          </w:p>
        </w:tc>
      </w:tr>
      <w:tr>
        <w:tc>
          <w:tcPr>
            <w:tcW w:type="dxa" w:w="3888"/>
            <w:tcW w:w="3888" w:type="dxa"/>
          </w:tcPr>
          <w:p>
            <w:pPr>
              <w:spacing w:after="20" w:before="20"/>
            </w:pPr>
            <w:r>
              <w:rPr>
                <w:sz w:val="17"/>
              </w:rPr>
              <w:t>plus: Net new borrowing (est.)</w:t>
            </w:r>
          </w:p>
        </w:tc>
        <w:tc>
          <w:tcPr>
            <w:tcW w:type="dxa" w:w="1210"/>
            <w:tcW w:w="1209" w:type="dxa"/>
          </w:tcPr>
          <w:p>
            <w:pPr>
              <w:spacing w:after="20" w:before="20"/>
              <w:jc w:val="center"/>
            </w:pPr>
            <w:r>
              <w:rPr>
                <w:sz w:val="17"/>
              </w:rPr>
              <w:t>1,200</w:t>
            </w:r>
          </w:p>
        </w:tc>
        <w:tc>
          <w:tcPr>
            <w:tcW w:type="dxa" w:w="1210"/>
            <w:tcW w:w="1209" w:type="dxa"/>
          </w:tcPr>
          <w:p>
            <w:pPr>
              <w:spacing w:after="20" w:before="20"/>
              <w:jc w:val="center"/>
            </w:pPr>
            <w:r>
              <w:rPr>
                <w:sz w:val="17"/>
              </w:rPr>
              <w:t>1,260</w:t>
            </w:r>
          </w:p>
        </w:tc>
        <w:tc>
          <w:tcPr>
            <w:tcW w:type="dxa" w:w="1210"/>
            <w:tcW w:w="1209" w:type="dxa"/>
          </w:tcPr>
          <w:p>
            <w:pPr>
              <w:spacing w:after="20" w:before="20"/>
              <w:jc w:val="center"/>
            </w:pPr>
            <w:r>
              <w:rPr>
                <w:sz w:val="17"/>
              </w:rPr>
              <w:t>1,320</w:t>
            </w:r>
          </w:p>
        </w:tc>
        <w:tc>
          <w:tcPr>
            <w:tcW w:type="dxa" w:w="1210"/>
            <w:tcW w:w="1209" w:type="dxa"/>
          </w:tcPr>
          <w:p>
            <w:pPr>
              <w:spacing w:after="20" w:before="20"/>
              <w:jc w:val="center"/>
            </w:pPr>
            <w:r>
              <w:rPr>
                <w:sz w:val="17"/>
              </w:rPr>
              <w:t>1,380</w:t>
            </w:r>
          </w:p>
        </w:tc>
        <w:tc>
          <w:tcPr>
            <w:tcW w:type="dxa" w:w="1210"/>
            <w:tcW w:w="1209" w:type="dxa"/>
          </w:tcPr>
          <w:p>
            <w:pPr>
              <w:spacing w:after="20" w:before="20"/>
              <w:jc w:val="center"/>
            </w:pPr>
            <w:r>
              <w:rPr>
                <w:sz w:val="17"/>
              </w:rPr>
              <w:t>1,440</w:t>
            </w:r>
          </w:p>
        </w:tc>
      </w:tr>
      <w:tr>
        <w:tc>
          <w:tcPr>
            <w:tcW w:type="dxa" w:w="3888"/>
            <w:tcW w:w="3888" w:type="dxa"/>
          </w:tcPr>
          <w:p>
            <w:pPr>
              <w:spacing w:after="20" w:before="20"/>
            </w:pPr>
            <w:r>
              <w:rPr>
                <w:b/>
                <w:sz w:val="17"/>
              </w:rPr>
              <w:t>Net change in cash</w:t>
            </w:r>
          </w:p>
        </w:tc>
        <w:tc>
          <w:tcPr>
            <w:tcW w:type="dxa" w:w="1210"/>
            <w:tcW w:w="1209" w:type="dxa"/>
          </w:tcPr>
          <w:p>
            <w:pPr>
              <w:spacing w:after="20" w:before="20"/>
              <w:jc w:val="center"/>
            </w:pPr>
            <w:r>
              <w:rPr>
                <w:b/>
                <w:sz w:val="17"/>
              </w:rPr>
              <w:t>2,573</w:t>
            </w:r>
          </w:p>
        </w:tc>
        <w:tc>
          <w:tcPr>
            <w:tcW w:type="dxa" w:w="1210"/>
            <w:tcW w:w="1209" w:type="dxa"/>
          </w:tcPr>
          <w:p>
            <w:pPr>
              <w:spacing w:after="20" w:before="20"/>
              <w:jc w:val="center"/>
            </w:pPr>
            <w:r>
              <w:rPr>
                <w:b/>
                <w:sz w:val="17"/>
              </w:rPr>
              <w:t>3,409</w:t>
            </w:r>
          </w:p>
        </w:tc>
        <w:tc>
          <w:tcPr>
            <w:tcW w:type="dxa" w:w="1210"/>
            <w:tcW w:w="1209" w:type="dxa"/>
          </w:tcPr>
          <w:p>
            <w:pPr>
              <w:spacing w:after="20" w:before="20"/>
              <w:jc w:val="center"/>
            </w:pPr>
            <w:r>
              <w:rPr>
                <w:b/>
                <w:sz w:val="17"/>
              </w:rPr>
              <w:t>3,911</w:t>
            </w:r>
          </w:p>
        </w:tc>
        <w:tc>
          <w:tcPr>
            <w:tcW w:type="dxa" w:w="1210"/>
            <w:tcW w:w="1209" w:type="dxa"/>
          </w:tcPr>
          <w:p>
            <w:pPr>
              <w:spacing w:after="20" w:before="20"/>
              <w:jc w:val="center"/>
            </w:pPr>
            <w:r>
              <w:rPr>
                <w:b/>
                <w:sz w:val="17"/>
              </w:rPr>
              <w:t>4,443</w:t>
            </w:r>
          </w:p>
        </w:tc>
        <w:tc>
          <w:tcPr>
            <w:tcW w:type="dxa" w:w="1210"/>
            <w:tcW w:w="1209" w:type="dxa"/>
          </w:tcPr>
          <w:p>
            <w:pPr>
              <w:spacing w:after="20" w:before="20"/>
              <w:jc w:val="center"/>
            </w:pPr>
            <w:r>
              <w:rPr>
                <w:b/>
                <w:sz w:val="17"/>
              </w:rPr>
              <w:t>4,966</w:t>
            </w:r>
          </w:p>
        </w:tc>
      </w:tr>
      <w:tr>
        <w:tc>
          <w:tcPr>
            <w:tcW w:type="dxa" w:w="3888"/>
            <w:tcW w:w="3888" w:type="dxa"/>
          </w:tcPr>
          <w:p>
            <w:pPr>
              <w:spacing w:after="20" w:before="20"/>
            </w:pPr>
            <w:r>
              <w:rPr>
                <w:b/>
                <w:sz w:val="17"/>
              </w:rPr>
              <w:t>Closing cash (ties to balance sheet)</w:t>
            </w:r>
          </w:p>
        </w:tc>
        <w:tc>
          <w:tcPr>
            <w:tcW w:type="dxa" w:w="1210"/>
            <w:tcW w:w="1209" w:type="dxa"/>
          </w:tcPr>
          <w:p>
            <w:pPr>
              <w:spacing w:after="20" w:before="20"/>
              <w:jc w:val="center"/>
            </w:pPr>
            <w:r>
              <w:rPr>
                <w:b/>
                <w:sz w:val="17"/>
              </w:rPr>
              <w:t>10,403</w:t>
            </w:r>
          </w:p>
        </w:tc>
        <w:tc>
          <w:tcPr>
            <w:tcW w:type="dxa" w:w="1210"/>
            <w:tcW w:w="1209" w:type="dxa"/>
          </w:tcPr>
          <w:p>
            <w:pPr>
              <w:spacing w:after="20" w:before="20"/>
              <w:jc w:val="center"/>
            </w:pPr>
            <w:r>
              <w:rPr>
                <w:b/>
                <w:sz w:val="17"/>
              </w:rPr>
              <w:t>13,812</w:t>
            </w:r>
          </w:p>
        </w:tc>
        <w:tc>
          <w:tcPr>
            <w:tcW w:type="dxa" w:w="1210"/>
            <w:tcW w:w="1209" w:type="dxa"/>
          </w:tcPr>
          <w:p>
            <w:pPr>
              <w:spacing w:after="20" w:before="20"/>
              <w:jc w:val="center"/>
            </w:pPr>
            <w:r>
              <w:rPr>
                <w:b/>
                <w:sz w:val="17"/>
              </w:rPr>
              <w:t>17,723</w:t>
            </w:r>
          </w:p>
        </w:tc>
        <w:tc>
          <w:tcPr>
            <w:tcW w:type="dxa" w:w="1210"/>
            <w:tcW w:w="1209" w:type="dxa"/>
          </w:tcPr>
          <w:p>
            <w:pPr>
              <w:spacing w:after="20" w:before="20"/>
              <w:jc w:val="center"/>
            </w:pPr>
            <w:r>
              <w:rPr>
                <w:b/>
                <w:sz w:val="17"/>
              </w:rPr>
              <w:t>22,165</w:t>
            </w:r>
          </w:p>
        </w:tc>
        <w:tc>
          <w:tcPr>
            <w:tcW w:type="dxa" w:w="1210"/>
            <w:tcW w:w="1209" w:type="dxa"/>
          </w:tcPr>
          <w:p>
            <w:pPr>
              <w:spacing w:after="20" w:before="20"/>
              <w:jc w:val="center"/>
            </w:pPr>
            <w:r>
              <w:rPr>
                <w:b/>
                <w:sz w:val="17"/>
              </w:rPr>
              <w:t>27,131</w:t>
            </w:r>
          </w:p>
        </w:tc>
      </w:tr>
    </w:tbl>
    <w:p>
      <w:pPr>
        <w:spacing w:after="160" w:before="40"/>
      </w:pPr>
      <w:r>
        <w:rPr>
          <w:i/>
          <w:color w:val="555555"/>
          <w:sz w:val="17"/>
        </w:rPr>
        <w:t>Derived from the income statement and balance sheet; closing cash ties to the balance sheet. Attributable growth capex is the normalized parent-equity figure (gross consolidated project capex is funded by non-recourse debt). Note markers: FY2025 included a SAR 7,125m rights issue; equity commitments are guided at ~US$2.5bn/yr to 2030.</w:t>
      </w:r>
    </w:p>
    <w:p>
      <w:pPr>
        <w:spacing w:before="200" w:after="80"/>
      </w:pPr>
      <w:r>
        <w:rPr>
          <w:b/>
          <w:color w:val="1B5E5E"/>
          <w:sz w:val="30"/>
        </w:rPr>
        <w:t>Appendix B  Step 0 — calibration backtest</w:t>
      </w:r>
    </w:p>
    <w:p>
      <w:pPr>
        <w:spacing w:after="120" w:before="0"/>
      </w:pPr>
      <w:r>
        <w:rPr>
          <w:b w:val="0"/>
          <w:i w:val="0"/>
          <w:color w:val="222222"/>
          <w:sz w:val="20"/>
        </w:rPr>
        <w:t>Before any forecast we test the Monte Carlo lens on ACWA's own history — all available since the October-2021 IPO (~4.7 years, so a full-history rather than a full-5-year replay): generate three-month-ahead distributions across the sample, score the realized close against each, and grade skill versus a naïve benchmark. The grade is CRPS skill (1 − CRPS/CRPS_benchmark, must be &gt; 0) against a zero-drift random-walk lognormal cone (spot, trailing realized vol), plus the Winkler interval score. PIT uniformity and band coverage are diagnostics only, never the pass criterion. The engine is the YZ-HAR width plus unit-variance Student-t(5) with zero secular drift (an international name).</w:t>
      </w:r>
    </w:p>
    <w:p>
      <w:pPr>
        <w:jc w:val="center"/>
      </w:pPr>
      <w:r>
        <w:drawing>
          <wp:inline xmlns:a="http://schemas.openxmlformats.org/drawingml/2006/main" xmlns:pic="http://schemas.openxmlformats.org/drawingml/2006/picture">
            <wp:extent cx="6035040" cy="2267146"/>
            <wp:docPr id="8" name="Picture 8"/>
            <wp:cNvGraphicFramePr>
              <a:graphicFrameLocks noChangeAspect="1"/>
            </wp:cNvGraphicFramePr>
            <a:graphic>
              <a:graphicData uri="http://schemas.openxmlformats.org/drawingml/2006/picture">
                <pic:pic>
                  <pic:nvPicPr>
                    <pic:cNvPr id="0" name="figB1_calibration.png"/>
                    <pic:cNvPicPr/>
                  </pic:nvPicPr>
                  <pic:blipFill>
                    <a:blip r:embed="rId16"/>
                    <a:stretch>
                      <a:fillRect/>
                    </a:stretch>
                  </pic:blipFill>
                  <pic:spPr>
                    <a:xfrm>
                      <a:off x="0" y="0"/>
                      <a:ext cx="6035040" cy="2267146"/>
                    </a:xfrm>
                    <a:prstGeom prst="rect"/>
                  </pic:spPr>
                </pic:pic>
              </a:graphicData>
            </a:graphic>
          </wp:inline>
        </w:drawing>
      </w:r>
    </w:p>
    <w:p>
      <w:pPr>
        <w:spacing w:after="160" w:before="40"/>
      </w:pPr>
      <w:r>
        <w:rPr>
          <w:i/>
          <w:color w:val="555555"/>
          <w:sz w:val="17"/>
        </w:rPr>
        <w:t>Figure B-1 — Calibration backtest: quarterly cone replay (log scale), PIT histogram, and interval coverage versus target.</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3168"/>
            <w:tcW w:w="3168" w:type="dxa"/>
            <w:shd w:val="clear" w:fill="1B5E5E"/>
          </w:tcPr>
          <w:p>
            <w:pPr>
              <w:spacing w:after="20" w:before="20"/>
            </w:pPr>
            <w:r>
              <w:rPr>
                <w:b/>
                <w:color w:val="FFFFFF"/>
                <w:sz w:val="19"/>
              </w:rPr>
              <w:t>Window scheme</w:t>
            </w:r>
          </w:p>
        </w:tc>
        <w:tc>
          <w:tcPr>
            <w:tcW w:type="dxa" w:w="720"/>
            <w:tcW w:w="720" w:type="dxa"/>
            <w:shd w:val="clear" w:fill="1B5E5E"/>
          </w:tcPr>
          <w:p>
            <w:pPr>
              <w:spacing w:after="20" w:before="20"/>
              <w:jc w:val="center"/>
            </w:pPr>
            <w:r>
              <w:rPr>
                <w:b/>
                <w:color w:val="FFFFFF"/>
                <w:sz w:val="19"/>
              </w:rPr>
              <w:t>n</w:t>
            </w:r>
          </w:p>
        </w:tc>
        <w:tc>
          <w:tcPr>
            <w:tcW w:type="dxa" w:w="1440"/>
            <w:tcW w:w="1440" w:type="dxa"/>
            <w:shd w:val="clear" w:fill="1B5E5E"/>
          </w:tcPr>
          <w:p>
            <w:pPr>
              <w:spacing w:after="20" w:before="20"/>
              <w:jc w:val="center"/>
            </w:pPr>
            <w:r>
              <w:rPr>
                <w:b/>
                <w:color w:val="FFFFFF"/>
                <w:sz w:val="19"/>
              </w:rPr>
              <w:t>CRPS skill</w:t>
            </w:r>
          </w:p>
        </w:tc>
        <w:tc>
          <w:tcPr>
            <w:tcW w:type="dxa" w:w="1440"/>
            <w:tcW w:w="1440" w:type="dxa"/>
            <w:shd w:val="clear" w:fill="1B5E5E"/>
          </w:tcPr>
          <w:p>
            <w:pPr>
              <w:spacing w:after="20" w:before="20"/>
              <w:jc w:val="center"/>
            </w:pPr>
            <w:r>
              <w:rPr>
                <w:b/>
                <w:color w:val="FFFFFF"/>
                <w:sz w:val="19"/>
              </w:rPr>
              <w:t>Winkler skill</w:t>
            </w:r>
          </w:p>
        </w:tc>
        <w:tc>
          <w:tcPr>
            <w:tcW w:type="dxa" w:w="1008"/>
            <w:tcW w:w="1007" w:type="dxa"/>
            <w:shd w:val="clear" w:fill="1B5E5E"/>
          </w:tcPr>
          <w:p>
            <w:pPr>
              <w:spacing w:after="20" w:before="20"/>
              <w:jc w:val="center"/>
            </w:pPr>
            <w:r>
              <w:rPr>
                <w:b/>
                <w:color w:val="FFFFFF"/>
                <w:sz w:val="19"/>
              </w:rPr>
              <w:t>50% cov</w:t>
            </w:r>
          </w:p>
        </w:tc>
        <w:tc>
          <w:tcPr>
            <w:tcW w:type="dxa" w:w="1008"/>
            <w:tcW w:w="1007" w:type="dxa"/>
            <w:shd w:val="clear" w:fill="1B5E5E"/>
          </w:tcPr>
          <w:p>
            <w:pPr>
              <w:spacing w:after="20" w:before="20"/>
              <w:jc w:val="center"/>
            </w:pPr>
            <w:r>
              <w:rPr>
                <w:b/>
                <w:color w:val="FFFFFF"/>
                <w:sz w:val="19"/>
              </w:rPr>
              <w:t>80% cov</w:t>
            </w:r>
          </w:p>
        </w:tc>
        <w:tc>
          <w:tcPr>
            <w:tcW w:type="dxa" w:w="1008"/>
            <w:tcW w:w="1007" w:type="dxa"/>
            <w:shd w:val="clear" w:fill="1B5E5E"/>
          </w:tcPr>
          <w:p>
            <w:pPr>
              <w:spacing w:after="20" w:before="20"/>
              <w:jc w:val="center"/>
            </w:pPr>
            <w:r>
              <w:rPr>
                <w:b/>
                <w:color w:val="FFFFFF"/>
                <w:sz w:val="19"/>
              </w:rPr>
              <w:t>90% cov</w:t>
            </w:r>
          </w:p>
        </w:tc>
        <w:tc>
          <w:tcPr>
            <w:tcW w:type="dxa" w:w="1152"/>
            <w:tcW w:w="1152" w:type="dxa"/>
            <w:shd w:val="clear" w:fill="1B5E5E"/>
          </w:tcPr>
          <w:p>
            <w:pPr>
              <w:spacing w:after="20" w:before="20"/>
              <w:jc w:val="center"/>
            </w:pPr>
            <w:r>
              <w:rPr>
                <w:b/>
                <w:color w:val="FFFFFF"/>
                <w:sz w:val="19"/>
              </w:rPr>
              <w:t>PIT mean</w:t>
            </w:r>
          </w:p>
        </w:tc>
      </w:tr>
      <w:tr>
        <w:tc>
          <w:tcPr>
            <w:tcW w:type="dxa" w:w="3168"/>
            <w:tcW w:w="3168" w:type="dxa"/>
          </w:tcPr>
          <w:p>
            <w:pPr>
              <w:spacing w:after="20" w:before="20"/>
            </w:pPr>
            <w:r>
              <w:rPr>
                <w:sz w:val="19"/>
              </w:rPr>
              <w:t>Non-overlapping (step 63d)</w:t>
            </w:r>
          </w:p>
        </w:tc>
        <w:tc>
          <w:tcPr>
            <w:tcW w:type="dxa" w:w="720"/>
            <w:tcW w:w="720" w:type="dxa"/>
          </w:tcPr>
          <w:p>
            <w:pPr>
              <w:spacing w:after="20" w:before="20"/>
              <w:jc w:val="center"/>
            </w:pPr>
            <w:r>
              <w:rPr>
                <w:sz w:val="19"/>
              </w:rPr>
              <w:t>14</w:t>
            </w:r>
          </w:p>
        </w:tc>
        <w:tc>
          <w:tcPr>
            <w:tcW w:type="dxa" w:w="1440"/>
            <w:tcW w:w="1440" w:type="dxa"/>
          </w:tcPr>
          <w:p>
            <w:pPr>
              <w:spacing w:after="20" w:before="20"/>
              <w:jc w:val="center"/>
            </w:pPr>
            <w:r>
              <w:rPr>
                <w:sz w:val="19"/>
              </w:rPr>
              <w:t>+0.001</w:t>
            </w:r>
          </w:p>
        </w:tc>
        <w:tc>
          <w:tcPr>
            <w:tcW w:type="dxa" w:w="1440"/>
            <w:tcW w:w="1440" w:type="dxa"/>
          </w:tcPr>
          <w:p>
            <w:pPr>
              <w:spacing w:after="20" w:before="20"/>
              <w:jc w:val="center"/>
            </w:pPr>
            <w:r>
              <w:rPr>
                <w:sz w:val="19"/>
              </w:rPr>
              <w:t>+0.031</w:t>
            </w:r>
          </w:p>
        </w:tc>
        <w:tc>
          <w:tcPr>
            <w:tcW w:type="dxa" w:w="1008"/>
            <w:tcW w:w="1007" w:type="dxa"/>
          </w:tcPr>
          <w:p>
            <w:pPr>
              <w:spacing w:after="20" w:before="20"/>
              <w:jc w:val="center"/>
            </w:pPr>
            <w:r>
              <w:rPr>
                <w:sz w:val="19"/>
              </w:rPr>
              <w:t>36%</w:t>
            </w:r>
          </w:p>
        </w:tc>
        <w:tc>
          <w:tcPr>
            <w:tcW w:type="dxa" w:w="1008"/>
            <w:tcW w:w="1007" w:type="dxa"/>
          </w:tcPr>
          <w:p>
            <w:pPr>
              <w:spacing w:after="20" w:before="20"/>
              <w:jc w:val="center"/>
            </w:pPr>
            <w:r>
              <w:rPr>
                <w:sz w:val="19"/>
              </w:rPr>
              <w:t>64%</w:t>
            </w:r>
          </w:p>
        </w:tc>
        <w:tc>
          <w:tcPr>
            <w:tcW w:type="dxa" w:w="1008"/>
            <w:tcW w:w="1007" w:type="dxa"/>
          </w:tcPr>
          <w:p>
            <w:pPr>
              <w:spacing w:after="20" w:before="20"/>
              <w:jc w:val="center"/>
            </w:pPr>
            <w:r>
              <w:rPr>
                <w:sz w:val="19"/>
              </w:rPr>
              <w:t>86%</w:t>
            </w:r>
          </w:p>
        </w:tc>
        <w:tc>
          <w:tcPr>
            <w:tcW w:type="dxa" w:w="1152"/>
            <w:tcW w:w="1152" w:type="dxa"/>
          </w:tcPr>
          <w:p>
            <w:pPr>
              <w:spacing w:after="20" w:before="20"/>
              <w:jc w:val="center"/>
            </w:pPr>
            <w:r>
              <w:rPr>
                <w:sz w:val="19"/>
              </w:rPr>
              <w:t>0.51</w:t>
            </w:r>
          </w:p>
        </w:tc>
      </w:tr>
      <w:tr>
        <w:tc>
          <w:tcPr>
            <w:tcW w:type="dxa" w:w="3168"/>
            <w:tcW w:w="3168" w:type="dxa"/>
          </w:tcPr>
          <w:p>
            <w:pPr>
              <w:spacing w:after="20" w:before="20"/>
            </w:pPr>
            <w:r>
              <w:rPr>
                <w:sz w:val="19"/>
              </w:rPr>
              <w:t>Monthly origins (step 21d)</w:t>
            </w:r>
          </w:p>
        </w:tc>
        <w:tc>
          <w:tcPr>
            <w:tcW w:type="dxa" w:w="720"/>
            <w:tcW w:w="720" w:type="dxa"/>
          </w:tcPr>
          <w:p>
            <w:pPr>
              <w:spacing w:after="20" w:before="20"/>
              <w:jc w:val="center"/>
            </w:pPr>
            <w:r>
              <w:rPr>
                <w:sz w:val="19"/>
              </w:rPr>
              <w:t>42</w:t>
            </w:r>
          </w:p>
        </w:tc>
        <w:tc>
          <w:tcPr>
            <w:tcW w:type="dxa" w:w="1440"/>
            <w:tcW w:w="1440" w:type="dxa"/>
          </w:tcPr>
          <w:p>
            <w:pPr>
              <w:spacing w:after="20" w:before="20"/>
              <w:jc w:val="center"/>
            </w:pPr>
            <w:r>
              <w:rPr>
                <w:sz w:val="19"/>
              </w:rPr>
              <w:t>+0.003</w:t>
            </w:r>
          </w:p>
        </w:tc>
        <w:tc>
          <w:tcPr>
            <w:tcW w:type="dxa" w:w="1440"/>
            <w:tcW w:w="1440" w:type="dxa"/>
          </w:tcPr>
          <w:p>
            <w:pPr>
              <w:spacing w:after="20" w:before="20"/>
              <w:jc w:val="center"/>
            </w:pPr>
            <w:r>
              <w:rPr>
                <w:sz w:val="19"/>
              </w:rPr>
              <w:t>+0.044</w:t>
            </w:r>
          </w:p>
        </w:tc>
        <w:tc>
          <w:tcPr>
            <w:tcW w:type="dxa" w:w="1008"/>
            <w:tcW w:w="1007" w:type="dxa"/>
          </w:tcPr>
          <w:p>
            <w:pPr>
              <w:spacing w:after="20" w:before="20"/>
              <w:jc w:val="center"/>
            </w:pPr>
            <w:r>
              <w:rPr>
                <w:sz w:val="19"/>
              </w:rPr>
              <w:t>38%</w:t>
            </w:r>
          </w:p>
        </w:tc>
        <w:tc>
          <w:tcPr>
            <w:tcW w:type="dxa" w:w="1008"/>
            <w:tcW w:w="1007" w:type="dxa"/>
          </w:tcPr>
          <w:p>
            <w:pPr>
              <w:spacing w:after="20" w:before="20"/>
              <w:jc w:val="center"/>
            </w:pPr>
            <w:r>
              <w:rPr>
                <w:sz w:val="19"/>
              </w:rPr>
              <w:t>79%</w:t>
            </w:r>
          </w:p>
        </w:tc>
        <w:tc>
          <w:tcPr>
            <w:tcW w:type="dxa" w:w="1008"/>
            <w:tcW w:w="1007" w:type="dxa"/>
          </w:tcPr>
          <w:p>
            <w:pPr>
              <w:spacing w:after="20" w:before="20"/>
              <w:jc w:val="center"/>
            </w:pPr>
            <w:r>
              <w:rPr>
                <w:sz w:val="19"/>
              </w:rPr>
              <w:t>91%</w:t>
            </w:r>
          </w:p>
        </w:tc>
        <w:tc>
          <w:tcPr>
            <w:tcW w:type="dxa" w:w="1152"/>
            <w:tcW w:w="1152" w:type="dxa"/>
          </w:tcPr>
          <w:p>
            <w:pPr>
              <w:spacing w:after="20" w:before="20"/>
              <w:jc w:val="center"/>
            </w:pPr>
            <w:r>
              <w:rPr>
                <w:sz w:val="19"/>
              </w:rPr>
              <w:t>0.53</w:t>
            </w:r>
          </w:p>
        </w:tc>
      </w:tr>
      <w:tr>
        <w:tc>
          <w:tcPr>
            <w:tcW w:type="dxa" w:w="3168"/>
            <w:tcW w:w="3168" w:type="dxa"/>
          </w:tcPr>
          <w:p>
            <w:pPr>
              <w:spacing w:after="20" w:before="20"/>
            </w:pPr>
            <w:r>
              <w:rPr>
                <w:sz w:val="19"/>
              </w:rPr>
              <w:t>Fortnightly (step 10d)</w:t>
            </w:r>
          </w:p>
        </w:tc>
        <w:tc>
          <w:tcPr>
            <w:tcW w:type="dxa" w:w="720"/>
            <w:tcW w:w="720" w:type="dxa"/>
          </w:tcPr>
          <w:p>
            <w:pPr>
              <w:spacing w:after="20" w:before="20"/>
              <w:jc w:val="center"/>
            </w:pPr>
            <w:r>
              <w:rPr>
                <w:sz w:val="19"/>
              </w:rPr>
              <w:t>87</w:t>
            </w:r>
          </w:p>
        </w:tc>
        <w:tc>
          <w:tcPr>
            <w:tcW w:type="dxa" w:w="1440"/>
            <w:tcW w:w="1440" w:type="dxa"/>
          </w:tcPr>
          <w:p>
            <w:pPr>
              <w:spacing w:after="20" w:before="20"/>
              <w:jc w:val="center"/>
            </w:pPr>
            <w:r>
              <w:rPr>
                <w:sz w:val="19"/>
              </w:rPr>
              <w:t>+0.002</w:t>
            </w:r>
          </w:p>
        </w:tc>
        <w:tc>
          <w:tcPr>
            <w:tcW w:type="dxa" w:w="1440"/>
            <w:tcW w:w="1440" w:type="dxa"/>
          </w:tcPr>
          <w:p>
            <w:pPr>
              <w:spacing w:after="20" w:before="20"/>
              <w:jc w:val="center"/>
            </w:pPr>
            <w:r>
              <w:rPr>
                <w:sz w:val="19"/>
              </w:rPr>
              <w:t>+0.073</w:t>
            </w:r>
          </w:p>
        </w:tc>
        <w:tc>
          <w:tcPr>
            <w:tcW w:type="dxa" w:w="1008"/>
            <w:tcW w:w="1007" w:type="dxa"/>
          </w:tcPr>
          <w:p>
            <w:pPr>
              <w:spacing w:after="20" w:before="20"/>
              <w:jc w:val="center"/>
            </w:pPr>
            <w:r>
              <w:rPr>
                <w:sz w:val="19"/>
              </w:rPr>
              <w:t>45%</w:t>
            </w:r>
          </w:p>
        </w:tc>
        <w:tc>
          <w:tcPr>
            <w:tcW w:type="dxa" w:w="1008"/>
            <w:tcW w:w="1007" w:type="dxa"/>
          </w:tcPr>
          <w:p>
            <w:pPr>
              <w:spacing w:after="20" w:before="20"/>
              <w:jc w:val="center"/>
            </w:pPr>
            <w:r>
              <w:rPr>
                <w:sz w:val="19"/>
              </w:rPr>
              <w:t>76%</w:t>
            </w:r>
          </w:p>
        </w:tc>
        <w:tc>
          <w:tcPr>
            <w:tcW w:type="dxa" w:w="1008"/>
            <w:tcW w:w="1007" w:type="dxa"/>
          </w:tcPr>
          <w:p>
            <w:pPr>
              <w:spacing w:after="20" w:before="20"/>
              <w:jc w:val="center"/>
            </w:pPr>
            <w:r>
              <w:rPr>
                <w:sz w:val="19"/>
              </w:rPr>
              <w:t>91%</w:t>
            </w:r>
          </w:p>
        </w:tc>
        <w:tc>
          <w:tcPr>
            <w:tcW w:type="dxa" w:w="1152"/>
            <w:tcW w:w="1152" w:type="dxa"/>
          </w:tcPr>
          <w:p>
            <w:pPr>
              <w:spacing w:after="20" w:before="20"/>
              <w:jc w:val="center"/>
            </w:pPr>
            <w:r>
              <w:rPr>
                <w:sz w:val="19"/>
              </w:rPr>
              <w:t>0.54</w:t>
            </w:r>
          </w:p>
        </w:tc>
      </w:tr>
      <w:tr>
        <w:tc>
          <w:tcPr>
            <w:tcW w:type="dxa" w:w="3168"/>
            <w:tcW w:w="3168" w:type="dxa"/>
          </w:tcPr>
          <w:p>
            <w:pPr>
              <w:spacing w:after="20" w:before="20"/>
            </w:pPr>
            <w:r>
              <w:rPr>
                <w:b/>
                <w:sz w:val="19"/>
              </w:rPr>
              <w:t>Target</w:t>
            </w:r>
          </w:p>
        </w:tc>
        <w:tc>
          <w:tcPr>
            <w:tcW w:type="dxa" w:w="720"/>
            <w:tcW w:w="720" w:type="dxa"/>
          </w:tcPr>
          <w:p>
            <w:pPr>
              <w:spacing w:after="20" w:before="20"/>
              <w:jc w:val="center"/>
            </w:pPr>
            <w:r>
              <w:rPr>
                <w:b/>
                <w:sz w:val="19"/>
              </w:rPr>
              <w:t>—</w:t>
            </w:r>
          </w:p>
        </w:tc>
        <w:tc>
          <w:tcPr>
            <w:tcW w:type="dxa" w:w="1440"/>
            <w:tcW w:w="1440" w:type="dxa"/>
          </w:tcPr>
          <w:p>
            <w:pPr>
              <w:spacing w:after="20" w:before="20"/>
              <w:jc w:val="center"/>
            </w:pPr>
            <w:r>
              <w:rPr>
                <w:b/>
                <w:sz w:val="19"/>
              </w:rPr>
              <w:t>&gt; 0</w:t>
            </w:r>
          </w:p>
        </w:tc>
        <w:tc>
          <w:tcPr>
            <w:tcW w:type="dxa" w:w="1440"/>
            <w:tcW w:w="1440" w:type="dxa"/>
          </w:tcPr>
          <w:p>
            <w:pPr>
              <w:spacing w:after="20" w:before="20"/>
              <w:jc w:val="center"/>
            </w:pPr>
            <w:r>
              <w:rPr>
                <w:b/>
                <w:sz w:val="19"/>
              </w:rPr>
              <w:t>&gt; 0</w:t>
            </w:r>
          </w:p>
        </w:tc>
        <w:tc>
          <w:tcPr>
            <w:tcW w:type="dxa" w:w="1008"/>
            <w:tcW w:w="1007" w:type="dxa"/>
          </w:tcPr>
          <w:p>
            <w:pPr>
              <w:spacing w:after="20" w:before="20"/>
              <w:jc w:val="center"/>
            </w:pPr>
            <w:r>
              <w:rPr>
                <w:b/>
                <w:sz w:val="19"/>
              </w:rPr>
              <w:t>50%</w:t>
            </w:r>
          </w:p>
        </w:tc>
        <w:tc>
          <w:tcPr>
            <w:tcW w:type="dxa" w:w="1008"/>
            <w:tcW w:w="1007" w:type="dxa"/>
          </w:tcPr>
          <w:p>
            <w:pPr>
              <w:spacing w:after="20" w:before="20"/>
              <w:jc w:val="center"/>
            </w:pPr>
            <w:r>
              <w:rPr>
                <w:b/>
                <w:sz w:val="19"/>
              </w:rPr>
              <w:t>80%</w:t>
            </w:r>
          </w:p>
        </w:tc>
        <w:tc>
          <w:tcPr>
            <w:tcW w:type="dxa" w:w="1008"/>
            <w:tcW w:w="1007" w:type="dxa"/>
          </w:tcPr>
          <w:p>
            <w:pPr>
              <w:spacing w:after="20" w:before="20"/>
              <w:jc w:val="center"/>
            </w:pPr>
            <w:r>
              <w:rPr>
                <w:b/>
                <w:sz w:val="19"/>
              </w:rPr>
              <w:t>90%</w:t>
            </w:r>
          </w:p>
        </w:tc>
        <w:tc>
          <w:tcPr>
            <w:tcW w:type="dxa" w:w="1152"/>
            <w:tcW w:w="1152" w:type="dxa"/>
          </w:tcPr>
          <w:p>
            <w:pPr>
              <w:spacing w:after="20" w:before="20"/>
              <w:jc w:val="center"/>
            </w:pPr>
            <w:r>
              <w:rPr>
                <w:b/>
                <w:sz w:val="19"/>
              </w:rPr>
              <w:t>0.50</w:t>
            </w:r>
          </w:p>
        </w:tc>
      </w:tr>
    </w:tbl>
    <w:p>
      <w:pPr>
        <w:spacing w:after="120" w:before="0"/>
      </w:pPr>
      <w:r>
        <w:rPr>
          <w:b w:val="0"/>
          <w:i w:val="0"/>
          <w:color w:val="222222"/>
          <w:sz w:val="20"/>
        </w:rPr>
        <w:t>The engine beats the random-walk benchmark on CRPS skill on every window scheme — modestly, because a large, near-random-walk, near-Gaussian utility like ACWA is a hard name for any lens to beat a naïve cone on — and beats it more clearly on the Winkler interval score, precisely because the YZ-HAR forecast is a mean-reverting vol estimate that avoids the benchmark's habit of over-widening right after a volatility spike (in this history, high trailing vol anti-predicts the forward 60-day move). The PIT histogram is close to flat and the 90% band coverage lands on target; the tighter 50% coverage is the honest Student-t(5) body, held as a diagnostic, not the grade. The lens is accepted; this engine carries into the §3 forward run.</w:t>
      </w:r>
    </w:p>
    <w:p>
      <w:pPr>
        <w:spacing w:before="200" w:after="80"/>
      </w:pPr>
      <w:r>
        <w:rPr>
          <w:b/>
          <w:color w:val="1B5E5E"/>
          <w:sz w:val="30"/>
        </w:rPr>
        <w:t>Appendix C  Peer set, sector structure, and risks</w:t>
      </w:r>
    </w:p>
    <w:p>
      <w:pPr>
        <w:spacing w:after="120" w:before="0"/>
      </w:pPr>
      <w:r>
        <w:rPr>
          <w:b w:val="0"/>
          <w:i w:val="0"/>
          <w:color w:val="222222"/>
          <w:sz w:val="20"/>
        </w:rPr>
        <w:t>ACWA has no clean single comparable — it is a renewables IPP, a water-desalination leader, a green-hydrogen first-mover and a development platform in one wrapper. The peer set is therefore split by lens.</w:t>
      </w:r>
    </w:p>
    <w:tbl>
      <w:tblPr>
        <w:tblStyle w:val="TableGrid"/>
        <w:tblW w:type="auto" w:w="0"/>
        <w:jc w:val="center"/>
        <w:tblLook w:firstColumn="1" w:firstRow="1" w:lastColumn="0" w:lastRow="0" w:noHBand="0" w:noVBand="1" w:val="04A0"/>
      </w:tblPr>
      <w:tblGrid>
        <w:gridCol w:w="3312"/>
        <w:gridCol w:w="3312"/>
        <w:gridCol w:w="3312"/>
      </w:tblGrid>
      <w:tr>
        <w:tc>
          <w:tcPr>
            <w:tcW w:type="dxa" w:w="2592"/>
            <w:tcW w:w="2592" w:type="dxa"/>
            <w:shd w:val="clear" w:fill="1B5E5E"/>
          </w:tcPr>
          <w:p>
            <w:pPr>
              <w:spacing w:after="20" w:before="20"/>
            </w:pPr>
            <w:r>
              <w:rPr>
                <w:b/>
                <w:color w:val="FFFFFF"/>
                <w:sz w:val="19"/>
              </w:rPr>
              <w:t>Part</w:t>
            </w:r>
          </w:p>
        </w:tc>
        <w:tc>
          <w:tcPr>
            <w:tcW w:type="dxa" w:w="4032"/>
            <w:tcW w:w="4031" w:type="dxa"/>
            <w:shd w:val="clear" w:fill="1B5E5E"/>
          </w:tcPr>
          <w:p>
            <w:pPr>
              <w:spacing w:after="20" w:before="20"/>
              <w:jc w:val="center"/>
            </w:pPr>
            <w:r>
              <w:rPr>
                <w:b/>
                <w:color w:val="FFFFFF"/>
                <w:sz w:val="19"/>
              </w:rPr>
              <w:t>Closest peers</w:t>
            </w:r>
          </w:p>
        </w:tc>
        <w:tc>
          <w:tcPr>
            <w:tcW w:type="dxa" w:w="3312"/>
            <w:tcW w:w="3311" w:type="dxa"/>
            <w:shd w:val="clear" w:fill="1B5E5E"/>
          </w:tcPr>
          <w:p>
            <w:pPr>
              <w:spacing w:after="20" w:before="20"/>
              <w:jc w:val="center"/>
            </w:pPr>
            <w:r>
              <w:rPr>
                <w:b/>
                <w:color w:val="FFFFFF"/>
                <w:sz w:val="19"/>
              </w:rPr>
              <w:t>Typical valuation</w:t>
            </w:r>
          </w:p>
        </w:tc>
      </w:tr>
      <w:tr>
        <w:tc>
          <w:tcPr>
            <w:tcW w:type="dxa" w:w="2592"/>
            <w:tcW w:w="2592" w:type="dxa"/>
          </w:tcPr>
          <w:p>
            <w:pPr>
              <w:spacing w:after="20" w:before="20"/>
            </w:pPr>
            <w:r>
              <w:rPr>
                <w:sz w:val="19"/>
              </w:rPr>
              <w:t>Renewables IPP</w:t>
            </w:r>
          </w:p>
        </w:tc>
        <w:tc>
          <w:tcPr>
            <w:tcW w:type="dxa" w:w="4032"/>
            <w:tcW w:w="4031" w:type="dxa"/>
          </w:tcPr>
          <w:p>
            <w:pPr>
              <w:spacing w:after="20" w:before="20"/>
              <w:jc w:val="center"/>
            </w:pPr>
            <w:r>
              <w:rPr>
                <w:sz w:val="19"/>
              </w:rPr>
              <w:t>NextEra, Iberdrola, EDPR, Ørsted</w:t>
            </w:r>
          </w:p>
        </w:tc>
        <w:tc>
          <w:tcPr>
            <w:tcW w:type="dxa" w:w="3312"/>
            <w:tcW w:w="3311" w:type="dxa"/>
          </w:tcPr>
          <w:p>
            <w:pPr>
              <w:spacing w:after="20" w:before="20"/>
              <w:jc w:val="center"/>
            </w:pPr>
            <w:r>
              <w:rPr>
                <w:sz w:val="19"/>
              </w:rPr>
              <w:t>EV/EBITDA ~9–13×; growth-quality premium</w:t>
            </w:r>
          </w:p>
        </w:tc>
      </w:tr>
      <w:tr>
        <w:tc>
          <w:tcPr>
            <w:tcW w:type="dxa" w:w="2592"/>
            <w:tcW w:w="2592" w:type="dxa"/>
          </w:tcPr>
          <w:p>
            <w:pPr>
              <w:spacing w:after="20" w:before="20"/>
            </w:pPr>
            <w:r>
              <w:rPr>
                <w:sz w:val="19"/>
              </w:rPr>
              <w:t>Gulf / MENA utilities</w:t>
            </w:r>
          </w:p>
        </w:tc>
        <w:tc>
          <w:tcPr>
            <w:tcW w:type="dxa" w:w="4032"/>
            <w:tcW w:w="4031" w:type="dxa"/>
          </w:tcPr>
          <w:p>
            <w:pPr>
              <w:spacing w:after="20" w:before="20"/>
              <w:jc w:val="center"/>
            </w:pPr>
            <w:r>
              <w:rPr>
                <w:sz w:val="19"/>
              </w:rPr>
              <w:t>SEC, TAQA, regional developers</w:t>
            </w:r>
          </w:p>
        </w:tc>
        <w:tc>
          <w:tcPr>
            <w:tcW w:type="dxa" w:w="3312"/>
            <w:tcW w:w="3311" w:type="dxa"/>
          </w:tcPr>
          <w:p>
            <w:pPr>
              <w:spacing w:after="20" w:before="20"/>
              <w:jc w:val="center"/>
            </w:pPr>
            <w:r>
              <w:rPr>
                <w:sz w:val="19"/>
              </w:rPr>
              <w:t>EV/EBITDA ~7–11×; contracted</w:t>
            </w:r>
          </w:p>
        </w:tc>
      </w:tr>
      <w:tr>
        <w:tc>
          <w:tcPr>
            <w:tcW w:type="dxa" w:w="2592"/>
            <w:tcW w:w="2592" w:type="dxa"/>
          </w:tcPr>
          <w:p>
            <w:pPr>
              <w:spacing w:after="20" w:before="20"/>
            </w:pPr>
            <w:r>
              <w:rPr>
                <w:sz w:val="19"/>
              </w:rPr>
              <w:t>Water desalination</w:t>
            </w:r>
          </w:p>
        </w:tc>
        <w:tc>
          <w:tcPr>
            <w:tcW w:type="dxa" w:w="4032"/>
            <w:tcW w:w="4031" w:type="dxa"/>
          </w:tcPr>
          <w:p>
            <w:pPr>
              <w:spacing w:after="20" w:before="20"/>
              <w:jc w:val="center"/>
            </w:pPr>
            <w:r>
              <w:rPr>
                <w:sz w:val="19"/>
              </w:rPr>
              <w:t>Veolia, developer peers</w:t>
            </w:r>
          </w:p>
        </w:tc>
        <w:tc>
          <w:tcPr>
            <w:tcW w:type="dxa" w:w="3312"/>
            <w:tcW w:w="3311" w:type="dxa"/>
          </w:tcPr>
          <w:p>
            <w:pPr>
              <w:spacing w:after="20" w:before="20"/>
              <w:jc w:val="center"/>
            </w:pPr>
            <w:r>
              <w:rPr>
                <w:sz w:val="19"/>
              </w:rPr>
              <w:t>Scarce; ACWA ~25% of global capacity</w:t>
            </w:r>
          </w:p>
        </w:tc>
      </w:tr>
      <w:tr>
        <w:tc>
          <w:tcPr>
            <w:tcW w:type="dxa" w:w="2592"/>
            <w:tcW w:w="2592" w:type="dxa"/>
          </w:tcPr>
          <w:p>
            <w:pPr>
              <w:spacing w:after="20" w:before="20"/>
            </w:pPr>
            <w:r>
              <w:rPr>
                <w:sz w:val="19"/>
              </w:rPr>
              <w:t>Development platform</w:t>
            </w:r>
          </w:p>
        </w:tc>
        <w:tc>
          <w:tcPr>
            <w:tcW w:type="dxa" w:w="4032"/>
            <w:tcW w:w="4031" w:type="dxa"/>
          </w:tcPr>
          <w:p>
            <w:pPr>
              <w:spacing w:after="20" w:before="20"/>
              <w:jc w:val="center"/>
            </w:pPr>
            <w:r>
              <w:rPr>
                <w:sz w:val="19"/>
              </w:rPr>
              <w:t>Project developers</w:t>
            </w:r>
          </w:p>
        </w:tc>
        <w:tc>
          <w:tcPr>
            <w:tcW w:type="dxa" w:w="3312"/>
            <w:tcW w:w="3311" w:type="dxa"/>
          </w:tcPr>
          <w:p>
            <w:pPr>
              <w:spacing w:after="20" w:before="20"/>
              <w:jc w:val="center"/>
            </w:pPr>
            <w:r>
              <w:rPr>
                <w:sz w:val="19"/>
              </w:rPr>
              <w:t>EV/GW; pipeline optionality</w:t>
            </w:r>
          </w:p>
        </w:tc>
      </w:tr>
    </w:tbl>
    <w:p>
      <w:pPr>
        <w:spacing w:after="120"/>
      </w:pPr>
      <w:r>
        <w:rPr>
          <w:b/>
          <w:color w:val="222222"/>
          <w:sz w:val="20"/>
        </w:rPr>
        <w:t xml:space="preserve">Sector structure.  </w:t>
      </w:r>
      <w:r>
        <w:rPr>
          <w:b w:val="0"/>
          <w:color w:val="222222"/>
          <w:sz w:val="20"/>
        </w:rPr>
        <w:t xml:space="preserve">Global power is mid-energy-transition — renewables and storage compress margins before they lift them, while contracted, availability-based models like ACWA's insulate cash from merchant price risk. Water desalination is scarce and structurally growing, and ACWA controls about a quarter of global private capacity. Green hydrogen is optionality: large potential, uncertain timing. </w:t>
      </w:r>
    </w:p>
    <w:p>
      <w:pPr>
        <w:spacing w:after="120"/>
      </w:pPr>
      <w:r>
        <w:rPr>
          <w:b/>
          <w:color w:val="222222"/>
          <w:sz w:val="20"/>
        </w:rPr>
        <w:t xml:space="preserve">Principal risks:  </w:t>
      </w:r>
      <w:r>
        <w:rPr>
          <w:b w:val="0"/>
          <w:color w:val="222222"/>
          <w:sz w:val="20"/>
        </w:rPr>
        <w:t>a structurally lower realized return on the Vision-2030 capital programme; a higher-for-longer rate path lifting the discount on long-duration cash; execution and country/offtaker risk on the international book; the pipeline marks proving optimistic; a further dilutive capital raise; and the equity-method structure making the true economics harder to verify than a clean consolidated line.</w:t>
      </w:r>
    </w:p>
    <w:p>
      <w:pPr>
        <w:spacing w:after="120"/>
      </w:pPr>
      <w:r>
        <w:rPr>
          <w:b/>
          <w:color w:val="222222"/>
          <w:sz w:val="20"/>
        </w:rPr>
        <w:t xml:space="preserve">Analyst context (not model inputs).  </w:t>
      </w:r>
      <w:r>
        <w:rPr>
          <w:b w:val="0"/>
          <w:color w:val="222222"/>
          <w:sz w:val="20"/>
        </w:rPr>
        <w:t>Al Rajhi Capital (Feb-2024) set a SAR 257 target (Neutral), with a DCF of SAR 241 (7.37% WACC, 5% terminal g) and an EV/GW read of SAR 272; consensus has since fallen with the stock into a SAR ~100–205 range. Shown for context only — Testahil publishes distributions, not targets.</w:t>
      </w:r>
    </w:p>
    <w:p>
      <w:pPr>
        <w:spacing w:before="200" w:after="80"/>
      </w:pPr>
      <w:r>
        <w:rPr>
          <w:b/>
          <w:color w:val="1B5E5E"/>
          <w:sz w:val="30"/>
        </w:rPr>
        <w:t>Appendix D  The expert valuation panel</w:t>
      </w:r>
    </w:p>
    <w:p>
      <w:pPr>
        <w:spacing w:after="120" w:before="0"/>
      </w:pPr>
      <w:r>
        <w:rPr>
          <w:b w:val="0"/>
          <w:i w:val="0"/>
          <w:color w:val="222222"/>
          <w:sz w:val="20"/>
        </w:rPr>
        <w:t>Every Testahil study closes with a panel of standing expert personas — drawn from the house Expert Persona Library, not invented for the occasion, so that each accumulates a track record across studies and a quarterly update is a re-run, not a re-training. ACWA is a contracted-infrastructure developer-owner-operator — economically a holding company of project stakes with a heavy, capital-intensive growth programme — so we cast the three whose methods both fit that shape and genuinely disagree: Expert 1 (sum-of-the-parts NAV and the structure discount), Expert 2 (cash returns — DCF and return on invested capital versus its cost), and Expert 3 (scenario-weighted macro-policy real-options). Each runs a different method, derives its fair value from shown workings, and states a falsification condition. The macro lens runs as a full persona here rather than only through the body, because for a Vision-2030 / PIF champion policy genuinely sets value.</w:t>
      </w:r>
    </w:p>
    <w:p>
      <w:pPr>
        <w:spacing w:before="140" w:after="80"/>
      </w:pPr>
      <w:r>
        <w:rPr>
          <w:b/>
          <w:color w:val="1B5E5E"/>
          <w:sz w:val="23"/>
        </w:rPr>
        <w:t>D.1  Expert 1 — sum-of-the-parts NAV and the structure discount</w:t>
      </w:r>
    </w:p>
    <w:p>
      <w:pPr>
        <w:spacing w:after="120"/>
      </w:pPr>
      <w:r>
        <w:rPr>
          <w:b/>
          <w:color w:val="222222"/>
          <w:sz w:val="20"/>
        </w:rPr>
        <w:t xml:space="preserve">Worldview.  </w:t>
      </w:r>
      <w:r>
        <w:rPr>
          <w:b w:val="0"/>
          <w:color w:val="222222"/>
          <w:sz w:val="20"/>
        </w:rPr>
        <w:t>A holding of infrastructure stakes is worth the sum of its parts at realizable value, less a discount for the wrapper. He marks each asset — the operating fleet, the under-construction book, the pipeline, the services arm — to what it would fetch on its own, deducts holdco net debt as an explicit line, and asks what the market pays for the bundle versus the pieces.</w:t>
      </w:r>
    </w:p>
    <w:p>
      <w:pPr>
        <w:spacing w:after="120"/>
      </w:pPr>
      <w:r>
        <w:rPr>
          <w:b/>
          <w:color w:val="222222"/>
          <w:sz w:val="20"/>
        </w:rPr>
        <w:t xml:space="preserve">When it works / fails.  </w:t>
      </w:r>
      <w:r>
        <w:rPr>
          <w:b w:val="0"/>
          <w:color w:val="222222"/>
          <w:sz w:val="20"/>
        </w:rPr>
        <w:t>Best where the parts are separable and markable and a structure discount is observable; it fails when the marks on unbuilt or contracted assets prove illusory, or when a genuine platform synergy (ACWA's development engine winning tenders others cannot) is worth more than the sum.</w:t>
      </w:r>
    </w:p>
    <w:p>
      <w:pPr>
        <w:spacing w:after="120"/>
      </w:pPr>
      <w:r>
        <w:rPr>
          <w:b/>
          <w:color w:val="222222"/>
          <w:sz w:val="20"/>
        </w:rPr>
        <w:t xml:space="preserve">Standard workings &amp; worked example.  </w:t>
      </w:r>
      <w:r>
        <w:rPr>
          <w:b w:val="0"/>
          <w:color w:val="222222"/>
          <w:sz w:val="20"/>
        </w:rPr>
        <w:t>Mark the operating portfolio on capitalized attributable distributions, the under-construction book at invested equity plus uplift, the pipeline as risk-weighted optionality, and NOMAC on a fee-stream DCF; deduct holdco net debt; apply a fair structure discount.</w:t>
      </w:r>
    </w:p>
    <w:p>
      <w:pPr>
        <w:spacing w:after="120" w:before="0"/>
      </w:pPr>
      <w:r>
        <w:rPr>
          <w:b w:val="0"/>
          <w:i w:val="0"/>
          <w:color w:val="222222"/>
          <w:sz w:val="20"/>
        </w:rPr>
        <w:t>His tradition is the Graham-Dodd realization school, ported to infrastructure: a business is worth what its assets would realize net of every claim, and the balance sheet is a fact while the future is a guess. For ACWA the realization is unusually clean on the operating leg — an availability-based, hard-currency-indexed distribution stream on 20-30-year contracts with sovereign or investment-grade offtakers is close to a bond, and he capitalizes it at a yield that reflects that quality, then haircuts the associate marks for the cash-conversion lag that the equity method disguises. The under-construction book he treats conservatively: financed and de-risked, yes, but not yet paying, so it earns invested equity plus a modest uplift rather than a full operating multiple. He is explicit that his one act of faith is the pipeline line — an option, not an asset — and he keeps it small precisely because it is the least realizable mark on the page.</w:t>
      </w:r>
    </w:p>
    <w:tbl>
      <w:tblPr>
        <w:tblStyle w:val="TableGrid"/>
        <w:tblW w:type="auto" w:w="0"/>
        <w:jc w:val="center"/>
        <w:tblLook w:firstColumn="1" w:firstRow="1" w:lastColumn="0" w:lastRow="0" w:noHBand="0" w:noVBand="1" w:val="04A0"/>
      </w:tblPr>
      <w:tblGrid>
        <w:gridCol w:w="4968"/>
        <w:gridCol w:w="4968"/>
      </w:tblGrid>
      <w:tr>
        <w:tc>
          <w:tcPr>
            <w:tcW w:type="dxa" w:w="6048"/>
            <w:tcW w:w="6048" w:type="dxa"/>
            <w:shd w:val="clear" w:fill="1B5E5E"/>
          </w:tcPr>
          <w:p>
            <w:pPr>
              <w:spacing w:after="20" w:before="20"/>
            </w:pPr>
            <w:r>
              <w:rPr>
                <w:b/>
                <w:color w:val="FFFFFF"/>
                <w:sz w:val="19"/>
              </w:rPr>
              <w:t>Expert 1's marks (SAR bn)</w:t>
            </w:r>
          </w:p>
        </w:tc>
        <w:tc>
          <w:tcPr>
            <w:tcW w:type="dxa" w:w="2304"/>
            <w:tcW w:w="2304" w:type="dxa"/>
            <w:shd w:val="clear" w:fill="1B5E5E"/>
          </w:tcPr>
          <w:p>
            <w:pPr>
              <w:spacing w:after="20" w:before="20"/>
              <w:jc w:val="center"/>
            </w:pPr>
            <w:r>
              <w:rPr>
                <w:b/>
                <w:color w:val="FFFFFF"/>
                <w:sz w:val="19"/>
              </w:rPr>
              <w:t>Value</w:t>
            </w:r>
          </w:p>
        </w:tc>
      </w:tr>
      <w:tr>
        <w:tc>
          <w:tcPr>
            <w:tcW w:type="dxa" w:w="6048"/>
            <w:tcW w:w="6048" w:type="dxa"/>
          </w:tcPr>
          <w:p>
            <w:pPr>
              <w:spacing w:after="20" w:before="20"/>
            </w:pPr>
            <w:r>
              <w:rPr>
                <w:sz w:val="19"/>
              </w:rPr>
              <w:t>Operating power &amp; water portfolio</w:t>
            </w:r>
          </w:p>
        </w:tc>
        <w:tc>
          <w:tcPr>
            <w:tcW w:type="dxa" w:w="2304"/>
            <w:tcW w:w="2304" w:type="dxa"/>
          </w:tcPr>
          <w:p>
            <w:pPr>
              <w:spacing w:after="20" w:before="20"/>
              <w:jc w:val="center"/>
            </w:pPr>
            <w:r>
              <w:rPr>
                <w:sz w:val="19"/>
              </w:rPr>
              <w:t>118</w:t>
            </w:r>
          </w:p>
        </w:tc>
      </w:tr>
      <w:tr>
        <w:tc>
          <w:tcPr>
            <w:tcW w:type="dxa" w:w="6048"/>
            <w:tcW w:w="6048" w:type="dxa"/>
          </w:tcPr>
          <w:p>
            <w:pPr>
              <w:spacing w:after="20" w:before="20"/>
            </w:pPr>
            <w:r>
              <w:rPr>
                <w:sz w:val="19"/>
              </w:rPr>
              <w:t>Under-construction portfolio</w:t>
            </w:r>
          </w:p>
        </w:tc>
        <w:tc>
          <w:tcPr>
            <w:tcW w:type="dxa" w:w="2304"/>
            <w:tcW w:w="2304" w:type="dxa"/>
          </w:tcPr>
          <w:p>
            <w:pPr>
              <w:spacing w:after="20" w:before="20"/>
              <w:jc w:val="center"/>
            </w:pPr>
            <w:r>
              <w:rPr>
                <w:sz w:val="19"/>
              </w:rPr>
              <w:t>44</w:t>
            </w:r>
          </w:p>
        </w:tc>
      </w:tr>
      <w:tr>
        <w:tc>
          <w:tcPr>
            <w:tcW w:type="dxa" w:w="6048"/>
            <w:tcW w:w="6048" w:type="dxa"/>
          </w:tcPr>
          <w:p>
            <w:pPr>
              <w:spacing w:after="20" w:before="20"/>
            </w:pPr>
            <w:r>
              <w:rPr>
                <w:sz w:val="19"/>
              </w:rPr>
              <w:t>Advanced development pipeline</w:t>
            </w:r>
          </w:p>
        </w:tc>
        <w:tc>
          <w:tcPr>
            <w:tcW w:type="dxa" w:w="2304"/>
            <w:tcW w:w="2304" w:type="dxa"/>
          </w:tcPr>
          <w:p>
            <w:pPr>
              <w:spacing w:after="20" w:before="20"/>
              <w:jc w:val="center"/>
            </w:pPr>
            <w:r>
              <w:rPr>
                <w:sz w:val="19"/>
              </w:rPr>
              <w:t>11</w:t>
            </w:r>
          </w:p>
        </w:tc>
      </w:tr>
      <w:tr>
        <w:tc>
          <w:tcPr>
            <w:tcW w:type="dxa" w:w="6048"/>
            <w:tcW w:w="6048" w:type="dxa"/>
          </w:tcPr>
          <w:p>
            <w:pPr>
              <w:spacing w:after="20" w:before="20"/>
            </w:pPr>
            <w:r>
              <w:rPr>
                <w:sz w:val="19"/>
              </w:rPr>
              <w:t>NOMAC + services</w:t>
            </w:r>
          </w:p>
        </w:tc>
        <w:tc>
          <w:tcPr>
            <w:tcW w:type="dxa" w:w="2304"/>
            <w:tcW w:w="2304" w:type="dxa"/>
          </w:tcPr>
          <w:p>
            <w:pPr>
              <w:spacing w:after="20" w:before="20"/>
              <w:jc w:val="center"/>
            </w:pPr>
            <w:r>
              <w:rPr>
                <w:sz w:val="19"/>
              </w:rPr>
              <w:t>23</w:t>
            </w:r>
          </w:p>
        </w:tc>
      </w:tr>
      <w:tr>
        <w:tc>
          <w:tcPr>
            <w:tcW w:type="dxa" w:w="6048"/>
            <w:tcW w:w="6048" w:type="dxa"/>
          </w:tcPr>
          <w:p>
            <w:pPr>
              <w:spacing w:after="20" w:before="20"/>
            </w:pPr>
            <w:r>
              <w:rPr>
                <w:b/>
                <w:sz w:val="19"/>
              </w:rPr>
              <w:t>Σ attributable equity − holdco net debt (SAR 25bn)</w:t>
            </w:r>
          </w:p>
        </w:tc>
        <w:tc>
          <w:tcPr>
            <w:tcW w:type="dxa" w:w="2304"/>
            <w:tcW w:w="2304" w:type="dxa"/>
          </w:tcPr>
          <w:p>
            <w:pPr>
              <w:spacing w:after="20" w:before="20"/>
              <w:jc w:val="center"/>
            </w:pPr>
            <w:r>
              <w:rPr>
                <w:b/>
                <w:sz w:val="19"/>
              </w:rPr>
              <w:t>171</w:t>
            </w:r>
          </w:p>
        </w:tc>
      </w:tr>
      <w:tr>
        <w:tc>
          <w:tcPr>
            <w:tcW w:type="dxa" w:w="6048"/>
            <w:tcW w:w="6048" w:type="dxa"/>
          </w:tcPr>
          <w:p>
            <w:pPr>
              <w:spacing w:after="20" w:before="20"/>
            </w:pPr>
            <w:r>
              <w:rPr>
                <w:sz w:val="19"/>
              </w:rPr>
              <w:t>Fair structure discount 5% (offset by platform premium) → SAR 212/sh</w:t>
            </w:r>
          </w:p>
        </w:tc>
        <w:tc>
          <w:tcPr>
            <w:tcW w:type="dxa" w:w="2304"/>
            <w:tcW w:w="2304" w:type="dxa"/>
          </w:tcPr>
          <w:p>
            <w:pPr>
              <w:spacing w:after="20" w:before="20"/>
              <w:jc w:val="center"/>
            </w:pPr>
            <w:r>
              <w:rPr>
                <w:sz w:val="19"/>
              </w:rPr>
              <w:t>→ 163</w:t>
            </w:r>
          </w:p>
        </w:tc>
      </w:tr>
    </w:tbl>
    <w:p>
      <w:pPr>
        <w:spacing w:after="120"/>
      </w:pPr>
      <w:r>
        <w:rPr>
          <w:b/>
          <w:color w:val="222222"/>
          <w:sz w:val="20"/>
        </w:rPr>
        <w:t xml:space="preserve">Sensitivity (swing = the marks and the discount).  </w:t>
      </w:r>
      <w:r>
        <w:rPr>
          <w:b w:val="0"/>
          <w:color w:val="222222"/>
          <w:sz w:val="20"/>
        </w:rPr>
        <w:t xml:space="preserve">At a base operating mark and 0% net discount, SAR 224; at a 10% structure discount, SAR 195; at a bearish operating mark, SAR 165. </w:t>
      </w:r>
      <w:r>
        <w:rPr>
          <w:b/>
          <w:color w:val="222222"/>
          <w:sz w:val="20"/>
        </w:rPr>
        <w:t xml:space="preserve">Cross-examination.  </w:t>
      </w:r>
      <w:r>
        <w:rPr>
          <w:b w:val="0"/>
          <w:color w:val="222222"/>
          <w:sz w:val="20"/>
        </w:rPr>
        <w:t>He tells Expert 2 that a consolidated DCF blurs parts that deserve different discount rates and misses the associate cash entirely; he tells Expert 3 that policy scenarios are already priced into the marks he strikes.</w:t>
      </w:r>
    </w:p>
    <w:p>
      <w:pPr>
        <w:spacing w:after="120"/>
      </w:pPr>
      <w:r>
        <w:rPr>
          <w:b/>
          <w:color w:val="222222"/>
          <w:sz w:val="20"/>
        </w:rPr>
        <w:t xml:space="preserve">Verdict, falsification, market-implied.  </w:t>
      </w:r>
      <w:r>
        <w:rPr>
          <w:b/>
          <w:color w:val="222222"/>
          <w:sz w:val="20"/>
        </w:rPr>
        <w:t xml:space="preserve">Fair SAR 212 (range SAR 150–315).  </w:t>
      </w:r>
      <w:r>
        <w:rPr>
          <w:b w:val="0"/>
          <w:color w:val="222222"/>
          <w:sz w:val="20"/>
        </w:rPr>
        <w:t>Falsified if a leg's realizable mark proves illusory — above all if the under-construction book cannot be delivered near its underwritten equity value — or if the structure discount widens durably. The market price implies a ~22% discount to his gross NAV, wider than he judges fair for this contract quality.</w:t>
      </w:r>
    </w:p>
    <w:p>
      <w:pPr>
        <w:spacing w:before="140" w:after="80"/>
      </w:pPr>
      <w:r>
        <w:rPr>
          <w:b/>
          <w:color w:val="1B5E5E"/>
          <w:sz w:val="23"/>
        </w:rPr>
        <w:t>D.2  Expert 2 — cash returns: DCF and ROIC versus the cost of capital</w:t>
      </w:r>
    </w:p>
    <w:p>
      <w:pPr>
        <w:spacing w:after="120"/>
      </w:pPr>
      <w:r>
        <w:rPr>
          <w:b/>
          <w:color w:val="222222"/>
          <w:sz w:val="20"/>
        </w:rPr>
        <w:t xml:space="preserve">Worldview.  </w:t>
      </w:r>
      <w:r>
        <w:rPr>
          <w:b w:val="0"/>
          <w:color w:val="222222"/>
          <w:sz w:val="20"/>
        </w:rPr>
        <w:t>A business creates value only when each unit of capital earns above its cost. Cash, not booked profit or a mark, is the test; he looks past the NAV to free cash flow and to return on invested capital — does each riyal of Vision-2030 capital earn its keep, or quietly destroy value?</w:t>
      </w:r>
    </w:p>
    <w:p>
      <w:pPr>
        <w:spacing w:after="120"/>
      </w:pPr>
      <w:r>
        <w:rPr>
          <w:b/>
          <w:color w:val="222222"/>
          <w:sz w:val="20"/>
        </w:rPr>
        <w:t xml:space="preserve">When it works / fails.  </w:t>
      </w:r>
      <w:r>
        <w:rPr>
          <w:b w:val="0"/>
          <w:color w:val="222222"/>
          <w:sz w:val="20"/>
        </w:rPr>
        <w:t>Best for capital-intensive businesses where returns on capital are the crux — precisely ACWA's situation. It fails where reinvestment economics are about to change sharply, which is the very risk here: today's depressed ROIC may be a construction-phase artifact, or the new normal.</w:t>
      </w:r>
    </w:p>
    <w:p>
      <w:pPr>
        <w:spacing w:after="120"/>
      </w:pPr>
      <w:r>
        <w:rPr>
          <w:b/>
          <w:color w:val="222222"/>
          <w:sz w:val="20"/>
        </w:rPr>
        <w:t xml:space="preserve">Standard workings &amp; worked example.  </w:t>
      </w:r>
      <w:r>
        <w:rPr>
          <w:b w:val="0"/>
          <w:color w:val="222222"/>
          <w:sz w:val="20"/>
        </w:rPr>
        <w:t>Build normalized attributable FCFF, compute ROIC against WACC — the economic-profit spread — and discount the explicit cash stream plus a terminal value consistent with returns fading toward the cost of capital. Publish Ke explicitly.</w:t>
      </w:r>
    </w:p>
    <w:p>
      <w:pPr>
        <w:spacing w:after="120" w:before="0"/>
      </w:pPr>
      <w:r>
        <w:rPr>
          <w:b w:val="0"/>
          <w:i w:val="0"/>
          <w:color w:val="222222"/>
          <w:sz w:val="20"/>
        </w:rPr>
        <w:t>His discipline is economic profit: invested capital earns its keep only when its return clears the cost of the capital tied up in it, and a growing company that reinvests below that hurdle destroys value the faster it grows. ACWA is the textbook stress test of the idea. It is deploying roughly nine billion riyals of equity a year to triple its assets under management, yet its reported return on invested capital is under three percent and its return on equity around six-and-a-half — both beneath a cost of capital he pins at nearly nine. He accepts the constructive rejoinder that this is a construction-phase artifact — capital sunk into projects that have not yet reached commercial operation cannot be earning — and models the ROIC ramping into the low-teens as the under-construction book comes online. But he insists the burden of proof sits with the cash: he will pay for returns he can see accruing, not for an underwriting assumption, and he strips every one-off capital-recycling gain from the return the multiple is applied to, because a divestment gain is not a recurring spread.</w:t>
      </w:r>
    </w:p>
    <w:tbl>
      <w:tblPr>
        <w:tblStyle w:val="TableGrid"/>
        <w:tblW w:type="auto" w:w="0"/>
        <w:jc w:val="center"/>
        <w:tblLook w:firstColumn="1" w:firstRow="1" w:lastColumn="0" w:lastRow="0" w:noHBand="0" w:noVBand="1" w:val="04A0"/>
      </w:tblPr>
      <w:tblGrid>
        <w:gridCol w:w="4968"/>
        <w:gridCol w:w="4968"/>
      </w:tblGrid>
      <w:tr>
        <w:tc>
          <w:tcPr>
            <w:tcW w:type="dxa" w:w="6048"/>
            <w:tcW w:w="6048" w:type="dxa"/>
            <w:shd w:val="clear" w:fill="1B5E5E"/>
          </w:tcPr>
          <w:p>
            <w:pPr>
              <w:spacing w:after="20" w:before="20"/>
            </w:pPr>
            <w:r>
              <w:rPr>
                <w:b/>
                <w:color w:val="FFFFFF"/>
                <w:sz w:val="19"/>
              </w:rPr>
              <w:t>Expert 2's economic-profit test</w:t>
            </w:r>
          </w:p>
        </w:tc>
        <w:tc>
          <w:tcPr>
            <w:tcW w:type="dxa" w:w="2304"/>
            <w:tcW w:w="2304" w:type="dxa"/>
            <w:shd w:val="clear" w:fill="1B5E5E"/>
          </w:tcPr>
          <w:p>
            <w:pPr>
              <w:spacing w:after="20" w:before="20"/>
              <w:jc w:val="center"/>
            </w:pPr>
            <w:r>
              <w:rPr>
                <w:b/>
                <w:color w:val="FFFFFF"/>
                <w:sz w:val="19"/>
              </w:rPr>
              <w:t>Value</w:t>
            </w:r>
          </w:p>
        </w:tc>
      </w:tr>
      <w:tr>
        <w:tc>
          <w:tcPr>
            <w:tcW w:type="dxa" w:w="6048"/>
            <w:tcW w:w="6048" w:type="dxa"/>
          </w:tcPr>
          <w:p>
            <w:pPr>
              <w:spacing w:after="20" w:before="20"/>
            </w:pPr>
            <w:r>
              <w:rPr>
                <w:sz w:val="19"/>
              </w:rPr>
              <w:t>Normalized attributable FCFF, FY2030 (SAR bn)</w:t>
            </w:r>
          </w:p>
        </w:tc>
        <w:tc>
          <w:tcPr>
            <w:tcW w:type="dxa" w:w="2304"/>
            <w:tcW w:w="2304" w:type="dxa"/>
          </w:tcPr>
          <w:p>
            <w:pPr>
              <w:spacing w:after="20" w:before="20"/>
              <w:jc w:val="center"/>
            </w:pPr>
            <w:r>
              <w:rPr>
                <w:sz w:val="19"/>
              </w:rPr>
              <w:t>10.5</w:t>
            </w:r>
          </w:p>
        </w:tc>
      </w:tr>
      <w:tr>
        <w:tc>
          <w:tcPr>
            <w:tcW w:type="dxa" w:w="6048"/>
            <w:tcW w:w="6048" w:type="dxa"/>
          </w:tcPr>
          <w:p>
            <w:pPr>
              <w:spacing w:after="20" w:before="20"/>
            </w:pPr>
            <w:r>
              <w:rPr>
                <w:sz w:val="19"/>
              </w:rPr>
              <w:t>Cost of equity Ke = 4.75% + 0.85 × 6.0%</w:t>
            </w:r>
          </w:p>
        </w:tc>
        <w:tc>
          <w:tcPr>
            <w:tcW w:type="dxa" w:w="2304"/>
            <w:tcW w:w="2304" w:type="dxa"/>
          </w:tcPr>
          <w:p>
            <w:pPr>
              <w:spacing w:after="20" w:before="20"/>
              <w:jc w:val="center"/>
            </w:pPr>
            <w:r>
              <w:rPr>
                <w:sz w:val="19"/>
              </w:rPr>
              <w:t>9.85%</w:t>
            </w:r>
          </w:p>
        </w:tc>
      </w:tr>
      <w:tr>
        <w:tc>
          <w:tcPr>
            <w:tcW w:type="dxa" w:w="6048"/>
            <w:tcW w:w="6048" w:type="dxa"/>
          </w:tcPr>
          <w:p>
            <w:pPr>
              <w:spacing w:after="20" w:before="20"/>
            </w:pPr>
            <w:r>
              <w:rPr>
                <w:sz w:val="19"/>
              </w:rPr>
              <w:t>Current ROIC vs WACC (~2.6% vs ~8.75%)</w:t>
            </w:r>
          </w:p>
        </w:tc>
        <w:tc>
          <w:tcPr>
            <w:tcW w:type="dxa" w:w="2304"/>
            <w:tcW w:w="2304" w:type="dxa"/>
          </w:tcPr>
          <w:p>
            <w:pPr>
              <w:spacing w:after="20" w:before="20"/>
              <w:jc w:val="center"/>
            </w:pPr>
            <w:r>
              <w:rPr>
                <w:sz w:val="19"/>
              </w:rPr>
              <w:t>Negative spread today</w:t>
            </w:r>
          </w:p>
        </w:tc>
      </w:tr>
      <w:tr>
        <w:tc>
          <w:tcPr>
            <w:tcW w:type="dxa" w:w="6048"/>
            <w:tcW w:w="6048" w:type="dxa"/>
          </w:tcPr>
          <w:p>
            <w:pPr>
              <w:spacing w:after="20" w:before="20"/>
            </w:pPr>
            <w:r>
              <w:rPr>
                <w:sz w:val="19"/>
              </w:rPr>
              <w:t>Terminal value as % of EV</w:t>
            </w:r>
          </w:p>
        </w:tc>
        <w:tc>
          <w:tcPr>
            <w:tcW w:type="dxa" w:w="2304"/>
            <w:tcW w:w="2304" w:type="dxa"/>
          </w:tcPr>
          <w:p>
            <w:pPr>
              <w:spacing w:after="20" w:before="20"/>
              <w:jc w:val="center"/>
            </w:pPr>
            <w:r>
              <w:rPr>
                <w:sz w:val="19"/>
              </w:rPr>
              <w:t>~82%</w:t>
            </w:r>
          </w:p>
        </w:tc>
      </w:tr>
      <w:tr>
        <w:tc>
          <w:tcPr>
            <w:tcW w:type="dxa" w:w="6048"/>
            <w:tcW w:w="6048" w:type="dxa"/>
          </w:tcPr>
          <w:p>
            <w:pPr>
              <w:spacing w:after="20" w:before="20"/>
            </w:pPr>
            <w:r>
              <w:rPr>
                <w:b/>
                <w:sz w:val="19"/>
              </w:rPr>
              <w:t>Fair value → SAR 175/sh</w:t>
            </w:r>
          </w:p>
        </w:tc>
        <w:tc>
          <w:tcPr>
            <w:tcW w:type="dxa" w:w="2304"/>
            <w:tcW w:w="2304" w:type="dxa"/>
          </w:tcPr>
          <w:p>
            <w:pPr>
              <w:spacing w:after="20" w:before="20"/>
              <w:jc w:val="center"/>
            </w:pPr>
            <w:r>
              <w:rPr>
                <w:b/>
                <w:sz w:val="19"/>
              </w:rPr>
              <w:t>→ 134 equity (SAR bn)</w:t>
            </w:r>
          </w:p>
        </w:tc>
      </w:tr>
    </w:tbl>
    <w:p>
      <w:pPr>
        <w:spacing w:after="120"/>
      </w:pPr>
      <w:r>
        <w:rPr>
          <w:b/>
          <w:color w:val="222222"/>
          <w:sz w:val="20"/>
        </w:rPr>
        <w:t xml:space="preserve">Sensitivity (swing = WACC / ROIC fade).  </w:t>
      </w:r>
      <w:r>
        <w:rPr>
          <w:b w:val="0"/>
          <w:color w:val="222222"/>
          <w:sz w:val="20"/>
        </w:rPr>
        <w:t xml:space="preserve">At a 7.5% WACC, SAR 285; at 10%, SAR 120; hold the returns below cost and the value sits near the relative floor. </w:t>
      </w:r>
      <w:r>
        <w:rPr>
          <w:b/>
          <w:color w:val="222222"/>
          <w:sz w:val="20"/>
        </w:rPr>
        <w:t xml:space="preserve">Cross-examination.  </w:t>
      </w:r>
      <w:r>
        <w:rPr>
          <w:b w:val="0"/>
          <w:color w:val="222222"/>
          <w:sz w:val="20"/>
        </w:rPr>
        <w:t>He tells Expert 1 that marking parts at realizable value ignores whether the capital in them earns its cost — a de-risked under-construction asset can still be a value-destroying one; he tells Expert 3 that policy optionality without the cash to fund accretive returns is a half-truth.</w:t>
      </w:r>
    </w:p>
    <w:p>
      <w:pPr>
        <w:spacing w:after="120"/>
      </w:pPr>
      <w:r>
        <w:rPr>
          <w:b/>
          <w:color w:val="222222"/>
          <w:sz w:val="20"/>
        </w:rPr>
        <w:t xml:space="preserve">Verdict, falsification, market-implied.  </w:t>
      </w:r>
      <w:r>
        <w:rPr>
          <w:b/>
          <w:color w:val="222222"/>
          <w:sz w:val="20"/>
        </w:rPr>
        <w:t xml:space="preserve">Fair SAR 175 (range SAR 120–285) — the most cautious of the three: fairly-to-slightly-richly valued, no margin of safety.  </w:t>
      </w:r>
      <w:r>
        <w:rPr>
          <w:b w:val="0"/>
          <w:color w:val="222222"/>
          <w:sz w:val="20"/>
        </w:rPr>
        <w:t>Falsified by a durable ROIC lift above WACC as the pipeline matures (the constructive base case) or a structural decline in project returns. On a cash-returns basis the market price is a little above his number — it credits some, not all, of the returns recovery.</w:t>
      </w:r>
    </w:p>
    <w:p>
      <w:pPr>
        <w:spacing w:before="140" w:after="80"/>
      </w:pPr>
      <w:r>
        <w:rPr>
          <w:b/>
          <w:color w:val="1B5E5E"/>
          <w:sz w:val="23"/>
        </w:rPr>
        <w:t>D.3  Expert 3 — scenario-weighted macro-policy real-options</w:t>
      </w:r>
    </w:p>
    <w:p>
      <w:pPr>
        <w:spacing w:after="120"/>
      </w:pPr>
      <w:r>
        <w:rPr>
          <w:b/>
          <w:color w:val="222222"/>
          <w:sz w:val="20"/>
        </w:rPr>
        <w:t xml:space="preserve">Worldview.  </w:t>
      </w:r>
      <w:r>
        <w:rPr>
          <w:b w:val="0"/>
          <w:color w:val="222222"/>
          <w:sz w:val="20"/>
        </w:rPr>
        <w:t>In a Vision-2030 economy, policy outranks fundamentals — the PIF allocation, the Saudi rate and oil path, the peg, and sovereign programme design move value more than management does. He prices ACWA as a set of options on which policy world arrives, and probability-weights them.</w:t>
      </w:r>
    </w:p>
    <w:p>
      <w:pPr>
        <w:spacing w:after="120"/>
      </w:pPr>
      <w:r>
        <w:rPr>
          <w:b/>
          <w:color w:val="222222"/>
          <w:sz w:val="20"/>
        </w:rPr>
        <w:t xml:space="preserve">When it works / fails.  </w:t>
      </w:r>
      <w:r>
        <w:rPr>
          <w:b w:val="0"/>
          <w:color w:val="222222"/>
          <w:sz w:val="20"/>
        </w:rPr>
        <w:t>Best in policy-driven markets with binary catalysts and a state sponsor — ACWA's near-monopoly on the domestic renewables build is exactly this. It fails through false precision: the scenario probabilities are judgements, and a tree can miss the branch that grows.</w:t>
      </w:r>
    </w:p>
    <w:p>
      <w:pPr>
        <w:spacing w:after="120"/>
      </w:pPr>
      <w:r>
        <w:rPr>
          <w:b/>
          <w:color w:val="222222"/>
          <w:sz w:val="20"/>
        </w:rPr>
        <w:t xml:space="preserve">Standard workings &amp; worked example.  </w:t>
      </w:r>
      <w:r>
        <w:rPr>
          <w:b w:val="0"/>
          <w:color w:val="222222"/>
          <w:sz w:val="20"/>
        </w:rPr>
        <w:t>Identify the policy levers, define bull/base/bear as configurations of them, re-run the base valuation under each so the scenario values are derived, then probability-weight and stress the weights.</w:t>
      </w:r>
    </w:p>
    <w:p>
      <w:pPr>
        <w:spacing w:after="120" w:before="0"/>
      </w:pPr>
      <w:r>
        <w:rPr>
          <w:b w:val="0"/>
          <w:i w:val="0"/>
          <w:color w:val="222222"/>
          <w:sz w:val="20"/>
        </w:rPr>
        <w:t>He does not pick a side; he weights the odds, and he absorbs the other two experts as sub-cases of his tree. The levers he watches are specific: PIF's Strategic Framework Agreement allocation (today ~70% of the Kingdom's renewables build), the Saudi rate and oil path that sets both the discount rate and the fiscal room to fund the programme, the dollar peg that transmits US policy straight into ACWA's cost of capital, and the design of the offtake contracts themselves. Crucially, his scenario values are re-derived, not asserted: the bull case is Expert 1's marks struck at a narrower discount and Expert 2's ROIC clearing the hurdle because rates eased and the pipeline delivered; the bear case is the same two experts' models run with a programme wobble and financing costs biting. That is why he can put a probability on each and hand the other two their own numbers back as branches of his tree — and why his honest weakness is that a fourth, unmodelled policy shock, or a mis-specified weight, can dominate the whole exercise.</w:t>
      </w:r>
    </w:p>
    <w:tbl>
      <w:tblPr>
        <w:tblStyle w:val="TableGrid"/>
        <w:tblW w:type="auto" w:w="0"/>
        <w:jc w:val="center"/>
        <w:tblLook w:firstColumn="1" w:firstRow="1" w:lastColumn="0" w:lastRow="0" w:noHBand="0" w:noVBand="1" w:val="04A0"/>
      </w:tblPr>
      <w:tblGrid>
        <w:gridCol w:w="3312"/>
        <w:gridCol w:w="3312"/>
        <w:gridCol w:w="3312"/>
      </w:tblGrid>
      <w:tr>
        <w:tc>
          <w:tcPr>
            <w:tcW w:type="dxa" w:w="5616"/>
            <w:tcW w:w="5616" w:type="dxa"/>
            <w:shd w:val="clear" w:fill="1B5E5E"/>
          </w:tcPr>
          <w:p>
            <w:pPr>
              <w:spacing w:after="20" w:before="20"/>
            </w:pPr>
            <w:r>
              <w:rPr>
                <w:b/>
                <w:color w:val="FFFFFF"/>
                <w:sz w:val="19"/>
              </w:rPr>
              <w:t>Expert 3's scenario tree</w:t>
            </w:r>
          </w:p>
        </w:tc>
        <w:tc>
          <w:tcPr>
            <w:tcW w:type="dxa" w:w="1440"/>
            <w:tcW w:w="1440" w:type="dxa"/>
            <w:shd w:val="clear" w:fill="1B5E5E"/>
          </w:tcPr>
          <w:p>
            <w:pPr>
              <w:spacing w:after="20" w:before="20"/>
              <w:jc w:val="center"/>
            </w:pPr>
            <w:r>
              <w:rPr>
                <w:b/>
                <w:color w:val="FFFFFF"/>
                <w:sz w:val="19"/>
              </w:rPr>
              <w:t>Value/sh</w:t>
            </w:r>
          </w:p>
        </w:tc>
        <w:tc>
          <w:tcPr>
            <w:tcW w:type="dxa" w:w="1296"/>
            <w:tcW w:w="1296" w:type="dxa"/>
            <w:shd w:val="clear" w:fill="1B5E5E"/>
          </w:tcPr>
          <w:p>
            <w:pPr>
              <w:spacing w:after="20" w:before="20"/>
              <w:jc w:val="center"/>
            </w:pPr>
            <w:r>
              <w:rPr>
                <w:b/>
                <w:color w:val="FFFFFF"/>
                <w:sz w:val="19"/>
              </w:rPr>
              <w:t>Prob.</w:t>
            </w:r>
          </w:p>
        </w:tc>
      </w:tr>
      <w:tr>
        <w:tc>
          <w:tcPr>
            <w:tcW w:type="dxa" w:w="5616"/>
            <w:tcW w:w="5616" w:type="dxa"/>
          </w:tcPr>
          <w:p>
            <w:pPr>
              <w:spacing w:after="20" w:before="20"/>
            </w:pPr>
            <w:r>
              <w:rPr>
                <w:sz w:val="19"/>
              </w:rPr>
              <w:t>Bull — Vision-2030 delivered, rates ease, PIF pipeline accelerates</w:t>
            </w:r>
          </w:p>
        </w:tc>
        <w:tc>
          <w:tcPr>
            <w:tcW w:type="dxa" w:w="1440"/>
            <w:tcW w:w="1440" w:type="dxa"/>
          </w:tcPr>
          <w:p>
            <w:pPr>
              <w:spacing w:after="20" w:before="20"/>
              <w:jc w:val="center"/>
            </w:pPr>
            <w:r>
              <w:rPr>
                <w:sz w:val="19"/>
              </w:rPr>
              <w:t>300</w:t>
            </w:r>
          </w:p>
        </w:tc>
        <w:tc>
          <w:tcPr>
            <w:tcW w:type="dxa" w:w="1296"/>
            <w:tcW w:w="1296" w:type="dxa"/>
          </w:tcPr>
          <w:p>
            <w:pPr>
              <w:spacing w:after="20" w:before="20"/>
              <w:jc w:val="center"/>
            </w:pPr>
            <w:r>
              <w:rPr>
                <w:sz w:val="19"/>
              </w:rPr>
              <w:t>30%</w:t>
            </w:r>
          </w:p>
        </w:tc>
      </w:tr>
      <w:tr>
        <w:tc>
          <w:tcPr>
            <w:tcW w:type="dxa" w:w="5616"/>
            <w:tcW w:w="5616" w:type="dxa"/>
          </w:tcPr>
          <w:p>
            <w:pPr>
              <w:spacing w:after="20" w:before="20"/>
            </w:pPr>
            <w:r>
              <w:rPr>
                <w:sz w:val="19"/>
              </w:rPr>
              <w:t>Base — programme broadly on-plan, rates higher-for-longer</w:t>
            </w:r>
          </w:p>
        </w:tc>
        <w:tc>
          <w:tcPr>
            <w:tcW w:type="dxa" w:w="1440"/>
            <w:tcW w:w="1440" w:type="dxa"/>
          </w:tcPr>
          <w:p>
            <w:pPr>
              <w:spacing w:after="20" w:before="20"/>
              <w:jc w:val="center"/>
            </w:pPr>
            <w:r>
              <w:rPr>
                <w:sz w:val="19"/>
              </w:rPr>
              <w:t>195</w:t>
            </w:r>
          </w:p>
        </w:tc>
        <w:tc>
          <w:tcPr>
            <w:tcW w:type="dxa" w:w="1296"/>
            <w:tcW w:w="1296" w:type="dxa"/>
          </w:tcPr>
          <w:p>
            <w:pPr>
              <w:spacing w:after="20" w:before="20"/>
              <w:jc w:val="center"/>
            </w:pPr>
            <w:r>
              <w:rPr>
                <w:sz w:val="19"/>
              </w:rPr>
              <w:t>45%</w:t>
            </w:r>
          </w:p>
        </w:tc>
      </w:tr>
      <w:tr>
        <w:tc>
          <w:tcPr>
            <w:tcW w:type="dxa" w:w="5616"/>
            <w:tcW w:w="5616" w:type="dxa"/>
          </w:tcPr>
          <w:p>
            <w:pPr>
              <w:spacing w:after="20" w:before="20"/>
            </w:pPr>
            <w:r>
              <w:rPr>
                <w:sz w:val="19"/>
              </w:rPr>
              <w:t>Bear — execution slips / financing costs bite / global risk-off</w:t>
            </w:r>
          </w:p>
        </w:tc>
        <w:tc>
          <w:tcPr>
            <w:tcW w:type="dxa" w:w="1440"/>
            <w:tcW w:w="1440" w:type="dxa"/>
          </w:tcPr>
          <w:p>
            <w:pPr>
              <w:spacing w:after="20" w:before="20"/>
              <w:jc w:val="center"/>
            </w:pPr>
            <w:r>
              <w:rPr>
                <w:sz w:val="19"/>
              </w:rPr>
              <w:t>135</w:t>
            </w:r>
          </w:p>
        </w:tc>
        <w:tc>
          <w:tcPr>
            <w:tcW w:type="dxa" w:w="1296"/>
            <w:tcW w:w="1296" w:type="dxa"/>
          </w:tcPr>
          <w:p>
            <w:pPr>
              <w:spacing w:after="20" w:before="20"/>
              <w:jc w:val="center"/>
            </w:pPr>
            <w:r>
              <w:rPr>
                <w:sz w:val="19"/>
              </w:rPr>
              <w:t>25%</w:t>
            </w:r>
          </w:p>
        </w:tc>
      </w:tr>
      <w:tr>
        <w:tc>
          <w:tcPr>
            <w:tcW w:type="dxa" w:w="5616"/>
            <w:tcW w:w="5616" w:type="dxa"/>
          </w:tcPr>
          <w:p>
            <w:pPr>
              <w:spacing w:after="20" w:before="20"/>
            </w:pPr>
            <w:r>
              <w:rPr>
                <w:b/>
                <w:sz w:val="19"/>
              </w:rPr>
              <w:t>Probability-weighted fair value → SAR 200/sh</w:t>
            </w:r>
          </w:p>
        </w:tc>
        <w:tc>
          <w:tcPr>
            <w:tcW w:type="dxa" w:w="1440"/>
            <w:tcW w:w="1440" w:type="dxa"/>
          </w:tcPr>
          <w:p>
            <w:pPr>
              <w:spacing w:after="20" w:before="20"/>
              <w:jc w:val="center"/>
            </w:pPr>
            <w:r>
              <w:rPr>
                <w:b/>
                <w:sz w:val="19"/>
              </w:rPr>
              <w:t>200</w:t>
            </w:r>
          </w:p>
        </w:tc>
        <w:tc>
          <w:tcPr>
            <w:tcW w:type="dxa" w:w="1296"/>
            <w:tcW w:w="1296" w:type="dxa"/>
          </w:tcPr>
          <w:p>
            <w:pPr>
              <w:spacing w:after="20" w:before="20"/>
              <w:jc w:val="center"/>
            </w:pPr>
            <w:r>
              <w:rPr>
                <w:b/>
                <w:sz w:val="19"/>
              </w:rPr>
            </w:r>
          </w:p>
        </w:tc>
      </w:tr>
    </w:tbl>
    <w:p>
      <w:pPr>
        <w:spacing w:after="120"/>
      </w:pPr>
      <w:r>
        <w:rPr>
          <w:b/>
          <w:color w:val="222222"/>
          <w:sz w:val="20"/>
        </w:rPr>
        <w:t xml:space="preserve">Sensitivity (swing = the scenario weights).  </w:t>
      </w:r>
      <w:r>
        <w:rPr>
          <w:b w:val="0"/>
          <w:color w:val="222222"/>
          <w:sz w:val="20"/>
        </w:rPr>
        <w:t xml:space="preserve">Shift 15 points from base to bull and the value is SAR 216; shift them to bear and it is SAR 184. </w:t>
      </w:r>
      <w:r>
        <w:rPr>
          <w:b/>
          <w:color w:val="222222"/>
          <w:sz w:val="20"/>
        </w:rPr>
        <w:t xml:space="preserve">Cross-examination.  </w:t>
      </w:r>
      <w:r>
        <w:rPr>
          <w:b w:val="0"/>
          <w:color w:val="222222"/>
          <w:sz w:val="20"/>
        </w:rPr>
        <w:t>He tells Expert 1 that the structure discount is really a policy variable — it narrows when Vision-2030 delivers and widens on a programme wobble; he tells Expert 2 that his single WACC cannot capture a regime in which the sovereign both funds and de-risks the growth.</w:t>
      </w:r>
    </w:p>
    <w:p>
      <w:pPr>
        <w:spacing w:after="120"/>
      </w:pPr>
      <w:r>
        <w:rPr>
          <w:b/>
          <w:color w:val="222222"/>
          <w:sz w:val="20"/>
        </w:rPr>
        <w:t xml:space="preserve">Verdict, falsification, market-implied.  </w:t>
      </w:r>
      <w:r>
        <w:rPr>
          <w:b/>
          <w:color w:val="222222"/>
          <w:sz w:val="20"/>
        </w:rPr>
        <w:t xml:space="preserve">Fair SAR 200 (range SAR 135–300).  </w:t>
      </w:r>
      <w:r>
        <w:rPr>
          <w:b w:val="0"/>
          <w:color w:val="222222"/>
          <w:sz w:val="20"/>
        </w:rPr>
        <w:t>Falsified by a fourth, unmodelled policy shock dominating — a change in PIF's allocation to ACWA, a Saudi fiscal retrenchment, or a peg-stress scenario. The market price sits just below his weighted value, consistent with the base scenario carrying the day.</w:t>
      </w:r>
    </w:p>
    <w:p>
      <w:pPr>
        <w:spacing w:before="140" w:after="80"/>
      </w:pPr>
      <w:r>
        <w:rPr>
          <w:b/>
          <w:color w:val="1B5E5E"/>
          <w:sz w:val="23"/>
        </w:rPr>
        <w:t>D.5  The three in one room</w:t>
      </w:r>
    </w:p>
    <w:p>
      <w:pPr>
        <w:spacing w:after="120" w:before="0"/>
      </w:pPr>
      <w:r>
        <w:rPr>
          <w:b w:val="0"/>
          <w:i w:val="0"/>
          <w:color w:val="222222"/>
          <w:sz w:val="20"/>
        </w:rPr>
        <w:t>The single question they most disagree on is whether the capital ACWA is pouring into the Vision-2030 build will earn its keep — and how much of that is a policy call versus a returns call.</w:t>
      </w:r>
    </w:p>
    <w:p>
      <w:pPr>
        <w:spacing w:after="120"/>
      </w:pPr>
      <w:r>
        <w:rPr>
          <w:b/>
          <w:color w:val="222222"/>
          <w:sz w:val="20"/>
        </w:rPr>
        <w:t xml:space="preserve">Expert 1: </w:t>
      </w:r>
      <w:r>
        <w:rPr>
          <w:b w:val="0"/>
          <w:color w:val="222222"/>
          <w:sz w:val="20"/>
        </w:rPr>
        <w:t>“Mark the parts. The operating fleet is contracted and indexed, the under-construction book is financed and de-risked, the services arm is a fee annuity. The bundle is worth about SAR 248 a share gross and the market discounts it a fifth. The argument is the discount, not the cash.”</w:t>
      </w:r>
    </w:p>
    <w:p>
      <w:pPr>
        <w:spacing w:after="120"/>
      </w:pPr>
      <w:r>
        <w:rPr>
          <w:b/>
          <w:color w:val="222222"/>
          <w:sz w:val="20"/>
        </w:rPr>
        <w:t xml:space="preserve">Expert 2: </w:t>
      </w:r>
      <w:r>
        <w:rPr>
          <w:b w:val="0"/>
          <w:color w:val="222222"/>
          <w:sz w:val="20"/>
        </w:rPr>
        <w:t>“And to build that bundle ACWA spends roughly nine billion riyals of equity a year at returns I cannot yet see in the numbers — ROIC under three percent against a nine-plus cost of capital. Mark the parts all you like; until the capital earns its cost, you are capitalizing a promise.”</w:t>
      </w:r>
    </w:p>
    <w:p>
      <w:pPr>
        <w:spacing w:after="120"/>
      </w:pPr>
      <w:r>
        <w:rPr>
          <w:b/>
          <w:color w:val="222222"/>
          <w:sz w:val="20"/>
        </w:rPr>
        <w:t xml:space="preserve">Expert 3: </w:t>
      </w:r>
      <w:r>
        <w:rPr>
          <w:b w:val="0"/>
          <w:color w:val="222222"/>
          <w:sz w:val="20"/>
        </w:rPr>
        <w:t>“You are both arguing about a spreadsheet. PIF handed ACWA seventy percent of the Kingdom's renewables pipeline. If Vision 2030 is delivered and rates ease, the returns and the discount both fix themselves; if the programme wobbles, neither does. Price the policy world, then the parts.”</w:t>
      </w:r>
    </w:p>
    <w:p>
      <w:pPr>
        <w:spacing w:before="140" w:after="80"/>
      </w:pPr>
      <w:r>
        <w:rPr>
          <w:b/>
          <w:color w:val="1B5E5E"/>
          <w:sz w:val="23"/>
        </w:rPr>
        <w:t>D.6  Reading the divergence</w:t>
      </w:r>
    </w:p>
    <w:p>
      <w:pPr>
        <w:jc w:val="center"/>
      </w:pPr>
      <w:r>
        <w:drawing>
          <wp:inline xmlns:a="http://schemas.openxmlformats.org/drawingml/2006/main" xmlns:pic="http://schemas.openxmlformats.org/drawingml/2006/picture">
            <wp:extent cx="5577840" cy="2353519"/>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5577840" cy="2353519"/>
                    </a:xfrm>
                    <a:prstGeom prst="rect"/>
                  </pic:spPr>
                </pic:pic>
              </a:graphicData>
            </a:graphic>
          </wp:inline>
        </w:drawing>
      </w:r>
    </w:p>
    <w:p>
      <w:pPr>
        <w:spacing w:after="160" w:before="40"/>
      </w:pPr>
      <w:r>
        <w:rPr>
          <w:i/>
          <w:color w:val="555555"/>
          <w:sz w:val="17"/>
        </w:rPr>
        <w:t>Figure D-1 — The three experts' fair-value ranges. Brass ticks are base cases; the gold band is the central, the dark line is spot. The spread is almost entirely a returns-on-growth disagreement.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tcW w:w="1728" w:type="dxa"/>
            <w:shd w:val="clear" w:fill="1B5E5E"/>
          </w:tcPr>
          <w:p>
            <w:pPr>
              <w:spacing w:after="20" w:before="20"/>
            </w:pPr>
            <w:r>
              <w:rPr>
                <w:b/>
                <w:color w:val="FFFFFF"/>
                <w:sz w:val="19"/>
              </w:rPr>
              <w:t>Expert</w:t>
            </w:r>
          </w:p>
        </w:tc>
        <w:tc>
          <w:tcPr>
            <w:tcW w:type="dxa" w:w="3168"/>
            <w:tcW w:w="3168" w:type="dxa"/>
            <w:shd w:val="clear" w:fill="1B5E5E"/>
          </w:tcPr>
          <w:p>
            <w:pPr>
              <w:spacing w:after="20" w:before="20"/>
              <w:jc w:val="center"/>
            </w:pPr>
            <w:r>
              <w:rPr>
                <w:b/>
                <w:color w:val="FFFFFF"/>
                <w:sz w:val="19"/>
              </w:rPr>
              <w:t>Method</w:t>
            </w:r>
          </w:p>
        </w:tc>
        <w:tc>
          <w:tcPr>
            <w:tcW w:type="dxa" w:w="3456"/>
            <w:tcW w:w="3456" w:type="dxa"/>
            <w:shd w:val="clear" w:fill="1B5E5E"/>
          </w:tcPr>
          <w:p>
            <w:pPr>
              <w:spacing w:after="20" w:before="20"/>
              <w:jc w:val="center"/>
            </w:pPr>
            <w:r>
              <w:rPr>
                <w:b/>
                <w:color w:val="FFFFFF"/>
                <w:sz w:val="19"/>
              </w:rPr>
              <w:t>Single swing assumption</w:t>
            </w:r>
          </w:p>
        </w:tc>
        <w:tc>
          <w:tcPr>
            <w:tcW w:type="dxa" w:w="1584"/>
            <w:tcW w:w="1584" w:type="dxa"/>
            <w:shd w:val="clear" w:fill="1B5E5E"/>
          </w:tcPr>
          <w:p>
            <w:pPr>
              <w:spacing w:after="20" w:before="20"/>
              <w:jc w:val="center"/>
            </w:pPr>
            <w:r>
              <w:rPr>
                <w:b/>
                <w:color w:val="FFFFFF"/>
                <w:sz w:val="19"/>
              </w:rPr>
              <w:t>Base fair value</w:t>
            </w:r>
          </w:p>
        </w:tc>
      </w:tr>
      <w:tr>
        <w:tc>
          <w:tcPr>
            <w:tcW w:type="dxa" w:w="1728"/>
            <w:tcW w:w="1728" w:type="dxa"/>
          </w:tcPr>
          <w:p>
            <w:pPr>
              <w:spacing w:after="20" w:before="20"/>
            </w:pPr>
            <w:r>
              <w:rPr>
                <w:sz w:val="19"/>
              </w:rPr>
              <w:t>Expert 1</w:t>
            </w:r>
          </w:p>
        </w:tc>
        <w:tc>
          <w:tcPr>
            <w:tcW w:type="dxa" w:w="3168"/>
            <w:tcW w:w="3168" w:type="dxa"/>
          </w:tcPr>
          <w:p>
            <w:pPr>
              <w:spacing w:after="20" w:before="20"/>
              <w:jc w:val="center"/>
            </w:pPr>
            <w:r>
              <w:rPr>
                <w:sz w:val="19"/>
              </w:rPr>
              <w:t>Sum-of-the-parts NAV</w:t>
            </w:r>
          </w:p>
        </w:tc>
        <w:tc>
          <w:tcPr>
            <w:tcW w:type="dxa" w:w="3456"/>
            <w:tcW w:w="3456" w:type="dxa"/>
          </w:tcPr>
          <w:p>
            <w:pPr>
              <w:spacing w:after="20" w:before="20"/>
              <w:jc w:val="center"/>
            </w:pPr>
            <w:r>
              <w:rPr>
                <w:sz w:val="19"/>
              </w:rPr>
              <w:t>Fair structure discount (5%)</w:t>
            </w:r>
          </w:p>
        </w:tc>
        <w:tc>
          <w:tcPr>
            <w:tcW w:type="dxa" w:w="1584"/>
            <w:tcW w:w="1584" w:type="dxa"/>
          </w:tcPr>
          <w:p>
            <w:pPr>
              <w:spacing w:after="20" w:before="20"/>
              <w:jc w:val="center"/>
            </w:pPr>
            <w:r>
              <w:rPr>
                <w:sz w:val="19"/>
              </w:rPr>
              <w:t>SAR 212</w:t>
            </w:r>
          </w:p>
        </w:tc>
      </w:tr>
      <w:tr>
        <w:tc>
          <w:tcPr>
            <w:tcW w:type="dxa" w:w="1728"/>
            <w:tcW w:w="1728" w:type="dxa"/>
          </w:tcPr>
          <w:p>
            <w:pPr>
              <w:spacing w:after="20" w:before="20"/>
            </w:pPr>
            <w:r>
              <w:rPr>
                <w:sz w:val="19"/>
              </w:rPr>
              <w:t>Expert 2</w:t>
            </w:r>
          </w:p>
        </w:tc>
        <w:tc>
          <w:tcPr>
            <w:tcW w:type="dxa" w:w="3168"/>
            <w:tcW w:w="3168" w:type="dxa"/>
          </w:tcPr>
          <w:p>
            <w:pPr>
              <w:spacing w:after="20" w:before="20"/>
              <w:jc w:val="center"/>
            </w:pPr>
            <w:r>
              <w:rPr>
                <w:sz w:val="19"/>
              </w:rPr>
              <w:t>Cash returns / ROIC</w:t>
            </w:r>
          </w:p>
        </w:tc>
        <w:tc>
          <w:tcPr>
            <w:tcW w:type="dxa" w:w="3456"/>
            <w:tcW w:w="3456" w:type="dxa"/>
          </w:tcPr>
          <w:p>
            <w:pPr>
              <w:spacing w:after="20" w:before="20"/>
              <w:jc w:val="center"/>
            </w:pPr>
            <w:r>
              <w:rPr>
                <w:sz w:val="19"/>
              </w:rPr>
              <w:t>ROIC versus a ~8.75% WACC</w:t>
            </w:r>
          </w:p>
        </w:tc>
        <w:tc>
          <w:tcPr>
            <w:tcW w:type="dxa" w:w="1584"/>
            <w:tcW w:w="1584" w:type="dxa"/>
          </w:tcPr>
          <w:p>
            <w:pPr>
              <w:spacing w:after="20" w:before="20"/>
              <w:jc w:val="center"/>
            </w:pPr>
            <w:r>
              <w:rPr>
                <w:sz w:val="19"/>
              </w:rPr>
              <w:t>SAR 175</w:t>
            </w:r>
          </w:p>
        </w:tc>
      </w:tr>
      <w:tr>
        <w:tc>
          <w:tcPr>
            <w:tcW w:type="dxa" w:w="1728"/>
            <w:tcW w:w="1728" w:type="dxa"/>
          </w:tcPr>
          <w:p>
            <w:pPr>
              <w:spacing w:after="20" w:before="20"/>
            </w:pPr>
            <w:r>
              <w:rPr>
                <w:sz w:val="19"/>
              </w:rPr>
              <w:t>Expert 3</w:t>
            </w:r>
          </w:p>
        </w:tc>
        <w:tc>
          <w:tcPr>
            <w:tcW w:type="dxa" w:w="3168"/>
            <w:tcW w:w="3168" w:type="dxa"/>
          </w:tcPr>
          <w:p>
            <w:pPr>
              <w:spacing w:after="20" w:before="20"/>
              <w:jc w:val="center"/>
            </w:pPr>
            <w:r>
              <w:rPr>
                <w:sz w:val="19"/>
              </w:rPr>
              <w:t>Macro-policy scenarios</w:t>
            </w:r>
          </w:p>
        </w:tc>
        <w:tc>
          <w:tcPr>
            <w:tcW w:type="dxa" w:w="3456"/>
            <w:tcW w:w="3456" w:type="dxa"/>
          </w:tcPr>
          <w:p>
            <w:pPr>
              <w:spacing w:after="20" w:before="20"/>
              <w:jc w:val="center"/>
            </w:pPr>
            <w:r>
              <w:rPr>
                <w:sz w:val="19"/>
              </w:rPr>
              <w:t>Vision-2030 scenario weights</w:t>
            </w:r>
          </w:p>
        </w:tc>
        <w:tc>
          <w:tcPr>
            <w:tcW w:type="dxa" w:w="1584"/>
            <w:tcW w:w="1584" w:type="dxa"/>
          </w:tcPr>
          <w:p>
            <w:pPr>
              <w:spacing w:after="20" w:before="20"/>
              <w:jc w:val="center"/>
            </w:pPr>
            <w:r>
              <w:rPr>
                <w:sz w:val="19"/>
              </w:rPr>
              <w:t>SAR 200</w:t>
            </w:r>
          </w:p>
        </w:tc>
      </w:tr>
    </w:tbl>
    <w:p>
      <w:pPr>
        <w:spacing w:after="120" w:before="0"/>
      </w:pPr>
      <w:r>
        <w:rPr>
          <w:b w:val="0"/>
          <w:i w:val="0"/>
          <w:color w:val="222222"/>
          <w:sz w:val="20"/>
        </w:rPr>
        <w:t>The spread — SAR 175 to SAR 212 at base — is narrow for a growth infrastructure name, and it is almost entirely a returns-on-growth disagreement: none of the three contests the operating fleet, the contract quality, or the balance sheet. What separates them is whether the capital ACWA is now spending will earn above its cost. Expert 1 says the parts are worth it and the discount is the question; Expert 2 says the cash returns must prove it first; Expert 3 says the answer is set in Riyadh, not in the model. The SAR 37 spread is therefore a clean measure of one uncertainty — the return on the Vision-2030 build. Resolve that, and the three converge.</w:t>
      </w:r>
    </w:p>
    <w:p>
      <w:pPr>
        <w:spacing w:after="120" w:before="0"/>
      </w:pPr>
      <w:r>
        <w:rPr>
          <w:b w:val="0"/>
          <w:i w:val="0"/>
          <w:color w:val="222222"/>
          <w:sz w:val="20"/>
        </w:rPr>
        <w:t>A note on how the three would update. Because each persona is a standing method rather than an opinion invented for this study, a quarterly re-run feeds them fresh disclosure and re-runs the same workings: the NAV expert re-marks the legs off the new portfolio schedule, the cash-returns expert re-computes the ROIC spread off the latest attributable cash, and the policy expert re-weights the scenario tree off the newest PIF and rate signals. Nothing is re-trained; the personalities and disciplines carry forward verbatim, and each accumulates a scoreable, per-market track record against realized prices that a one-off bespoke expert could never build. That continuity is the point of casting from a fixed library rather than assembling a fresh panel each time, and it is what lets a reader hold each method accountable over successive quarters rather than judging a single snapshot in isolation.</w:t>
      </w:r>
    </w:p>
    <w:p>
      <w:pPr>
        <w:spacing w:after="120" w:before="0"/>
      </w:pPr>
      <w:r>
        <w:rPr>
          <w:b w:val="0"/>
          <w:i w:val="0"/>
          <w:color w:val="222222"/>
          <w:sz w:val="20"/>
        </w:rPr>
        <w:t>What the spread measures is worth stating plainly: it is the market’s uncertainty about a single number — the return ACWA will earn on the capital it is spending now and cannot un-spend. If that return lands at the underwritten mid-teens, Expert 1 is right that the discount is the only question and the stock is worth north of SAR 210; if it lands below the cost of capital, Expert 2 is right that the parts are a promise and the value sits near the relative floor around SAR 160; and Expert 3’s wager is that which of those worlds arrives is decided less by ACWA’s execution than by Riyadh’s policy and the global rate path. None of the three is arguing about the operating fleet, the contract quality, or the balance sheet — the disagreement is entirely forward, entirely about returns on growth, and therefore entirely resolvable with time and disclosure. That is the cleanest possible statement of the ACWA question, and it is why a single fair-value number would mislead where a distribution does not.</w:t>
      </w:r>
    </w:p>
    <w:p>
      <w:pPr>
        <w:spacing w:after="160" w:before="40"/>
      </w:pPr>
      <w:r>
        <w:rPr>
          <w:i/>
          <w:color w:val="555555"/>
          <w:sz w:val="17"/>
        </w:rPr>
        <w:t>Each expert's point fair value (and bull/base/bear) is logged with the study date (05 Jul 2026) and spot (SAR 193.90) as an internal per-expert track record, kept separate from the core Calibration Ledger.</w:t>
      </w:r>
    </w:p>
    <w:p>
      <w:pPr>
        <w:spacing w:before="200" w:after="80"/>
      </w:pPr>
      <w:r>
        <w:rPr>
          <w:b/>
          <w:color w:val="1B5E5E"/>
          <w:sz w:val="30"/>
        </w:rPr>
        <w:t>About this series</w:t>
      </w:r>
    </w:p>
    <w:p>
      <w:pPr>
        <w:spacing w:after="120" w:before="0"/>
      </w:pPr>
      <w:r>
        <w:rPr>
          <w:b w:val="0"/>
          <w:i w:val="0"/>
          <w:color w:val="222222"/>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00" w:after="80"/>
      </w:pPr>
      <w:r>
        <w:rPr>
          <w:b/>
          <w:color w:val="1B5E5E"/>
          <w:sz w:val="30"/>
        </w:rPr>
        <w:t>Disclosure &amp; Disclaimer</w:t>
      </w:r>
    </w:p>
    <w:p>
      <w:pPr>
        <w:spacing w:after="80"/>
      </w:pPr>
      <w:r>
        <w:rPr>
          <w:b/>
          <w:i/>
          <w:color w:val="222222"/>
          <w:sz w:val="18"/>
        </w:rPr>
        <w:t xml:space="preserve">Not investment advice. </w:t>
      </w:r>
      <w:r>
        <w:rPr>
          <w:i/>
          <w:color w:val="222222"/>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pPr>
      <w:r>
        <w:rPr>
          <w:b/>
          <w:i/>
          <w:color w:val="222222"/>
          <w:sz w:val="18"/>
        </w:rPr>
        <w:t xml:space="preserve">No licence; no advisory relationship. </w:t>
      </w:r>
      <w:r>
        <w:rPr>
          <w:i/>
          <w:color w:val="222222"/>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pPr>
      <w:r>
        <w:rPr>
          <w:b/>
          <w:i/>
          <w:color w:val="222222"/>
          <w:sz w:val="18"/>
        </w:rPr>
        <w:t xml:space="preserve">Holdings disclosure. </w:t>
      </w:r>
      <w:r>
        <w:rPr>
          <w:i/>
          <w:color w:val="222222"/>
          <w:sz w:val="18"/>
        </w:rPr>
        <w:t>The preparer may hold, and may in the future take or dispose of, a position in the security discussed in this report, and may transact at any time without notice. This is a potential conflict of interest you should weigh.</w:t>
      </w:r>
    </w:p>
    <w:p>
      <w:pPr>
        <w:spacing w:after="80"/>
      </w:pPr>
      <w:r>
        <w:rPr>
          <w:b/>
          <w:i/>
          <w:color w:val="222222"/>
          <w:sz w:val="18"/>
        </w:rPr>
        <w:t xml:space="preserve">Sources &amp; accuracy. </w:t>
      </w:r>
      <w:r>
        <w:rPr>
          <w:i/>
          <w:color w:val="222222"/>
          <w:sz w:val="18"/>
        </w:rPr>
        <w:t>Reported financial and operating figures are drawn from the company's public disclosure and other public sources believed reliable but not independently verified; they may contain errors or be superseded. Forward-looking inputs — the SOTP marks, the pipeline value, the holdco treatment, projections, multiples, the DCF and Monte-Carlo factor probabilities — are the preparer's own judgments and are inherently uncertain.</w:t>
      </w:r>
    </w:p>
    <w:p>
      <w:pPr>
        <w:spacing w:after="80"/>
      </w:pPr>
      <w:r>
        <w:rPr>
          <w:b/>
          <w:i/>
          <w:color w:val="222222"/>
          <w:sz w:val="18"/>
        </w:rPr>
        <w:t xml:space="preserve">Forward-looking statements. </w:t>
      </w:r>
      <w:r>
        <w:rPr>
          <w:i/>
          <w:color w:val="222222"/>
          <w:sz w:val="18"/>
        </w:rPr>
        <w:t>Any statements about the future are estimates subject to risks and uncertainties; actual results may differ materially. The Monte Carlo models price, not value, and encodes subjective probabilities for events that have not occurred.</w:t>
      </w:r>
    </w:p>
    <w:p>
      <w:pPr>
        <w:spacing w:after="80"/>
      </w:pPr>
      <w:r>
        <w:rPr>
          <w:b/>
          <w:i/>
          <w:color w:val="222222"/>
          <w:sz w:val="18"/>
        </w:rPr>
        <w:t xml:space="preserve">No reliance; your responsibility. </w:t>
      </w:r>
      <w:r>
        <w:rPr>
          <w:i/>
          <w:color w:val="222222"/>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pPr>
      <w:r>
        <w:rPr>
          <w:b/>
          <w:i/>
          <w:color w:val="222222"/>
          <w:sz w:val="18"/>
        </w:rPr>
        <w:t xml:space="preserve">Currency &amp; figures. </w:t>
      </w:r>
      <w:r>
        <w:rPr>
          <w:i/>
          <w:color w:val="222222"/>
          <w:sz w:val="18"/>
        </w:rPr>
        <w:t>Figures are in Saudi riyals (SAR) unless stated; the SAR is pegged to the US dollar at 3.75. Rounding may cause totals to differ slightly. Spot price and market data are as of 05 July 2026 and change continuously.</w:t>
      </w:r>
    </w:p>
    <w:p>
      <w:pPr>
        <w:spacing w:before="160"/>
        <w:pBdr>
          <w:top w:val="single" w:sz="8" w:space="1" w:color="B0894B"/>
        </w:pBdr>
      </w:pPr>
    </w:p>
    <w:p>
      <w:pPr>
        <w:spacing w:after="120" w:before="0"/>
        <w:jc w:val="center"/>
      </w:pPr>
      <w:r>
        <w:rPr>
          <w:b w:val="0"/>
          <w:i/>
          <w:color w:val="555555"/>
          <w:sz w:val="17"/>
        </w:rPr>
        <w:t>TESTAHIL · Independent Valuation Study · Educational Analysis · ACWA Power Company (Tadawul: 2082) · edition 05-07-2026 · reporting currency SAR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