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751" w:val="right"/>
        </w:tabs>
        <w:pBdr>
          <w:bottom w:val="single" w:sz="12" w:color="1B5E5E"/>
        </w:pBdr>
      </w:pPr>
      <w:r>
        <w:rPr>
          <w:b/>
          <w:sz w:val="20"/>
        </w:rPr>
        <w:t>Testahil   ·   Independent Valuation Study — Educational Analysis</w:t>
      </w:r>
      <w:r>
        <w:rPr>
          <w:color w:val="B0894B"/>
          <w:sz w:val="18"/>
        </w:rPr>
        <w:tab/>
        <w:t>Not investment advice</w:t>
      </w:r>
    </w:p>
    <w:p>
      <w:r>
        <w:rPr>
          <w:b/>
          <w:sz w:val="26"/>
        </w:rPr>
        <w:t>Independent Valuation Study — Educational Analysis</w:t>
      </w:r>
    </w:p>
    <w:p>
      <w:r>
        <w:rPr>
          <w:b/>
          <w:color w:val="1B5E5E"/>
          <w:sz w:val="38"/>
        </w:rPr>
        <w:t>Abu Dhabi Islamic Bank – Egypt  (EGX: ADIB)</w:t>
      </w:r>
    </w:p>
    <w:p>
      <w:r>
        <w:rPr>
          <w:b w:val="0"/>
          <w:i/>
          <w:color w:val="666666"/>
        </w:rPr>
        <w:t>*Fundamental analysis · Technical analysis · Monte Carlo simulation — one integrated read*</w:t>
      </w:r>
    </w:p>
    <w:p>
      <w:r>
        <w:rPr>
          <w:b/>
        </w:rPr>
        <w:t xml:space="preserve">Anchor: </w:t>
      </w:r>
      <w:r>
        <w:rPr>
          <w:b w:val="0"/>
        </w:rPr>
        <w:t>EGP 46.64 (01 Jul 2026 close) · 1,200mn shares issued; 1,500mn pro-forma the approved EGP 12→15bn cash increase — all per-share figures in this study are pro-forma · mkt cap ≈ EGP 56bn issued, ≈ EGP 70bn pro-forma (~US$1.1–1.4bn) · Egypt's leading listed Islamic bank — FY25 attributable profit EGP 12.6bn (+40%), ROE 44%, assets EGP 347bn (+33%), financing +53% · prices and probabilities computed 01 Jul 2026 from the attached daily history · primary lens: multi-stage dividend discount on distributable earnings, adapted to a zero-payout compounder, cross-checked with an explicit free-cash-flow-to-equity DCF · the swing factors are how much of a 44% ROE survives the CBE easing cycle, the through-cycle cost of risk after a year of 53% financing growth, and an EGP cost of equity near 23%.</w:t>
      </w:r>
    </w:p>
    <w:tbl>
      <w:tblPr>
        <w:tblW w:type="auto" w:w="0"/>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9752"/>
      </w:tblGrid>
      <w:tr>
        <w:tc>
          <w:tcPr>
            <w:tcW w:type="dxa" w:w="9752"/>
            <w:shd w:val="clear" w:fill="F3F7F7"/>
          </w:tcPr>
          <w:p>
            <w:r>
              <w:rPr>
                <w:sz w:val="17"/>
              </w:rPr>
            </w:r>
            <w:r>
              <w:rPr>
                <w:b/>
                <w:sz w:val="17"/>
              </w:rPr>
              <w:t>READ FIRST — what this document is, and is not.</w:t>
            </w:r>
            <w:r>
              <w:rPr>
                <w:b w:val="0"/>
                <w:sz w:val="17"/>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financial statements, Feb 2026; Q1-2026 condensed consolidated statements, May 2026; FY2023 results, Mar 2024); forward-looking inputs — the sustainable ROE, the EGP cost of equity, the growth, payout and margin paths, the multiples and the Monte-Carlo factor probabilities — are the preparer's judgments and are flagged throughout. A note on identity: ADIB-Egypt (EGX: ADIB), the subject of this study, is the Cairo-listed subsidiary; “ADIB Group” (ADX: ADIB) is its Abu Dhabi-listed parent and controlling shareholder — a different security on a different exchange. Consult a licensed financial advisor before any investment decision.</w:t>
            </w:r>
          </w:p>
        </w:tc>
      </w:tr>
    </w:tbl>
    <w:p>
      <w:pPr>
        <w:spacing w:after="40"/>
      </w:pPr>
    </w:p>
    <w:p>
      <w:pPr>
        <w:pStyle w:val="Heading1"/>
      </w:pPr>
      <w:r>
        <w:t>Headline</w:t>
      </w:r>
    </w:p>
    <w:p>
      <w:r>
        <w:rPr>
          <w:b/>
        </w:rPr>
        <w:t xml:space="preserve">The model's read: modestly undervalued — a 44%-ROE compounder priced at five and a half times earnings, with the whole argument about how long the compounding lasts. </w:t>
      </w:r>
      <w:r>
        <w:rPr>
          <w:b w:val="0"/>
        </w:rPr>
        <w:t>At EGP 46.64 the shares sit about 16% below our weighted central estimate of EGP 54.3, and the four lenses agree to a degree we rarely see — the dividend-discount model lands at 53.8, an explicit free-cash-flow-to-equity DCF at 54.4, a normalized mid-cycle read at 54.0, and even the relative-multiple lens against Egypt's own bank complex reaches 56.3. The operating story behind them is extreme by any market's standard: FY25 attributable profit of EGP 12.6bn, up 40% with no one-offs, a 44% return on equity, a 17.2% cost-to-income ratio, financing up 53% in a single year, and a 19.4% capital ratio with a further EGP 3bn cash increase approved and pending. The question is durability, not quality: that ROE is partly a rate-cycle artifact — a large sovereign-securities book earning 25%+ yields and a balance sheet repricing after two devaluations — and the CBE's easing cycle, already three hundred-plus basis points into its cuts, will compress it toward a still-excellent high-20s. The bank also pays no cash dividend, so the value case rests on retained book compounding at returns far above a ~23% EGP cost of equity. Technically the tape agrees with the fundamentals for once: price sits above all four major moving averages after a twelve-month double, consolidating just under the 49.6 high. Over three months the Monte Carlo — whose drift is the stock's own calibrated trend, not our value view — places the 5th–95th percentile band at roughly EGP 35–74 with a median near 51.5.</w:t>
      </w:r>
    </w:p>
    <w:p>
      <w:pPr>
        <w:pStyle w:val="Heading1"/>
      </w:pPr>
      <w:r>
        <w:t>Valuation summary — every read at a glance</w:t>
      </w:r>
    </w:p>
    <w:p>
      <w:r>
        <w:rPr>
          <w:b w:val="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2778"/>
            <w:shd w:val="clear" w:fill="1B5E5E"/>
          </w:tcPr>
          <w:p>
            <w:r/>
            <w:r>
              <w:rPr>
                <w:b/>
                <w:color w:val="FFFFFF"/>
                <w:sz w:val="18"/>
              </w:rPr>
              <w:t>Lens / read</w:t>
            </w:r>
          </w:p>
        </w:tc>
        <w:tc>
          <w:tcPr>
            <w:tcW w:type="dxa" w:w="3402"/>
            <w:shd w:val="clear" w:fill="1B5E5E"/>
          </w:tcPr>
          <w:p>
            <w:pPr>
              <w:jc w:val="center"/>
            </w:pPr>
            <w:r/>
            <w:r>
              <w:rPr>
                <w:b/>
                <w:color w:val="FFFFFF"/>
                <w:sz w:val="18"/>
              </w:rPr>
              <w:t>What it measures</w:t>
            </w:r>
          </w:p>
        </w:tc>
        <w:tc>
          <w:tcPr>
            <w:tcW w:type="dxa" w:w="1928"/>
            <w:shd w:val="clear" w:fill="1B5E5E"/>
          </w:tcPr>
          <w:p>
            <w:pPr>
              <w:jc w:val="center"/>
            </w:pPr>
            <w:r/>
            <w:r>
              <w:rPr>
                <w:b/>
                <w:color w:val="FFFFFF"/>
                <w:sz w:val="18"/>
              </w:rPr>
              <w:t>Output</w:t>
            </w:r>
          </w:p>
        </w:tc>
        <w:tc>
          <w:tcPr>
            <w:tcW w:type="dxa" w:w="1984"/>
            <w:shd w:val="clear" w:fill="1B5E5E"/>
          </w:tcPr>
          <w:p>
            <w:pPr>
              <w:jc w:val="center"/>
            </w:pPr>
            <w:r/>
            <w:r>
              <w:rPr>
                <w:b/>
                <w:color w:val="FFFFFF"/>
                <w:sz w:val="18"/>
              </w:rPr>
              <w:t>Takeaway</w:t>
            </w:r>
          </w:p>
        </w:tc>
      </w:tr>
      <w:tr>
        <w:tc>
          <w:tcPr>
            <w:tcW w:type="dxa" w:w="1984"/>
            <w:gridSpan w:val="4"/>
            <w:shd w:val="clear" w:fill="EAF2F2"/>
          </w:tcPr>
          <w:p>
            <w:r/>
            <w:r>
              <w:rPr>
                <w:b/>
                <w:color w:val="1B5E5E"/>
                <w:sz w:val="18"/>
              </w:rPr>
              <w:t>**FUNDAMENTAL — what the business is worth (the anchor)**</w:t>
            </w:r>
          </w:p>
        </w:tc>
      </w:tr>
      <w:tr>
        <w:tc>
          <w:tcPr>
            <w:tcW w:type="dxa" w:w="2778"/>
          </w:tcPr>
          <w:p>
            <w:r>
              <w:rPr>
                <w:sz w:val="18"/>
              </w:rPr>
            </w:r>
            <w:r>
              <w:rPr>
                <w:b w:val="0"/>
                <w:sz w:val="18"/>
              </w:rPr>
              <w:t>Dividend discount (primary)</w:t>
            </w:r>
          </w:p>
        </w:tc>
        <w:tc>
          <w:tcPr>
            <w:tcW w:type="dxa" w:w="3402"/>
          </w:tcPr>
          <w:p>
            <w:pPr>
              <w:jc w:val="center"/>
            </w:pPr>
            <w:r>
              <w:rPr>
                <w:sz w:val="18"/>
              </w:rPr>
            </w:r>
            <w:r>
              <w:rPr>
                <w:b w:val="0"/>
                <w:sz w:val="18"/>
              </w:rPr>
              <w:t>PV of distributable earnings + justified-P/B terminal</w:t>
            </w:r>
          </w:p>
        </w:tc>
        <w:tc>
          <w:tcPr>
            <w:tcW w:type="dxa" w:w="1928"/>
          </w:tcPr>
          <w:p>
            <w:pPr>
              <w:jc w:val="center"/>
            </w:pPr>
            <w:r>
              <w:rPr>
                <w:sz w:val="18"/>
              </w:rPr>
            </w:r>
            <w:r>
              <w:rPr>
                <w:b w:val="0"/>
                <w:sz w:val="18"/>
              </w:rPr>
              <w:t>EGP 53.8</w:t>
            </w:r>
          </w:p>
        </w:tc>
        <w:tc>
          <w:tcPr>
            <w:tcW w:type="dxa" w:w="1984"/>
          </w:tcPr>
          <w:p>
            <w:pPr>
              <w:jc w:val="center"/>
            </w:pPr>
            <w:r>
              <w:rPr>
                <w:sz w:val="18"/>
              </w:rPr>
            </w:r>
            <w:r>
              <w:rPr>
                <w:b w:val="0"/>
                <w:sz w:val="18"/>
              </w:rPr>
              <w:t>+15% vs spot</w:t>
            </w:r>
          </w:p>
        </w:tc>
      </w:tr>
      <w:tr>
        <w:tc>
          <w:tcPr>
            <w:tcW w:type="dxa" w:w="2778"/>
          </w:tcPr>
          <w:p>
            <w:r>
              <w:rPr>
                <w:sz w:val="18"/>
              </w:rPr>
            </w:r>
            <w:r>
              <w:rPr>
                <w:b w:val="0"/>
                <w:sz w:val="18"/>
              </w:rPr>
              <w:t>Equity DCF (FCFE)</w:t>
            </w:r>
          </w:p>
        </w:tc>
        <w:tc>
          <w:tcPr>
            <w:tcW w:type="dxa" w:w="3402"/>
          </w:tcPr>
          <w:p>
            <w:pPr>
              <w:jc w:val="center"/>
            </w:pPr>
            <w:r>
              <w:rPr>
                <w:sz w:val="18"/>
              </w:rPr>
            </w:r>
            <w:r>
              <w:rPr>
                <w:b w:val="0"/>
                <w:sz w:val="18"/>
              </w:rPr>
              <w:t>PV of 5-yr free cash flow to equity + terminal</w:t>
            </w:r>
          </w:p>
        </w:tc>
        <w:tc>
          <w:tcPr>
            <w:tcW w:type="dxa" w:w="1928"/>
          </w:tcPr>
          <w:p>
            <w:pPr>
              <w:jc w:val="center"/>
            </w:pPr>
            <w:r>
              <w:rPr>
                <w:sz w:val="18"/>
              </w:rPr>
            </w:r>
            <w:r>
              <w:rPr>
                <w:b w:val="0"/>
                <w:sz w:val="18"/>
              </w:rPr>
              <w:t>EGP 54.4</w:t>
            </w:r>
          </w:p>
        </w:tc>
        <w:tc>
          <w:tcPr>
            <w:tcW w:type="dxa" w:w="1984"/>
          </w:tcPr>
          <w:p>
            <w:pPr>
              <w:jc w:val="center"/>
            </w:pPr>
            <w:r>
              <w:rPr>
                <w:sz w:val="18"/>
              </w:rPr>
            </w:r>
            <w:r>
              <w:rPr>
                <w:b w:val="0"/>
                <w:sz w:val="18"/>
              </w:rPr>
              <w:t>+17%</w:t>
            </w:r>
          </w:p>
        </w:tc>
      </w:tr>
      <w:tr>
        <w:tc>
          <w:tcPr>
            <w:tcW w:type="dxa" w:w="2778"/>
          </w:tcPr>
          <w:p>
            <w:r>
              <w:rPr>
                <w:sz w:val="18"/>
              </w:rPr>
            </w:r>
            <w:r>
              <w:rPr>
                <w:b w:val="0"/>
                <w:sz w:val="18"/>
              </w:rPr>
              <w:t>Relative multiples</w:t>
            </w:r>
          </w:p>
        </w:tc>
        <w:tc>
          <w:tcPr>
            <w:tcW w:type="dxa" w:w="3402"/>
          </w:tcPr>
          <w:p>
            <w:pPr>
              <w:jc w:val="center"/>
            </w:pPr>
            <w:r>
              <w:rPr>
                <w:sz w:val="18"/>
              </w:rPr>
            </w:r>
            <w:r>
              <w:rPr>
                <w:b w:val="0"/>
                <w:sz w:val="18"/>
              </w:rPr>
              <w:t>P/B &amp; P/E vs the EGX bank complex</w:t>
            </w:r>
          </w:p>
        </w:tc>
        <w:tc>
          <w:tcPr>
            <w:tcW w:type="dxa" w:w="1928"/>
          </w:tcPr>
          <w:p>
            <w:pPr>
              <w:jc w:val="center"/>
            </w:pPr>
            <w:r>
              <w:rPr>
                <w:sz w:val="18"/>
              </w:rPr>
            </w:r>
            <w:r>
              <w:rPr>
                <w:b w:val="0"/>
                <w:sz w:val="18"/>
              </w:rPr>
              <w:t>EGP 56.3</w:t>
            </w:r>
          </w:p>
        </w:tc>
        <w:tc>
          <w:tcPr>
            <w:tcW w:type="dxa" w:w="1984"/>
          </w:tcPr>
          <w:p>
            <w:pPr>
              <w:jc w:val="center"/>
            </w:pPr>
            <w:r>
              <w:rPr>
                <w:sz w:val="18"/>
              </w:rPr>
            </w:r>
            <w:r>
              <w:rPr>
                <w:b w:val="0"/>
                <w:sz w:val="18"/>
              </w:rPr>
              <w:t>+21%</w:t>
            </w:r>
          </w:p>
        </w:tc>
      </w:tr>
      <w:tr>
        <w:tc>
          <w:tcPr>
            <w:tcW w:type="dxa" w:w="2778"/>
          </w:tcPr>
          <w:p>
            <w:r>
              <w:rPr>
                <w:sz w:val="18"/>
              </w:rPr>
            </w:r>
            <w:r>
              <w:rPr>
                <w:b w:val="0"/>
                <w:sz w:val="18"/>
              </w:rPr>
              <w:t>Normalized earnings</w:t>
            </w:r>
          </w:p>
        </w:tc>
        <w:tc>
          <w:tcPr>
            <w:tcW w:type="dxa" w:w="3402"/>
          </w:tcPr>
          <w:p>
            <w:pPr>
              <w:jc w:val="center"/>
            </w:pPr>
            <w:r>
              <w:rPr>
                <w:sz w:val="18"/>
              </w:rPr>
            </w:r>
            <w:r>
              <w:rPr>
                <w:b w:val="0"/>
                <w:sz w:val="18"/>
              </w:rPr>
              <w:t>Mid-cycle EPS × justified P/E</w:t>
            </w:r>
          </w:p>
        </w:tc>
        <w:tc>
          <w:tcPr>
            <w:tcW w:type="dxa" w:w="1928"/>
          </w:tcPr>
          <w:p>
            <w:pPr>
              <w:jc w:val="center"/>
            </w:pPr>
            <w:r>
              <w:rPr>
                <w:sz w:val="18"/>
              </w:rPr>
            </w:r>
            <w:r>
              <w:rPr>
                <w:b w:val="0"/>
                <w:sz w:val="18"/>
              </w:rPr>
              <w:t>EGP 54.0</w:t>
            </w:r>
          </w:p>
        </w:tc>
        <w:tc>
          <w:tcPr>
            <w:tcW w:type="dxa" w:w="1984"/>
          </w:tcPr>
          <w:p>
            <w:pPr>
              <w:jc w:val="center"/>
            </w:pPr>
            <w:r>
              <w:rPr>
                <w:sz w:val="18"/>
              </w:rPr>
            </w:r>
            <w:r>
              <w:rPr>
                <w:b w:val="0"/>
                <w:sz w:val="18"/>
              </w:rPr>
              <w:t>+16%</w:t>
            </w:r>
          </w:p>
        </w:tc>
      </w:tr>
      <w:tr>
        <w:tc>
          <w:tcPr>
            <w:tcW w:type="dxa" w:w="2778"/>
            <w:shd w:val="clear" w:fill="F3F7F7"/>
          </w:tcPr>
          <w:p>
            <w:r>
              <w:rPr>
                <w:b/>
                <w:sz w:val="18"/>
              </w:rPr>
            </w:r>
            <w:r>
              <w:rPr>
                <w:b/>
                <w:sz w:val="18"/>
              </w:rPr>
              <w:t>Weighted central</w:t>
            </w:r>
          </w:p>
        </w:tc>
        <w:tc>
          <w:tcPr>
            <w:tcW w:type="dxa" w:w="3402"/>
            <w:shd w:val="clear" w:fill="F3F7F7"/>
          </w:tcPr>
          <w:p>
            <w:pPr>
              <w:jc w:val="center"/>
            </w:pPr>
            <w:r>
              <w:rPr>
                <w:b/>
                <w:sz w:val="18"/>
              </w:rPr>
            </w:r>
            <w:r>
              <w:rPr>
                <w:b/>
                <w:sz w:val="18"/>
              </w:rPr>
              <w:t>Blend 40 / 20 / 15 / 25</w:t>
            </w:r>
          </w:p>
        </w:tc>
        <w:tc>
          <w:tcPr>
            <w:tcW w:type="dxa" w:w="1928"/>
            <w:shd w:val="clear" w:fill="F3F7F7"/>
          </w:tcPr>
          <w:p>
            <w:pPr>
              <w:jc w:val="center"/>
            </w:pPr>
            <w:r>
              <w:rPr>
                <w:b/>
                <w:sz w:val="18"/>
              </w:rPr>
            </w:r>
            <w:r>
              <w:rPr>
                <w:b/>
                <w:sz w:val="18"/>
              </w:rPr>
              <w:t>EGP 54.3</w:t>
            </w:r>
          </w:p>
        </w:tc>
        <w:tc>
          <w:tcPr>
            <w:tcW w:type="dxa" w:w="1984"/>
            <w:shd w:val="clear" w:fill="F3F7F7"/>
          </w:tcPr>
          <w:p>
            <w:pPr>
              <w:jc w:val="center"/>
            </w:pPr>
            <w:r>
              <w:rPr>
                <w:b/>
                <w:sz w:val="18"/>
              </w:rPr>
            </w:r>
            <w:r>
              <w:rPr>
                <w:b/>
                <w:sz w:val="18"/>
              </w:rPr>
              <w:t>+16% vs EGP 46.64</w:t>
            </w:r>
          </w:p>
        </w:tc>
      </w:tr>
      <w:tr>
        <w:tc>
          <w:tcPr>
            <w:tcW w:type="dxa" w:w="1984"/>
            <w:gridSpan w:val="4"/>
            <w:shd w:val="clear" w:fill="EAF2F2"/>
          </w:tcPr>
          <w:p>
            <w:r/>
            <w:r>
              <w:rPr>
                <w:b/>
                <w:color w:val="1B5E5E"/>
                <w:sz w:val="18"/>
              </w:rPr>
              <w:t>**TECHNICAL — what the tape is doing (timing, not value)**</w:t>
            </w:r>
          </w:p>
        </w:tc>
      </w:tr>
      <w:tr>
        <w:tc>
          <w:tcPr>
            <w:tcW w:type="dxa" w:w="2778"/>
          </w:tcPr>
          <w:p>
            <w:r>
              <w:rPr>
                <w:sz w:val="18"/>
              </w:rPr>
            </w:r>
            <w:r>
              <w:rPr>
                <w:b w:val="0"/>
                <w:sz w:val="18"/>
              </w:rPr>
              <w:t>Trend &amp; momentum</w:t>
            </w:r>
          </w:p>
        </w:tc>
        <w:tc>
          <w:tcPr>
            <w:tcW w:type="dxa" w:w="3402"/>
          </w:tcPr>
          <w:p>
            <w:pPr>
              <w:jc w:val="center"/>
            </w:pPr>
            <w:r>
              <w:rPr>
                <w:sz w:val="18"/>
              </w:rPr>
            </w:r>
            <w:r>
              <w:rPr>
                <w:b w:val="0"/>
                <w:sz w:val="18"/>
              </w:rPr>
              <w:t>Price vs the 20/50/100/200-day averages</w:t>
            </w:r>
          </w:p>
        </w:tc>
        <w:tc>
          <w:tcPr>
            <w:tcW w:type="dxa" w:w="1928"/>
          </w:tcPr>
          <w:p>
            <w:pPr>
              <w:jc w:val="center"/>
            </w:pPr>
            <w:r>
              <w:rPr>
                <w:sz w:val="18"/>
              </w:rPr>
            </w:r>
            <w:r>
              <w:rPr>
                <w:b w:val="0"/>
                <w:sz w:val="18"/>
              </w:rPr>
              <w:t>Above all four</w:t>
            </w:r>
          </w:p>
        </w:tc>
        <w:tc>
          <w:tcPr>
            <w:tcW w:type="dxa" w:w="1984"/>
          </w:tcPr>
          <w:p>
            <w:pPr>
              <w:jc w:val="center"/>
            </w:pPr>
            <w:r>
              <w:rPr>
                <w:sz w:val="18"/>
              </w:rPr>
            </w:r>
            <w:r>
              <w:rPr>
                <w:b w:val="0"/>
                <w:sz w:val="18"/>
              </w:rPr>
              <w:t>Strong, extended uptrend</w:t>
            </w:r>
          </w:p>
        </w:tc>
      </w:tr>
      <w:tr>
        <w:tc>
          <w:tcPr>
            <w:tcW w:type="dxa" w:w="2778"/>
          </w:tcPr>
          <w:p>
            <w:r>
              <w:rPr>
                <w:sz w:val="18"/>
              </w:rPr>
            </w:r>
            <w:r>
              <w:rPr>
                <w:b w:val="0"/>
                <w:sz w:val="18"/>
              </w:rPr>
              <w:t>Momentum / range</w:t>
            </w:r>
          </w:p>
        </w:tc>
        <w:tc>
          <w:tcPr>
            <w:tcW w:type="dxa" w:w="3402"/>
          </w:tcPr>
          <w:p>
            <w:pPr>
              <w:jc w:val="center"/>
            </w:pPr>
            <w:r>
              <w:rPr>
                <w:sz w:val="18"/>
              </w:rPr>
            </w:r>
            <w:r>
              <w:rPr>
                <w:b w:val="0"/>
                <w:sz w:val="18"/>
              </w:rPr>
              <w:t>RSI · MACD · 52-week range</w:t>
            </w:r>
          </w:p>
        </w:tc>
        <w:tc>
          <w:tcPr>
            <w:tcW w:type="dxa" w:w="1928"/>
          </w:tcPr>
          <w:p>
            <w:pPr>
              <w:jc w:val="center"/>
            </w:pPr>
            <w:r>
              <w:rPr>
                <w:sz w:val="18"/>
              </w:rPr>
            </w:r>
            <w:r>
              <w:rPr>
                <w:b w:val="0"/>
                <w:sz w:val="18"/>
              </w:rPr>
              <w:t>RSI 51 · MACD +0.01 · EGP 20.1–49.6</w:t>
            </w:r>
          </w:p>
        </w:tc>
        <w:tc>
          <w:tcPr>
            <w:tcW w:type="dxa" w:w="1984"/>
          </w:tcPr>
          <w:p>
            <w:pPr>
              <w:jc w:val="center"/>
            </w:pPr>
            <w:r>
              <w:rPr>
                <w:sz w:val="18"/>
              </w:rPr>
            </w:r>
            <w:r>
              <w:rPr>
                <w:b w:val="0"/>
                <w:sz w:val="18"/>
              </w:rPr>
              <w:t>Top decile of range</w:t>
            </w:r>
          </w:p>
        </w:tc>
      </w:tr>
      <w:tr>
        <w:tc>
          <w:tcPr>
            <w:tcW w:type="dxa" w:w="1984"/>
            <w:gridSpan w:val="4"/>
            <w:shd w:val="clear" w:fill="EAF2F2"/>
          </w:tcPr>
          <w:p>
            <w:r/>
            <w:r>
              <w:rPr>
                <w:b/>
                <w:color w:val="1B5E5E"/>
                <w:sz w:val="18"/>
              </w:rPr>
              <w:t>**MONTE CARLO — where price could go in 3 months (paths from spot)**</w:t>
            </w:r>
          </w:p>
        </w:tc>
      </w:tr>
      <w:tr>
        <w:tc>
          <w:tcPr>
            <w:tcW w:type="dxa" w:w="2778"/>
          </w:tcPr>
          <w:p>
            <w:r>
              <w:rPr>
                <w:sz w:val="18"/>
              </w:rPr>
            </w:r>
            <w:r>
              <w:rPr>
                <w:b w:val="0"/>
                <w:sz w:val="18"/>
              </w:rPr>
              <w:t>T+20 sessions</w:t>
            </w:r>
          </w:p>
        </w:tc>
        <w:tc>
          <w:tcPr>
            <w:tcW w:type="dxa" w:w="3402"/>
          </w:tcPr>
          <w:p>
            <w:pPr>
              <w:jc w:val="center"/>
            </w:pPr>
            <w:r>
              <w:rPr>
                <w:sz w:val="18"/>
              </w:rPr>
            </w:r>
            <w:r>
              <w:rPr>
                <w:b w:val="0"/>
                <w:sz w:val="18"/>
              </w:rPr>
              <w:t>50,000 paths · 16 factors</w:t>
            </w:r>
          </w:p>
        </w:tc>
        <w:tc>
          <w:tcPr>
            <w:tcW w:type="dxa" w:w="1928"/>
          </w:tcPr>
          <w:p>
            <w:pPr>
              <w:jc w:val="center"/>
            </w:pPr>
            <w:r>
              <w:rPr>
                <w:sz w:val="18"/>
              </w:rPr>
            </w:r>
            <w:r>
              <w:rPr>
                <w:b w:val="0"/>
                <w:sz w:val="18"/>
              </w:rPr>
              <w:t>p5 38.5 · p50 48.2 · p95 59.7</w:t>
            </w:r>
          </w:p>
        </w:tc>
        <w:tc>
          <w:tcPr>
            <w:tcW w:type="dxa" w:w="1984"/>
          </w:tcPr>
          <w:p>
            <w:pPr>
              <w:jc w:val="center"/>
            </w:pPr>
            <w:r>
              <w:rPr>
                <w:sz w:val="18"/>
              </w:rPr>
            </w:r>
            <w:r>
              <w:rPr>
                <w:b w:val="0"/>
                <w:sz w:val="18"/>
              </w:rPr>
              <w:t>Median ≈ spot + trend</w:t>
            </w:r>
          </w:p>
        </w:tc>
      </w:tr>
      <w:tr>
        <w:tc>
          <w:tcPr>
            <w:tcW w:type="dxa" w:w="2778"/>
          </w:tcPr>
          <w:p>
            <w:r>
              <w:rPr>
                <w:sz w:val="18"/>
              </w:rPr>
            </w:r>
            <w:r>
              <w:rPr>
                <w:b w:val="0"/>
                <w:sz w:val="18"/>
              </w:rPr>
              <w:t>T+60 sessions</w:t>
            </w:r>
          </w:p>
        </w:tc>
        <w:tc>
          <w:tcPr>
            <w:tcW w:type="dxa" w:w="3402"/>
          </w:tcPr>
          <w:p>
            <w:pPr>
              <w:jc w:val="center"/>
            </w:pPr>
            <w:r>
              <w:rPr>
                <w:sz w:val="18"/>
              </w:rPr>
            </w:r>
            <w:r>
              <w:rPr>
                <w:b w:val="0"/>
                <w:sz w:val="18"/>
              </w:rPr>
              <w:t>same engine, longer horizon</w:t>
            </w:r>
          </w:p>
        </w:tc>
        <w:tc>
          <w:tcPr>
            <w:tcW w:type="dxa" w:w="1928"/>
          </w:tcPr>
          <w:p>
            <w:pPr>
              <w:jc w:val="center"/>
            </w:pPr>
            <w:r>
              <w:rPr>
                <w:sz w:val="18"/>
              </w:rPr>
            </w:r>
            <w:r>
              <w:rPr>
                <w:b w:val="0"/>
                <w:sz w:val="18"/>
              </w:rPr>
              <w:t>p5 35.3 · p50 51.5 · p95 74.4</w:t>
            </w:r>
          </w:p>
        </w:tc>
        <w:tc>
          <w:tcPr>
            <w:tcW w:type="dxa" w:w="1984"/>
          </w:tcPr>
          <w:p>
            <w:pPr>
              <w:jc w:val="center"/>
            </w:pPr>
            <w:r>
              <w:rPr>
                <w:sz w:val="18"/>
              </w:rPr>
            </w:r>
            <w:r>
              <w:rPr>
                <w:b w:val="0"/>
                <w:sz w:val="18"/>
              </w:rPr>
              <w:t>Wide, right-skewed</w:t>
            </w:r>
          </w:p>
        </w:tc>
      </w:tr>
      <w:tr>
        <w:tc>
          <w:tcPr>
            <w:tcW w:type="dxa" w:w="1984"/>
            <w:gridSpan w:val="4"/>
            <w:shd w:val="clear" w:fill="EAF2F2"/>
          </w:tcPr>
          <w:p>
            <w:r/>
            <w:r>
              <w:rPr>
                <w:b/>
                <w:color w:val="1B5E5E"/>
                <w:sz w:val="18"/>
              </w:rPr>
              <w:t>**EXPERT PANEL — three independent methods (Appendix D)**</w:t>
            </w:r>
          </w:p>
        </w:tc>
      </w:tr>
      <w:tr>
        <w:tc>
          <w:tcPr>
            <w:tcW w:type="dxa" w:w="2778"/>
          </w:tcPr>
          <w:p>
            <w:r>
              <w:rPr>
                <w:sz w:val="18"/>
              </w:rPr>
            </w:r>
            <w:r>
              <w:rPr>
                <w:b w:val="0"/>
                <w:sz w:val="18"/>
              </w:rPr>
              <w:t>Expert 1 — capital &amp; returns</w:t>
            </w:r>
          </w:p>
        </w:tc>
        <w:tc>
          <w:tcPr>
            <w:tcW w:type="dxa" w:w="3402"/>
          </w:tcPr>
          <w:p>
            <w:pPr>
              <w:jc w:val="center"/>
            </w:pPr>
            <w:r>
              <w:rPr>
                <w:sz w:val="18"/>
              </w:rPr>
            </w:r>
            <w:r>
              <w:rPr>
                <w:b w:val="0"/>
                <w:sz w:val="18"/>
              </w:rPr>
              <w:t>Justified P/B on sustainable ROE</w:t>
            </w:r>
          </w:p>
        </w:tc>
        <w:tc>
          <w:tcPr>
            <w:tcW w:type="dxa" w:w="1928"/>
          </w:tcPr>
          <w:p>
            <w:pPr>
              <w:jc w:val="center"/>
            </w:pPr>
            <w:r>
              <w:rPr>
                <w:sz w:val="18"/>
              </w:rPr>
            </w:r>
            <w:r>
              <w:rPr>
                <w:b w:val="0"/>
                <w:sz w:val="18"/>
              </w:rPr>
              <w:t>EGP 48.0</w:t>
            </w:r>
          </w:p>
        </w:tc>
        <w:tc>
          <w:tcPr>
            <w:tcW w:type="dxa" w:w="1984"/>
          </w:tcPr>
          <w:p>
            <w:pPr>
              <w:jc w:val="center"/>
            </w:pPr>
            <w:r>
              <w:rPr>
                <w:sz w:val="18"/>
              </w:rPr>
            </w:r>
            <w:r>
              <w:rPr>
                <w:b w:val="0"/>
                <w:sz w:val="18"/>
              </w:rPr>
              <w:t>Near spot</w:t>
            </w:r>
          </w:p>
        </w:tc>
      </w:tr>
      <w:tr>
        <w:tc>
          <w:tcPr>
            <w:tcW w:type="dxa" w:w="2778"/>
          </w:tcPr>
          <w:p>
            <w:r>
              <w:rPr>
                <w:sz w:val="18"/>
              </w:rPr>
            </w:r>
            <w:r>
              <w:rPr>
                <w:b w:val="0"/>
                <w:sz w:val="18"/>
              </w:rPr>
              <w:t>Expert 2 — credit cycle</w:t>
            </w:r>
          </w:p>
        </w:tc>
        <w:tc>
          <w:tcPr>
            <w:tcW w:type="dxa" w:w="3402"/>
          </w:tcPr>
          <w:p>
            <w:pPr>
              <w:jc w:val="center"/>
            </w:pPr>
            <w:r>
              <w:rPr>
                <w:sz w:val="18"/>
              </w:rPr>
            </w:r>
            <w:r>
              <w:rPr>
                <w:b w:val="0"/>
                <w:sz w:val="18"/>
              </w:rPr>
              <w:t>Value off stressed, through-cycle earnings</w:t>
            </w:r>
          </w:p>
        </w:tc>
        <w:tc>
          <w:tcPr>
            <w:tcW w:type="dxa" w:w="1928"/>
          </w:tcPr>
          <w:p>
            <w:pPr>
              <w:jc w:val="center"/>
            </w:pPr>
            <w:r>
              <w:rPr>
                <w:sz w:val="18"/>
              </w:rPr>
            </w:r>
            <w:r>
              <w:rPr>
                <w:b w:val="0"/>
                <w:sz w:val="18"/>
              </w:rPr>
              <w:t>EGP 38.0</w:t>
            </w:r>
          </w:p>
        </w:tc>
        <w:tc>
          <w:tcPr>
            <w:tcW w:type="dxa" w:w="1984"/>
          </w:tcPr>
          <w:p>
            <w:pPr>
              <w:jc w:val="center"/>
            </w:pPr>
            <w:r>
              <w:rPr>
                <w:sz w:val="18"/>
              </w:rPr>
            </w:r>
            <w:r>
              <w:rPr>
                <w:b w:val="0"/>
                <w:sz w:val="18"/>
              </w:rPr>
              <w:t>The floor; most cautious</w:t>
            </w:r>
          </w:p>
        </w:tc>
      </w:tr>
      <w:tr>
        <w:tc>
          <w:tcPr>
            <w:tcW w:type="dxa" w:w="2778"/>
          </w:tcPr>
          <w:p>
            <w:r>
              <w:rPr>
                <w:sz w:val="18"/>
              </w:rPr>
            </w:r>
            <w:r>
              <w:rPr>
                <w:b w:val="0"/>
                <w:sz w:val="18"/>
              </w:rPr>
              <w:t>Expert 3 — macro-policy</w:t>
            </w:r>
          </w:p>
        </w:tc>
        <w:tc>
          <w:tcPr>
            <w:tcW w:type="dxa" w:w="3402"/>
          </w:tcPr>
          <w:p>
            <w:pPr>
              <w:jc w:val="center"/>
            </w:pPr>
            <w:r>
              <w:rPr>
                <w:sz w:val="18"/>
              </w:rPr>
            </w:r>
            <w:r>
              <w:rPr>
                <w:b w:val="0"/>
                <w:sz w:val="18"/>
              </w:rPr>
              <w:t>Scenario-weighted policy worlds</w:t>
            </w:r>
          </w:p>
        </w:tc>
        <w:tc>
          <w:tcPr>
            <w:tcW w:type="dxa" w:w="1928"/>
          </w:tcPr>
          <w:p>
            <w:pPr>
              <w:jc w:val="center"/>
            </w:pPr>
            <w:r>
              <w:rPr>
                <w:sz w:val="18"/>
              </w:rPr>
            </w:r>
            <w:r>
              <w:rPr>
                <w:b w:val="0"/>
                <w:sz w:val="18"/>
              </w:rPr>
              <w:t>EGP 54.0</w:t>
            </w:r>
          </w:p>
        </w:tc>
        <w:tc>
          <w:tcPr>
            <w:tcW w:type="dxa" w:w="1984"/>
          </w:tcPr>
          <w:p>
            <w:pPr>
              <w:jc w:val="center"/>
            </w:pPr>
            <w:r>
              <w:rPr>
                <w:sz w:val="18"/>
              </w:rPr>
            </w:r>
            <w:r>
              <w:rPr>
                <w:b w:val="0"/>
                <w:sz w:val="18"/>
              </w:rPr>
              <w:t>Probability tree</w:t>
            </w:r>
          </w:p>
        </w:tc>
      </w:tr>
      <w:tr>
        <w:tc>
          <w:tcPr>
            <w:tcW w:type="dxa" w:w="2778"/>
            <w:shd w:val="clear" w:fill="F3F7F7"/>
          </w:tcPr>
          <w:p>
            <w:r>
              <w:rPr>
                <w:b/>
                <w:sz w:val="18"/>
              </w:rPr>
            </w:r>
            <w:r>
              <w:rPr>
                <w:b/>
                <w:sz w:val="18"/>
              </w:rPr>
              <w:t>Panel range</w:t>
            </w:r>
          </w:p>
        </w:tc>
        <w:tc>
          <w:tcPr>
            <w:tcW w:type="dxa" w:w="3402"/>
            <w:shd w:val="clear" w:fill="F3F7F7"/>
          </w:tcPr>
          <w:p>
            <w:pPr>
              <w:jc w:val="center"/>
            </w:pPr>
            <w:r>
              <w:rPr>
                <w:b/>
                <w:sz w:val="18"/>
              </w:rPr>
            </w:r>
            <w:r>
              <w:rPr>
                <w:b/>
                <w:sz w:val="18"/>
              </w:rPr>
              <w:t>Spread = how durable the 44% ROE is</w:t>
            </w:r>
          </w:p>
        </w:tc>
        <w:tc>
          <w:tcPr>
            <w:tcW w:type="dxa" w:w="1928"/>
            <w:shd w:val="clear" w:fill="F3F7F7"/>
          </w:tcPr>
          <w:p>
            <w:pPr>
              <w:jc w:val="center"/>
            </w:pPr>
            <w:r>
              <w:rPr>
                <w:b/>
                <w:sz w:val="18"/>
              </w:rPr>
            </w:r>
            <w:r>
              <w:rPr>
                <w:b/>
                <w:sz w:val="18"/>
              </w:rPr>
              <w:t>EGP 38.0–54.0</w:t>
            </w:r>
          </w:p>
        </w:tc>
        <w:tc>
          <w:tcPr>
            <w:tcW w:type="dxa" w:w="1984"/>
            <w:shd w:val="clear" w:fill="F3F7F7"/>
          </w:tcPr>
          <w:p>
            <w:pPr>
              <w:jc w:val="center"/>
            </w:pPr>
            <w:r>
              <w:rPr>
                <w:b/>
                <w:sz w:val="18"/>
              </w:rPr>
            </w:r>
            <w:r>
              <w:rPr>
                <w:b/>
                <w:sz w:val="18"/>
              </w:rPr>
              <w:t>Centres ~EGP 47 ≈ spot</w:t>
            </w:r>
          </w:p>
        </w:tc>
      </w:tr>
    </w:tbl>
    <w:p>
      <w:pPr>
        <w:spacing w:after="40"/>
      </w:pPr>
    </w:p>
    <w:p>
      <w:r>
        <w:rPr>
          <w:b/>
        </w:rPr>
        <w:t xml:space="preserve">Bottom line. </w:t>
      </w:r>
      <w:r>
        <w:rPr>
          <w:b w:val="0"/>
        </w:rPr>
        <w:t>For once the lenses, the tape and the tree lean the same way. Fundamentals put fair value in the low-to-mid EGP 50s against a EGP 46.64 spot; the expert panel spans 38–54 and centres almost exactly on the market price — meaning the market is already paying Expert-consensus, and the study's ~16% gap is precisely the difference between capitalizing a stressed credit cycle (Expert 2's 38) and a merely normalized one. The technical uptrend is intact and the trend-conditioned three-month distribution centres modestly above spot. The honest tension is not between price and value but between today's extraordinary economics and the disinflation cycle that will normalize them — which is why §1.7 and Appendix D spend their time on the durability of the 44%, not on the gap.</w:t>
      </w:r>
    </w:p>
    <w:p>
      <w:pPr>
        <w:pStyle w:val="Heading1"/>
      </w:pPr>
      <w:r>
        <w:t>Company overview — ADIB-Egypt at a glance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4876"/>
        <w:gridCol w:w="4876"/>
      </w:tblGrid>
      <w:tr>
        <w:tc>
          <w:tcPr>
            <w:tcW w:type="dxa" w:w="2608"/>
            <w:shd w:val="clear" w:fill="1B5E5E"/>
          </w:tcPr>
          <w:p>
            <w:r/>
            <w:r>
              <w:rPr>
                <w:b/>
                <w:color w:val="FFFFFF"/>
                <w:sz w:val="18"/>
              </w:rPr>
              <w:t>Item</w:t>
            </w:r>
          </w:p>
        </w:tc>
        <w:tc>
          <w:tcPr>
            <w:tcW w:type="dxa" w:w="7483"/>
            <w:shd w:val="clear" w:fill="1B5E5E"/>
          </w:tcPr>
          <w:p>
            <w:pPr>
              <w:jc w:val="center"/>
            </w:pPr>
            <w:r/>
            <w:r>
              <w:rPr>
                <w:b/>
                <w:color w:val="FFFFFF"/>
                <w:sz w:val="18"/>
              </w:rPr>
              <w:t>Value</w:t>
            </w:r>
          </w:p>
        </w:tc>
      </w:tr>
      <w:tr>
        <w:tc>
          <w:tcPr>
            <w:tcW w:type="dxa" w:w="2608"/>
          </w:tcPr>
          <w:p>
            <w:r>
              <w:rPr>
                <w:sz w:val="18"/>
              </w:rPr>
            </w:r>
            <w:r>
              <w:rPr>
                <w:b w:val="0"/>
                <w:sz w:val="18"/>
              </w:rPr>
              <w:t>Listed entity</w:t>
            </w:r>
          </w:p>
        </w:tc>
        <w:tc>
          <w:tcPr>
            <w:tcW w:type="dxa" w:w="7483"/>
          </w:tcPr>
          <w:p>
            <w:pPr>
              <w:jc w:val="center"/>
            </w:pPr>
            <w:r>
              <w:rPr>
                <w:sz w:val="18"/>
              </w:rPr>
            </w:r>
            <w:r>
              <w:rPr>
                <w:b w:val="0"/>
                <w:sz w:val="18"/>
              </w:rPr>
              <w:t>Abu Dhabi Islamic Bank – Egypt S.A.E. (EGX: ADIB) · the former National Development Bank, renamed on acquisition in 2013; HQ Garden City, Cairo</w:t>
            </w:r>
          </w:p>
        </w:tc>
      </w:tr>
      <w:tr>
        <w:tc>
          <w:tcPr>
            <w:tcW w:type="dxa" w:w="2608"/>
          </w:tcPr>
          <w:p>
            <w:r>
              <w:rPr>
                <w:sz w:val="18"/>
              </w:rPr>
            </w:r>
            <w:r>
              <w:rPr>
                <w:b w:val="0"/>
                <w:sz w:val="18"/>
              </w:rPr>
              <w:t>What it does</w:t>
            </w:r>
          </w:p>
        </w:tc>
        <w:tc>
          <w:tcPr>
            <w:tcW w:type="dxa" w:w="7483"/>
          </w:tcPr>
          <w:p>
            <w:pPr>
              <w:jc w:val="center"/>
            </w:pPr>
            <w:r>
              <w:rPr>
                <w:sz w:val="18"/>
              </w:rPr>
            </w:r>
            <w:r>
              <w:rPr>
                <w:b w:val="0"/>
                <w:sz w:val="18"/>
              </w:rPr>
              <w:t>Full Shariah-compliant corporate, retail, investment &amp; custody banking; subsidiaries in leasing, investment banking (ADI Capital), consumer &amp; micro finance</w:t>
            </w:r>
          </w:p>
        </w:tc>
      </w:tr>
      <w:tr>
        <w:tc>
          <w:tcPr>
            <w:tcW w:type="dxa" w:w="2608"/>
          </w:tcPr>
          <w:p>
            <w:r>
              <w:rPr>
                <w:sz w:val="18"/>
              </w:rPr>
            </w:r>
            <w:r>
              <w:rPr>
                <w:b w:val="0"/>
                <w:sz w:val="18"/>
              </w:rPr>
              <w:t>Ownership</w:t>
            </w:r>
          </w:p>
        </w:tc>
        <w:tc>
          <w:tcPr>
            <w:tcW w:type="dxa" w:w="7483"/>
          </w:tcPr>
          <w:p>
            <w:pPr>
              <w:jc w:val="center"/>
            </w:pPr>
            <w:r>
              <w:rPr>
                <w:sz w:val="18"/>
              </w:rPr>
            </w:r>
            <w:r>
              <w:rPr>
                <w:b w:val="0"/>
                <w:sz w:val="18"/>
              </w:rPr>
              <w:t>ADIB Group (ADX: ADIB) is the controlling shareholder (incl. ~US$195mn of subordinated Wakala financing to the bank); National Investment Bank a minority holder; free float on EGX</w:t>
            </w:r>
          </w:p>
        </w:tc>
      </w:tr>
      <w:tr>
        <w:tc>
          <w:tcPr>
            <w:tcW w:type="dxa" w:w="2608"/>
          </w:tcPr>
          <w:p>
            <w:r>
              <w:rPr>
                <w:sz w:val="18"/>
              </w:rPr>
            </w:r>
            <w:r>
              <w:rPr>
                <w:b w:val="0"/>
                <w:sz w:val="18"/>
              </w:rPr>
              <w:t>Spot / date</w:t>
            </w:r>
          </w:p>
        </w:tc>
        <w:tc>
          <w:tcPr>
            <w:tcW w:type="dxa" w:w="7483"/>
          </w:tcPr>
          <w:p>
            <w:pPr>
              <w:jc w:val="center"/>
            </w:pPr>
            <w:r>
              <w:rPr>
                <w:sz w:val="18"/>
              </w:rPr>
            </w:r>
            <w:r>
              <w:rPr>
                <w:b w:val="0"/>
                <w:sz w:val="18"/>
              </w:rPr>
              <w:t>EGP 46.64 · 01 Jul 2026 close</w:t>
            </w:r>
          </w:p>
        </w:tc>
      </w:tr>
      <w:tr>
        <w:tc>
          <w:tcPr>
            <w:tcW w:type="dxa" w:w="2608"/>
          </w:tcPr>
          <w:p>
            <w:r>
              <w:rPr>
                <w:sz w:val="18"/>
              </w:rPr>
            </w:r>
            <w:r>
              <w:rPr>
                <w:b w:val="0"/>
                <w:sz w:val="18"/>
              </w:rPr>
              <w:t>Shares · market cap</w:t>
            </w:r>
          </w:p>
        </w:tc>
        <w:tc>
          <w:tcPr>
            <w:tcW w:type="dxa" w:w="7483"/>
          </w:tcPr>
          <w:p>
            <w:pPr>
              <w:jc w:val="center"/>
            </w:pPr>
            <w:r>
              <w:rPr>
                <w:sz w:val="18"/>
              </w:rPr>
            </w:r>
            <w:r>
              <w:rPr>
                <w:b w:val="0"/>
                <w:sz w:val="18"/>
              </w:rPr>
              <w:t>1,200mn issued (paid-in EGP 12bn, par 10; authorized EGP 20bn — Q1-26 statements) ≈ EGP 56bn (~US$1.1bn) · 1,500mn / ≈ EGP 70bn pro-forma the approved increase</w:t>
            </w:r>
          </w:p>
        </w:tc>
      </w:tr>
      <w:tr>
        <w:tc>
          <w:tcPr>
            <w:tcW w:type="dxa" w:w="2608"/>
          </w:tcPr>
          <w:p>
            <w:r>
              <w:rPr>
                <w:sz w:val="18"/>
              </w:rPr>
            </w:r>
            <w:r>
              <w:rPr>
                <w:b w:val="0"/>
                <w:sz w:val="18"/>
              </w:rPr>
              <w:t>FY25 revenue / profit</w:t>
            </w:r>
          </w:p>
        </w:tc>
        <w:tc>
          <w:tcPr>
            <w:tcW w:type="dxa" w:w="7483"/>
          </w:tcPr>
          <w:p>
            <w:pPr>
              <w:jc w:val="center"/>
            </w:pPr>
            <w:r>
              <w:rPr>
                <w:sz w:val="18"/>
              </w:rPr>
            </w:r>
            <w:r>
              <w:rPr>
                <w:b w:val="0"/>
                <w:sz w:val="18"/>
              </w:rPr>
              <w:t>EGP 23.6bn (+31%) · attributable EGP 12.6bn (+40%, no one-offs) · reported weighted EPS 11.25</w:t>
            </w:r>
          </w:p>
        </w:tc>
      </w:tr>
      <w:tr>
        <w:tc>
          <w:tcPr>
            <w:tcW w:type="dxa" w:w="2608"/>
          </w:tcPr>
          <w:p>
            <w:r>
              <w:rPr>
                <w:sz w:val="18"/>
              </w:rPr>
            </w:r>
            <w:r>
              <w:rPr>
                <w:b w:val="0"/>
                <w:sz w:val="18"/>
              </w:rPr>
              <w:t>Profitability &amp; efficiency</w:t>
            </w:r>
          </w:p>
        </w:tc>
        <w:tc>
          <w:tcPr>
            <w:tcW w:type="dxa" w:w="7483"/>
          </w:tcPr>
          <w:p>
            <w:pPr>
              <w:jc w:val="center"/>
            </w:pPr>
            <w:r>
              <w:rPr>
                <w:sz w:val="18"/>
              </w:rPr>
            </w:r>
            <w:r>
              <w:rPr>
                <w:b w:val="0"/>
                <w:sz w:val="18"/>
              </w:rPr>
              <w:t>ROE 44% · cost-to-income 17.2% (best-in-class) · net income from funds EGP 20.2bn (+32%)</w:t>
            </w:r>
          </w:p>
        </w:tc>
      </w:tr>
      <w:tr>
        <w:tc>
          <w:tcPr>
            <w:tcW w:type="dxa" w:w="2608"/>
          </w:tcPr>
          <w:p>
            <w:r>
              <w:rPr>
                <w:sz w:val="18"/>
              </w:rPr>
            </w:r>
            <w:r>
              <w:rPr>
                <w:b w:val="0"/>
                <w:sz w:val="18"/>
              </w:rPr>
              <w:t>Balance sheet (FY25)</w:t>
            </w:r>
          </w:p>
        </w:tc>
        <w:tc>
          <w:tcPr>
            <w:tcW w:type="dxa" w:w="7483"/>
          </w:tcPr>
          <w:p>
            <w:pPr>
              <w:jc w:val="center"/>
            </w:pPr>
            <w:r>
              <w:rPr>
                <w:sz w:val="18"/>
              </w:rPr>
            </w:r>
            <w:r>
              <w:rPr>
                <w:b w:val="0"/>
                <w:sz w:val="18"/>
              </w:rPr>
              <w:t>Assets EGP 347bn (+33%) · financing EGP 159bn (+52.8%; +15.6% more in Q1-26 alone) · deposits EGP 278bn (+39%)</w:t>
            </w:r>
          </w:p>
        </w:tc>
      </w:tr>
      <w:tr>
        <w:tc>
          <w:tcPr>
            <w:tcW w:type="dxa" w:w="2608"/>
          </w:tcPr>
          <w:p>
            <w:r>
              <w:rPr>
                <w:sz w:val="18"/>
              </w:rPr>
            </w:r>
            <w:r>
              <w:rPr>
                <w:b w:val="0"/>
                <w:sz w:val="18"/>
              </w:rPr>
              <w:t>Capital</w:t>
            </w:r>
          </w:p>
        </w:tc>
        <w:tc>
          <w:tcPr>
            <w:tcW w:type="dxa" w:w="7483"/>
          </w:tcPr>
          <w:p>
            <w:pPr>
              <w:jc w:val="center"/>
            </w:pPr>
            <w:r>
              <w:rPr>
                <w:sz w:val="18"/>
              </w:rPr>
            </w:r>
            <w:r>
              <w:rPr>
                <w:b w:val="0"/>
                <w:sz w:val="18"/>
              </w:rPr>
              <w:t>CAR 19.44% · EGP 12bn→15bn cash increase approved Aug-25, pending execution — the third rise in four years</w:t>
            </w:r>
          </w:p>
        </w:tc>
      </w:tr>
      <w:tr>
        <w:tc>
          <w:tcPr>
            <w:tcW w:type="dxa" w:w="2608"/>
          </w:tcPr>
          <w:p>
            <w:r>
              <w:rPr>
                <w:sz w:val="18"/>
              </w:rPr>
            </w:r>
            <w:r>
              <w:rPr>
                <w:b w:val="0"/>
                <w:sz w:val="18"/>
              </w:rPr>
              <w:t>Dividend</w:t>
            </w:r>
          </w:p>
        </w:tc>
        <w:tc>
          <w:tcPr>
            <w:tcW w:type="dxa" w:w="7483"/>
          </w:tcPr>
          <w:p>
            <w:pPr>
              <w:jc w:val="center"/>
            </w:pPr>
            <w:r>
              <w:rPr>
                <w:sz w:val="18"/>
              </w:rPr>
            </w:r>
            <w:r>
              <w:rPr>
                <w:b w:val="0"/>
                <w:sz w:val="18"/>
              </w:rPr>
              <w:t>No cash dividend to date — earnings retained to fund growth</w:t>
            </w:r>
          </w:p>
        </w:tc>
      </w:tr>
      <w:tr>
        <w:tc>
          <w:tcPr>
            <w:tcW w:type="dxa" w:w="2608"/>
          </w:tcPr>
          <w:p>
            <w:r>
              <w:rPr>
                <w:sz w:val="18"/>
              </w:rPr>
            </w:r>
            <w:r>
              <w:rPr>
                <w:b w:val="0"/>
                <w:sz w:val="18"/>
              </w:rPr>
              <w:t>52-week range</w:t>
            </w:r>
          </w:p>
        </w:tc>
        <w:tc>
          <w:tcPr>
            <w:tcW w:type="dxa" w:w="7483"/>
          </w:tcPr>
          <w:p>
            <w:pPr>
              <w:jc w:val="center"/>
            </w:pPr>
            <w:r>
              <w:rPr>
                <w:sz w:val="18"/>
              </w:rPr>
            </w:r>
            <w:r>
              <w:rPr>
                <w:b w:val="0"/>
                <w:sz w:val="18"/>
              </w:rPr>
              <w:t>EGP 20.09 – 49.60</w:t>
            </w:r>
          </w:p>
        </w:tc>
      </w:tr>
      <w:tr>
        <w:tc>
          <w:tcPr>
            <w:tcW w:type="dxa" w:w="2608"/>
          </w:tcPr>
          <w:p>
            <w:r>
              <w:rPr>
                <w:sz w:val="18"/>
              </w:rPr>
            </w:r>
            <w:r>
              <w:rPr>
                <w:b w:val="0"/>
                <w:sz w:val="18"/>
              </w:rPr>
              <w:t>CEO &amp; Managing Director</w:t>
            </w:r>
          </w:p>
        </w:tc>
        <w:tc>
          <w:tcPr>
            <w:tcW w:type="dxa" w:w="7483"/>
          </w:tcPr>
          <w:p>
            <w:pPr>
              <w:jc w:val="center"/>
            </w:pPr>
            <w:r>
              <w:rPr>
                <w:sz w:val="18"/>
              </w:rPr>
            </w:r>
            <w:r>
              <w:rPr>
                <w:b w:val="0"/>
                <w:sz w:val="18"/>
              </w:rPr>
              <w:t>Mohamed Aly</w:t>
            </w:r>
          </w:p>
        </w:tc>
      </w:tr>
      <w:tr>
        <w:tc>
          <w:tcPr>
            <w:tcW w:type="dxa" w:w="2608"/>
          </w:tcPr>
          <w:p>
            <w:r>
              <w:rPr>
                <w:sz w:val="18"/>
              </w:rPr>
            </w:r>
            <w:r>
              <w:rPr>
                <w:b w:val="0"/>
                <w:sz w:val="18"/>
              </w:rPr>
              <w:t>Footprint · recognition</w:t>
            </w:r>
          </w:p>
        </w:tc>
        <w:tc>
          <w:tcPr>
            <w:tcW w:type="dxa" w:w="7483"/>
          </w:tcPr>
          <w:p>
            <w:pPr>
              <w:jc w:val="center"/>
            </w:pPr>
            <w:r>
              <w:rPr>
                <w:sz w:val="18"/>
              </w:rPr>
            </w:r>
            <w:r>
              <w:rPr>
                <w:b w:val="0"/>
                <w:sz w:val="18"/>
              </w:rPr>
              <w:t>79 branches, 2,779 employees (Q1-26) · Best Islamic Bank in Egypt (Global Finance), 8th consecutive year</w:t>
            </w:r>
          </w:p>
        </w:tc>
      </w:tr>
    </w:tbl>
    <w:p>
      <w:pPr>
        <w:spacing w:after="40"/>
      </w:pPr>
    </w:p>
    <w:p>
      <w:r>
        <w:rPr>
          <w:b w:val="0"/>
          <w:i/>
          <w:color w:val="666666"/>
          <w:sz w:val="18"/>
        </w:rPr>
        <w:t>Source: FY2025 financial statements &amp; results (Feb 2026), Q1-2026 condensed consolidated statements (May 2026), FY2023 results (Mar 2024), EGX data. Values rounded. Per-share figures are pro-forma the approved capital increase (1,500mn shares) unless marked issued.</w:t>
      </w:r>
    </w:p>
    <w:p>
      <w:pPr>
        <w:pStyle w:val="Heading1"/>
      </w:pPr>
      <w:r>
        <w:t>1  Fundamental valuation</w:t>
      </w:r>
    </w:p>
    <w:p>
      <w:r>
        <w:rPr>
          <w:b w:val="0"/>
        </w:rPr>
        <w:t xml:space="preserve">We value ADIB-Egypt the way banks have to be valued — off distributable earnings and book, not off free cash flow to firm, which is meaningless for a deposit-funded balance sheet. The primary lens is a </w:t>
      </w:r>
      <w:r>
        <w:rPr>
          <w:b/>
        </w:rPr>
        <w:t>multi-stage dividend discount model (DDM)</w:t>
      </w:r>
      <w:r>
        <w:rPr>
          <w:b w:val="0"/>
        </w:rPr>
        <w:t>, adapted honestly to what this bank actually is: a zero-payout compounder. It pays no cash dividend today, so near-term “dividends” in the model are the small stream we expect policy to initiate from FY27, and the bulk of the value sits in a justified price-to-book terminal on the retained, compounding book. An explicit free-cash-flow-to-equity DCF (the capital-need-based cash-flow cross-check), a relative-multiple read against Egypt's own bank complex, and a normalized mid-cycle earnings-power read complete the set. The weights and the football field are in §1.5; the swing factor — how much of a 44% ROE survives the easing cycle, and at what EGP cost of equity — is dissected in §1.7, and the sensitivity grid in §1.9.</w:t>
      </w:r>
    </w:p>
    <w:p>
      <w:pPr>
        <w:pStyle w:val="Heading2"/>
      </w:pPr>
      <w:r>
        <w:t>1.1  Multi-stage dividend discount — the primary lens</w:t>
      </w:r>
    </w:p>
    <w:p>
      <w:r>
        <w:rPr>
          <w:b w:val="0"/>
        </w:rPr>
        <w:t>We project attributable earnings from the driver-built income statement in the companion model: revenue growth fading from FY25's +31% to +13.5% by FY30 as the CBE easing cycle compresses the sovereign-carry and financing margins, cost-to-income drifting up from an exceptional 17.2% toward a still-excellent 20%, financing growth fading from +53% to +15%, and the cost of risk normalizing around 1.0–1.1% of the book. That yields EPS (on the pro-forma 1,500mn shares) of EGP 10.53 in FY26 rising to EGP 18.82 by FY30. Cash dividends are assumed to begin at a 10% payout in FY27 and reach 25% by FY30 as balance-sheet growth normalizes; the terminal value is a justified price-to-book of (ROE − g)/(COE − g) on FY30 book, at a 28% sustainable ROE, 11% nominal terminal growth and a 23% EGP cost of equity (≈ a 19–20% CBE corridor / long-bond base plus an equity premium — a currency-consistent discount rate).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625"/>
        <w:gridCol w:w="1625"/>
        <w:gridCol w:w="1625"/>
        <w:gridCol w:w="1625"/>
        <w:gridCol w:w="1625"/>
        <w:gridCol w:w="1625"/>
      </w:tblGrid>
      <w:tr>
        <w:tc>
          <w:tcPr>
            <w:tcW w:type="dxa" w:w="3402"/>
            <w:shd w:val="clear" w:fill="1B5E5E"/>
          </w:tcPr>
          <w:p>
            <w:r/>
            <w:r>
              <w:rPr>
                <w:b/>
                <w:color w:val="FFFFFF"/>
                <w:sz w:val="18"/>
              </w:rPr>
              <w:t>Year</w:t>
            </w:r>
          </w:p>
        </w:tc>
        <w:tc>
          <w:tcPr>
            <w:tcW w:type="dxa" w:w="1474"/>
            <w:shd w:val="clear" w:fill="1B5E5E"/>
          </w:tcPr>
          <w:p>
            <w:pPr>
              <w:jc w:val="center"/>
            </w:pPr>
            <w:r/>
            <w:r>
              <w:rPr>
                <w:b/>
                <w:color w:val="FFFFFF"/>
                <w:sz w:val="18"/>
              </w:rPr>
              <w:t>Attrib. EPS (EGP)</w:t>
            </w:r>
          </w:p>
        </w:tc>
        <w:tc>
          <w:tcPr>
            <w:tcW w:type="dxa" w:w="1134"/>
            <w:shd w:val="clear" w:fill="1B5E5E"/>
          </w:tcPr>
          <w:p>
            <w:pPr>
              <w:jc w:val="center"/>
            </w:pPr>
            <w:r/>
            <w:r>
              <w:rPr>
                <w:b/>
                <w:color w:val="FFFFFF"/>
                <w:sz w:val="18"/>
              </w:rPr>
              <w:t>Payout</w:t>
            </w:r>
          </w:p>
        </w:tc>
        <w:tc>
          <w:tcPr>
            <w:tcW w:type="dxa" w:w="1361"/>
            <w:shd w:val="clear" w:fill="1B5E5E"/>
          </w:tcPr>
          <w:p>
            <w:pPr>
              <w:jc w:val="center"/>
            </w:pPr>
            <w:r/>
            <w:r>
              <w:rPr>
                <w:b/>
                <w:color w:val="FFFFFF"/>
                <w:sz w:val="18"/>
              </w:rPr>
              <w:t>DPS (EGP)</w:t>
            </w:r>
          </w:p>
        </w:tc>
        <w:tc>
          <w:tcPr>
            <w:tcW w:type="dxa" w:w="1474"/>
            <w:shd w:val="clear" w:fill="1B5E5E"/>
          </w:tcPr>
          <w:p>
            <w:pPr>
              <w:jc w:val="center"/>
            </w:pPr>
            <w:r/>
            <w:r>
              <w:rPr>
                <w:b/>
                <w:color w:val="FFFFFF"/>
                <w:sz w:val="18"/>
              </w:rPr>
              <w:t>BVPS, yr-end</w:t>
            </w:r>
          </w:p>
        </w:tc>
        <w:tc>
          <w:tcPr>
            <w:tcW w:type="dxa" w:w="1247"/>
            <w:shd w:val="clear" w:fill="1B5E5E"/>
          </w:tcPr>
          <w:p>
            <w:pPr>
              <w:jc w:val="center"/>
            </w:pPr>
            <w:r/>
            <w:r>
              <w:rPr>
                <w:b/>
                <w:color w:val="FFFFFF"/>
                <w:sz w:val="18"/>
              </w:rPr>
              <w:t>PV of DPS</w:t>
            </w:r>
          </w:p>
        </w:tc>
      </w:tr>
      <w:tr>
        <w:tc>
          <w:tcPr>
            <w:tcW w:type="dxa" w:w="3402"/>
          </w:tcPr>
          <w:p>
            <w:r>
              <w:rPr>
                <w:sz w:val="18"/>
              </w:rPr>
            </w:r>
            <w:r>
              <w:rPr>
                <w:b w:val="0"/>
                <w:sz w:val="18"/>
              </w:rPr>
              <w:t>FY26E</w:t>
            </w:r>
          </w:p>
        </w:tc>
        <w:tc>
          <w:tcPr>
            <w:tcW w:type="dxa" w:w="1474"/>
          </w:tcPr>
          <w:p>
            <w:pPr>
              <w:jc w:val="center"/>
            </w:pPr>
            <w:r>
              <w:rPr>
                <w:sz w:val="18"/>
              </w:rPr>
            </w:r>
            <w:r>
              <w:rPr>
                <w:b w:val="0"/>
                <w:sz w:val="18"/>
              </w:rPr>
              <w:t>10.53</w:t>
            </w:r>
          </w:p>
        </w:tc>
        <w:tc>
          <w:tcPr>
            <w:tcW w:type="dxa" w:w="1134"/>
          </w:tcPr>
          <w:p>
            <w:pPr>
              <w:jc w:val="center"/>
            </w:pPr>
            <w:r>
              <w:rPr>
                <w:sz w:val="18"/>
              </w:rPr>
            </w:r>
            <w:r>
              <w:rPr>
                <w:b w:val="0"/>
                <w:sz w:val="18"/>
              </w:rPr>
              <w:t>0%</w:t>
            </w:r>
          </w:p>
        </w:tc>
        <w:tc>
          <w:tcPr>
            <w:tcW w:type="dxa" w:w="1361"/>
          </w:tcPr>
          <w:p>
            <w:pPr>
              <w:jc w:val="center"/>
            </w:pPr>
            <w:r>
              <w:rPr>
                <w:sz w:val="18"/>
              </w:rPr>
            </w:r>
            <w:r>
              <w:rPr>
                <w:b w:val="0"/>
                <w:sz w:val="18"/>
              </w:rPr>
              <w:t>0.00</w:t>
            </w:r>
          </w:p>
        </w:tc>
        <w:tc>
          <w:tcPr>
            <w:tcW w:type="dxa" w:w="1474"/>
          </w:tcPr>
          <w:p>
            <w:pPr>
              <w:jc w:val="center"/>
            </w:pPr>
            <w:r>
              <w:rPr>
                <w:sz w:val="18"/>
              </w:rPr>
            </w:r>
            <w:r>
              <w:rPr>
                <w:b w:val="0"/>
                <w:sz w:val="18"/>
              </w:rPr>
              <w:t>35.39</w:t>
            </w:r>
          </w:p>
        </w:tc>
        <w:tc>
          <w:tcPr>
            <w:tcW w:type="dxa" w:w="1247"/>
          </w:tcPr>
          <w:p>
            <w:pPr>
              <w:jc w:val="center"/>
            </w:pPr>
            <w:r>
              <w:rPr>
                <w:sz w:val="18"/>
              </w:rPr>
            </w:r>
            <w:r>
              <w:rPr>
                <w:b w:val="0"/>
                <w:sz w:val="18"/>
              </w:rPr>
              <w:t>0.00</w:t>
            </w:r>
          </w:p>
        </w:tc>
      </w:tr>
      <w:tr>
        <w:tc>
          <w:tcPr>
            <w:tcW w:type="dxa" w:w="3402"/>
          </w:tcPr>
          <w:p>
            <w:r>
              <w:rPr>
                <w:sz w:val="18"/>
              </w:rPr>
            </w:r>
            <w:r>
              <w:rPr>
                <w:b w:val="0"/>
                <w:sz w:val="18"/>
              </w:rPr>
              <w:t>FY27E</w:t>
            </w:r>
          </w:p>
        </w:tc>
        <w:tc>
          <w:tcPr>
            <w:tcW w:type="dxa" w:w="1474"/>
          </w:tcPr>
          <w:p>
            <w:pPr>
              <w:jc w:val="center"/>
            </w:pPr>
            <w:r>
              <w:rPr>
                <w:sz w:val="18"/>
              </w:rPr>
            </w:r>
            <w:r>
              <w:rPr>
                <w:b w:val="0"/>
                <w:sz w:val="18"/>
              </w:rPr>
              <w:t>12.37</w:t>
            </w:r>
          </w:p>
        </w:tc>
        <w:tc>
          <w:tcPr>
            <w:tcW w:type="dxa" w:w="1134"/>
          </w:tcPr>
          <w:p>
            <w:pPr>
              <w:jc w:val="center"/>
            </w:pPr>
            <w:r>
              <w:rPr>
                <w:sz w:val="18"/>
              </w:rPr>
            </w:r>
            <w:r>
              <w:rPr>
                <w:b w:val="0"/>
                <w:sz w:val="18"/>
              </w:rPr>
              <w:t>10%</w:t>
            </w:r>
          </w:p>
        </w:tc>
        <w:tc>
          <w:tcPr>
            <w:tcW w:type="dxa" w:w="1361"/>
          </w:tcPr>
          <w:p>
            <w:pPr>
              <w:jc w:val="center"/>
            </w:pPr>
            <w:r>
              <w:rPr>
                <w:sz w:val="18"/>
              </w:rPr>
            </w:r>
            <w:r>
              <w:rPr>
                <w:b w:val="0"/>
                <w:sz w:val="18"/>
              </w:rPr>
              <w:t>1.24</w:t>
            </w:r>
          </w:p>
        </w:tc>
        <w:tc>
          <w:tcPr>
            <w:tcW w:type="dxa" w:w="1474"/>
          </w:tcPr>
          <w:p>
            <w:pPr>
              <w:jc w:val="center"/>
            </w:pPr>
            <w:r>
              <w:rPr>
                <w:sz w:val="18"/>
              </w:rPr>
            </w:r>
            <w:r>
              <w:rPr>
                <w:b w:val="0"/>
                <w:sz w:val="18"/>
              </w:rPr>
              <w:t>46.53</w:t>
            </w:r>
          </w:p>
        </w:tc>
        <w:tc>
          <w:tcPr>
            <w:tcW w:type="dxa" w:w="1247"/>
          </w:tcPr>
          <w:p>
            <w:pPr>
              <w:jc w:val="center"/>
            </w:pPr>
            <w:r>
              <w:rPr>
                <w:sz w:val="18"/>
              </w:rPr>
            </w:r>
            <w:r>
              <w:rPr>
                <w:b w:val="0"/>
                <w:sz w:val="18"/>
              </w:rPr>
              <w:t>0.91</w:t>
            </w:r>
          </w:p>
        </w:tc>
      </w:tr>
      <w:tr>
        <w:tc>
          <w:tcPr>
            <w:tcW w:type="dxa" w:w="3402"/>
          </w:tcPr>
          <w:p>
            <w:r>
              <w:rPr>
                <w:sz w:val="18"/>
              </w:rPr>
            </w:r>
            <w:r>
              <w:rPr>
                <w:b w:val="0"/>
                <w:sz w:val="18"/>
              </w:rPr>
              <w:t>FY28E</w:t>
            </w:r>
          </w:p>
        </w:tc>
        <w:tc>
          <w:tcPr>
            <w:tcW w:type="dxa" w:w="1474"/>
          </w:tcPr>
          <w:p>
            <w:pPr>
              <w:jc w:val="center"/>
            </w:pPr>
            <w:r>
              <w:rPr>
                <w:sz w:val="18"/>
              </w:rPr>
            </w:r>
            <w:r>
              <w:rPr>
                <w:b w:val="0"/>
                <w:sz w:val="18"/>
              </w:rPr>
              <w:t>14.48</w:t>
            </w:r>
          </w:p>
        </w:tc>
        <w:tc>
          <w:tcPr>
            <w:tcW w:type="dxa" w:w="1134"/>
          </w:tcPr>
          <w:p>
            <w:pPr>
              <w:jc w:val="center"/>
            </w:pPr>
            <w:r>
              <w:rPr>
                <w:sz w:val="18"/>
              </w:rPr>
            </w:r>
            <w:r>
              <w:rPr>
                <w:b w:val="0"/>
                <w:sz w:val="18"/>
              </w:rPr>
              <w:t>15%</w:t>
            </w:r>
          </w:p>
        </w:tc>
        <w:tc>
          <w:tcPr>
            <w:tcW w:type="dxa" w:w="1361"/>
          </w:tcPr>
          <w:p>
            <w:pPr>
              <w:jc w:val="center"/>
            </w:pPr>
            <w:r>
              <w:rPr>
                <w:sz w:val="18"/>
              </w:rPr>
            </w:r>
            <w:r>
              <w:rPr>
                <w:b w:val="0"/>
                <w:sz w:val="18"/>
              </w:rPr>
              <w:t>2.17</w:t>
            </w:r>
          </w:p>
        </w:tc>
        <w:tc>
          <w:tcPr>
            <w:tcW w:type="dxa" w:w="1474"/>
          </w:tcPr>
          <w:p>
            <w:pPr>
              <w:jc w:val="center"/>
            </w:pPr>
            <w:r>
              <w:rPr>
                <w:sz w:val="18"/>
              </w:rPr>
            </w:r>
            <w:r>
              <w:rPr>
                <w:b w:val="0"/>
                <w:sz w:val="18"/>
              </w:rPr>
              <w:t>58.84</w:t>
            </w:r>
          </w:p>
        </w:tc>
        <w:tc>
          <w:tcPr>
            <w:tcW w:type="dxa" w:w="1247"/>
          </w:tcPr>
          <w:p>
            <w:pPr>
              <w:jc w:val="center"/>
            </w:pPr>
            <w:r>
              <w:rPr>
                <w:sz w:val="18"/>
              </w:rPr>
            </w:r>
            <w:r>
              <w:rPr>
                <w:b w:val="0"/>
                <w:sz w:val="18"/>
              </w:rPr>
              <w:t>1.29</w:t>
            </w:r>
          </w:p>
        </w:tc>
      </w:tr>
      <w:tr>
        <w:tc>
          <w:tcPr>
            <w:tcW w:type="dxa" w:w="3402"/>
          </w:tcPr>
          <w:p>
            <w:r>
              <w:rPr>
                <w:sz w:val="18"/>
              </w:rPr>
            </w:r>
            <w:r>
              <w:rPr>
                <w:b w:val="0"/>
                <w:sz w:val="18"/>
              </w:rPr>
              <w:t>FY29E</w:t>
            </w:r>
          </w:p>
        </w:tc>
        <w:tc>
          <w:tcPr>
            <w:tcW w:type="dxa" w:w="1474"/>
          </w:tcPr>
          <w:p>
            <w:pPr>
              <w:jc w:val="center"/>
            </w:pPr>
            <w:r>
              <w:rPr>
                <w:sz w:val="18"/>
              </w:rPr>
            </w:r>
            <w:r>
              <w:rPr>
                <w:b w:val="0"/>
                <w:sz w:val="18"/>
              </w:rPr>
              <w:t>16.57</w:t>
            </w:r>
          </w:p>
        </w:tc>
        <w:tc>
          <w:tcPr>
            <w:tcW w:type="dxa" w:w="1134"/>
          </w:tcPr>
          <w:p>
            <w:pPr>
              <w:jc w:val="center"/>
            </w:pPr>
            <w:r>
              <w:rPr>
                <w:sz w:val="18"/>
              </w:rPr>
            </w:r>
            <w:r>
              <w:rPr>
                <w:b w:val="0"/>
                <w:sz w:val="18"/>
              </w:rPr>
              <w:t>20%</w:t>
            </w:r>
          </w:p>
        </w:tc>
        <w:tc>
          <w:tcPr>
            <w:tcW w:type="dxa" w:w="1361"/>
          </w:tcPr>
          <w:p>
            <w:pPr>
              <w:jc w:val="center"/>
            </w:pPr>
            <w:r>
              <w:rPr>
                <w:sz w:val="18"/>
              </w:rPr>
            </w:r>
            <w:r>
              <w:rPr>
                <w:b w:val="0"/>
                <w:sz w:val="18"/>
              </w:rPr>
              <w:t>3.31</w:t>
            </w:r>
          </w:p>
        </w:tc>
        <w:tc>
          <w:tcPr>
            <w:tcW w:type="dxa" w:w="1474"/>
          </w:tcPr>
          <w:p>
            <w:pPr>
              <w:jc w:val="center"/>
            </w:pPr>
            <w:r>
              <w:rPr>
                <w:sz w:val="18"/>
              </w:rPr>
            </w:r>
            <w:r>
              <w:rPr>
                <w:b w:val="0"/>
                <w:sz w:val="18"/>
              </w:rPr>
              <w:t>72.09</w:t>
            </w:r>
          </w:p>
        </w:tc>
        <w:tc>
          <w:tcPr>
            <w:tcW w:type="dxa" w:w="1247"/>
          </w:tcPr>
          <w:p>
            <w:pPr>
              <w:jc w:val="center"/>
            </w:pPr>
            <w:r>
              <w:rPr>
                <w:sz w:val="18"/>
              </w:rPr>
            </w:r>
            <w:r>
              <w:rPr>
                <w:b w:val="0"/>
                <w:sz w:val="18"/>
              </w:rPr>
              <w:t>1.60</w:t>
            </w:r>
          </w:p>
        </w:tc>
      </w:tr>
      <w:tr>
        <w:tc>
          <w:tcPr>
            <w:tcW w:type="dxa" w:w="3402"/>
          </w:tcPr>
          <w:p>
            <w:r>
              <w:rPr>
                <w:sz w:val="18"/>
              </w:rPr>
            </w:r>
            <w:r>
              <w:rPr>
                <w:b w:val="0"/>
                <w:sz w:val="18"/>
              </w:rPr>
              <w:t>FY30E</w:t>
            </w:r>
          </w:p>
        </w:tc>
        <w:tc>
          <w:tcPr>
            <w:tcW w:type="dxa" w:w="1474"/>
          </w:tcPr>
          <w:p>
            <w:pPr>
              <w:jc w:val="center"/>
            </w:pPr>
            <w:r>
              <w:rPr>
                <w:sz w:val="18"/>
              </w:rPr>
            </w:r>
            <w:r>
              <w:rPr>
                <w:b w:val="0"/>
                <w:sz w:val="18"/>
              </w:rPr>
              <w:t>18.82</w:t>
            </w:r>
          </w:p>
        </w:tc>
        <w:tc>
          <w:tcPr>
            <w:tcW w:type="dxa" w:w="1134"/>
          </w:tcPr>
          <w:p>
            <w:pPr>
              <w:jc w:val="center"/>
            </w:pPr>
            <w:r>
              <w:rPr>
                <w:sz w:val="18"/>
              </w:rPr>
            </w:r>
            <w:r>
              <w:rPr>
                <w:b w:val="0"/>
                <w:sz w:val="18"/>
              </w:rPr>
              <w:t>25%</w:t>
            </w:r>
          </w:p>
        </w:tc>
        <w:tc>
          <w:tcPr>
            <w:tcW w:type="dxa" w:w="1361"/>
          </w:tcPr>
          <w:p>
            <w:pPr>
              <w:jc w:val="center"/>
            </w:pPr>
            <w:r>
              <w:rPr>
                <w:sz w:val="18"/>
              </w:rPr>
            </w:r>
            <w:r>
              <w:rPr>
                <w:b w:val="0"/>
                <w:sz w:val="18"/>
              </w:rPr>
              <w:t>4.71</w:t>
            </w:r>
          </w:p>
        </w:tc>
        <w:tc>
          <w:tcPr>
            <w:tcW w:type="dxa" w:w="1474"/>
          </w:tcPr>
          <w:p>
            <w:pPr>
              <w:jc w:val="center"/>
            </w:pPr>
            <w:r>
              <w:rPr>
                <w:sz w:val="18"/>
              </w:rPr>
            </w:r>
            <w:r>
              <w:rPr>
                <w:b w:val="0"/>
                <w:sz w:val="18"/>
              </w:rPr>
              <w:t>86.21</w:t>
            </w:r>
          </w:p>
        </w:tc>
        <w:tc>
          <w:tcPr>
            <w:tcW w:type="dxa" w:w="1247"/>
          </w:tcPr>
          <w:p>
            <w:pPr>
              <w:jc w:val="center"/>
            </w:pPr>
            <w:r>
              <w:rPr>
                <w:sz w:val="18"/>
              </w:rPr>
            </w:r>
            <w:r>
              <w:rPr>
                <w:b w:val="0"/>
                <w:sz w:val="18"/>
              </w:rPr>
              <w:t>1.86</w:t>
            </w:r>
          </w:p>
        </w:tc>
      </w:tr>
      <w:tr>
        <w:tc>
          <w:tcPr>
            <w:tcW w:type="dxa" w:w="3402"/>
          </w:tcPr>
          <w:p>
            <w:r>
              <w:rPr>
                <w:sz w:val="18"/>
              </w:rPr>
            </w:r>
            <w:r>
              <w:rPr>
                <w:b w:val="0"/>
                <w:sz w:val="18"/>
              </w:rPr>
              <w:t>Sum, PV of dividends FY26–30</w:t>
            </w:r>
          </w:p>
        </w:tc>
        <w:tc>
          <w:tcPr>
            <w:tcW w:type="dxa" w:w="1474"/>
          </w:tcPr>
          <w:p>
            <w:pPr>
              <w:jc w:val="center"/>
            </w:pPr>
            <w:r>
              <w:rPr>
                <w:sz w:val="18"/>
              </w:rPr>
            </w:r>
          </w:p>
        </w:tc>
        <w:tc>
          <w:tcPr>
            <w:tcW w:type="dxa" w:w="1134"/>
          </w:tcPr>
          <w:p>
            <w:pPr>
              <w:jc w:val="center"/>
            </w:pPr>
            <w:r>
              <w:rPr>
                <w:sz w:val="18"/>
              </w:rPr>
            </w:r>
          </w:p>
        </w:tc>
        <w:tc>
          <w:tcPr>
            <w:tcW w:type="dxa" w:w="1361"/>
          </w:tcPr>
          <w:p>
            <w:pPr>
              <w:jc w:val="center"/>
            </w:pPr>
            <w:r>
              <w:rPr>
                <w:sz w:val="18"/>
              </w:rPr>
            </w:r>
          </w:p>
        </w:tc>
        <w:tc>
          <w:tcPr>
            <w:tcW w:type="dxa" w:w="1474"/>
          </w:tcPr>
          <w:p>
            <w:pPr>
              <w:jc w:val="center"/>
            </w:pPr>
            <w:r>
              <w:rPr>
                <w:sz w:val="18"/>
              </w:rPr>
            </w:r>
          </w:p>
        </w:tc>
        <w:tc>
          <w:tcPr>
            <w:tcW w:type="dxa" w:w="1247"/>
          </w:tcPr>
          <w:p>
            <w:pPr>
              <w:jc w:val="center"/>
            </w:pPr>
            <w:r>
              <w:rPr>
                <w:sz w:val="18"/>
              </w:rPr>
            </w:r>
            <w:r>
              <w:rPr>
                <w:b w:val="0"/>
                <w:sz w:val="18"/>
              </w:rPr>
              <w:t>5.66</w:t>
            </w:r>
          </w:p>
        </w:tc>
      </w:tr>
      <w:tr>
        <w:tc>
          <w:tcPr>
            <w:tcW w:type="dxa" w:w="3402"/>
          </w:tcPr>
          <w:p>
            <w:r>
              <w:rPr>
                <w:sz w:val="18"/>
              </w:rPr>
            </w:r>
            <w:r>
              <w:rPr>
                <w:b w:val="0"/>
                <w:sz w:val="18"/>
              </w:rPr>
              <w:t>Terminal P/B  =(28% − 11%)/(23% − 11%)</w:t>
            </w:r>
          </w:p>
        </w:tc>
        <w:tc>
          <w:tcPr>
            <w:tcW w:type="dxa" w:w="1474"/>
          </w:tcPr>
          <w:p>
            <w:pPr>
              <w:jc w:val="center"/>
            </w:pPr>
            <w:r>
              <w:rPr>
                <w:sz w:val="18"/>
              </w:rPr>
            </w:r>
          </w:p>
        </w:tc>
        <w:tc>
          <w:tcPr>
            <w:tcW w:type="dxa" w:w="1134"/>
          </w:tcPr>
          <w:p>
            <w:pPr>
              <w:jc w:val="center"/>
            </w:pPr>
            <w:r>
              <w:rPr>
                <w:sz w:val="18"/>
              </w:rPr>
            </w:r>
          </w:p>
        </w:tc>
        <w:tc>
          <w:tcPr>
            <w:tcW w:type="dxa" w:w="1361"/>
          </w:tcPr>
          <w:p>
            <w:pPr>
              <w:jc w:val="center"/>
            </w:pPr>
            <w:r>
              <w:rPr>
                <w:sz w:val="18"/>
              </w:rPr>
            </w:r>
          </w:p>
        </w:tc>
        <w:tc>
          <w:tcPr>
            <w:tcW w:type="dxa" w:w="1474"/>
          </w:tcPr>
          <w:p>
            <w:pPr>
              <w:jc w:val="center"/>
            </w:pPr>
            <w:r>
              <w:rPr>
                <w:sz w:val="18"/>
              </w:rPr>
            </w:r>
          </w:p>
        </w:tc>
        <w:tc>
          <w:tcPr>
            <w:tcW w:type="dxa" w:w="1247"/>
          </w:tcPr>
          <w:p>
            <w:pPr>
              <w:jc w:val="center"/>
            </w:pPr>
            <w:r>
              <w:rPr>
                <w:sz w:val="18"/>
              </w:rPr>
            </w:r>
            <w:r>
              <w:rPr>
                <w:b w:val="0"/>
                <w:sz w:val="18"/>
              </w:rPr>
              <w:t>1.42×</w:t>
            </w:r>
          </w:p>
        </w:tc>
      </w:tr>
      <w:tr>
        <w:tc>
          <w:tcPr>
            <w:tcW w:type="dxa" w:w="3402"/>
          </w:tcPr>
          <w:p>
            <w:r>
              <w:rPr>
                <w:sz w:val="18"/>
              </w:rPr>
            </w:r>
            <w:r>
              <w:rPr>
                <w:b w:val="0"/>
                <w:sz w:val="18"/>
              </w:rPr>
              <w:t>Terminal value on FY30 book of 86.21</w:t>
            </w:r>
          </w:p>
        </w:tc>
        <w:tc>
          <w:tcPr>
            <w:tcW w:type="dxa" w:w="1474"/>
          </w:tcPr>
          <w:p>
            <w:pPr>
              <w:jc w:val="center"/>
            </w:pPr>
            <w:r>
              <w:rPr>
                <w:sz w:val="18"/>
              </w:rPr>
            </w:r>
          </w:p>
        </w:tc>
        <w:tc>
          <w:tcPr>
            <w:tcW w:type="dxa" w:w="1134"/>
          </w:tcPr>
          <w:p>
            <w:pPr>
              <w:jc w:val="center"/>
            </w:pPr>
            <w:r>
              <w:rPr>
                <w:sz w:val="18"/>
              </w:rPr>
            </w:r>
          </w:p>
        </w:tc>
        <w:tc>
          <w:tcPr>
            <w:tcW w:type="dxa" w:w="1361"/>
          </w:tcPr>
          <w:p>
            <w:pPr>
              <w:jc w:val="center"/>
            </w:pPr>
            <w:r>
              <w:rPr>
                <w:sz w:val="18"/>
              </w:rPr>
            </w:r>
          </w:p>
        </w:tc>
        <w:tc>
          <w:tcPr>
            <w:tcW w:type="dxa" w:w="1474"/>
          </w:tcPr>
          <w:p>
            <w:pPr>
              <w:jc w:val="center"/>
            </w:pPr>
            <w:r>
              <w:rPr>
                <w:sz w:val="18"/>
              </w:rPr>
            </w:r>
          </w:p>
        </w:tc>
        <w:tc>
          <w:tcPr>
            <w:tcW w:type="dxa" w:w="1247"/>
          </w:tcPr>
          <w:p>
            <w:pPr>
              <w:jc w:val="center"/>
            </w:pPr>
            <w:r>
              <w:rPr>
                <w:sz w:val="18"/>
              </w:rPr>
            </w:r>
            <w:r>
              <w:rPr>
                <w:b w:val="0"/>
                <w:sz w:val="18"/>
              </w:rPr>
              <w:t>122.13</w:t>
            </w:r>
          </w:p>
        </w:tc>
      </w:tr>
      <w:tr>
        <w:tc>
          <w:tcPr>
            <w:tcW w:type="dxa" w:w="3402"/>
          </w:tcPr>
          <w:p>
            <w:r>
              <w:rPr>
                <w:sz w:val="18"/>
              </w:rPr>
            </w:r>
            <w:r>
              <w:rPr>
                <w:b w:val="0"/>
                <w:sz w:val="18"/>
              </w:rPr>
              <w:t>PV of terminal value</w:t>
            </w:r>
          </w:p>
        </w:tc>
        <w:tc>
          <w:tcPr>
            <w:tcW w:type="dxa" w:w="1474"/>
          </w:tcPr>
          <w:p>
            <w:pPr>
              <w:jc w:val="center"/>
            </w:pPr>
            <w:r>
              <w:rPr>
                <w:sz w:val="18"/>
              </w:rPr>
            </w:r>
          </w:p>
        </w:tc>
        <w:tc>
          <w:tcPr>
            <w:tcW w:type="dxa" w:w="1134"/>
          </w:tcPr>
          <w:p>
            <w:pPr>
              <w:jc w:val="center"/>
            </w:pPr>
            <w:r>
              <w:rPr>
                <w:sz w:val="18"/>
              </w:rPr>
            </w:r>
          </w:p>
        </w:tc>
        <w:tc>
          <w:tcPr>
            <w:tcW w:type="dxa" w:w="1361"/>
          </w:tcPr>
          <w:p>
            <w:pPr>
              <w:jc w:val="center"/>
            </w:pPr>
            <w:r>
              <w:rPr>
                <w:sz w:val="18"/>
              </w:rPr>
            </w:r>
          </w:p>
        </w:tc>
        <w:tc>
          <w:tcPr>
            <w:tcW w:type="dxa" w:w="1474"/>
          </w:tcPr>
          <w:p>
            <w:pPr>
              <w:jc w:val="center"/>
            </w:pPr>
            <w:r>
              <w:rPr>
                <w:sz w:val="18"/>
              </w:rPr>
            </w:r>
          </w:p>
        </w:tc>
        <w:tc>
          <w:tcPr>
            <w:tcW w:type="dxa" w:w="1247"/>
          </w:tcPr>
          <w:p>
            <w:pPr>
              <w:jc w:val="center"/>
            </w:pPr>
            <w:r>
              <w:rPr>
                <w:sz w:val="18"/>
              </w:rPr>
            </w:r>
            <w:r>
              <w:rPr>
                <w:b w:val="0"/>
                <w:sz w:val="18"/>
              </w:rPr>
              <w:t>48.11</w:t>
            </w:r>
          </w:p>
        </w:tc>
      </w:tr>
      <w:tr>
        <w:tc>
          <w:tcPr>
            <w:tcW w:type="dxa" w:w="3402"/>
            <w:shd w:val="clear" w:fill="F3F7F7"/>
          </w:tcPr>
          <w:p>
            <w:r>
              <w:rPr>
                <w:b/>
                <w:sz w:val="18"/>
              </w:rPr>
            </w:r>
            <w:r>
              <w:rPr>
                <w:b/>
                <w:sz w:val="18"/>
              </w:rPr>
              <w:t>DDM fair value (EGP/share)</w:t>
            </w:r>
          </w:p>
        </w:tc>
        <w:tc>
          <w:tcPr>
            <w:tcW w:type="dxa" w:w="1474"/>
            <w:shd w:val="clear" w:fill="F3F7F7"/>
          </w:tcPr>
          <w:p>
            <w:pPr>
              <w:jc w:val="center"/>
            </w:pPr>
            <w:r>
              <w:rPr>
                <w:b/>
                <w:sz w:val="18"/>
              </w:rPr>
            </w:r>
          </w:p>
        </w:tc>
        <w:tc>
          <w:tcPr>
            <w:tcW w:type="dxa" w:w="1134"/>
            <w:shd w:val="clear" w:fill="F3F7F7"/>
          </w:tcPr>
          <w:p>
            <w:pPr>
              <w:jc w:val="center"/>
            </w:pPr>
            <w:r>
              <w:rPr>
                <w:b/>
                <w:sz w:val="18"/>
              </w:rPr>
            </w:r>
          </w:p>
        </w:tc>
        <w:tc>
          <w:tcPr>
            <w:tcW w:type="dxa" w:w="1361"/>
            <w:shd w:val="clear" w:fill="F3F7F7"/>
          </w:tcPr>
          <w:p>
            <w:pPr>
              <w:jc w:val="center"/>
            </w:pPr>
            <w:r>
              <w:rPr>
                <w:b/>
                <w:sz w:val="18"/>
              </w:rPr>
            </w:r>
          </w:p>
        </w:tc>
        <w:tc>
          <w:tcPr>
            <w:tcW w:type="dxa" w:w="1474"/>
            <w:shd w:val="clear" w:fill="F3F7F7"/>
          </w:tcPr>
          <w:p>
            <w:pPr>
              <w:jc w:val="center"/>
            </w:pPr>
            <w:r>
              <w:rPr>
                <w:b/>
                <w:sz w:val="18"/>
              </w:rPr>
            </w:r>
          </w:p>
        </w:tc>
        <w:tc>
          <w:tcPr>
            <w:tcW w:type="dxa" w:w="1247"/>
            <w:shd w:val="clear" w:fill="F3F7F7"/>
          </w:tcPr>
          <w:p>
            <w:pPr>
              <w:jc w:val="center"/>
            </w:pPr>
            <w:r>
              <w:rPr>
                <w:b/>
                <w:sz w:val="18"/>
              </w:rPr>
            </w:r>
            <w:r>
              <w:rPr>
                <w:b/>
                <w:sz w:val="18"/>
              </w:rPr>
              <w:t>53.8</w:t>
            </w:r>
          </w:p>
        </w:tc>
      </w:tr>
    </w:tbl>
    <w:p>
      <w:pPr>
        <w:spacing w:after="40"/>
      </w:pPr>
    </w:p>
    <w:p>
      <w:r>
        <w:rPr>
          <w:b/>
        </w:rPr>
        <w:t>DDM base ≈ EGP 53.8/share</w:t>
      </w:r>
      <w:r>
        <w:rPr>
          <w:b w:val="0"/>
        </w:rPr>
        <w:t>, with a bear–bull span of EGP 26.4–113.4 — a very wide fan, because a 23% discount rate makes every terminal assumption violent (§1.9). Note the model's honesty about the payout: with no cash dividend, 94% of the base value sits in the terminal — this is a bet on the book compounding at returns above a 23% hurdle, which is exactly what a 44%-ROE bank retaining everything is.</w:t>
      </w:r>
    </w:p>
    <w:p>
      <w:pPr>
        <w:pStyle w:val="Heading2"/>
      </w:pPr>
      <w:r>
        <w:t>1.2  Equity DCF — five years of free cash flow to equity</w:t>
      </w:r>
    </w:p>
    <w:p>
      <w:r>
        <w:rPr>
          <w:b w:val="0"/>
        </w:rPr>
        <w:t xml:space="preserve">Free cash flow to firm is meaningless for a deposit-funded balance sheet, so the bank-appropriate DCF works on the equity claim directly: </w:t>
      </w:r>
      <w:r>
        <w:rPr>
          <w:b/>
        </w:rPr>
        <w:t>FCFE = attributable profit minus the equity the bank must retain to fund its own growth</w:t>
      </w:r>
      <w:r>
        <w:rPr>
          <w:b w:val="0"/>
        </w:rPr>
        <w:t xml:space="preserve"> at a constant capital intensity (attributable equity held at 10.7% of assets, the FY25 pro-forma level). Retention is the tax that ~28% asset growth levies on shareholders — of FY26E's EGP 15.8bn of attributable profit, EGP 11.1bn must stay in the bank just to hold capital intensity flat, leaving EGP 4.7bn (EGP 3.14/share) genuinely free. Each year's FCFE is discounted at the 23% cost of equity — the WACC of an all-equity claim — and the terminal is the same justified P/B as §1.1, applied to the DCF's own (lower) book path, since the build assumes FCFE is actually distributed.</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625"/>
        <w:gridCol w:w="1625"/>
        <w:gridCol w:w="1625"/>
        <w:gridCol w:w="1625"/>
        <w:gridCol w:w="1625"/>
        <w:gridCol w:w="1625"/>
      </w:tblGrid>
      <w:tr>
        <w:tc>
          <w:tcPr>
            <w:tcW w:type="dxa" w:w="4195"/>
            <w:shd w:val="clear" w:fill="1B5E5E"/>
          </w:tcPr>
          <w:p>
            <w:r/>
            <w:r>
              <w:rPr>
                <w:b/>
                <w:color w:val="FFFFFF"/>
                <w:sz w:val="18"/>
              </w:rPr>
              <w:t>Line</w:t>
            </w:r>
          </w:p>
        </w:tc>
        <w:tc>
          <w:tcPr>
            <w:tcW w:type="dxa" w:w="1134"/>
            <w:shd w:val="clear" w:fill="1B5E5E"/>
          </w:tcPr>
          <w:p>
            <w:pPr>
              <w:jc w:val="center"/>
            </w:pPr>
            <w:r/>
            <w:r>
              <w:rPr>
                <w:b/>
                <w:color w:val="FFFFFF"/>
                <w:sz w:val="18"/>
              </w:rPr>
              <w:t>FY26E</w:t>
            </w:r>
          </w:p>
        </w:tc>
        <w:tc>
          <w:tcPr>
            <w:tcW w:type="dxa" w:w="1134"/>
            <w:shd w:val="clear" w:fill="1B5E5E"/>
          </w:tcPr>
          <w:p>
            <w:pPr>
              <w:jc w:val="center"/>
            </w:pPr>
            <w:r/>
            <w:r>
              <w:rPr>
                <w:b/>
                <w:color w:val="FFFFFF"/>
                <w:sz w:val="18"/>
              </w:rPr>
              <w:t>FY27E</w:t>
            </w:r>
          </w:p>
        </w:tc>
        <w:tc>
          <w:tcPr>
            <w:tcW w:type="dxa" w:w="1134"/>
            <w:shd w:val="clear" w:fill="1B5E5E"/>
          </w:tcPr>
          <w:p>
            <w:pPr>
              <w:jc w:val="center"/>
            </w:pPr>
            <w:r/>
            <w:r>
              <w:rPr>
                <w:b/>
                <w:color w:val="FFFFFF"/>
                <w:sz w:val="18"/>
              </w:rPr>
              <w:t>FY28E</w:t>
            </w:r>
          </w:p>
        </w:tc>
        <w:tc>
          <w:tcPr>
            <w:tcW w:type="dxa" w:w="1134"/>
            <w:shd w:val="clear" w:fill="1B5E5E"/>
          </w:tcPr>
          <w:p>
            <w:pPr>
              <w:jc w:val="center"/>
            </w:pPr>
            <w:r/>
            <w:r>
              <w:rPr>
                <w:b/>
                <w:color w:val="FFFFFF"/>
                <w:sz w:val="18"/>
              </w:rPr>
              <w:t>FY29E</w:t>
            </w:r>
          </w:p>
        </w:tc>
        <w:tc>
          <w:tcPr>
            <w:tcW w:type="dxa" w:w="1134"/>
            <w:shd w:val="clear" w:fill="1B5E5E"/>
          </w:tcPr>
          <w:p>
            <w:pPr>
              <w:jc w:val="center"/>
            </w:pPr>
            <w:r/>
            <w:r>
              <w:rPr>
                <w:b/>
                <w:color w:val="FFFFFF"/>
                <w:sz w:val="18"/>
              </w:rPr>
              <w:t>FY30E</w:t>
            </w:r>
          </w:p>
        </w:tc>
      </w:tr>
      <w:tr>
        <w:tc>
          <w:tcPr>
            <w:tcW w:type="dxa" w:w="4195"/>
          </w:tcPr>
          <w:p>
            <w:r>
              <w:rPr>
                <w:sz w:val="18"/>
              </w:rPr>
            </w:r>
            <w:r>
              <w:rPr>
                <w:b w:val="0"/>
                <w:sz w:val="18"/>
              </w:rPr>
              <w:t>Attributable net profit (EGP mn)</w:t>
            </w:r>
          </w:p>
        </w:tc>
        <w:tc>
          <w:tcPr>
            <w:tcW w:type="dxa" w:w="1134"/>
          </w:tcPr>
          <w:p>
            <w:pPr>
              <w:jc w:val="center"/>
            </w:pPr>
            <w:r>
              <w:rPr>
                <w:sz w:val="18"/>
              </w:rPr>
            </w:r>
            <w:r>
              <w:rPr>
                <w:b w:val="0"/>
                <w:sz w:val="18"/>
              </w:rPr>
              <w:t>15,789</w:t>
            </w:r>
          </w:p>
        </w:tc>
        <w:tc>
          <w:tcPr>
            <w:tcW w:type="dxa" w:w="1134"/>
          </w:tcPr>
          <w:p>
            <w:pPr>
              <w:jc w:val="center"/>
            </w:pPr>
            <w:r>
              <w:rPr>
                <w:sz w:val="18"/>
              </w:rPr>
            </w:r>
            <w:r>
              <w:rPr>
                <w:b w:val="0"/>
                <w:sz w:val="18"/>
              </w:rPr>
              <w:t>18,558</w:t>
            </w:r>
          </w:p>
        </w:tc>
        <w:tc>
          <w:tcPr>
            <w:tcW w:type="dxa" w:w="1134"/>
          </w:tcPr>
          <w:p>
            <w:pPr>
              <w:jc w:val="center"/>
            </w:pPr>
            <w:r>
              <w:rPr>
                <w:sz w:val="18"/>
              </w:rPr>
            </w:r>
            <w:r>
              <w:rPr>
                <w:b w:val="0"/>
                <w:sz w:val="18"/>
              </w:rPr>
              <w:t>21,721</w:t>
            </w:r>
          </w:p>
        </w:tc>
        <w:tc>
          <w:tcPr>
            <w:tcW w:type="dxa" w:w="1134"/>
          </w:tcPr>
          <w:p>
            <w:pPr>
              <w:jc w:val="center"/>
            </w:pPr>
            <w:r>
              <w:rPr>
                <w:sz w:val="18"/>
              </w:rPr>
            </w:r>
            <w:r>
              <w:rPr>
                <w:b w:val="0"/>
                <w:sz w:val="18"/>
              </w:rPr>
              <w:t>24,853</w:t>
            </w:r>
          </w:p>
        </w:tc>
        <w:tc>
          <w:tcPr>
            <w:tcW w:type="dxa" w:w="1134"/>
          </w:tcPr>
          <w:p>
            <w:pPr>
              <w:jc w:val="center"/>
            </w:pPr>
            <w:r>
              <w:rPr>
                <w:sz w:val="18"/>
              </w:rPr>
            </w:r>
            <w:r>
              <w:rPr>
                <w:b w:val="0"/>
                <w:sz w:val="18"/>
              </w:rPr>
              <w:t>28,233</w:t>
            </w:r>
          </w:p>
        </w:tc>
      </w:tr>
      <w:tr>
        <w:tc>
          <w:tcPr>
            <w:tcW w:type="dxa" w:w="4195"/>
          </w:tcPr>
          <w:p>
            <w:r>
              <w:rPr>
                <w:sz w:val="18"/>
              </w:rPr>
            </w:r>
            <w:r>
              <w:rPr>
                <w:b w:val="0"/>
                <w:sz w:val="18"/>
              </w:rPr>
              <w:t>less: equity retained for growth (10.7% × ΔTA)</w:t>
            </w:r>
          </w:p>
        </w:tc>
        <w:tc>
          <w:tcPr>
            <w:tcW w:type="dxa" w:w="1134"/>
          </w:tcPr>
          <w:p>
            <w:pPr>
              <w:jc w:val="center"/>
            </w:pPr>
            <w:r>
              <w:rPr>
                <w:sz w:val="18"/>
              </w:rPr>
            </w:r>
            <w:r>
              <w:rPr>
                <w:b w:val="0"/>
                <w:sz w:val="18"/>
              </w:rPr>
              <w:t>(11,072)</w:t>
            </w:r>
          </w:p>
        </w:tc>
        <w:tc>
          <w:tcPr>
            <w:tcW w:type="dxa" w:w="1134"/>
          </w:tcPr>
          <w:p>
            <w:pPr>
              <w:jc w:val="center"/>
            </w:pPr>
            <w:r>
              <w:rPr>
                <w:sz w:val="18"/>
              </w:rPr>
            </w:r>
            <w:r>
              <w:rPr>
                <w:b w:val="0"/>
                <w:sz w:val="18"/>
              </w:rPr>
              <w:t>(11,848)</w:t>
            </w:r>
          </w:p>
        </w:tc>
        <w:tc>
          <w:tcPr>
            <w:tcW w:type="dxa" w:w="1134"/>
          </w:tcPr>
          <w:p>
            <w:pPr>
              <w:jc w:val="center"/>
            </w:pPr>
            <w:r>
              <w:rPr>
                <w:sz w:val="18"/>
              </w:rPr>
            </w:r>
            <w:r>
              <w:rPr>
                <w:b w:val="0"/>
                <w:sz w:val="18"/>
              </w:rPr>
              <w:t>(12,077)</w:t>
            </w:r>
          </w:p>
        </w:tc>
        <w:tc>
          <w:tcPr>
            <w:tcW w:type="dxa" w:w="1134"/>
          </w:tcPr>
          <w:p>
            <w:pPr>
              <w:jc w:val="center"/>
            </w:pPr>
            <w:r>
              <w:rPr>
                <w:sz w:val="18"/>
              </w:rPr>
            </w:r>
            <w:r>
              <w:rPr>
                <w:b w:val="0"/>
                <w:sz w:val="18"/>
              </w:rPr>
              <w:t>(13,046)</w:t>
            </w:r>
          </w:p>
        </w:tc>
        <w:tc>
          <w:tcPr>
            <w:tcW w:type="dxa" w:w="1134"/>
          </w:tcPr>
          <w:p>
            <w:pPr>
              <w:jc w:val="center"/>
            </w:pPr>
            <w:r>
              <w:rPr>
                <w:sz w:val="18"/>
              </w:rPr>
            </w:r>
            <w:r>
              <w:rPr>
                <w:b w:val="0"/>
                <w:sz w:val="18"/>
              </w:rPr>
              <w:t>(13,059)</w:t>
            </w:r>
          </w:p>
        </w:tc>
      </w:tr>
      <w:tr>
        <w:tc>
          <w:tcPr>
            <w:tcW w:type="dxa" w:w="4195"/>
            <w:shd w:val="clear" w:fill="F3F7F7"/>
          </w:tcPr>
          <w:p>
            <w:r>
              <w:rPr>
                <w:b/>
                <w:sz w:val="18"/>
              </w:rPr>
            </w:r>
            <w:r>
              <w:rPr>
                <w:b/>
                <w:sz w:val="18"/>
              </w:rPr>
              <w:t>Free cash flow to equity (EGP mn)</w:t>
            </w:r>
          </w:p>
        </w:tc>
        <w:tc>
          <w:tcPr>
            <w:tcW w:type="dxa" w:w="1134"/>
            <w:shd w:val="clear" w:fill="F3F7F7"/>
          </w:tcPr>
          <w:p>
            <w:pPr>
              <w:jc w:val="center"/>
            </w:pPr>
            <w:r>
              <w:rPr>
                <w:b/>
                <w:sz w:val="18"/>
              </w:rPr>
            </w:r>
            <w:r>
              <w:rPr>
                <w:b/>
                <w:sz w:val="18"/>
              </w:rPr>
              <w:t>4,717</w:t>
            </w:r>
          </w:p>
        </w:tc>
        <w:tc>
          <w:tcPr>
            <w:tcW w:type="dxa" w:w="1134"/>
            <w:shd w:val="clear" w:fill="F3F7F7"/>
          </w:tcPr>
          <w:p>
            <w:pPr>
              <w:jc w:val="center"/>
            </w:pPr>
            <w:r>
              <w:rPr>
                <w:b/>
                <w:sz w:val="18"/>
              </w:rPr>
            </w:r>
            <w:r>
              <w:rPr>
                <w:b/>
                <w:sz w:val="18"/>
              </w:rPr>
              <w:t>6,710</w:t>
            </w:r>
          </w:p>
        </w:tc>
        <w:tc>
          <w:tcPr>
            <w:tcW w:type="dxa" w:w="1134"/>
            <w:shd w:val="clear" w:fill="F3F7F7"/>
          </w:tcPr>
          <w:p>
            <w:pPr>
              <w:jc w:val="center"/>
            </w:pPr>
            <w:r>
              <w:rPr>
                <w:b/>
                <w:sz w:val="18"/>
              </w:rPr>
            </w:r>
            <w:r>
              <w:rPr>
                <w:b/>
                <w:sz w:val="18"/>
              </w:rPr>
              <w:t>9,644</w:t>
            </w:r>
          </w:p>
        </w:tc>
        <w:tc>
          <w:tcPr>
            <w:tcW w:type="dxa" w:w="1134"/>
            <w:shd w:val="clear" w:fill="F3F7F7"/>
          </w:tcPr>
          <w:p>
            <w:pPr>
              <w:jc w:val="center"/>
            </w:pPr>
            <w:r>
              <w:rPr>
                <w:b/>
                <w:sz w:val="18"/>
              </w:rPr>
            </w:r>
            <w:r>
              <w:rPr>
                <w:b/>
                <w:sz w:val="18"/>
              </w:rPr>
              <w:t>11,808</w:t>
            </w:r>
          </w:p>
        </w:tc>
        <w:tc>
          <w:tcPr>
            <w:tcW w:type="dxa" w:w="1134"/>
            <w:shd w:val="clear" w:fill="F3F7F7"/>
          </w:tcPr>
          <w:p>
            <w:pPr>
              <w:jc w:val="center"/>
            </w:pPr>
            <w:r>
              <w:rPr>
                <w:b/>
                <w:sz w:val="18"/>
              </w:rPr>
            </w:r>
            <w:r>
              <w:rPr>
                <w:b/>
                <w:sz w:val="18"/>
              </w:rPr>
              <w:t>15,175</w:t>
            </w:r>
          </w:p>
        </w:tc>
      </w:tr>
      <w:tr>
        <w:tc>
          <w:tcPr>
            <w:tcW w:type="dxa" w:w="4195"/>
          </w:tcPr>
          <w:p>
            <w:r>
              <w:rPr>
                <w:sz w:val="18"/>
              </w:rPr>
            </w:r>
            <w:r>
              <w:rPr>
                <w:b w:val="0"/>
                <w:sz w:val="18"/>
              </w:rPr>
              <w:t>FCFE per share (EGP)</w:t>
            </w:r>
          </w:p>
        </w:tc>
        <w:tc>
          <w:tcPr>
            <w:tcW w:type="dxa" w:w="1134"/>
          </w:tcPr>
          <w:p>
            <w:pPr>
              <w:jc w:val="center"/>
            </w:pPr>
            <w:r>
              <w:rPr>
                <w:sz w:val="18"/>
              </w:rPr>
            </w:r>
            <w:r>
              <w:rPr>
                <w:b w:val="0"/>
                <w:sz w:val="18"/>
              </w:rPr>
              <w:t>3.14</w:t>
            </w:r>
          </w:p>
        </w:tc>
        <w:tc>
          <w:tcPr>
            <w:tcW w:type="dxa" w:w="1134"/>
          </w:tcPr>
          <w:p>
            <w:pPr>
              <w:jc w:val="center"/>
            </w:pPr>
            <w:r>
              <w:rPr>
                <w:sz w:val="18"/>
              </w:rPr>
            </w:r>
            <w:r>
              <w:rPr>
                <w:b w:val="0"/>
                <w:sz w:val="18"/>
              </w:rPr>
              <w:t>4.47</w:t>
            </w:r>
          </w:p>
        </w:tc>
        <w:tc>
          <w:tcPr>
            <w:tcW w:type="dxa" w:w="1134"/>
          </w:tcPr>
          <w:p>
            <w:pPr>
              <w:jc w:val="center"/>
            </w:pPr>
            <w:r>
              <w:rPr>
                <w:sz w:val="18"/>
              </w:rPr>
            </w:r>
            <w:r>
              <w:rPr>
                <w:b w:val="0"/>
                <w:sz w:val="18"/>
              </w:rPr>
              <w:t>6.43</w:t>
            </w:r>
          </w:p>
        </w:tc>
        <w:tc>
          <w:tcPr>
            <w:tcW w:type="dxa" w:w="1134"/>
          </w:tcPr>
          <w:p>
            <w:pPr>
              <w:jc w:val="center"/>
            </w:pPr>
            <w:r>
              <w:rPr>
                <w:sz w:val="18"/>
              </w:rPr>
            </w:r>
            <w:r>
              <w:rPr>
                <w:b w:val="0"/>
                <w:sz w:val="18"/>
              </w:rPr>
              <w:t>7.87</w:t>
            </w:r>
          </w:p>
        </w:tc>
        <w:tc>
          <w:tcPr>
            <w:tcW w:type="dxa" w:w="1134"/>
          </w:tcPr>
          <w:p>
            <w:pPr>
              <w:jc w:val="center"/>
            </w:pPr>
            <w:r>
              <w:rPr>
                <w:sz w:val="18"/>
              </w:rPr>
            </w:r>
            <w:r>
              <w:rPr>
                <w:b w:val="0"/>
                <w:sz w:val="18"/>
              </w:rPr>
              <w:t>10.12</w:t>
            </w:r>
          </w:p>
        </w:tc>
      </w:tr>
      <w:tr>
        <w:tc>
          <w:tcPr>
            <w:tcW w:type="dxa" w:w="4195"/>
          </w:tcPr>
          <w:p>
            <w:r>
              <w:rPr>
                <w:sz w:val="18"/>
              </w:rPr>
            </w:r>
            <w:r>
              <w:rPr>
                <w:b w:val="0"/>
                <w:sz w:val="18"/>
              </w:rPr>
              <w:t>Discount factor @ 23% COE</w:t>
            </w:r>
          </w:p>
        </w:tc>
        <w:tc>
          <w:tcPr>
            <w:tcW w:type="dxa" w:w="1134"/>
          </w:tcPr>
          <w:p>
            <w:pPr>
              <w:jc w:val="center"/>
            </w:pPr>
            <w:r>
              <w:rPr>
                <w:sz w:val="18"/>
              </w:rPr>
            </w:r>
            <w:r>
              <w:rPr>
                <w:b w:val="0"/>
                <w:sz w:val="18"/>
              </w:rPr>
              <w:t>0.902</w:t>
            </w:r>
          </w:p>
        </w:tc>
        <w:tc>
          <w:tcPr>
            <w:tcW w:type="dxa" w:w="1134"/>
          </w:tcPr>
          <w:p>
            <w:pPr>
              <w:jc w:val="center"/>
            </w:pPr>
            <w:r>
              <w:rPr>
                <w:sz w:val="18"/>
              </w:rPr>
            </w:r>
            <w:r>
              <w:rPr>
                <w:b w:val="0"/>
                <w:sz w:val="18"/>
              </w:rPr>
              <w:t>0.733</w:t>
            </w:r>
          </w:p>
        </w:tc>
        <w:tc>
          <w:tcPr>
            <w:tcW w:type="dxa" w:w="1134"/>
          </w:tcPr>
          <w:p>
            <w:pPr>
              <w:jc w:val="center"/>
            </w:pPr>
            <w:r>
              <w:rPr>
                <w:sz w:val="18"/>
              </w:rPr>
            </w:r>
            <w:r>
              <w:rPr>
                <w:b w:val="0"/>
                <w:sz w:val="18"/>
              </w:rPr>
              <w:t>0.596</w:t>
            </w:r>
          </w:p>
        </w:tc>
        <w:tc>
          <w:tcPr>
            <w:tcW w:type="dxa" w:w="1134"/>
          </w:tcPr>
          <w:p>
            <w:pPr>
              <w:jc w:val="center"/>
            </w:pPr>
            <w:r>
              <w:rPr>
                <w:sz w:val="18"/>
              </w:rPr>
            </w:r>
            <w:r>
              <w:rPr>
                <w:b w:val="0"/>
                <w:sz w:val="18"/>
              </w:rPr>
              <w:t>0.485</w:t>
            </w:r>
          </w:p>
        </w:tc>
        <w:tc>
          <w:tcPr>
            <w:tcW w:type="dxa" w:w="1134"/>
          </w:tcPr>
          <w:p>
            <w:pPr>
              <w:jc w:val="center"/>
            </w:pPr>
            <w:r>
              <w:rPr>
                <w:sz w:val="18"/>
              </w:rPr>
            </w:r>
            <w:r>
              <w:rPr>
                <w:b w:val="0"/>
                <w:sz w:val="18"/>
              </w:rPr>
              <w:t>0.394</w:t>
            </w:r>
          </w:p>
        </w:tc>
      </w:tr>
      <w:tr>
        <w:tc>
          <w:tcPr>
            <w:tcW w:type="dxa" w:w="4195"/>
          </w:tcPr>
          <w:p>
            <w:r>
              <w:rPr>
                <w:sz w:val="18"/>
              </w:rPr>
            </w:r>
            <w:r>
              <w:rPr>
                <w:b w:val="0"/>
                <w:sz w:val="18"/>
              </w:rPr>
              <w:t>PV of FCFE (EGP/share)</w:t>
            </w:r>
          </w:p>
        </w:tc>
        <w:tc>
          <w:tcPr>
            <w:tcW w:type="dxa" w:w="1134"/>
          </w:tcPr>
          <w:p>
            <w:pPr>
              <w:jc w:val="center"/>
            </w:pPr>
            <w:r>
              <w:rPr>
                <w:sz w:val="18"/>
              </w:rPr>
            </w:r>
            <w:r>
              <w:rPr>
                <w:b w:val="0"/>
                <w:sz w:val="18"/>
              </w:rPr>
              <w:t>2.84</w:t>
            </w:r>
          </w:p>
        </w:tc>
        <w:tc>
          <w:tcPr>
            <w:tcW w:type="dxa" w:w="1134"/>
          </w:tcPr>
          <w:p>
            <w:pPr>
              <w:jc w:val="center"/>
            </w:pPr>
            <w:r>
              <w:rPr>
                <w:sz w:val="18"/>
              </w:rPr>
            </w:r>
            <w:r>
              <w:rPr>
                <w:b w:val="0"/>
                <w:sz w:val="18"/>
              </w:rPr>
              <w:t>3.28</w:t>
            </w:r>
          </w:p>
        </w:tc>
        <w:tc>
          <w:tcPr>
            <w:tcW w:type="dxa" w:w="1134"/>
          </w:tcPr>
          <w:p>
            <w:pPr>
              <w:jc w:val="center"/>
            </w:pPr>
            <w:r>
              <w:rPr>
                <w:sz w:val="18"/>
              </w:rPr>
            </w:r>
            <w:r>
              <w:rPr>
                <w:b w:val="0"/>
                <w:sz w:val="18"/>
              </w:rPr>
              <w:t>3.83</w:t>
            </w:r>
          </w:p>
        </w:tc>
        <w:tc>
          <w:tcPr>
            <w:tcW w:type="dxa" w:w="1134"/>
          </w:tcPr>
          <w:p>
            <w:pPr>
              <w:jc w:val="center"/>
            </w:pPr>
            <w:r>
              <w:rPr>
                <w:sz w:val="18"/>
              </w:rPr>
            </w:r>
            <w:r>
              <w:rPr>
                <w:b w:val="0"/>
                <w:sz w:val="18"/>
              </w:rPr>
              <w:t>3.81</w:t>
            </w:r>
          </w:p>
        </w:tc>
        <w:tc>
          <w:tcPr>
            <w:tcW w:type="dxa" w:w="1134"/>
          </w:tcPr>
          <w:p>
            <w:pPr>
              <w:jc w:val="center"/>
            </w:pPr>
            <w:r>
              <w:rPr>
                <w:sz w:val="18"/>
              </w:rPr>
            </w:r>
            <w:r>
              <w:rPr>
                <w:b w:val="0"/>
                <w:sz w:val="18"/>
              </w:rPr>
              <w:t>3.99</w:t>
            </w:r>
          </w:p>
        </w:tc>
      </w:tr>
    </w:tbl>
    <w:p>
      <w:pPr>
        <w:spacing w:after="40"/>
      </w:pP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4309"/>
            <w:shd w:val="clear" w:fill="1B5E5E"/>
          </w:tcPr>
          <w:p>
            <w:r/>
            <w:r>
              <w:rPr>
                <w:b/>
                <w:color w:val="FFFFFF"/>
                <w:sz w:val="18"/>
              </w:rPr>
              <w:t>DCF valuation bridge</w:t>
            </w:r>
          </w:p>
        </w:tc>
        <w:tc>
          <w:tcPr>
            <w:tcW w:type="dxa" w:w="1814"/>
            <w:shd w:val="clear" w:fill="1B5E5E"/>
          </w:tcPr>
          <w:p>
            <w:pPr>
              <w:jc w:val="center"/>
            </w:pPr>
            <w:r/>
            <w:r>
              <w:rPr>
                <w:b/>
                <w:color w:val="FFFFFF"/>
                <w:sz w:val="18"/>
              </w:rPr>
              <w:t>Bear</w:t>
            </w:r>
          </w:p>
        </w:tc>
        <w:tc>
          <w:tcPr>
            <w:tcW w:type="dxa" w:w="1814"/>
            <w:shd w:val="clear" w:fill="1B5E5E"/>
          </w:tcPr>
          <w:p>
            <w:pPr>
              <w:jc w:val="center"/>
            </w:pPr>
            <w:r/>
            <w:r>
              <w:rPr>
                <w:b/>
                <w:color w:val="FFFFFF"/>
                <w:sz w:val="18"/>
              </w:rPr>
              <w:t>Base</w:t>
            </w:r>
          </w:p>
        </w:tc>
        <w:tc>
          <w:tcPr>
            <w:tcW w:type="dxa" w:w="1814"/>
            <w:shd w:val="clear" w:fill="1B5E5E"/>
          </w:tcPr>
          <w:p>
            <w:pPr>
              <w:jc w:val="center"/>
            </w:pPr>
            <w:r/>
            <w:r>
              <w:rPr>
                <w:b/>
                <w:color w:val="FFFFFF"/>
                <w:sz w:val="18"/>
              </w:rPr>
              <w:t>Bull</w:t>
            </w:r>
          </w:p>
        </w:tc>
      </w:tr>
      <w:tr>
        <w:tc>
          <w:tcPr>
            <w:tcW w:type="dxa" w:w="4309"/>
          </w:tcPr>
          <w:p>
            <w:r>
              <w:rPr>
                <w:sz w:val="18"/>
              </w:rPr>
            </w:r>
            <w:r>
              <w:rPr>
                <w:b w:val="0"/>
                <w:sz w:val="18"/>
              </w:rPr>
              <w:t>Cost of equity (discount rate)</w:t>
            </w:r>
          </w:p>
        </w:tc>
        <w:tc>
          <w:tcPr>
            <w:tcW w:type="dxa" w:w="1814"/>
          </w:tcPr>
          <w:p>
            <w:pPr>
              <w:jc w:val="center"/>
            </w:pPr>
            <w:r>
              <w:rPr>
                <w:sz w:val="18"/>
              </w:rPr>
            </w:r>
            <w:r>
              <w:rPr>
                <w:b w:val="0"/>
                <w:sz w:val="18"/>
              </w:rPr>
              <w:t>26.0%</w:t>
            </w:r>
          </w:p>
        </w:tc>
        <w:tc>
          <w:tcPr>
            <w:tcW w:type="dxa" w:w="1814"/>
          </w:tcPr>
          <w:p>
            <w:pPr>
              <w:jc w:val="center"/>
            </w:pPr>
            <w:r>
              <w:rPr>
                <w:sz w:val="18"/>
              </w:rPr>
            </w:r>
            <w:r>
              <w:rPr>
                <w:b w:val="0"/>
                <w:sz w:val="18"/>
              </w:rPr>
              <w:t>23.0%</w:t>
            </w:r>
          </w:p>
        </w:tc>
        <w:tc>
          <w:tcPr>
            <w:tcW w:type="dxa" w:w="1814"/>
          </w:tcPr>
          <w:p>
            <w:pPr>
              <w:jc w:val="center"/>
            </w:pPr>
            <w:r>
              <w:rPr>
                <w:sz w:val="18"/>
              </w:rPr>
            </w:r>
            <w:r>
              <w:rPr>
                <w:b w:val="0"/>
                <w:sz w:val="18"/>
              </w:rPr>
              <w:t>20.0%</w:t>
            </w:r>
          </w:p>
        </w:tc>
      </w:tr>
      <w:tr>
        <w:tc>
          <w:tcPr>
            <w:tcW w:type="dxa" w:w="4309"/>
          </w:tcPr>
          <w:p>
            <w:r>
              <w:rPr>
                <w:sz w:val="18"/>
              </w:rPr>
            </w:r>
            <w:r>
              <w:rPr>
                <w:b w:val="0"/>
                <w:sz w:val="18"/>
              </w:rPr>
              <w:t>Sum, PV of FCFE FY26–30</w:t>
            </w:r>
          </w:p>
        </w:tc>
        <w:tc>
          <w:tcPr>
            <w:tcW w:type="dxa" w:w="1814"/>
          </w:tcPr>
          <w:p>
            <w:pPr>
              <w:jc w:val="center"/>
            </w:pPr>
            <w:r>
              <w:rPr>
                <w:sz w:val="18"/>
              </w:rPr>
            </w:r>
            <w:r>
              <w:rPr>
                <w:b w:val="0"/>
                <w:sz w:val="18"/>
              </w:rPr>
              <w:t>—</w:t>
            </w:r>
          </w:p>
        </w:tc>
        <w:tc>
          <w:tcPr>
            <w:tcW w:type="dxa" w:w="1814"/>
          </w:tcPr>
          <w:p>
            <w:pPr>
              <w:jc w:val="center"/>
            </w:pPr>
            <w:r>
              <w:rPr>
                <w:sz w:val="18"/>
              </w:rPr>
            </w:r>
            <w:r>
              <w:rPr>
                <w:b w:val="0"/>
                <w:sz w:val="18"/>
              </w:rPr>
              <w:t>17.75</w:t>
            </w:r>
          </w:p>
        </w:tc>
        <w:tc>
          <w:tcPr>
            <w:tcW w:type="dxa" w:w="1814"/>
          </w:tcPr>
          <w:p>
            <w:pPr>
              <w:jc w:val="center"/>
            </w:pPr>
            <w:r>
              <w:rPr>
                <w:sz w:val="18"/>
              </w:rPr>
            </w:r>
            <w:r>
              <w:rPr>
                <w:b w:val="0"/>
                <w:sz w:val="18"/>
              </w:rPr>
              <w:t>—</w:t>
            </w:r>
          </w:p>
        </w:tc>
      </w:tr>
      <w:tr>
        <w:tc>
          <w:tcPr>
            <w:tcW w:type="dxa" w:w="4309"/>
          </w:tcPr>
          <w:p>
            <w:r>
              <w:rPr>
                <w:sz w:val="18"/>
              </w:rPr>
            </w:r>
            <w:r>
              <w:rPr>
                <w:b w:val="0"/>
                <w:sz w:val="18"/>
              </w:rPr>
              <w:t>Terminal value (justified P/B × FY30 book)</w:t>
            </w:r>
          </w:p>
        </w:tc>
        <w:tc>
          <w:tcPr>
            <w:tcW w:type="dxa" w:w="1814"/>
          </w:tcPr>
          <w:p>
            <w:pPr>
              <w:jc w:val="center"/>
            </w:pPr>
            <w:r>
              <w:rPr>
                <w:sz w:val="18"/>
              </w:rPr>
            </w:r>
            <w:r>
              <w:rPr>
                <w:b w:val="0"/>
                <w:sz w:val="18"/>
              </w:rPr>
              <w:t>—</w:t>
            </w:r>
          </w:p>
        </w:tc>
        <w:tc>
          <w:tcPr>
            <w:tcW w:type="dxa" w:w="1814"/>
          </w:tcPr>
          <w:p>
            <w:pPr>
              <w:jc w:val="center"/>
            </w:pPr>
            <w:r>
              <w:rPr>
                <w:sz w:val="18"/>
              </w:rPr>
            </w:r>
            <w:r>
              <w:rPr>
                <w:b w:val="0"/>
                <w:sz w:val="18"/>
              </w:rPr>
              <w:t>92.93</w:t>
            </w:r>
          </w:p>
        </w:tc>
        <w:tc>
          <w:tcPr>
            <w:tcW w:type="dxa" w:w="1814"/>
          </w:tcPr>
          <w:p>
            <w:pPr>
              <w:jc w:val="center"/>
            </w:pPr>
            <w:r>
              <w:rPr>
                <w:sz w:val="18"/>
              </w:rPr>
            </w:r>
            <w:r>
              <w:rPr>
                <w:b w:val="0"/>
                <w:sz w:val="18"/>
              </w:rPr>
              <w:t>—</w:t>
            </w:r>
          </w:p>
        </w:tc>
      </w:tr>
      <w:tr>
        <w:tc>
          <w:tcPr>
            <w:tcW w:type="dxa" w:w="4309"/>
          </w:tcPr>
          <w:p>
            <w:r>
              <w:rPr>
                <w:sz w:val="18"/>
              </w:rPr>
            </w:r>
            <w:r>
              <w:rPr>
                <w:b w:val="0"/>
                <w:sz w:val="18"/>
              </w:rPr>
              <w:t>PV of terminal value</w:t>
            </w:r>
          </w:p>
        </w:tc>
        <w:tc>
          <w:tcPr>
            <w:tcW w:type="dxa" w:w="1814"/>
          </w:tcPr>
          <w:p>
            <w:pPr>
              <w:jc w:val="center"/>
            </w:pPr>
            <w:r>
              <w:rPr>
                <w:sz w:val="18"/>
              </w:rPr>
            </w:r>
            <w:r>
              <w:rPr>
                <w:b w:val="0"/>
                <w:sz w:val="18"/>
              </w:rPr>
              <w:t>—</w:t>
            </w:r>
          </w:p>
        </w:tc>
        <w:tc>
          <w:tcPr>
            <w:tcW w:type="dxa" w:w="1814"/>
          </w:tcPr>
          <w:p>
            <w:pPr>
              <w:jc w:val="center"/>
            </w:pPr>
            <w:r>
              <w:rPr>
                <w:sz w:val="18"/>
              </w:rPr>
            </w:r>
            <w:r>
              <w:rPr>
                <w:b w:val="0"/>
                <w:sz w:val="18"/>
              </w:rPr>
              <w:t>36.61</w:t>
            </w:r>
          </w:p>
        </w:tc>
        <w:tc>
          <w:tcPr>
            <w:tcW w:type="dxa" w:w="1814"/>
          </w:tcPr>
          <w:p>
            <w:pPr>
              <w:jc w:val="center"/>
            </w:pPr>
            <w:r>
              <w:rPr>
                <w:sz w:val="18"/>
              </w:rPr>
            </w:r>
            <w:r>
              <w:rPr>
                <w:b w:val="0"/>
                <w:sz w:val="18"/>
              </w:rPr>
              <w:t>—</w:t>
            </w:r>
          </w:p>
        </w:tc>
      </w:tr>
      <w:tr>
        <w:tc>
          <w:tcPr>
            <w:tcW w:type="dxa" w:w="4309"/>
            <w:shd w:val="clear" w:fill="F3F7F7"/>
          </w:tcPr>
          <w:p>
            <w:r>
              <w:rPr>
                <w:b/>
                <w:sz w:val="18"/>
              </w:rPr>
            </w:r>
            <w:r>
              <w:rPr>
                <w:b/>
                <w:sz w:val="18"/>
              </w:rPr>
              <w:t>DCF fair value (EGP/share)</w:t>
            </w:r>
          </w:p>
        </w:tc>
        <w:tc>
          <w:tcPr>
            <w:tcW w:type="dxa" w:w="1814"/>
            <w:shd w:val="clear" w:fill="F3F7F7"/>
          </w:tcPr>
          <w:p>
            <w:pPr>
              <w:jc w:val="center"/>
            </w:pPr>
            <w:r>
              <w:rPr>
                <w:b/>
                <w:sz w:val="18"/>
              </w:rPr>
            </w:r>
            <w:r>
              <w:rPr>
                <w:b/>
                <w:sz w:val="18"/>
              </w:rPr>
              <w:t>31.3</w:t>
            </w:r>
          </w:p>
        </w:tc>
        <w:tc>
          <w:tcPr>
            <w:tcW w:type="dxa" w:w="1814"/>
            <w:shd w:val="clear" w:fill="F3F7F7"/>
          </w:tcPr>
          <w:p>
            <w:pPr>
              <w:jc w:val="center"/>
            </w:pPr>
            <w:r>
              <w:rPr>
                <w:b/>
                <w:sz w:val="18"/>
              </w:rPr>
            </w:r>
            <w:r>
              <w:rPr>
                <w:b/>
                <w:sz w:val="18"/>
              </w:rPr>
              <w:t>54.4</w:t>
            </w:r>
          </w:p>
        </w:tc>
        <w:tc>
          <w:tcPr>
            <w:tcW w:type="dxa" w:w="1814"/>
            <w:shd w:val="clear" w:fill="F3F7F7"/>
          </w:tcPr>
          <w:p>
            <w:pPr>
              <w:jc w:val="center"/>
            </w:pPr>
            <w:r>
              <w:rPr>
                <w:b/>
                <w:sz w:val="18"/>
              </w:rPr>
            </w:r>
            <w:r>
              <w:rPr>
                <w:b/>
                <w:sz w:val="18"/>
              </w:rPr>
              <w:t>97.4</w:t>
            </w:r>
          </w:p>
        </w:tc>
      </w:tr>
    </w:tbl>
    <w:p>
      <w:pPr>
        <w:spacing w:after="40"/>
      </w:pPr>
    </w:p>
    <w:p>
      <w:r>
        <w:rPr>
          <w:b w:val="0"/>
        </w:rPr>
        <w:t xml:space="preserve">The equity-DCF base of </w:t>
      </w:r>
      <w:r>
        <w:rPr>
          <w:b/>
        </w:rPr>
        <w:t>EGP 54.4</w:t>
      </w:r>
      <w:r>
        <w:rPr>
          <w:b w:val="0"/>
        </w:rPr>
        <w:t xml:space="preserve"> lands on top of the DDM — reassuring, since one prices the policy dividend stream and the other the residual cash after self-funded growth. The build also names the trade the growth story hides: as long as assets grow near 28%, two-thirds of every pound of profit is spoken for before shareholders see it — which is why this bank has kept raising capital rather than paying a dividend.</w:t>
      </w:r>
    </w:p>
    <w:p>
      <w:pPr>
        <w:pStyle w:val="Heading2"/>
      </w:pPr>
      <w:r>
        <w:t>1.3  Relative multiples</w:t>
      </w:r>
    </w:p>
    <w:p>
      <w:r>
        <w:rPr>
          <w:b w:val="0"/>
        </w:rPr>
        <w:t>Against its own market ADIB-Egypt screens cheap on quality-adjusted terms. Egypt's listed banks trade around 5–7× trailing earnings and 1.5–2.5× book on 30–40% nominal ROEs — the whole complex is optically cheap because the denominator is an EGP earnings stream discounted at EGP rates. Within it, CIB — the private-sector benchmark — commands ~2.3× book on a ~38% ROE. ADIB-Egypt earns a higher ROE (44%) with a better cost base (17.2% C/I) and faster growth, on a thinner free float and no dividend; we grant 2.2× book and 5.5× forward earnings — inside the complex's range, below what the quality maths would justify.</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4309"/>
            <w:shd w:val="clear" w:fill="1B5E5E"/>
          </w:tcPr>
          <w:p>
            <w:r/>
            <w:r>
              <w:rPr>
                <w:b/>
                <w:color w:val="FFFFFF"/>
                <w:sz w:val="18"/>
              </w:rPr>
              <w:t>Relative basis</w:t>
            </w:r>
          </w:p>
        </w:tc>
        <w:tc>
          <w:tcPr>
            <w:tcW w:type="dxa" w:w="1814"/>
            <w:shd w:val="clear" w:fill="1B5E5E"/>
          </w:tcPr>
          <w:p>
            <w:pPr>
              <w:jc w:val="center"/>
            </w:pPr>
            <w:r/>
            <w:r>
              <w:rPr>
                <w:b/>
                <w:color w:val="FFFFFF"/>
                <w:sz w:val="18"/>
              </w:rPr>
              <w:t>Bear</w:t>
            </w:r>
          </w:p>
        </w:tc>
        <w:tc>
          <w:tcPr>
            <w:tcW w:type="dxa" w:w="1814"/>
            <w:shd w:val="clear" w:fill="1B5E5E"/>
          </w:tcPr>
          <w:p>
            <w:pPr>
              <w:jc w:val="center"/>
            </w:pPr>
            <w:r/>
            <w:r>
              <w:rPr>
                <w:b/>
                <w:color w:val="FFFFFF"/>
                <w:sz w:val="18"/>
              </w:rPr>
              <w:t>Base</w:t>
            </w:r>
          </w:p>
        </w:tc>
        <w:tc>
          <w:tcPr>
            <w:tcW w:type="dxa" w:w="1814"/>
            <w:shd w:val="clear" w:fill="1B5E5E"/>
          </w:tcPr>
          <w:p>
            <w:pPr>
              <w:jc w:val="center"/>
            </w:pPr>
            <w:r/>
            <w:r>
              <w:rPr>
                <w:b/>
                <w:color w:val="FFFFFF"/>
                <w:sz w:val="18"/>
              </w:rPr>
              <w:t>Bull</w:t>
            </w:r>
          </w:p>
        </w:tc>
      </w:tr>
      <w:tr>
        <w:tc>
          <w:tcPr>
            <w:tcW w:type="dxa" w:w="4309"/>
          </w:tcPr>
          <w:p>
            <w:r>
              <w:rPr>
                <w:sz w:val="18"/>
              </w:rPr>
            </w:r>
            <w:r>
              <w:rPr>
                <w:b w:val="0"/>
                <w:sz w:val="18"/>
              </w:rPr>
              <w:t>P/B multiple × pro-forma book of 24.87</w:t>
            </w:r>
          </w:p>
        </w:tc>
        <w:tc>
          <w:tcPr>
            <w:tcW w:type="dxa" w:w="1814"/>
          </w:tcPr>
          <w:p>
            <w:pPr>
              <w:jc w:val="center"/>
            </w:pPr>
            <w:r>
              <w:rPr>
                <w:sz w:val="18"/>
              </w:rPr>
            </w:r>
            <w:r>
              <w:rPr>
                <w:b w:val="0"/>
                <w:sz w:val="18"/>
              </w:rPr>
              <w:t>1.7× → 42.3</w:t>
            </w:r>
          </w:p>
        </w:tc>
        <w:tc>
          <w:tcPr>
            <w:tcW w:type="dxa" w:w="1814"/>
          </w:tcPr>
          <w:p>
            <w:pPr>
              <w:jc w:val="center"/>
            </w:pPr>
            <w:r>
              <w:rPr>
                <w:sz w:val="18"/>
              </w:rPr>
            </w:r>
            <w:r>
              <w:rPr>
                <w:b w:val="0"/>
                <w:sz w:val="18"/>
              </w:rPr>
              <w:t>2.2× → 54.7</w:t>
            </w:r>
          </w:p>
        </w:tc>
        <w:tc>
          <w:tcPr>
            <w:tcW w:type="dxa" w:w="1814"/>
          </w:tcPr>
          <w:p>
            <w:pPr>
              <w:jc w:val="center"/>
            </w:pPr>
            <w:r>
              <w:rPr>
                <w:sz w:val="18"/>
              </w:rPr>
            </w:r>
            <w:r>
              <w:rPr>
                <w:b w:val="0"/>
                <w:sz w:val="18"/>
              </w:rPr>
              <w:t>2.8× → 69.6</w:t>
            </w:r>
          </w:p>
        </w:tc>
      </w:tr>
      <w:tr>
        <w:tc>
          <w:tcPr>
            <w:tcW w:type="dxa" w:w="4309"/>
          </w:tcPr>
          <w:p>
            <w:r>
              <w:rPr>
                <w:sz w:val="18"/>
              </w:rPr>
            </w:r>
            <w:r>
              <w:rPr>
                <w:b w:val="0"/>
                <w:sz w:val="18"/>
              </w:rPr>
              <w:t>Forward P/E × FY26E EPS of 10.53</w:t>
            </w:r>
          </w:p>
        </w:tc>
        <w:tc>
          <w:tcPr>
            <w:tcW w:type="dxa" w:w="1814"/>
          </w:tcPr>
          <w:p>
            <w:pPr>
              <w:jc w:val="center"/>
            </w:pPr>
            <w:r>
              <w:rPr>
                <w:sz w:val="18"/>
              </w:rPr>
            </w:r>
            <w:r>
              <w:rPr>
                <w:b w:val="0"/>
                <w:sz w:val="18"/>
              </w:rPr>
              <w:t>4.0× → 42.1</w:t>
            </w:r>
          </w:p>
        </w:tc>
        <w:tc>
          <w:tcPr>
            <w:tcW w:type="dxa" w:w="1814"/>
          </w:tcPr>
          <w:p>
            <w:pPr>
              <w:jc w:val="center"/>
            </w:pPr>
            <w:r>
              <w:rPr>
                <w:sz w:val="18"/>
              </w:rPr>
            </w:r>
            <w:r>
              <w:rPr>
                <w:b w:val="0"/>
                <w:sz w:val="18"/>
              </w:rPr>
              <w:t>5.5× → 57.9</w:t>
            </w:r>
          </w:p>
        </w:tc>
        <w:tc>
          <w:tcPr>
            <w:tcW w:type="dxa" w:w="1814"/>
          </w:tcPr>
          <w:p>
            <w:pPr>
              <w:jc w:val="center"/>
            </w:pPr>
            <w:r>
              <w:rPr>
                <w:sz w:val="18"/>
              </w:rPr>
            </w:r>
            <w:r>
              <w:rPr>
                <w:b w:val="0"/>
                <w:sz w:val="18"/>
              </w:rPr>
              <w:t>7.0× → 73.7</w:t>
            </w:r>
          </w:p>
        </w:tc>
      </w:tr>
      <w:tr>
        <w:tc>
          <w:tcPr>
            <w:tcW w:type="dxa" w:w="4309"/>
            <w:shd w:val="clear" w:fill="F3F7F7"/>
          </w:tcPr>
          <w:p>
            <w:r>
              <w:rPr>
                <w:b/>
                <w:sz w:val="18"/>
              </w:rPr>
            </w:r>
            <w:r>
              <w:rPr>
                <w:b/>
                <w:sz w:val="18"/>
              </w:rPr>
              <w:t>Fair value (blend, EGP/share)</w:t>
            </w:r>
          </w:p>
        </w:tc>
        <w:tc>
          <w:tcPr>
            <w:tcW w:type="dxa" w:w="1814"/>
            <w:shd w:val="clear" w:fill="F3F7F7"/>
          </w:tcPr>
          <w:p>
            <w:pPr>
              <w:jc w:val="center"/>
            </w:pPr>
            <w:r>
              <w:rPr>
                <w:b/>
                <w:sz w:val="18"/>
              </w:rPr>
            </w:r>
            <w:r>
              <w:rPr>
                <w:b/>
                <w:sz w:val="18"/>
              </w:rPr>
              <w:t>42.2</w:t>
            </w:r>
          </w:p>
        </w:tc>
        <w:tc>
          <w:tcPr>
            <w:tcW w:type="dxa" w:w="1814"/>
            <w:shd w:val="clear" w:fill="F3F7F7"/>
          </w:tcPr>
          <w:p>
            <w:pPr>
              <w:jc w:val="center"/>
            </w:pPr>
            <w:r>
              <w:rPr>
                <w:b/>
                <w:sz w:val="18"/>
              </w:rPr>
            </w:r>
            <w:r>
              <w:rPr>
                <w:b/>
                <w:sz w:val="18"/>
              </w:rPr>
              <w:t>56.3</w:t>
            </w:r>
          </w:p>
        </w:tc>
        <w:tc>
          <w:tcPr>
            <w:tcW w:type="dxa" w:w="1814"/>
            <w:shd w:val="clear" w:fill="F3F7F7"/>
          </w:tcPr>
          <w:p>
            <w:pPr>
              <w:jc w:val="center"/>
            </w:pPr>
            <w:r>
              <w:rPr>
                <w:b/>
                <w:sz w:val="18"/>
              </w:rPr>
            </w:r>
            <w:r>
              <w:rPr>
                <w:b/>
                <w:sz w:val="18"/>
              </w:rPr>
              <w:t>71.7</w:t>
            </w:r>
          </w:p>
        </w:tc>
      </w:tr>
    </w:tbl>
    <w:p>
      <w:pPr>
        <w:spacing w:after="40"/>
      </w:pPr>
    </w:p>
    <w:p>
      <w:r>
        <w:rPr>
          <w:b/>
        </w:rPr>
        <w:t>Relative base ≈ EGP 56.3.</w:t>
      </w:r>
      <w:r>
        <w:rPr>
          <w:b w:val="0"/>
        </w:rPr>
        <w:t xml:space="preserve"> The check runs the other way here: at spot the market pays about 1.6× the issued book (1.9× pro-forma the increase) and ~5.6× trailing pro-forma earnings — 4.4× on issued shares, 4.1× on the reported weighted EPS of 11.25 — for the highest-ROE, lowest-cost bank in the market: a discount to CIB's ~2.3× for a superior return profile, explained mostly by the free float, the absent dividend and the pending dilution.</w:t>
      </w:r>
    </w:p>
    <w:p>
      <w:pPr>
        <w:pStyle w:val="Heading2"/>
      </w:pPr>
      <w:r>
        <w:t>1.4  Normalized earnings power</w:t>
      </w:r>
    </w:p>
    <w:p>
      <w:r>
        <w:rPr>
          <w:b w:val="0"/>
        </w:rPr>
        <w:t>If the cycle normalizes — CBE policy rates settling in the low teens by 2028, the sovereign-carry trade fading, deposit costs catching up and the cost of risk mean-reverting after a 53% growth year — mid-cycle returns settle near 30% on equity. On the FY26 book that is a normalized EPS of roughly EGP 9.0, which we capitalize at a justified 6.0× — the top of the sector's earned range, in recognition of the cost base and the Islamic franchise.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4309"/>
            <w:shd w:val="clear" w:fill="1B5E5E"/>
          </w:tcPr>
          <w:p>
            <w:r/>
            <w:r>
              <w:rPr>
                <w:b/>
                <w:color w:val="FFFFFF"/>
                <w:sz w:val="18"/>
              </w:rPr>
              <w:t>Normalized-earnings basis</w:t>
            </w:r>
          </w:p>
        </w:tc>
        <w:tc>
          <w:tcPr>
            <w:tcW w:type="dxa" w:w="1814"/>
            <w:shd w:val="clear" w:fill="1B5E5E"/>
          </w:tcPr>
          <w:p>
            <w:pPr>
              <w:jc w:val="center"/>
            </w:pPr>
            <w:r/>
            <w:r>
              <w:rPr>
                <w:b/>
                <w:color w:val="FFFFFF"/>
                <w:sz w:val="18"/>
              </w:rPr>
              <w:t>Bear</w:t>
            </w:r>
          </w:p>
        </w:tc>
        <w:tc>
          <w:tcPr>
            <w:tcW w:type="dxa" w:w="1814"/>
            <w:shd w:val="clear" w:fill="1B5E5E"/>
          </w:tcPr>
          <w:p>
            <w:pPr>
              <w:jc w:val="center"/>
            </w:pPr>
            <w:r/>
            <w:r>
              <w:rPr>
                <w:b/>
                <w:color w:val="FFFFFF"/>
                <w:sz w:val="18"/>
              </w:rPr>
              <w:t>Base</w:t>
            </w:r>
          </w:p>
        </w:tc>
        <w:tc>
          <w:tcPr>
            <w:tcW w:type="dxa" w:w="1814"/>
            <w:shd w:val="clear" w:fill="1B5E5E"/>
          </w:tcPr>
          <w:p>
            <w:pPr>
              <w:jc w:val="center"/>
            </w:pPr>
            <w:r/>
            <w:r>
              <w:rPr>
                <w:b/>
                <w:color w:val="FFFFFF"/>
                <w:sz w:val="18"/>
              </w:rPr>
              <w:t>Bull</w:t>
            </w:r>
          </w:p>
        </w:tc>
      </w:tr>
      <w:tr>
        <w:tc>
          <w:tcPr>
            <w:tcW w:type="dxa" w:w="4309"/>
          </w:tcPr>
          <w:p>
            <w:r>
              <w:rPr>
                <w:sz w:val="18"/>
              </w:rPr>
            </w:r>
            <w:r>
              <w:rPr>
                <w:b w:val="0"/>
                <w:sz w:val="18"/>
              </w:rPr>
              <w:t>Mid-cycle EPS (EGP)</w:t>
            </w:r>
          </w:p>
        </w:tc>
        <w:tc>
          <w:tcPr>
            <w:tcW w:type="dxa" w:w="1814"/>
          </w:tcPr>
          <w:p>
            <w:pPr>
              <w:jc w:val="center"/>
            </w:pPr>
            <w:r>
              <w:rPr>
                <w:sz w:val="18"/>
              </w:rPr>
            </w:r>
            <w:r>
              <w:rPr>
                <w:b w:val="0"/>
                <w:sz w:val="18"/>
              </w:rPr>
              <w:t>7.50</w:t>
            </w:r>
          </w:p>
        </w:tc>
        <w:tc>
          <w:tcPr>
            <w:tcW w:type="dxa" w:w="1814"/>
          </w:tcPr>
          <w:p>
            <w:pPr>
              <w:jc w:val="center"/>
            </w:pPr>
            <w:r>
              <w:rPr>
                <w:sz w:val="18"/>
              </w:rPr>
            </w:r>
            <w:r>
              <w:rPr>
                <w:b w:val="0"/>
                <w:sz w:val="18"/>
              </w:rPr>
              <w:t>9.00</w:t>
            </w:r>
          </w:p>
        </w:tc>
        <w:tc>
          <w:tcPr>
            <w:tcW w:type="dxa" w:w="1814"/>
          </w:tcPr>
          <w:p>
            <w:pPr>
              <w:jc w:val="center"/>
            </w:pPr>
            <w:r>
              <w:rPr>
                <w:sz w:val="18"/>
              </w:rPr>
            </w:r>
            <w:r>
              <w:rPr>
                <w:b w:val="0"/>
                <w:sz w:val="18"/>
              </w:rPr>
              <w:t>10.50</w:t>
            </w:r>
          </w:p>
        </w:tc>
      </w:tr>
      <w:tr>
        <w:tc>
          <w:tcPr>
            <w:tcW w:type="dxa" w:w="4309"/>
          </w:tcPr>
          <w:p>
            <w:r>
              <w:rPr>
                <w:sz w:val="18"/>
              </w:rPr>
            </w:r>
            <w:r>
              <w:rPr>
                <w:b w:val="0"/>
                <w:sz w:val="18"/>
              </w:rPr>
              <w:t>Justified P/E</w:t>
            </w:r>
          </w:p>
        </w:tc>
        <w:tc>
          <w:tcPr>
            <w:tcW w:type="dxa" w:w="1814"/>
          </w:tcPr>
          <w:p>
            <w:pPr>
              <w:jc w:val="center"/>
            </w:pPr>
            <w:r>
              <w:rPr>
                <w:sz w:val="18"/>
              </w:rPr>
            </w:r>
            <w:r>
              <w:rPr>
                <w:b w:val="0"/>
                <w:sz w:val="18"/>
              </w:rPr>
              <w:t>4.5×</w:t>
            </w:r>
          </w:p>
        </w:tc>
        <w:tc>
          <w:tcPr>
            <w:tcW w:type="dxa" w:w="1814"/>
          </w:tcPr>
          <w:p>
            <w:pPr>
              <w:jc w:val="center"/>
            </w:pPr>
            <w:r>
              <w:rPr>
                <w:sz w:val="18"/>
              </w:rPr>
            </w:r>
            <w:r>
              <w:rPr>
                <w:b w:val="0"/>
                <w:sz w:val="18"/>
              </w:rPr>
              <w:t>6.0×</w:t>
            </w:r>
          </w:p>
        </w:tc>
        <w:tc>
          <w:tcPr>
            <w:tcW w:type="dxa" w:w="1814"/>
          </w:tcPr>
          <w:p>
            <w:pPr>
              <w:jc w:val="center"/>
            </w:pPr>
            <w:r>
              <w:rPr>
                <w:sz w:val="18"/>
              </w:rPr>
            </w:r>
            <w:r>
              <w:rPr>
                <w:b w:val="0"/>
                <w:sz w:val="18"/>
              </w:rPr>
              <w:t>7.5×</w:t>
            </w:r>
          </w:p>
        </w:tc>
      </w:tr>
      <w:tr>
        <w:tc>
          <w:tcPr>
            <w:tcW w:type="dxa" w:w="4309"/>
            <w:shd w:val="clear" w:fill="F3F7F7"/>
          </w:tcPr>
          <w:p>
            <w:r>
              <w:rPr>
                <w:b/>
                <w:sz w:val="18"/>
              </w:rPr>
            </w:r>
            <w:r>
              <w:rPr>
                <w:b/>
                <w:sz w:val="18"/>
              </w:rPr>
              <w:t>Fair value (EGP/share)</w:t>
            </w:r>
          </w:p>
        </w:tc>
        <w:tc>
          <w:tcPr>
            <w:tcW w:type="dxa" w:w="1814"/>
            <w:shd w:val="clear" w:fill="F3F7F7"/>
          </w:tcPr>
          <w:p>
            <w:pPr>
              <w:jc w:val="center"/>
            </w:pPr>
            <w:r>
              <w:rPr>
                <w:b/>
                <w:sz w:val="18"/>
              </w:rPr>
            </w:r>
            <w:r>
              <w:rPr>
                <w:b/>
                <w:sz w:val="18"/>
              </w:rPr>
              <w:t>33.8</w:t>
            </w:r>
          </w:p>
        </w:tc>
        <w:tc>
          <w:tcPr>
            <w:tcW w:type="dxa" w:w="1814"/>
            <w:shd w:val="clear" w:fill="F3F7F7"/>
          </w:tcPr>
          <w:p>
            <w:pPr>
              <w:jc w:val="center"/>
            </w:pPr>
            <w:r>
              <w:rPr>
                <w:b/>
                <w:sz w:val="18"/>
              </w:rPr>
            </w:r>
            <w:r>
              <w:rPr>
                <w:b/>
                <w:sz w:val="18"/>
              </w:rPr>
              <w:t>54.0</w:t>
            </w:r>
          </w:p>
        </w:tc>
        <w:tc>
          <w:tcPr>
            <w:tcW w:type="dxa" w:w="1814"/>
            <w:shd w:val="clear" w:fill="F3F7F7"/>
          </w:tcPr>
          <w:p>
            <w:pPr>
              <w:jc w:val="center"/>
            </w:pPr>
            <w:r>
              <w:rPr>
                <w:b/>
                <w:sz w:val="18"/>
              </w:rPr>
            </w:r>
            <w:r>
              <w:rPr>
                <w:b/>
                <w:sz w:val="18"/>
              </w:rPr>
              <w:t>78.8</w:t>
            </w:r>
          </w:p>
        </w:tc>
      </w:tr>
    </w:tbl>
    <w:p>
      <w:pPr>
        <w:spacing w:after="40"/>
      </w:pPr>
    </w:p>
    <w:p>
      <w:r>
        <w:rPr>
          <w:b/>
        </w:rPr>
        <w:t>Normalized base ≈ EGP 54.0</w:t>
      </w:r>
      <w:r>
        <w:rPr>
          <w:b w:val="0"/>
        </w:rPr>
        <w:t xml:space="preserve"> — the reminder cuts both ways: FY25 was a peak-conditions year (peak rates on a repricing book, post-devaluation nominal growth), but even the normalized bank clears its cost of equity by a wide margin, which is why this lens lands with the others rather than below them.</w:t>
      </w:r>
    </w:p>
    <w:p>
      <w:pPr>
        <w:pStyle w:val="Heading2"/>
      </w:pPr>
      <w:r>
        <w:t>1.5  Synthesis — four lenses</w:t>
      </w:r>
    </w:p>
    <w:p>
      <w:r>
        <w:rPr>
          <w:b w:val="0"/>
        </w:rPr>
        <w:t>We weight the dividend discount most heavily because it is the instrument-appropriate lens for a bank, adapted to the retention reality; the equity DCF prices the residual cash after self-funded growth; the normalized lens prices the cycle honestly; the relative lens anchors the read to what the local market actually pays for banks.</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950"/>
        <w:gridCol w:w="1950"/>
        <w:gridCol w:w="1950"/>
        <w:gridCol w:w="1950"/>
        <w:gridCol w:w="1950"/>
      </w:tblGrid>
      <w:tr>
        <w:tc>
          <w:tcPr>
            <w:tcW w:type="dxa" w:w="3855"/>
            <w:shd w:val="clear" w:fill="1B5E5E"/>
          </w:tcPr>
          <w:p>
            <w:r/>
            <w:r>
              <w:rPr>
                <w:b/>
                <w:color w:val="FFFFFF"/>
                <w:sz w:val="18"/>
              </w:rPr>
              <w:t>Lens</w:t>
            </w:r>
          </w:p>
        </w:tc>
        <w:tc>
          <w:tcPr>
            <w:tcW w:type="dxa" w:w="1247"/>
            <w:shd w:val="clear" w:fill="1B5E5E"/>
          </w:tcPr>
          <w:p>
            <w:pPr>
              <w:jc w:val="center"/>
            </w:pPr>
            <w:r/>
            <w:r>
              <w:rPr>
                <w:b/>
                <w:color w:val="FFFFFF"/>
                <w:sz w:val="18"/>
              </w:rPr>
              <w:t>Weight</w:t>
            </w:r>
          </w:p>
        </w:tc>
        <w:tc>
          <w:tcPr>
            <w:tcW w:type="dxa" w:w="1587"/>
            <w:shd w:val="clear" w:fill="1B5E5E"/>
          </w:tcPr>
          <w:p>
            <w:pPr>
              <w:jc w:val="center"/>
            </w:pPr>
            <w:r/>
            <w:r>
              <w:rPr>
                <w:b/>
                <w:color w:val="FFFFFF"/>
                <w:sz w:val="18"/>
              </w:rPr>
              <w:t>Bear</w:t>
            </w:r>
          </w:p>
        </w:tc>
        <w:tc>
          <w:tcPr>
            <w:tcW w:type="dxa" w:w="1587"/>
            <w:shd w:val="clear" w:fill="1B5E5E"/>
          </w:tcPr>
          <w:p>
            <w:pPr>
              <w:jc w:val="center"/>
            </w:pPr>
            <w:r/>
            <w:r>
              <w:rPr>
                <w:b/>
                <w:color w:val="FFFFFF"/>
                <w:sz w:val="18"/>
              </w:rPr>
              <w:t>Base</w:t>
            </w:r>
          </w:p>
        </w:tc>
        <w:tc>
          <w:tcPr>
            <w:tcW w:type="dxa" w:w="1587"/>
            <w:shd w:val="clear" w:fill="1B5E5E"/>
          </w:tcPr>
          <w:p>
            <w:pPr>
              <w:jc w:val="center"/>
            </w:pPr>
            <w:r/>
            <w:r>
              <w:rPr>
                <w:b/>
                <w:color w:val="FFFFFF"/>
                <w:sz w:val="18"/>
              </w:rPr>
              <w:t>Bull</w:t>
            </w:r>
          </w:p>
        </w:tc>
      </w:tr>
      <w:tr>
        <w:tc>
          <w:tcPr>
            <w:tcW w:type="dxa" w:w="3855"/>
          </w:tcPr>
          <w:p>
            <w:r>
              <w:rPr>
                <w:sz w:val="18"/>
              </w:rPr>
            </w:r>
            <w:r>
              <w:rPr>
                <w:b w:val="0"/>
                <w:sz w:val="18"/>
              </w:rPr>
              <w:t>Dividend discount (primary)</w:t>
            </w:r>
          </w:p>
        </w:tc>
        <w:tc>
          <w:tcPr>
            <w:tcW w:type="dxa" w:w="1247"/>
          </w:tcPr>
          <w:p>
            <w:pPr>
              <w:jc w:val="center"/>
            </w:pPr>
            <w:r>
              <w:rPr>
                <w:sz w:val="18"/>
              </w:rPr>
            </w:r>
            <w:r>
              <w:rPr>
                <w:b w:val="0"/>
                <w:sz w:val="18"/>
              </w:rPr>
              <w:t>40%</w:t>
            </w:r>
          </w:p>
        </w:tc>
        <w:tc>
          <w:tcPr>
            <w:tcW w:type="dxa" w:w="1587"/>
          </w:tcPr>
          <w:p>
            <w:pPr>
              <w:jc w:val="center"/>
            </w:pPr>
            <w:r>
              <w:rPr>
                <w:sz w:val="18"/>
              </w:rPr>
            </w:r>
            <w:r>
              <w:rPr>
                <w:b w:val="0"/>
                <w:sz w:val="18"/>
              </w:rPr>
              <w:t>26.4</w:t>
            </w:r>
          </w:p>
        </w:tc>
        <w:tc>
          <w:tcPr>
            <w:tcW w:type="dxa" w:w="1587"/>
          </w:tcPr>
          <w:p>
            <w:pPr>
              <w:jc w:val="center"/>
            </w:pPr>
            <w:r>
              <w:rPr>
                <w:sz w:val="18"/>
              </w:rPr>
            </w:r>
            <w:r>
              <w:rPr>
                <w:b w:val="0"/>
                <w:sz w:val="18"/>
              </w:rPr>
              <w:t>53.8</w:t>
            </w:r>
          </w:p>
        </w:tc>
        <w:tc>
          <w:tcPr>
            <w:tcW w:type="dxa" w:w="1587"/>
          </w:tcPr>
          <w:p>
            <w:pPr>
              <w:jc w:val="center"/>
            </w:pPr>
            <w:r>
              <w:rPr>
                <w:sz w:val="18"/>
              </w:rPr>
            </w:r>
            <w:r>
              <w:rPr>
                <w:b w:val="0"/>
                <w:sz w:val="18"/>
              </w:rPr>
              <w:t>113.4</w:t>
            </w:r>
          </w:p>
        </w:tc>
      </w:tr>
      <w:tr>
        <w:tc>
          <w:tcPr>
            <w:tcW w:type="dxa" w:w="3855"/>
          </w:tcPr>
          <w:p>
            <w:r>
              <w:rPr>
                <w:sz w:val="18"/>
              </w:rPr>
            </w:r>
            <w:r>
              <w:rPr>
                <w:b w:val="0"/>
                <w:sz w:val="18"/>
              </w:rPr>
              <w:t>Equity DCF (FCFE)</w:t>
            </w:r>
          </w:p>
        </w:tc>
        <w:tc>
          <w:tcPr>
            <w:tcW w:type="dxa" w:w="1247"/>
          </w:tcPr>
          <w:p>
            <w:pPr>
              <w:jc w:val="center"/>
            </w:pPr>
            <w:r>
              <w:rPr>
                <w:sz w:val="18"/>
              </w:rPr>
            </w:r>
            <w:r>
              <w:rPr>
                <w:b w:val="0"/>
                <w:sz w:val="18"/>
              </w:rPr>
              <w:t>20%</w:t>
            </w:r>
          </w:p>
        </w:tc>
        <w:tc>
          <w:tcPr>
            <w:tcW w:type="dxa" w:w="1587"/>
          </w:tcPr>
          <w:p>
            <w:pPr>
              <w:jc w:val="center"/>
            </w:pPr>
            <w:r>
              <w:rPr>
                <w:sz w:val="18"/>
              </w:rPr>
            </w:r>
            <w:r>
              <w:rPr>
                <w:b w:val="0"/>
                <w:sz w:val="18"/>
              </w:rPr>
              <w:t>31.3</w:t>
            </w:r>
          </w:p>
        </w:tc>
        <w:tc>
          <w:tcPr>
            <w:tcW w:type="dxa" w:w="1587"/>
          </w:tcPr>
          <w:p>
            <w:pPr>
              <w:jc w:val="center"/>
            </w:pPr>
            <w:r>
              <w:rPr>
                <w:sz w:val="18"/>
              </w:rPr>
            </w:r>
            <w:r>
              <w:rPr>
                <w:b w:val="0"/>
                <w:sz w:val="18"/>
              </w:rPr>
              <w:t>54.4</w:t>
            </w:r>
          </w:p>
        </w:tc>
        <w:tc>
          <w:tcPr>
            <w:tcW w:type="dxa" w:w="1587"/>
          </w:tcPr>
          <w:p>
            <w:pPr>
              <w:jc w:val="center"/>
            </w:pPr>
            <w:r>
              <w:rPr>
                <w:sz w:val="18"/>
              </w:rPr>
            </w:r>
            <w:r>
              <w:rPr>
                <w:b w:val="0"/>
                <w:sz w:val="18"/>
              </w:rPr>
              <w:t>97.4</w:t>
            </w:r>
          </w:p>
        </w:tc>
      </w:tr>
      <w:tr>
        <w:tc>
          <w:tcPr>
            <w:tcW w:type="dxa" w:w="3855"/>
          </w:tcPr>
          <w:p>
            <w:r>
              <w:rPr>
                <w:sz w:val="18"/>
              </w:rPr>
            </w:r>
            <w:r>
              <w:rPr>
                <w:b w:val="0"/>
                <w:sz w:val="18"/>
              </w:rPr>
              <w:t>Relative multiples</w:t>
            </w:r>
          </w:p>
        </w:tc>
        <w:tc>
          <w:tcPr>
            <w:tcW w:type="dxa" w:w="1247"/>
          </w:tcPr>
          <w:p>
            <w:pPr>
              <w:jc w:val="center"/>
            </w:pPr>
            <w:r>
              <w:rPr>
                <w:sz w:val="18"/>
              </w:rPr>
            </w:r>
            <w:r>
              <w:rPr>
                <w:b w:val="0"/>
                <w:sz w:val="18"/>
              </w:rPr>
              <w:t>15%</w:t>
            </w:r>
          </w:p>
        </w:tc>
        <w:tc>
          <w:tcPr>
            <w:tcW w:type="dxa" w:w="1587"/>
          </w:tcPr>
          <w:p>
            <w:pPr>
              <w:jc w:val="center"/>
            </w:pPr>
            <w:r>
              <w:rPr>
                <w:sz w:val="18"/>
              </w:rPr>
            </w:r>
            <w:r>
              <w:rPr>
                <w:b w:val="0"/>
                <w:sz w:val="18"/>
              </w:rPr>
              <w:t>42.2</w:t>
            </w:r>
          </w:p>
        </w:tc>
        <w:tc>
          <w:tcPr>
            <w:tcW w:type="dxa" w:w="1587"/>
          </w:tcPr>
          <w:p>
            <w:pPr>
              <w:jc w:val="center"/>
            </w:pPr>
            <w:r>
              <w:rPr>
                <w:sz w:val="18"/>
              </w:rPr>
            </w:r>
            <w:r>
              <w:rPr>
                <w:b w:val="0"/>
                <w:sz w:val="18"/>
              </w:rPr>
              <w:t>56.3</w:t>
            </w:r>
          </w:p>
        </w:tc>
        <w:tc>
          <w:tcPr>
            <w:tcW w:type="dxa" w:w="1587"/>
          </w:tcPr>
          <w:p>
            <w:pPr>
              <w:jc w:val="center"/>
            </w:pPr>
            <w:r>
              <w:rPr>
                <w:sz w:val="18"/>
              </w:rPr>
            </w:r>
            <w:r>
              <w:rPr>
                <w:b w:val="0"/>
                <w:sz w:val="18"/>
              </w:rPr>
              <w:t>71.7</w:t>
            </w:r>
          </w:p>
        </w:tc>
      </w:tr>
      <w:tr>
        <w:tc>
          <w:tcPr>
            <w:tcW w:type="dxa" w:w="3855"/>
          </w:tcPr>
          <w:p>
            <w:r>
              <w:rPr>
                <w:sz w:val="18"/>
              </w:rPr>
            </w:r>
            <w:r>
              <w:rPr>
                <w:b w:val="0"/>
                <w:sz w:val="18"/>
              </w:rPr>
              <w:t>Normalized earnings</w:t>
            </w:r>
          </w:p>
        </w:tc>
        <w:tc>
          <w:tcPr>
            <w:tcW w:type="dxa" w:w="1247"/>
          </w:tcPr>
          <w:p>
            <w:pPr>
              <w:jc w:val="center"/>
            </w:pPr>
            <w:r>
              <w:rPr>
                <w:sz w:val="18"/>
              </w:rPr>
            </w:r>
            <w:r>
              <w:rPr>
                <w:b w:val="0"/>
                <w:sz w:val="18"/>
              </w:rPr>
              <w:t>25%</w:t>
            </w:r>
          </w:p>
        </w:tc>
        <w:tc>
          <w:tcPr>
            <w:tcW w:type="dxa" w:w="1587"/>
          </w:tcPr>
          <w:p>
            <w:pPr>
              <w:jc w:val="center"/>
            </w:pPr>
            <w:r>
              <w:rPr>
                <w:sz w:val="18"/>
              </w:rPr>
            </w:r>
            <w:r>
              <w:rPr>
                <w:b w:val="0"/>
                <w:sz w:val="18"/>
              </w:rPr>
              <w:t>33.8</w:t>
            </w:r>
          </w:p>
        </w:tc>
        <w:tc>
          <w:tcPr>
            <w:tcW w:type="dxa" w:w="1587"/>
          </w:tcPr>
          <w:p>
            <w:pPr>
              <w:jc w:val="center"/>
            </w:pPr>
            <w:r>
              <w:rPr>
                <w:sz w:val="18"/>
              </w:rPr>
            </w:r>
            <w:r>
              <w:rPr>
                <w:b w:val="0"/>
                <w:sz w:val="18"/>
              </w:rPr>
              <w:t>54.0</w:t>
            </w:r>
          </w:p>
        </w:tc>
        <w:tc>
          <w:tcPr>
            <w:tcW w:type="dxa" w:w="1587"/>
          </w:tcPr>
          <w:p>
            <w:pPr>
              <w:jc w:val="center"/>
            </w:pPr>
            <w:r>
              <w:rPr>
                <w:sz w:val="18"/>
              </w:rPr>
            </w:r>
            <w:r>
              <w:rPr>
                <w:b w:val="0"/>
                <w:sz w:val="18"/>
              </w:rPr>
              <w:t>78.8</w:t>
            </w:r>
          </w:p>
        </w:tc>
      </w:tr>
      <w:tr>
        <w:tc>
          <w:tcPr>
            <w:tcW w:type="dxa" w:w="3855"/>
            <w:shd w:val="clear" w:fill="F3F7F7"/>
          </w:tcPr>
          <w:p>
            <w:r>
              <w:rPr>
                <w:b/>
                <w:sz w:val="18"/>
              </w:rPr>
            </w:r>
            <w:r>
              <w:rPr>
                <w:b/>
                <w:sz w:val="18"/>
              </w:rPr>
              <w:t>Weighted central</w:t>
            </w:r>
          </w:p>
        </w:tc>
        <w:tc>
          <w:tcPr>
            <w:tcW w:type="dxa" w:w="1247"/>
            <w:shd w:val="clear" w:fill="F3F7F7"/>
          </w:tcPr>
          <w:p>
            <w:pPr>
              <w:jc w:val="center"/>
            </w:pPr>
            <w:r>
              <w:rPr>
                <w:b/>
                <w:sz w:val="18"/>
              </w:rPr>
            </w:r>
          </w:p>
        </w:tc>
        <w:tc>
          <w:tcPr>
            <w:tcW w:type="dxa" w:w="1587"/>
            <w:shd w:val="clear" w:fill="F3F7F7"/>
          </w:tcPr>
          <w:p>
            <w:pPr>
              <w:jc w:val="center"/>
            </w:pPr>
            <w:r>
              <w:rPr>
                <w:b/>
                <w:sz w:val="18"/>
              </w:rPr>
            </w:r>
            <w:r>
              <w:rPr>
                <w:b/>
                <w:sz w:val="18"/>
              </w:rPr>
              <w:t>31.6</w:t>
            </w:r>
          </w:p>
        </w:tc>
        <w:tc>
          <w:tcPr>
            <w:tcW w:type="dxa" w:w="1587"/>
            <w:shd w:val="clear" w:fill="F3F7F7"/>
          </w:tcPr>
          <w:p>
            <w:pPr>
              <w:jc w:val="center"/>
            </w:pPr>
            <w:r>
              <w:rPr>
                <w:b/>
                <w:sz w:val="18"/>
              </w:rPr>
            </w:r>
            <w:r>
              <w:rPr>
                <w:b/>
                <w:sz w:val="18"/>
              </w:rPr>
              <w:t>54.3</w:t>
            </w:r>
          </w:p>
        </w:tc>
        <w:tc>
          <w:tcPr>
            <w:tcW w:type="dxa" w:w="1587"/>
            <w:shd w:val="clear" w:fill="F3F7F7"/>
          </w:tcPr>
          <w:p>
            <w:pPr>
              <w:jc w:val="center"/>
            </w:pPr>
            <w:r>
              <w:rPr>
                <w:b/>
                <w:sz w:val="18"/>
              </w:rPr>
            </w:r>
            <w:r>
              <w:rPr>
                <w:b/>
                <w:sz w:val="18"/>
              </w:rPr>
              <w:t>95.3</w:t>
            </w:r>
          </w:p>
        </w:tc>
      </w:tr>
    </w:tbl>
    <w:p>
      <w:pPr>
        <w:spacing w:after="40"/>
      </w:pPr>
    </w:p>
    <w:p>
      <w:r>
        <w:rPr>
          <w:b w:val="0"/>
          <w:i/>
          <w:color w:val="666666"/>
          <w:sz w:val="18"/>
        </w:rPr>
        <w:t>Figure 1 — Valuation football field. Bars span bear–bull per lens; the brass tick is each base case; the gold band is the blended central range; the dark line is spot.</w:t>
      </w:r>
    </w:p>
    <w:p>
      <w:pPr>
        <w:jc w:val="center"/>
      </w:pPr>
      <w:r>
        <w:drawing>
          <wp:inline xmlns:a="http://schemas.openxmlformats.org/drawingml/2006/main" xmlns:pic="http://schemas.openxmlformats.org/drawingml/2006/picture">
            <wp:extent cx="5976000" cy="2931693"/>
            <wp:docPr id="1" name="Picture 1"/>
            <wp:cNvGraphicFramePr>
              <a:graphicFrameLocks noChangeAspect="1"/>
            </wp:cNvGraphicFramePr>
            <a:graphic>
              <a:graphicData uri="http://schemas.openxmlformats.org/drawingml/2006/picture">
                <pic:pic>
                  <pic:nvPicPr>
                    <pic:cNvPr id="0" name="fig1_field.png"/>
                    <pic:cNvPicPr/>
                  </pic:nvPicPr>
                  <pic:blipFill>
                    <a:blip r:embed="rId11"/>
                    <a:stretch>
                      <a:fillRect/>
                    </a:stretch>
                  </pic:blipFill>
                  <pic:spPr>
                    <a:xfrm>
                      <a:off x="0" y="0"/>
                      <a:ext cx="5976000" cy="2931693"/>
                    </a:xfrm>
                    <a:prstGeom prst="rect"/>
                  </pic:spPr>
                </pic:pic>
              </a:graphicData>
            </a:graphic>
          </wp:inline>
        </w:drawing>
      </w:r>
    </w:p>
    <w:p>
      <w:r>
        <w:rPr>
          <w:b/>
        </w:rPr>
        <w:t>Central fair value ≈ EGP 54.3/share</w:t>
      </w:r>
      <w:r>
        <w:rPr>
          <w:b w:val="0"/>
        </w:rPr>
        <w:t>, about 16% above spot. Two features stand out. First, the base-case cluster is remarkably tight (53.8–56.3) — four genuinely different methods land within five percent of each other, so the +16% is not an artifact of lens choice. Second, the fan is enormous (31.6–95.3), because at a 23% discount rate the terminal assumptions dominate: this is a market where being roughly right about the cycle matters far more than being precise about the model.</w:t>
      </w:r>
    </w:p>
    <w:p>
      <w:pPr>
        <w:pStyle w:val="Heading2"/>
      </w:pPr>
      <w:r>
        <w:t>1.6  The franchise — a deeper look</w:t>
      </w:r>
    </w:p>
    <w:p>
      <w:r>
        <w:rPr>
          <w:b w:val="0"/>
        </w:rPr>
        <w:t>What makes ADIB-Egypt unusual is the combination: the country's dominant Islamic-banking franchise (Best Islamic Bank in Egypt for eight straight years) built on the bones of the old National Development Bank, run at a 17.2% cost-to-income ratio nobody in the market matches, with a corporate-led financing book that grew 52.8% in 2025 — and another 15.6% in Q1-26 alone — as Egypt's crowding-out cycle finally unwound, a 79-branch retail deposit machine funding it at Islamic (profit-share) cost, and a large sovereign-securities operation that turned the 2023–25 rate spike into extraordinary carry (including a Shariah-engineered restricted-Wakala/Murabaha structure with a local bank of roughly EGP 133bn, netted on the balance sheet, through which the bank runs government-paper economics in compliant form). A cluster of subsidiaries — ADI Capital (investment banking), leasing, consumer and micro finance — adds fee optionality. Each part sits differently in the cycle; the table scores them on the axes that matter.</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950"/>
        <w:gridCol w:w="1950"/>
        <w:gridCol w:w="1950"/>
        <w:gridCol w:w="1950"/>
        <w:gridCol w:w="1950"/>
      </w:tblGrid>
      <w:tr>
        <w:tc>
          <w:tcPr>
            <w:tcW w:type="dxa" w:w="2665"/>
            <w:shd w:val="clear" w:fill="1B5E5E"/>
          </w:tcPr>
          <w:p>
            <w:r/>
            <w:r>
              <w:rPr>
                <w:b/>
                <w:color w:val="FFFFFF"/>
                <w:sz w:val="18"/>
              </w:rPr>
              <w:t>Part</w:t>
            </w:r>
          </w:p>
        </w:tc>
        <w:tc>
          <w:tcPr>
            <w:tcW w:type="dxa" w:w="1871"/>
            <w:shd w:val="clear" w:fill="1B5E5E"/>
          </w:tcPr>
          <w:p>
            <w:pPr>
              <w:jc w:val="center"/>
            </w:pPr>
            <w:r/>
            <w:r>
              <w:rPr>
                <w:b/>
                <w:color w:val="FFFFFF"/>
                <w:sz w:val="18"/>
              </w:rPr>
              <w:t>Cyclicality</w:t>
            </w:r>
          </w:p>
        </w:tc>
        <w:tc>
          <w:tcPr>
            <w:tcW w:type="dxa" w:w="2381"/>
            <w:shd w:val="clear" w:fill="1B5E5E"/>
          </w:tcPr>
          <w:p>
            <w:pPr>
              <w:jc w:val="center"/>
            </w:pPr>
            <w:r/>
            <w:r>
              <w:rPr>
                <w:b/>
                <w:color w:val="FFFFFF"/>
                <w:sz w:val="18"/>
              </w:rPr>
              <w:t>Margin / trend</w:t>
            </w:r>
          </w:p>
        </w:tc>
        <w:tc>
          <w:tcPr>
            <w:tcW w:type="dxa" w:w="1814"/>
            <w:shd w:val="clear" w:fill="1B5E5E"/>
          </w:tcPr>
          <w:p>
            <w:pPr>
              <w:jc w:val="center"/>
            </w:pPr>
            <w:r/>
            <w:r>
              <w:rPr>
                <w:b/>
                <w:color w:val="FFFFFF"/>
                <w:sz w:val="18"/>
              </w:rPr>
              <w:t>Capital intensity</w:t>
            </w:r>
          </w:p>
        </w:tc>
        <w:tc>
          <w:tcPr>
            <w:tcW w:type="dxa" w:w="1814"/>
            <w:shd w:val="clear" w:fill="1B5E5E"/>
          </w:tcPr>
          <w:p>
            <w:pPr>
              <w:jc w:val="center"/>
            </w:pPr>
            <w:r/>
            <w:r>
              <w:rPr>
                <w:b/>
                <w:color w:val="FFFFFF"/>
                <w:sz w:val="18"/>
              </w:rPr>
              <w:t>Swing role</w:t>
            </w:r>
          </w:p>
        </w:tc>
      </w:tr>
      <w:tr>
        <w:tc>
          <w:tcPr>
            <w:tcW w:type="dxa" w:w="2665"/>
          </w:tcPr>
          <w:p>
            <w:r>
              <w:rPr>
                <w:sz w:val="18"/>
              </w:rPr>
            </w:r>
            <w:r>
              <w:rPr>
                <w:b w:val="0"/>
                <w:sz w:val="18"/>
              </w:rPr>
              <w:t>Corporate &amp; syndications (~55% e)</w:t>
            </w:r>
          </w:p>
        </w:tc>
        <w:tc>
          <w:tcPr>
            <w:tcW w:type="dxa" w:w="1871"/>
          </w:tcPr>
          <w:p>
            <w:pPr>
              <w:jc w:val="center"/>
            </w:pPr>
            <w:r>
              <w:rPr>
                <w:sz w:val="18"/>
              </w:rPr>
            </w:r>
            <w:r>
              <w:rPr>
                <w:b w:val="0"/>
                <w:sz w:val="18"/>
              </w:rPr>
              <w:t>High — tracks the private-capex revival</w:t>
            </w:r>
          </w:p>
        </w:tc>
        <w:tc>
          <w:tcPr>
            <w:tcW w:type="dxa" w:w="2381"/>
          </w:tcPr>
          <w:p>
            <w:pPr>
              <w:jc w:val="center"/>
            </w:pPr>
            <w:r>
              <w:rPr>
                <w:sz w:val="18"/>
              </w:rPr>
            </w:r>
            <w:r>
              <w:rPr>
                <w:b w:val="0"/>
                <w:sz w:val="18"/>
              </w:rPr>
              <w:t>Repricing up post-devaluation; +53% growth</w:t>
            </w:r>
          </w:p>
        </w:tc>
        <w:tc>
          <w:tcPr>
            <w:tcW w:type="dxa" w:w="1814"/>
          </w:tcPr>
          <w:p>
            <w:pPr>
              <w:jc w:val="center"/>
            </w:pPr>
            <w:r>
              <w:rPr>
                <w:sz w:val="18"/>
              </w:rPr>
            </w:r>
            <w:r>
              <w:rPr>
                <w:b w:val="0"/>
                <w:sz w:val="18"/>
              </w:rPr>
              <w:t>High — drives the capital raises</w:t>
            </w:r>
          </w:p>
        </w:tc>
        <w:tc>
          <w:tcPr>
            <w:tcW w:type="dxa" w:w="1814"/>
          </w:tcPr>
          <w:p>
            <w:pPr>
              <w:jc w:val="center"/>
            </w:pPr>
            <w:r>
              <w:rPr>
                <w:sz w:val="18"/>
              </w:rPr>
            </w:r>
            <w:r>
              <w:rPr>
                <w:b w:val="0"/>
                <w:sz w:val="18"/>
              </w:rPr>
              <w:t>Growth engine; seasoning risk</w:t>
            </w:r>
          </w:p>
        </w:tc>
      </w:tr>
      <w:tr>
        <w:tc>
          <w:tcPr>
            <w:tcW w:type="dxa" w:w="2665"/>
          </w:tcPr>
          <w:p>
            <w:r>
              <w:rPr>
                <w:sz w:val="18"/>
              </w:rPr>
            </w:r>
            <w:r>
              <w:rPr>
                <w:b w:val="0"/>
                <w:sz w:val="18"/>
              </w:rPr>
              <w:t>Retail &amp; branches (~30% e)</w:t>
            </w:r>
          </w:p>
        </w:tc>
        <w:tc>
          <w:tcPr>
            <w:tcW w:type="dxa" w:w="1871"/>
          </w:tcPr>
          <w:p>
            <w:pPr>
              <w:jc w:val="center"/>
            </w:pPr>
            <w:r>
              <w:rPr>
                <w:sz w:val="18"/>
              </w:rPr>
            </w:r>
            <w:r>
              <w:rPr>
                <w:b w:val="0"/>
                <w:sz w:val="18"/>
              </w:rPr>
              <w:t>Moderate</w:t>
            </w:r>
          </w:p>
        </w:tc>
        <w:tc>
          <w:tcPr>
            <w:tcW w:type="dxa" w:w="2381"/>
          </w:tcPr>
          <w:p>
            <w:pPr>
              <w:jc w:val="center"/>
            </w:pPr>
            <w:r>
              <w:rPr>
                <w:sz w:val="18"/>
              </w:rPr>
            </w:r>
            <w:r>
              <w:rPr>
                <w:b w:val="0"/>
                <w:sz w:val="18"/>
              </w:rPr>
              <w:t>Low-cost profit-share deposits; 79 branches</w:t>
            </w:r>
          </w:p>
        </w:tc>
        <w:tc>
          <w:tcPr>
            <w:tcW w:type="dxa" w:w="1814"/>
          </w:tcPr>
          <w:p>
            <w:pPr>
              <w:jc w:val="center"/>
            </w:pPr>
            <w:r>
              <w:rPr>
                <w:sz w:val="18"/>
              </w:rPr>
            </w:r>
            <w:r>
              <w:rPr>
                <w:b w:val="0"/>
                <w:sz w:val="18"/>
              </w:rPr>
              <w:t>Moderate</w:t>
            </w:r>
          </w:p>
        </w:tc>
        <w:tc>
          <w:tcPr>
            <w:tcW w:type="dxa" w:w="1814"/>
          </w:tcPr>
          <w:p>
            <w:pPr>
              <w:jc w:val="center"/>
            </w:pPr>
            <w:r>
              <w:rPr>
                <w:sz w:val="18"/>
              </w:rPr>
            </w:r>
            <w:r>
              <w:rPr>
                <w:b w:val="0"/>
                <w:sz w:val="18"/>
              </w:rPr>
              <w:t>The funding moat</w:t>
            </w:r>
          </w:p>
        </w:tc>
      </w:tr>
      <w:tr>
        <w:tc>
          <w:tcPr>
            <w:tcW w:type="dxa" w:w="2665"/>
          </w:tcPr>
          <w:p>
            <w:r>
              <w:rPr>
                <w:sz w:val="18"/>
              </w:rPr>
            </w:r>
            <w:r>
              <w:rPr>
                <w:b w:val="0"/>
                <w:sz w:val="18"/>
              </w:rPr>
              <w:t>Sovereign securities &amp; treasury</w:t>
            </w:r>
          </w:p>
        </w:tc>
        <w:tc>
          <w:tcPr>
            <w:tcW w:type="dxa" w:w="1871"/>
          </w:tcPr>
          <w:p>
            <w:pPr>
              <w:jc w:val="center"/>
            </w:pPr>
            <w:r>
              <w:rPr>
                <w:sz w:val="18"/>
              </w:rPr>
            </w:r>
            <w:r>
              <w:rPr>
                <w:b w:val="0"/>
                <w:sz w:val="18"/>
              </w:rPr>
              <w:t>Rate-cycle — the 25%+ carry is fading</w:t>
            </w:r>
          </w:p>
        </w:tc>
        <w:tc>
          <w:tcPr>
            <w:tcW w:type="dxa" w:w="2381"/>
          </w:tcPr>
          <w:p>
            <w:pPr>
              <w:jc w:val="center"/>
            </w:pPr>
            <w:r>
              <w:rPr>
                <w:sz w:val="18"/>
              </w:rPr>
            </w:r>
            <w:r>
              <w:rPr>
                <w:b w:val="0"/>
                <w:sz w:val="18"/>
              </w:rPr>
              <w:t>Exceptional now; compresses with CBE cuts</w:t>
            </w:r>
          </w:p>
        </w:tc>
        <w:tc>
          <w:tcPr>
            <w:tcW w:type="dxa" w:w="1814"/>
          </w:tcPr>
          <w:p>
            <w:pPr>
              <w:jc w:val="center"/>
            </w:pPr>
            <w:r>
              <w:rPr>
                <w:sz w:val="18"/>
              </w:rPr>
            </w:r>
            <w:r>
              <w:rPr>
                <w:b w:val="0"/>
                <w:sz w:val="18"/>
              </w:rPr>
              <w:t>Low RWA, high earnings share</w:t>
            </w:r>
          </w:p>
        </w:tc>
        <w:tc>
          <w:tcPr>
            <w:tcW w:type="dxa" w:w="1814"/>
          </w:tcPr>
          <w:p>
            <w:pPr>
              <w:jc w:val="center"/>
            </w:pPr>
            <w:r>
              <w:rPr>
                <w:sz w:val="18"/>
              </w:rPr>
            </w:r>
            <w:r>
              <w:rPr>
                <w:b w:val="0"/>
                <w:sz w:val="18"/>
              </w:rPr>
              <w:t>The §1.7 crux</w:t>
            </w:r>
          </w:p>
        </w:tc>
      </w:tr>
      <w:tr>
        <w:tc>
          <w:tcPr>
            <w:tcW w:type="dxa" w:w="2665"/>
          </w:tcPr>
          <w:p>
            <w:r>
              <w:rPr>
                <w:sz w:val="18"/>
              </w:rPr>
            </w:r>
            <w:r>
              <w:rPr>
                <w:b w:val="0"/>
                <w:sz w:val="18"/>
              </w:rPr>
              <w:t>SME &amp; micro (~10% e)</w:t>
            </w:r>
          </w:p>
        </w:tc>
        <w:tc>
          <w:tcPr>
            <w:tcW w:type="dxa" w:w="1871"/>
          </w:tcPr>
          <w:p>
            <w:pPr>
              <w:jc w:val="center"/>
            </w:pPr>
            <w:r>
              <w:rPr>
                <w:sz w:val="18"/>
              </w:rPr>
            </w:r>
            <w:r>
              <w:rPr>
                <w:b w:val="0"/>
                <w:sz w:val="18"/>
              </w:rPr>
              <w:t>High</w:t>
            </w:r>
          </w:p>
        </w:tc>
        <w:tc>
          <w:tcPr>
            <w:tcW w:type="dxa" w:w="2381"/>
          </w:tcPr>
          <w:p>
            <w:pPr>
              <w:jc w:val="center"/>
            </w:pPr>
            <w:r>
              <w:rPr>
                <w:sz w:val="18"/>
              </w:rPr>
            </w:r>
            <w:r>
              <w:rPr>
                <w:b w:val="0"/>
                <w:sz w:val="18"/>
              </w:rPr>
              <w:t>Priced widest; CBE-mandated growth</w:t>
            </w:r>
          </w:p>
        </w:tc>
        <w:tc>
          <w:tcPr>
            <w:tcW w:type="dxa" w:w="1814"/>
          </w:tcPr>
          <w:p>
            <w:pPr>
              <w:jc w:val="center"/>
            </w:pPr>
            <w:r>
              <w:rPr>
                <w:sz w:val="18"/>
              </w:rPr>
            </w:r>
            <w:r>
              <w:rPr>
                <w:b w:val="0"/>
                <w:sz w:val="18"/>
              </w:rPr>
              <w:t>Moderate</w:t>
            </w:r>
          </w:p>
        </w:tc>
        <w:tc>
          <w:tcPr>
            <w:tcW w:type="dxa" w:w="1814"/>
          </w:tcPr>
          <w:p>
            <w:pPr>
              <w:jc w:val="center"/>
            </w:pPr>
            <w:r>
              <w:rPr>
                <w:sz w:val="18"/>
              </w:rPr>
            </w:r>
            <w:r>
              <w:rPr>
                <w:b w:val="0"/>
                <w:sz w:val="18"/>
              </w:rPr>
              <w:t>Optionality + risk</w:t>
            </w:r>
          </w:p>
        </w:tc>
      </w:tr>
      <w:tr>
        <w:tc>
          <w:tcPr>
            <w:tcW w:type="dxa" w:w="2665"/>
          </w:tcPr>
          <w:p>
            <w:r>
              <w:rPr>
                <w:sz w:val="18"/>
              </w:rPr>
            </w:r>
            <w:r>
              <w:rPr>
                <w:b w:val="0"/>
                <w:sz w:val="18"/>
              </w:rPr>
              <w:t>Subsidiaries (ADI Capital, leasing, CF)</w:t>
            </w:r>
          </w:p>
        </w:tc>
        <w:tc>
          <w:tcPr>
            <w:tcW w:type="dxa" w:w="1871"/>
          </w:tcPr>
          <w:p>
            <w:pPr>
              <w:jc w:val="center"/>
            </w:pPr>
            <w:r>
              <w:rPr>
                <w:sz w:val="18"/>
              </w:rPr>
            </w:r>
            <w:r>
              <w:rPr>
                <w:b w:val="0"/>
                <w:sz w:val="18"/>
              </w:rPr>
              <w:t>Market-linked</w:t>
            </w:r>
          </w:p>
        </w:tc>
        <w:tc>
          <w:tcPr>
            <w:tcW w:type="dxa" w:w="2381"/>
          </w:tcPr>
          <w:p>
            <w:pPr>
              <w:jc w:val="center"/>
            </w:pPr>
            <w:r>
              <w:rPr>
                <w:sz w:val="18"/>
              </w:rPr>
            </w:r>
            <w:r>
              <w:rPr>
                <w:b w:val="0"/>
                <w:sz w:val="18"/>
              </w:rPr>
              <w:t>Fee-rich, capital-light</w:t>
            </w:r>
          </w:p>
        </w:tc>
        <w:tc>
          <w:tcPr>
            <w:tcW w:type="dxa" w:w="1814"/>
          </w:tcPr>
          <w:p>
            <w:pPr>
              <w:jc w:val="center"/>
            </w:pPr>
            <w:r>
              <w:rPr>
                <w:sz w:val="18"/>
              </w:rPr>
            </w:r>
            <w:r>
              <w:rPr>
                <w:b w:val="0"/>
                <w:sz w:val="18"/>
              </w:rPr>
              <w:t>Low</w:t>
            </w:r>
          </w:p>
        </w:tc>
        <w:tc>
          <w:tcPr>
            <w:tcW w:type="dxa" w:w="1814"/>
          </w:tcPr>
          <w:p>
            <w:pPr>
              <w:jc w:val="center"/>
            </w:pPr>
            <w:r>
              <w:rPr>
                <w:sz w:val="18"/>
              </w:rPr>
            </w:r>
            <w:r>
              <w:rPr>
                <w:b w:val="0"/>
                <w:sz w:val="18"/>
              </w:rPr>
              <w:t>Fee diversifier</w:t>
            </w:r>
          </w:p>
        </w:tc>
      </w:tr>
    </w:tbl>
    <w:p/>
    <w:p>
      <w:pPr>
        <w:pStyle w:val="Heading2"/>
      </w:pPr>
      <w:r>
        <w:t>1.7  How much of a 44% ROE survives — the crux</w:t>
      </w:r>
    </w:p>
    <w:p>
      <w:r>
        <w:rPr>
          <w:b w:val="0"/>
        </w:rPr>
        <w:t xml:space="preserve">Two judgments drive this valuation more than any other, and both live in the terminal. First, </w:t>
      </w:r>
      <w:r>
        <w:rPr>
          <w:b/>
        </w:rPr>
        <w:t>decompose the 44%</w:t>
      </w:r>
      <w:r>
        <w:rPr>
          <w:b w:val="0"/>
        </w:rPr>
        <w:t xml:space="preserve">: it is the product of a once-a-decade configuration — a sovereign-securities and financing book repricing at 25%+ post-devaluation rates while profit-share deposit costs lag; nominal balance-sheet growth of 33% compounding a 17.2% cost base; and a cost of risk still benign because the boom is young. As the CBE cuts from the 27.25% peak — the corridor already sits at 19–20% after the February 2026 move — the carry compresses, deposit competition catches up, and the C/I drifts toward 20%: our glide takes the ROE from 44% to the high-20s by FY30, and the terminal is set at </w:t>
      </w:r>
      <w:r>
        <w:rPr>
          <w:b/>
        </w:rPr>
        <w:t>28%</w:t>
      </w:r>
      <w:r>
        <w:rPr>
          <w:b w:val="0"/>
        </w:rPr>
        <w:t xml:space="preserve"> — still a return on equity most banking systems never see, sustainable here only because nominal EGP growth and the Islamic funding franchise are real. Second, </w:t>
      </w:r>
      <w:r>
        <w:rPr>
          <w:b/>
        </w:rPr>
        <w:t>the cost of equity</w:t>
      </w:r>
      <w:r>
        <w:rPr>
          <w:b w:val="0"/>
        </w:rPr>
        <w:t xml:space="preserve">: 23% is an EGP discount rate (a ~19–20% policy/long-bond base plus an equity premium), which is why every fair value in this study is an EGP number — it neither needs nor makes a currency forecast. Now invert the question and ask what the market price implies. At EGP 46.64 and ~1.9× pro-forma book, the justified-P/B identity (ROE − g)/(COE − g) = 1.9 requires a </w:t>
      </w:r>
      <w:r>
        <w:rPr>
          <w:b/>
        </w:rPr>
        <w:t>perpetual ROE of ~34%</w:t>
      </w:r>
      <w:r>
        <w:rPr>
          <w:b w:val="0"/>
        </w:rPr>
        <w:t xml:space="preserve"> at our 23% cost of equity — more than we grant, less than the bank currently earns (on the issued book the same arithmetic reads ~30%). The whole debate is therefore a corridor: the market prices roughly six points more terminal ROE than our base, and each point of terminal ROE is worth about EGP 4/share in the DDM (§1.9). Price and value are arguing about the same number — how fast the golden configuration fades.</w:t>
      </w:r>
    </w:p>
    <w:p>
      <w:pPr>
        <w:pStyle w:val="Heading2"/>
      </w:pPr>
      <w:r>
        <w:t>1.8  Macro and country — rates, the pound, the program</w:t>
      </w:r>
    </w:p>
    <w:p>
      <w:r>
        <w:rPr>
          <w:b w:val="0"/>
        </w:rPr>
        <w:t xml:space="preserve">ADIB-Egypt is a leveraged expression of one macro configuration. </w:t>
      </w:r>
      <w:r>
        <w:rPr>
          <w:b/>
        </w:rPr>
        <w:t>The CBE easing cycle</w:t>
      </w:r>
      <w:r>
        <w:rPr>
          <w:b w:val="0"/>
        </w:rPr>
        <w:t xml:space="preserve"> is the master variable: policy rates peaked at 27.25%, and by the 12 February 2026 meeting the MPC had cut the corridor to 19.0/20.0% (main operation 19.5%) while releasing reserves — the required-reserve ratio fell from 18% to 16% — before holding on 2 April 2026. Every cut compresses the sovereign carry and financing yields that produced the 44% ROE, with a lag through the repricing book. </w:t>
      </w:r>
      <w:r>
        <w:rPr>
          <w:b/>
        </w:rPr>
        <w:t>The pound</w:t>
      </w:r>
      <w:r>
        <w:rPr>
          <w:b w:val="0"/>
        </w:rPr>
        <w:t xml:space="preserve"> is the second lever: the March-2024 float and the devaluations before it are what inflated the nominal balance sheet, the FX gains and the repricing margin; the EGP has since traded around 49 per dollar, and a further step move would cut USD value even as it lifts EGP earnings again. </w:t>
      </w:r>
      <w:r>
        <w:rPr>
          <w:b/>
        </w:rPr>
        <w:t>The IMF program and the crowding-out unwind</w:t>
      </w:r>
      <w:r>
        <w:rPr>
          <w:b w:val="0"/>
        </w:rPr>
        <w:t xml:space="preserve"> are the growth engine: as the sovereign's borrowing appetite normalizes — S&amp;P affirmed Egypt at B/B with a stable outlook on 10 April 2026 — banks are rotating from T-bills into private credit; that rotation is the +53% financing growth, and it is also where unseasoned risk now sits. </w:t>
      </w:r>
      <w:r>
        <w:rPr>
          <w:b/>
        </w:rPr>
        <w:t>The sovereign nexus</w:t>
      </w:r>
      <w:r>
        <w:rPr>
          <w:b w:val="0"/>
        </w:rPr>
        <w:t xml:space="preserve"> cuts both ways: a large government-securities book (and the EGP 133bn Wakala structure of §1.6) ties the bank's fortunes to Egypt's fiscal path, ratings and external position. These levers are the raw material of the bear and bull cases in §1.5, the catalysts in §5, and Expert 3's scenario tree in Appendix D.</w:t>
      </w:r>
    </w:p>
    <w:p>
      <w:pPr>
        <w:pStyle w:val="Heading2"/>
      </w:pPr>
      <w:r>
        <w:t>1.9  DDM sensitivity — pricing the terminal pair</w:t>
      </w:r>
    </w:p>
    <w:p>
      <w:r>
        <w:rPr>
          <w:b w:val="0"/>
        </w:rPr>
        <w:t>Holding the five-year earnings and payout path at base, the grid re-prices the DDM across the EGP cost of equity and the terminal (sustainable) ROE. The value runs from roughly EGP 26 (32% COE / 22% ROE) to EGP 123 (20% / 34%).</w:t>
      </w:r>
    </w:p>
    <w:p>
      <w:r>
        <w:rPr>
          <w:b w:val="0"/>
          <w:i/>
          <w:color w:val="666666"/>
          <w:sz w:val="18"/>
        </w:rPr>
        <w:t>Figure 2 — DDM fair value across the cost of equity and the terminal ROE (EGP/share). Spot 46.64 sits inside the grid.</w:t>
      </w:r>
    </w:p>
    <w:p>
      <w:pPr>
        <w:jc w:val="center"/>
      </w:pPr>
      <w:r>
        <w:drawing>
          <wp:inline xmlns:a="http://schemas.openxmlformats.org/drawingml/2006/main" xmlns:pic="http://schemas.openxmlformats.org/drawingml/2006/picture">
            <wp:extent cx="5472000" cy="2798448"/>
            <wp:docPr id="2" name="Picture 2"/>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472000" cy="2798448"/>
                    </a:xfrm>
                    <a:prstGeom prst="rect"/>
                  </pic:spPr>
                </pic:pic>
              </a:graphicData>
            </a:graphic>
          </wp:inline>
        </w:drawing>
      </w:r>
    </w:p>
    <w:p>
      <w:r>
        <w:rPr>
          <w:b w:val="0"/>
        </w:rPr>
        <w:t>Read it as a map of the debate rather than a verdict: spot corresponds to roughly a 26% cost of equity on our 28% terminal ROE, or our 23% discount rate on a ~25% terminal — both entirely respectable opinions. The base case (23% / 28%) prints 53.8. Unlike a developed-market grid, no corner is absurd here; the grid is wide because Egypt's discount rate is, and that width is the honest message.</w:t>
      </w:r>
    </w:p>
    <w:p>
      <w:pPr>
        <w:pStyle w:val="Heading1"/>
      </w:pPr>
      <w:r>
        <w:t>2  Technical and price structure</w:t>
      </w:r>
    </w:p>
    <w:p>
      <w:r>
        <w:rPr>
          <w:b w:val="0"/>
        </w:rPr>
        <w:t>The tape and the fundamentals agree for once: a powerful, intact, twelve-month uptrend that has roughly doubled the share price, now pausing just under its high — beneath a fair value that sits higher still. ADIB trades above all four major moving averages — the 20- and 50-day have converged flat at ~46.3 beneath price, the 100-day rises at 43.0, and the 200-day trails far below at 34.6, a textbook bull stack. Momentum has cooled rather than cracked: RSI sits at a neutral 51.5 after June's consolidation, and the MACD is fractionally positive following a violent final week of the quarter (+6.9% on 30 June to a 49.60 high print, −3.8% on 1 July). Realized volatility of 40% is high for a bank anywhere — the tape of a crowded, contested EGX leader.</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3251"/>
        <w:gridCol w:w="3251"/>
        <w:gridCol w:w="3251"/>
      </w:tblGrid>
      <w:tr>
        <w:tc>
          <w:tcPr>
            <w:tcW w:type="dxa" w:w="2608"/>
            <w:shd w:val="clear" w:fill="1B5E5E"/>
          </w:tcPr>
          <w:p>
            <w:r/>
            <w:r>
              <w:rPr>
                <w:b/>
                <w:color w:val="FFFFFF"/>
                <w:sz w:val="18"/>
              </w:rPr>
              <w:t>Indicator</w:t>
            </w:r>
          </w:p>
        </w:tc>
        <w:tc>
          <w:tcPr>
            <w:tcW w:type="dxa" w:w="3175"/>
            <w:shd w:val="clear" w:fill="1B5E5E"/>
          </w:tcPr>
          <w:p>
            <w:pPr>
              <w:jc w:val="center"/>
            </w:pPr>
            <w:r/>
            <w:r>
              <w:rPr>
                <w:b/>
                <w:color w:val="FFFFFF"/>
                <w:sz w:val="18"/>
              </w:rPr>
              <w:t>Reading</w:t>
            </w:r>
          </w:p>
        </w:tc>
        <w:tc>
          <w:tcPr>
            <w:tcW w:type="dxa" w:w="4195"/>
            <w:shd w:val="clear" w:fill="1B5E5E"/>
          </w:tcPr>
          <w:p>
            <w:pPr>
              <w:jc w:val="center"/>
            </w:pPr>
            <w:r/>
            <w:r>
              <w:rPr>
                <w:b/>
                <w:color w:val="FFFFFF"/>
                <w:sz w:val="18"/>
              </w:rPr>
              <w:t>Signal</w:t>
            </w:r>
          </w:p>
        </w:tc>
      </w:tr>
      <w:tr>
        <w:tc>
          <w:tcPr>
            <w:tcW w:type="dxa" w:w="2608"/>
          </w:tcPr>
          <w:p>
            <w:r>
              <w:rPr>
                <w:sz w:val="18"/>
              </w:rPr>
            </w:r>
            <w:r>
              <w:rPr>
                <w:b w:val="0"/>
                <w:sz w:val="18"/>
              </w:rPr>
              <w:t>Spot</w:t>
            </w:r>
          </w:p>
        </w:tc>
        <w:tc>
          <w:tcPr>
            <w:tcW w:type="dxa" w:w="3175"/>
          </w:tcPr>
          <w:p>
            <w:pPr>
              <w:jc w:val="center"/>
            </w:pPr>
            <w:r>
              <w:rPr>
                <w:sz w:val="18"/>
              </w:rPr>
            </w:r>
            <w:r>
              <w:rPr>
                <w:b w:val="0"/>
                <w:sz w:val="18"/>
              </w:rPr>
              <w:t>EGP 46.64</w:t>
            </w:r>
          </w:p>
        </w:tc>
        <w:tc>
          <w:tcPr>
            <w:tcW w:type="dxa" w:w="4195"/>
          </w:tcPr>
          <w:p>
            <w:pPr>
              <w:jc w:val="center"/>
            </w:pPr>
            <w:r>
              <w:rPr>
                <w:sz w:val="18"/>
              </w:rPr>
            </w:r>
            <w:r>
              <w:rPr>
                <w:b w:val="0"/>
                <w:sz w:val="18"/>
              </w:rPr>
              <w:t>—</w:t>
            </w:r>
          </w:p>
        </w:tc>
      </w:tr>
      <w:tr>
        <w:tc>
          <w:tcPr>
            <w:tcW w:type="dxa" w:w="2608"/>
          </w:tcPr>
          <w:p>
            <w:r>
              <w:rPr>
                <w:sz w:val="18"/>
              </w:rPr>
            </w:r>
            <w:r>
              <w:rPr>
                <w:b w:val="0"/>
                <w:sz w:val="18"/>
              </w:rPr>
              <w:t>SMA 20 / 50</w:t>
            </w:r>
          </w:p>
        </w:tc>
        <w:tc>
          <w:tcPr>
            <w:tcW w:type="dxa" w:w="3175"/>
          </w:tcPr>
          <w:p>
            <w:pPr>
              <w:jc w:val="center"/>
            </w:pPr>
            <w:r>
              <w:rPr>
                <w:sz w:val="18"/>
              </w:rPr>
            </w:r>
            <w:r>
              <w:rPr>
                <w:b w:val="0"/>
                <w:sz w:val="18"/>
              </w:rPr>
              <w:t>EGP 46.3 / 46.3</w:t>
            </w:r>
          </w:p>
        </w:tc>
        <w:tc>
          <w:tcPr>
            <w:tcW w:type="dxa" w:w="4195"/>
          </w:tcPr>
          <w:p>
            <w:pPr>
              <w:jc w:val="center"/>
            </w:pPr>
            <w:r>
              <w:rPr>
                <w:sz w:val="18"/>
              </w:rPr>
            </w:r>
            <w:r>
              <w:rPr>
                <w:b w:val="0"/>
                <w:sz w:val="18"/>
              </w:rPr>
              <w:t>Above both — short-term trend intact, flattening</w:t>
            </w:r>
          </w:p>
        </w:tc>
      </w:tr>
      <w:tr>
        <w:tc>
          <w:tcPr>
            <w:tcW w:type="dxa" w:w="2608"/>
          </w:tcPr>
          <w:p>
            <w:r>
              <w:rPr>
                <w:sz w:val="18"/>
              </w:rPr>
            </w:r>
            <w:r>
              <w:rPr>
                <w:b w:val="0"/>
                <w:sz w:val="18"/>
              </w:rPr>
              <w:t>SMA 100 / 200</w:t>
            </w:r>
          </w:p>
        </w:tc>
        <w:tc>
          <w:tcPr>
            <w:tcW w:type="dxa" w:w="3175"/>
          </w:tcPr>
          <w:p>
            <w:pPr>
              <w:jc w:val="center"/>
            </w:pPr>
            <w:r>
              <w:rPr>
                <w:sz w:val="18"/>
              </w:rPr>
            </w:r>
            <w:r>
              <w:rPr>
                <w:b w:val="0"/>
                <w:sz w:val="18"/>
              </w:rPr>
              <w:t>EGP 43.0 / 34.6</w:t>
            </w:r>
          </w:p>
        </w:tc>
        <w:tc>
          <w:tcPr>
            <w:tcW w:type="dxa" w:w="4195"/>
          </w:tcPr>
          <w:p>
            <w:pPr>
              <w:jc w:val="center"/>
            </w:pPr>
            <w:r>
              <w:rPr>
                <w:sz w:val="18"/>
              </w:rPr>
            </w:r>
            <w:r>
              <w:rPr>
                <w:b w:val="0"/>
                <w:sz w:val="18"/>
              </w:rPr>
              <w:t>Above both — primary uptrend</w:t>
            </w:r>
          </w:p>
        </w:tc>
      </w:tr>
      <w:tr>
        <w:tc>
          <w:tcPr>
            <w:tcW w:type="dxa" w:w="2608"/>
          </w:tcPr>
          <w:p>
            <w:r>
              <w:rPr>
                <w:sz w:val="18"/>
              </w:rPr>
            </w:r>
            <w:r>
              <w:rPr>
                <w:b w:val="0"/>
                <w:sz w:val="18"/>
              </w:rPr>
              <w:t>RSI (14)</w:t>
            </w:r>
          </w:p>
        </w:tc>
        <w:tc>
          <w:tcPr>
            <w:tcW w:type="dxa" w:w="3175"/>
          </w:tcPr>
          <w:p>
            <w:pPr>
              <w:jc w:val="center"/>
            </w:pPr>
            <w:r>
              <w:rPr>
                <w:sz w:val="18"/>
              </w:rPr>
            </w:r>
            <w:r>
              <w:rPr>
                <w:b w:val="0"/>
                <w:sz w:val="18"/>
              </w:rPr>
              <w:t>51.5</w:t>
            </w:r>
          </w:p>
        </w:tc>
        <w:tc>
          <w:tcPr>
            <w:tcW w:type="dxa" w:w="4195"/>
          </w:tcPr>
          <w:p>
            <w:pPr>
              <w:jc w:val="center"/>
            </w:pPr>
            <w:r>
              <w:rPr>
                <w:sz w:val="18"/>
              </w:rPr>
            </w:r>
            <w:r>
              <w:rPr>
                <w:b w:val="0"/>
                <w:sz w:val="18"/>
              </w:rPr>
              <w:t>Neutral; overbought worked off by consolidation</w:t>
            </w:r>
          </w:p>
        </w:tc>
      </w:tr>
      <w:tr>
        <w:tc>
          <w:tcPr>
            <w:tcW w:type="dxa" w:w="2608"/>
          </w:tcPr>
          <w:p>
            <w:r>
              <w:rPr>
                <w:sz w:val="18"/>
              </w:rPr>
            </w:r>
            <w:r>
              <w:rPr>
                <w:b w:val="0"/>
                <w:sz w:val="18"/>
              </w:rPr>
              <w:t>MACD (12,26,9)</w:t>
            </w:r>
          </w:p>
        </w:tc>
        <w:tc>
          <w:tcPr>
            <w:tcW w:type="dxa" w:w="3175"/>
          </w:tcPr>
          <w:p>
            <w:pPr>
              <w:jc w:val="center"/>
            </w:pPr>
            <w:r>
              <w:rPr>
                <w:sz w:val="18"/>
              </w:rPr>
            </w:r>
            <w:r>
              <w:rPr>
                <w:b w:val="0"/>
                <w:sz w:val="18"/>
              </w:rPr>
              <w:t>+0.05 line / +0.04 signal / +0.01 hist</w:t>
            </w:r>
          </w:p>
        </w:tc>
        <w:tc>
          <w:tcPr>
            <w:tcW w:type="dxa" w:w="4195"/>
          </w:tcPr>
          <w:p>
            <w:pPr>
              <w:jc w:val="center"/>
            </w:pPr>
            <w:r>
              <w:rPr>
                <w:sz w:val="18"/>
              </w:rPr>
            </w:r>
            <w:r>
              <w:rPr>
                <w:b w:val="0"/>
                <w:sz w:val="18"/>
              </w:rPr>
              <w:t>Marginally positive after the late-June whipsaw</w:t>
            </w:r>
          </w:p>
        </w:tc>
      </w:tr>
      <w:tr>
        <w:tc>
          <w:tcPr>
            <w:tcW w:type="dxa" w:w="2608"/>
          </w:tcPr>
          <w:p>
            <w:r>
              <w:rPr>
                <w:sz w:val="18"/>
              </w:rPr>
            </w:r>
            <w:r>
              <w:rPr>
                <w:b w:val="0"/>
                <w:sz w:val="18"/>
              </w:rPr>
              <w:t>52-week range</w:t>
            </w:r>
          </w:p>
        </w:tc>
        <w:tc>
          <w:tcPr>
            <w:tcW w:type="dxa" w:w="3175"/>
          </w:tcPr>
          <w:p>
            <w:pPr>
              <w:jc w:val="center"/>
            </w:pPr>
            <w:r>
              <w:rPr>
                <w:sz w:val="18"/>
              </w:rPr>
            </w:r>
            <w:r>
              <w:rPr>
                <w:b w:val="0"/>
                <w:sz w:val="18"/>
              </w:rPr>
              <w:t>EGP 20.09 – 49.60</w:t>
            </w:r>
          </w:p>
        </w:tc>
        <w:tc>
          <w:tcPr>
            <w:tcW w:type="dxa" w:w="4195"/>
          </w:tcPr>
          <w:p>
            <w:pPr>
              <w:jc w:val="center"/>
            </w:pPr>
            <w:r>
              <w:rPr>
                <w:sz w:val="18"/>
              </w:rPr>
            </w:r>
            <w:r>
              <w:rPr>
                <w:b w:val="0"/>
                <w:sz w:val="18"/>
              </w:rPr>
              <w:t>Top decile of the range</w:t>
            </w:r>
          </w:p>
        </w:tc>
      </w:tr>
      <w:tr>
        <w:tc>
          <w:tcPr>
            <w:tcW w:type="dxa" w:w="2608"/>
          </w:tcPr>
          <w:p>
            <w:r>
              <w:rPr>
                <w:sz w:val="18"/>
              </w:rPr>
            </w:r>
            <w:r>
              <w:rPr>
                <w:b w:val="0"/>
                <w:sz w:val="18"/>
              </w:rPr>
              <w:t>Realized vol (252d)</w:t>
            </w:r>
          </w:p>
        </w:tc>
        <w:tc>
          <w:tcPr>
            <w:tcW w:type="dxa" w:w="3175"/>
          </w:tcPr>
          <w:p>
            <w:pPr>
              <w:jc w:val="center"/>
            </w:pPr>
            <w:r>
              <w:rPr>
                <w:sz w:val="18"/>
              </w:rPr>
            </w:r>
            <w:r>
              <w:rPr>
                <w:b w:val="0"/>
                <w:sz w:val="18"/>
              </w:rPr>
              <w:t>40.4%</w:t>
            </w:r>
          </w:p>
        </w:tc>
        <w:tc>
          <w:tcPr>
            <w:tcW w:type="dxa" w:w="4195"/>
          </w:tcPr>
          <w:p>
            <w:pPr>
              <w:jc w:val="center"/>
            </w:pPr>
            <w:r>
              <w:rPr>
                <w:sz w:val="18"/>
              </w:rPr>
            </w:r>
            <w:r>
              <w:rPr>
                <w:b w:val="0"/>
                <w:sz w:val="18"/>
              </w:rPr>
              <w:t>Elevated; HAR projects 43% ahead</w:t>
            </w:r>
          </w:p>
        </w:tc>
      </w:tr>
    </w:tbl>
    <w:p/>
    <w:p>
      <w:r>
        <w:rPr>
          <w:b w:val="0"/>
          <w:i/>
          <w:color w:val="666666"/>
          <w:sz w:val="18"/>
        </w:rPr>
        <w:t>Figure 3 — Price versus the moving-average stack, last 260 sessions.</w:t>
      </w:r>
    </w:p>
    <w:p>
      <w:pPr>
        <w:jc w:val="center"/>
      </w:pPr>
      <w:r>
        <w:drawing>
          <wp:inline xmlns:a="http://schemas.openxmlformats.org/drawingml/2006/main" xmlns:pic="http://schemas.openxmlformats.org/drawingml/2006/picture">
            <wp:extent cx="5976000" cy="3387611"/>
            <wp:docPr id="3" name="Picture 3"/>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5976000" cy="3387611"/>
                    </a:xfrm>
                    <a:prstGeom prst="rect"/>
                  </pic:spPr>
                </pic:pic>
              </a:graphicData>
            </a:graphic>
          </wp:inline>
        </w:drawing>
      </w:r>
    </w:p>
    <w:p>
      <w:r>
        <w:rPr>
          <w:b w:val="0"/>
        </w:rPr>
        <w:t>For the probabilistic work this matters in two ways: an intact uptrend with elevated volatility widens both tails, and under the calibrated drift (Appendix B) it pulls the median above spot — here, toward rather than away from the fundamental value. §6 reads the resulting probability zones.</w:t>
      </w:r>
    </w:p>
    <w:p>
      <w:pPr>
        <w:pStyle w:val="Heading1"/>
      </w:pPr>
      <w:r>
        <w:t>3  Monte Carlo — a probabilistic price map</w:t>
      </w:r>
    </w:p>
    <w:p>
      <w:r>
        <w:rPr>
          <w:b w:val="0"/>
        </w:rPr>
        <w:t xml:space="preserve">We simulate 50,000 three-month price paths (seed 42) using a sixteen-factor stack: seven continuous macro/operating drivers contributing a modest net forward drift, and nine discrete events that each fire with a probability and an impact. </w:t>
      </w:r>
      <w:r>
        <w:rPr>
          <w:b/>
        </w:rPr>
        <w:t>By design the paths diffuse from spot, and the §1 value gap is kept out of the drift</w:t>
      </w:r>
      <w:r>
        <w:rPr>
          <w:b w:val="0"/>
        </w:rPr>
        <w:t xml:space="preserve"> — the fundamental gap lives in §1, not here; §3 maps where price could go from today, not where value sits. Diffusion width is the YZ-HAR engine of Appendix B: a log-HAR variance cascade on a gap-aware Yang-Zhang proxy projects an annualized 43.2% over the next sixty sessions, with unit-variance Student-t(5) innovations for honest tails (simulated path vol prints 49.3% once events layer on). Per the Step-0 calibration, the secular drift is ON — the expanding-window mean of the stock's own daily log-returns, +10.9% over sixty sessions — the same configuration as the EGX-developer class, and for the same underlying reason: a devaluation-driven nominal repricing that made the zero-drift cone fail its PIT test. The continuous factors net to +3.5% and the discrete events to an expected −1.8%, so the judgment layer trims rather than compounds the trend the engine carries. One flag: the 16-factor set is the house egx_bank class — the structure comes from the factor library, but the magnitudes below are starting judgments (calibrated=False) pending sign-off.</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950"/>
        <w:gridCol w:w="1950"/>
        <w:gridCol w:w="1950"/>
        <w:gridCol w:w="1950"/>
        <w:gridCol w:w="1950"/>
      </w:tblGrid>
      <w:tr>
        <w:tc>
          <w:tcPr>
            <w:tcW w:type="dxa" w:w="3175"/>
            <w:shd w:val="clear" w:fill="1B5E5E"/>
          </w:tcPr>
          <w:p>
            <w:r/>
            <w:r>
              <w:rPr>
                <w:b/>
                <w:color w:val="FFFFFF"/>
                <w:sz w:val="18"/>
              </w:rPr>
              <w:t>Continuous factor (7)</w:t>
            </w:r>
          </w:p>
        </w:tc>
        <w:tc>
          <w:tcPr>
            <w:tcW w:type="dxa" w:w="680"/>
            <w:shd w:val="clear" w:fill="1B5E5E"/>
          </w:tcPr>
          <w:p>
            <w:pPr>
              <w:jc w:val="center"/>
            </w:pPr>
            <w:r/>
            <w:r>
              <w:rPr>
                <w:b/>
                <w:color w:val="FFFFFF"/>
                <w:sz w:val="18"/>
              </w:rPr>
              <w:t>Dir.</w:t>
            </w:r>
          </w:p>
        </w:tc>
        <w:tc>
          <w:tcPr>
            <w:tcW w:type="dxa" w:w="3742"/>
            <w:shd w:val="clear" w:fill="1B5E5E"/>
          </w:tcPr>
          <w:p>
            <w:pPr>
              <w:jc w:val="center"/>
            </w:pPr>
            <w:r/>
            <w:r>
              <w:rPr>
                <w:b/>
                <w:color w:val="FFFFFF"/>
                <w:sz w:val="18"/>
              </w:rPr>
              <w:t>Discrete event (9)</w:t>
            </w:r>
          </w:p>
        </w:tc>
        <w:tc>
          <w:tcPr>
            <w:tcW w:type="dxa" w:w="907"/>
            <w:shd w:val="clear" w:fill="1B5E5E"/>
          </w:tcPr>
          <w:p>
            <w:pPr>
              <w:jc w:val="center"/>
            </w:pPr>
            <w:r/>
            <w:r>
              <w:rPr>
                <w:b/>
                <w:color w:val="FFFFFF"/>
                <w:sz w:val="18"/>
              </w:rPr>
              <w:t>Prob.</w:t>
            </w:r>
          </w:p>
        </w:tc>
        <w:tc>
          <w:tcPr>
            <w:tcW w:type="dxa" w:w="1247"/>
            <w:shd w:val="clear" w:fill="1B5E5E"/>
          </w:tcPr>
          <w:p>
            <w:pPr>
              <w:jc w:val="center"/>
            </w:pPr>
            <w:r/>
            <w:r>
              <w:rPr>
                <w:b/>
                <w:color w:val="FFFFFF"/>
                <w:sz w:val="18"/>
              </w:rPr>
              <w:t>Mean impact</w:t>
            </w:r>
          </w:p>
        </w:tc>
      </w:tr>
      <w:tr>
        <w:tc>
          <w:tcPr>
            <w:tcW w:type="dxa" w:w="3175"/>
          </w:tcPr>
          <w:p>
            <w:r>
              <w:rPr>
                <w:sz w:val="18"/>
              </w:rPr>
            </w:r>
            <w:r>
              <w:rPr>
                <w:b w:val="0"/>
                <w:sz w:val="18"/>
              </w:rPr>
              <w:t>CBE policy-rate path</w:t>
            </w:r>
          </w:p>
        </w:tc>
        <w:tc>
          <w:tcPr>
            <w:tcW w:type="dxa" w:w="680"/>
          </w:tcPr>
          <w:p>
            <w:pPr>
              <w:jc w:val="center"/>
            </w:pPr>
            <w:r>
              <w:rPr>
                <w:sz w:val="18"/>
              </w:rPr>
            </w:r>
            <w:r>
              <w:rPr>
                <w:b w:val="0"/>
                <w:sz w:val="18"/>
              </w:rPr>
              <w:t>+</w:t>
            </w:r>
          </w:p>
        </w:tc>
        <w:tc>
          <w:tcPr>
            <w:tcW w:type="dxa" w:w="3742"/>
          </w:tcPr>
          <w:p>
            <w:pPr>
              <w:jc w:val="center"/>
            </w:pPr>
            <w:r>
              <w:rPr>
                <w:sz w:val="18"/>
              </w:rPr>
            </w:r>
            <w:r>
              <w:rPr>
                <w:b w:val="0"/>
                <w:sz w:val="18"/>
              </w:rPr>
              <w:t>Geopolitical / regional security shock</w:t>
            </w:r>
          </w:p>
        </w:tc>
        <w:tc>
          <w:tcPr>
            <w:tcW w:type="dxa" w:w="907"/>
          </w:tcPr>
          <w:p>
            <w:pPr>
              <w:jc w:val="center"/>
            </w:pPr>
            <w:r>
              <w:rPr>
                <w:sz w:val="18"/>
              </w:rPr>
            </w:r>
            <w:r>
              <w:rPr>
                <w:b w:val="0"/>
                <w:sz w:val="18"/>
              </w:rPr>
              <w:t>30%</w:t>
            </w:r>
          </w:p>
        </w:tc>
        <w:tc>
          <w:tcPr>
            <w:tcW w:type="dxa" w:w="1247"/>
          </w:tcPr>
          <w:p>
            <w:pPr>
              <w:jc w:val="center"/>
            </w:pPr>
            <w:r>
              <w:rPr>
                <w:sz w:val="18"/>
              </w:rPr>
            </w:r>
            <w:r>
              <w:rPr>
                <w:b w:val="0"/>
                <w:sz w:val="18"/>
              </w:rPr>
              <w:t>-10.0%</w:t>
            </w:r>
          </w:p>
        </w:tc>
      </w:tr>
      <w:tr>
        <w:tc>
          <w:tcPr>
            <w:tcW w:type="dxa" w:w="3175"/>
          </w:tcPr>
          <w:p>
            <w:r>
              <w:rPr>
                <w:sz w:val="18"/>
              </w:rPr>
            </w:r>
            <w:r>
              <w:rPr>
                <w:b w:val="0"/>
                <w:sz w:val="18"/>
              </w:rPr>
              <w:t>EGP/USD rate</w:t>
            </w:r>
          </w:p>
        </w:tc>
        <w:tc>
          <w:tcPr>
            <w:tcW w:type="dxa" w:w="680"/>
          </w:tcPr>
          <w:p>
            <w:pPr>
              <w:jc w:val="center"/>
            </w:pPr>
            <w:r>
              <w:rPr>
                <w:sz w:val="18"/>
              </w:rPr>
            </w:r>
            <w:r>
              <w:rPr>
                <w:b w:val="0"/>
                <w:sz w:val="18"/>
              </w:rPr>
              <w:t>+</w:t>
            </w:r>
          </w:p>
        </w:tc>
        <w:tc>
          <w:tcPr>
            <w:tcW w:type="dxa" w:w="3742"/>
          </w:tcPr>
          <w:p>
            <w:pPr>
              <w:jc w:val="center"/>
            </w:pPr>
            <w:r>
              <w:rPr>
                <w:sz w:val="18"/>
              </w:rPr>
            </w:r>
            <w:r>
              <w:rPr>
                <w:b w:val="0"/>
                <w:sz w:val="18"/>
              </w:rPr>
              <w:t>Asset-quality / NPL-cycle shift</w:t>
            </w:r>
          </w:p>
        </w:tc>
        <w:tc>
          <w:tcPr>
            <w:tcW w:type="dxa" w:w="907"/>
          </w:tcPr>
          <w:p>
            <w:pPr>
              <w:jc w:val="center"/>
            </w:pPr>
            <w:r>
              <w:rPr>
                <w:sz w:val="18"/>
              </w:rPr>
            </w:r>
            <w:r>
              <w:rPr>
                <w:b w:val="0"/>
                <w:sz w:val="18"/>
              </w:rPr>
              <w:t>30%</w:t>
            </w:r>
          </w:p>
        </w:tc>
        <w:tc>
          <w:tcPr>
            <w:tcW w:type="dxa" w:w="1247"/>
          </w:tcPr>
          <w:p>
            <w:pPr>
              <w:jc w:val="center"/>
            </w:pPr>
            <w:r>
              <w:rPr>
                <w:sz w:val="18"/>
              </w:rPr>
            </w:r>
            <w:r>
              <w:rPr>
                <w:b w:val="0"/>
                <w:sz w:val="18"/>
              </w:rPr>
              <w:t>-6.0%</w:t>
            </w:r>
          </w:p>
        </w:tc>
      </w:tr>
      <w:tr>
        <w:tc>
          <w:tcPr>
            <w:tcW w:type="dxa" w:w="3175"/>
          </w:tcPr>
          <w:p>
            <w:r>
              <w:rPr>
                <w:sz w:val="18"/>
              </w:rPr>
            </w:r>
            <w:r>
              <w:rPr>
                <w:b w:val="0"/>
                <w:sz w:val="18"/>
              </w:rPr>
              <w:t>Inflation (CPI)</w:t>
            </w:r>
          </w:p>
        </w:tc>
        <w:tc>
          <w:tcPr>
            <w:tcW w:type="dxa" w:w="680"/>
          </w:tcPr>
          <w:p>
            <w:pPr>
              <w:jc w:val="center"/>
            </w:pPr>
            <w:r>
              <w:rPr>
                <w:sz w:val="18"/>
              </w:rPr>
            </w:r>
            <w:r>
              <w:rPr>
                <w:b w:val="0"/>
                <w:sz w:val="18"/>
              </w:rPr>
              <w:t>+</w:t>
            </w:r>
          </w:p>
        </w:tc>
        <w:tc>
          <w:tcPr>
            <w:tcW w:type="dxa" w:w="3742"/>
          </w:tcPr>
          <w:p>
            <w:pPr>
              <w:jc w:val="center"/>
            </w:pPr>
            <w:r>
              <w:rPr>
                <w:sz w:val="18"/>
              </w:rPr>
            </w:r>
            <w:r>
              <w:rPr>
                <w:b w:val="0"/>
                <w:sz w:val="18"/>
              </w:rPr>
              <w:t>Sovereign rating / T-bill yield regime</w:t>
            </w:r>
          </w:p>
        </w:tc>
        <w:tc>
          <w:tcPr>
            <w:tcW w:type="dxa" w:w="907"/>
          </w:tcPr>
          <w:p>
            <w:pPr>
              <w:jc w:val="center"/>
            </w:pPr>
            <w:r>
              <w:rPr>
                <w:sz w:val="18"/>
              </w:rPr>
            </w:r>
            <w:r>
              <w:rPr>
                <w:b w:val="0"/>
                <w:sz w:val="18"/>
              </w:rPr>
              <w:t>30%</w:t>
            </w:r>
          </w:p>
        </w:tc>
        <w:tc>
          <w:tcPr>
            <w:tcW w:type="dxa" w:w="1247"/>
          </w:tcPr>
          <w:p>
            <w:pPr>
              <w:jc w:val="center"/>
            </w:pPr>
            <w:r>
              <w:rPr>
                <w:sz w:val="18"/>
              </w:rPr>
            </w:r>
            <w:r>
              <w:rPr>
                <w:b w:val="0"/>
                <w:sz w:val="18"/>
              </w:rPr>
              <w:t>+2.0%</w:t>
            </w:r>
          </w:p>
        </w:tc>
      </w:tr>
      <w:tr>
        <w:tc>
          <w:tcPr>
            <w:tcW w:type="dxa" w:w="3175"/>
          </w:tcPr>
          <w:p>
            <w:r>
              <w:rPr>
                <w:sz w:val="18"/>
              </w:rPr>
            </w:r>
            <w:r>
              <w:rPr>
                <w:b w:val="0"/>
                <w:sz w:val="18"/>
              </w:rPr>
              <w:t>EGX30 &amp; foreign flows</w:t>
            </w:r>
          </w:p>
        </w:tc>
        <w:tc>
          <w:tcPr>
            <w:tcW w:type="dxa" w:w="680"/>
          </w:tcPr>
          <w:p>
            <w:pPr>
              <w:jc w:val="center"/>
            </w:pPr>
            <w:r>
              <w:rPr>
                <w:sz w:val="18"/>
              </w:rPr>
            </w:r>
            <w:r>
              <w:rPr>
                <w:b w:val="0"/>
                <w:sz w:val="18"/>
              </w:rPr>
              <w:t>+</w:t>
            </w:r>
          </w:p>
        </w:tc>
        <w:tc>
          <w:tcPr>
            <w:tcW w:type="dxa" w:w="3742"/>
          </w:tcPr>
          <w:p>
            <w:pPr>
              <w:jc w:val="center"/>
            </w:pPr>
            <w:r>
              <w:rPr>
                <w:sz w:val="18"/>
              </w:rPr>
            </w:r>
            <w:r>
              <w:rPr>
                <w:b w:val="0"/>
                <w:sz w:val="18"/>
              </w:rPr>
              <w:t>EGP step-devaluation</w:t>
            </w:r>
          </w:p>
        </w:tc>
        <w:tc>
          <w:tcPr>
            <w:tcW w:type="dxa" w:w="907"/>
          </w:tcPr>
          <w:p>
            <w:pPr>
              <w:jc w:val="center"/>
            </w:pPr>
            <w:r>
              <w:rPr>
                <w:sz w:val="18"/>
              </w:rPr>
            </w:r>
            <w:r>
              <w:rPr>
                <w:b w:val="0"/>
                <w:sz w:val="18"/>
              </w:rPr>
              <w:t>25%</w:t>
            </w:r>
          </w:p>
        </w:tc>
        <w:tc>
          <w:tcPr>
            <w:tcW w:type="dxa" w:w="1247"/>
          </w:tcPr>
          <w:p>
            <w:pPr>
              <w:jc w:val="center"/>
            </w:pPr>
            <w:r>
              <w:rPr>
                <w:sz w:val="18"/>
              </w:rPr>
            </w:r>
            <w:r>
              <w:rPr>
                <w:b w:val="0"/>
                <w:sz w:val="18"/>
              </w:rPr>
              <w:t>+3.0%</w:t>
            </w:r>
          </w:p>
        </w:tc>
      </w:tr>
      <w:tr>
        <w:tc>
          <w:tcPr>
            <w:tcW w:type="dxa" w:w="3175"/>
          </w:tcPr>
          <w:p>
            <w:r>
              <w:rPr>
                <w:sz w:val="18"/>
              </w:rPr>
            </w:r>
            <w:r>
              <w:rPr>
                <w:b w:val="0"/>
                <w:sz w:val="18"/>
              </w:rPr>
              <w:t>Private-sector credit growth</w:t>
            </w:r>
          </w:p>
        </w:tc>
        <w:tc>
          <w:tcPr>
            <w:tcW w:type="dxa" w:w="680"/>
          </w:tcPr>
          <w:p>
            <w:pPr>
              <w:jc w:val="center"/>
            </w:pPr>
            <w:r>
              <w:rPr>
                <w:sz w:val="18"/>
              </w:rPr>
            </w:r>
            <w:r>
              <w:rPr>
                <w:b w:val="0"/>
                <w:sz w:val="18"/>
              </w:rPr>
              <w:t>+</w:t>
            </w:r>
          </w:p>
        </w:tc>
        <w:tc>
          <w:tcPr>
            <w:tcW w:type="dxa" w:w="3742"/>
          </w:tcPr>
          <w:p>
            <w:pPr>
              <w:jc w:val="center"/>
            </w:pPr>
            <w:r>
              <w:rPr>
                <w:sz w:val="18"/>
              </w:rPr>
            </w:r>
            <w:r>
              <w:rPr>
                <w:b w:val="0"/>
                <w:sz w:val="18"/>
              </w:rPr>
              <w:t>Capital / dividend-policy change</w:t>
            </w:r>
          </w:p>
        </w:tc>
        <w:tc>
          <w:tcPr>
            <w:tcW w:type="dxa" w:w="907"/>
          </w:tcPr>
          <w:p>
            <w:pPr>
              <w:jc w:val="center"/>
            </w:pPr>
            <w:r>
              <w:rPr>
                <w:sz w:val="18"/>
              </w:rPr>
            </w:r>
            <w:r>
              <w:rPr>
                <w:b w:val="0"/>
                <w:sz w:val="18"/>
              </w:rPr>
              <w:t>25%</w:t>
            </w:r>
          </w:p>
        </w:tc>
        <w:tc>
          <w:tcPr>
            <w:tcW w:type="dxa" w:w="1247"/>
          </w:tcPr>
          <w:p>
            <w:pPr>
              <w:jc w:val="center"/>
            </w:pPr>
            <w:r>
              <w:rPr>
                <w:sz w:val="18"/>
              </w:rPr>
            </w:r>
            <w:r>
              <w:rPr>
                <w:b w:val="0"/>
                <w:sz w:val="18"/>
              </w:rPr>
              <w:t>+2.0%</w:t>
            </w:r>
          </w:p>
        </w:tc>
      </w:tr>
      <w:tr>
        <w:tc>
          <w:tcPr>
            <w:tcW w:type="dxa" w:w="3175"/>
          </w:tcPr>
          <w:p>
            <w:r>
              <w:rPr>
                <w:sz w:val="18"/>
              </w:rPr>
            </w:r>
            <w:r>
              <w:rPr>
                <w:b w:val="0"/>
                <w:sz w:val="18"/>
              </w:rPr>
              <w:t>Easing-cycle NIM compression</w:t>
            </w:r>
          </w:p>
        </w:tc>
        <w:tc>
          <w:tcPr>
            <w:tcW w:type="dxa" w:w="680"/>
          </w:tcPr>
          <w:p>
            <w:pPr>
              <w:jc w:val="center"/>
            </w:pPr>
            <w:r>
              <w:rPr>
                <w:sz w:val="18"/>
              </w:rPr>
            </w:r>
            <w:r>
              <w:rPr>
                <w:b w:val="0"/>
                <w:sz w:val="18"/>
              </w:rPr>
              <w:t>-</w:t>
            </w:r>
          </w:p>
        </w:tc>
        <w:tc>
          <w:tcPr>
            <w:tcW w:type="dxa" w:w="3742"/>
          </w:tcPr>
          <w:p>
            <w:pPr>
              <w:jc w:val="center"/>
            </w:pPr>
            <w:r>
              <w:rPr>
                <w:sz w:val="18"/>
              </w:rPr>
            </w:r>
            <w:r>
              <w:rPr>
                <w:b w:val="0"/>
                <w:sz w:val="18"/>
              </w:rPr>
              <w:t>Earnings surprise (NIM / ECL / fees)</w:t>
            </w:r>
          </w:p>
        </w:tc>
        <w:tc>
          <w:tcPr>
            <w:tcW w:type="dxa" w:w="907"/>
          </w:tcPr>
          <w:p>
            <w:pPr>
              <w:jc w:val="center"/>
            </w:pPr>
            <w:r>
              <w:rPr>
                <w:sz w:val="18"/>
              </w:rPr>
            </w:r>
            <w:r>
              <w:rPr>
                <w:b w:val="0"/>
                <w:sz w:val="18"/>
              </w:rPr>
              <w:t>50%</w:t>
            </w:r>
          </w:p>
        </w:tc>
        <w:tc>
          <w:tcPr>
            <w:tcW w:type="dxa" w:w="1247"/>
          </w:tcPr>
          <w:p>
            <w:pPr>
              <w:jc w:val="center"/>
            </w:pPr>
            <w:r>
              <w:rPr>
                <w:sz w:val="18"/>
              </w:rPr>
            </w:r>
            <w:r>
              <w:rPr>
                <w:b w:val="0"/>
                <w:sz w:val="18"/>
              </w:rPr>
              <w:t>+2.0%</w:t>
            </w:r>
          </w:p>
        </w:tc>
      </w:tr>
      <w:tr>
        <w:tc>
          <w:tcPr>
            <w:tcW w:type="dxa" w:w="3175"/>
          </w:tcPr>
          <w:p>
            <w:r>
              <w:rPr>
                <w:sz w:val="18"/>
              </w:rPr>
            </w:r>
            <w:r>
              <w:rPr>
                <w:b w:val="0"/>
                <w:sz w:val="18"/>
              </w:rPr>
              <w:t>Positioning / valuation drag after the run</w:t>
            </w:r>
          </w:p>
        </w:tc>
        <w:tc>
          <w:tcPr>
            <w:tcW w:type="dxa" w:w="680"/>
          </w:tcPr>
          <w:p>
            <w:pPr>
              <w:jc w:val="center"/>
            </w:pPr>
            <w:r>
              <w:rPr>
                <w:sz w:val="18"/>
              </w:rPr>
            </w:r>
            <w:r>
              <w:rPr>
                <w:b w:val="0"/>
                <w:sz w:val="18"/>
              </w:rPr>
              <w:t>-</w:t>
            </w:r>
          </w:p>
        </w:tc>
        <w:tc>
          <w:tcPr>
            <w:tcW w:type="dxa" w:w="3742"/>
          </w:tcPr>
          <w:p>
            <w:pPr>
              <w:jc w:val="center"/>
            </w:pPr>
            <w:r>
              <w:rPr>
                <w:sz w:val="18"/>
              </w:rPr>
            </w:r>
            <w:r>
              <w:rPr>
                <w:b w:val="0"/>
                <w:sz w:val="18"/>
              </w:rPr>
              <w:t>M&amp;A / capital action</w:t>
            </w:r>
          </w:p>
        </w:tc>
        <w:tc>
          <w:tcPr>
            <w:tcW w:type="dxa" w:w="907"/>
          </w:tcPr>
          <w:p>
            <w:pPr>
              <w:jc w:val="center"/>
            </w:pPr>
            <w:r>
              <w:rPr>
                <w:sz w:val="18"/>
              </w:rPr>
            </w:r>
            <w:r>
              <w:rPr>
                <w:b w:val="0"/>
                <w:sz w:val="18"/>
              </w:rPr>
              <w:t>30%</w:t>
            </w:r>
          </w:p>
        </w:tc>
        <w:tc>
          <w:tcPr>
            <w:tcW w:type="dxa" w:w="1247"/>
          </w:tcPr>
          <w:p>
            <w:pPr>
              <w:jc w:val="center"/>
            </w:pPr>
            <w:r>
              <w:rPr>
                <w:sz w:val="18"/>
              </w:rPr>
            </w:r>
            <w:r>
              <w:rPr>
                <w:b w:val="0"/>
                <w:sz w:val="18"/>
              </w:rPr>
              <w:t>+3.0%</w:t>
            </w:r>
          </w:p>
        </w:tc>
      </w:tr>
      <w:tr>
        <w:tc>
          <w:tcPr>
            <w:tcW w:type="dxa" w:w="3175"/>
          </w:tcPr>
          <w:p>
            <w:r>
              <w:rPr>
                <w:sz w:val="18"/>
              </w:rPr>
            </w:r>
          </w:p>
        </w:tc>
        <w:tc>
          <w:tcPr>
            <w:tcW w:type="dxa" w:w="680"/>
          </w:tcPr>
          <w:p>
            <w:pPr>
              <w:jc w:val="center"/>
            </w:pPr>
            <w:r>
              <w:rPr>
                <w:sz w:val="18"/>
              </w:rPr>
            </w:r>
          </w:p>
        </w:tc>
        <w:tc>
          <w:tcPr>
            <w:tcW w:type="dxa" w:w="3742"/>
          </w:tcPr>
          <w:p>
            <w:pPr>
              <w:jc w:val="center"/>
            </w:pPr>
            <w:r>
              <w:rPr>
                <w:sz w:val="18"/>
              </w:rPr>
            </w:r>
            <w:r>
              <w:rPr>
                <w:b w:val="0"/>
                <w:sz w:val="18"/>
              </w:rPr>
              <w:t>Rights issue / dilution overhang</w:t>
            </w:r>
          </w:p>
        </w:tc>
        <w:tc>
          <w:tcPr>
            <w:tcW w:type="dxa" w:w="907"/>
          </w:tcPr>
          <w:p>
            <w:pPr>
              <w:jc w:val="center"/>
            </w:pPr>
            <w:r>
              <w:rPr>
                <w:sz w:val="18"/>
              </w:rPr>
            </w:r>
            <w:r>
              <w:rPr>
                <w:b w:val="0"/>
                <w:sz w:val="18"/>
              </w:rPr>
              <w:t>25%</w:t>
            </w:r>
          </w:p>
        </w:tc>
        <w:tc>
          <w:tcPr>
            <w:tcW w:type="dxa" w:w="1247"/>
          </w:tcPr>
          <w:p>
            <w:pPr>
              <w:jc w:val="center"/>
            </w:pPr>
            <w:r>
              <w:rPr>
                <w:sz w:val="18"/>
              </w:rPr>
            </w:r>
            <w:r>
              <w:rPr>
                <w:b w:val="0"/>
                <w:sz w:val="18"/>
              </w:rPr>
              <w:t>-3.0%</w:t>
            </w:r>
          </w:p>
        </w:tc>
      </w:tr>
      <w:tr>
        <w:tc>
          <w:tcPr>
            <w:tcW w:type="dxa" w:w="3175"/>
          </w:tcPr>
          <w:p>
            <w:r>
              <w:rPr>
                <w:sz w:val="18"/>
              </w:rPr>
            </w:r>
          </w:p>
        </w:tc>
        <w:tc>
          <w:tcPr>
            <w:tcW w:type="dxa" w:w="680"/>
          </w:tcPr>
          <w:p>
            <w:pPr>
              <w:jc w:val="center"/>
            </w:pPr>
            <w:r>
              <w:rPr>
                <w:sz w:val="18"/>
              </w:rPr>
            </w:r>
          </w:p>
        </w:tc>
        <w:tc>
          <w:tcPr>
            <w:tcW w:type="dxa" w:w="3742"/>
          </w:tcPr>
          <w:p>
            <w:pPr>
              <w:jc w:val="center"/>
            </w:pPr>
            <w:r>
              <w:rPr>
                <w:sz w:val="18"/>
              </w:rPr>
            </w:r>
            <w:r>
              <w:rPr>
                <w:b w:val="0"/>
                <w:sz w:val="18"/>
              </w:rPr>
              <w:t>Non-recurring ECL release / one-off</w:t>
            </w:r>
          </w:p>
        </w:tc>
        <w:tc>
          <w:tcPr>
            <w:tcW w:type="dxa" w:w="907"/>
          </w:tcPr>
          <w:p>
            <w:pPr>
              <w:jc w:val="center"/>
            </w:pPr>
            <w:r>
              <w:rPr>
                <w:sz w:val="18"/>
              </w:rPr>
            </w:r>
            <w:r>
              <w:rPr>
                <w:b w:val="0"/>
                <w:sz w:val="18"/>
              </w:rPr>
              <w:t>30%</w:t>
            </w:r>
          </w:p>
        </w:tc>
        <w:tc>
          <w:tcPr>
            <w:tcW w:type="dxa" w:w="1247"/>
          </w:tcPr>
          <w:p>
            <w:pPr>
              <w:jc w:val="center"/>
            </w:pPr>
            <w:r>
              <w:rPr>
                <w:sz w:val="18"/>
              </w:rPr>
            </w:r>
            <w:r>
              <w:rPr>
                <w:b w:val="0"/>
                <w:sz w:val="18"/>
              </w:rPr>
              <w:t>+0.0%</w:t>
            </w:r>
          </w:p>
        </w:tc>
      </w:tr>
    </w:tbl>
    <w:p/>
    <w:p>
      <w:r>
        <w:rPr>
          <w:b/>
        </w:rPr>
        <w:t>Percentile map (EGP/share):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625"/>
        <w:gridCol w:w="1625"/>
        <w:gridCol w:w="1625"/>
        <w:gridCol w:w="1625"/>
        <w:gridCol w:w="1625"/>
        <w:gridCol w:w="1625"/>
      </w:tblGrid>
      <w:tr>
        <w:tc>
          <w:tcPr>
            <w:tcW w:type="dxa" w:w="2494"/>
            <w:shd w:val="clear" w:fill="1B5E5E"/>
          </w:tcPr>
          <w:p>
            <w:r/>
            <w:r>
              <w:rPr>
                <w:b/>
                <w:color w:val="FFFFFF"/>
                <w:sz w:val="18"/>
              </w:rPr>
              <w:t>Horizon</w:t>
            </w:r>
          </w:p>
        </w:tc>
        <w:tc>
          <w:tcPr>
            <w:tcW w:type="dxa" w:w="1474"/>
            <w:shd w:val="clear" w:fill="1B5E5E"/>
          </w:tcPr>
          <w:p>
            <w:pPr>
              <w:jc w:val="center"/>
            </w:pPr>
            <w:r/>
            <w:r>
              <w:rPr>
                <w:b/>
                <w:color w:val="FFFFFF"/>
                <w:sz w:val="18"/>
              </w:rPr>
              <w:t>p5</w:t>
            </w:r>
          </w:p>
        </w:tc>
        <w:tc>
          <w:tcPr>
            <w:tcW w:type="dxa" w:w="1474"/>
            <w:shd w:val="clear" w:fill="1B5E5E"/>
          </w:tcPr>
          <w:p>
            <w:pPr>
              <w:jc w:val="center"/>
            </w:pPr>
            <w:r/>
            <w:r>
              <w:rPr>
                <w:b/>
                <w:color w:val="FFFFFF"/>
                <w:sz w:val="18"/>
              </w:rPr>
              <w:t>p25</w:t>
            </w:r>
          </w:p>
        </w:tc>
        <w:tc>
          <w:tcPr>
            <w:tcW w:type="dxa" w:w="1474"/>
            <w:shd w:val="clear" w:fill="1B5E5E"/>
          </w:tcPr>
          <w:p>
            <w:pPr>
              <w:jc w:val="center"/>
            </w:pPr>
            <w:r/>
            <w:r>
              <w:rPr>
                <w:b/>
                <w:color w:val="FFFFFF"/>
                <w:sz w:val="18"/>
              </w:rPr>
              <w:t>p50</w:t>
            </w:r>
          </w:p>
        </w:tc>
        <w:tc>
          <w:tcPr>
            <w:tcW w:type="dxa" w:w="1474"/>
            <w:shd w:val="clear" w:fill="1B5E5E"/>
          </w:tcPr>
          <w:p>
            <w:pPr>
              <w:jc w:val="center"/>
            </w:pPr>
            <w:r/>
            <w:r>
              <w:rPr>
                <w:b/>
                <w:color w:val="FFFFFF"/>
                <w:sz w:val="18"/>
              </w:rPr>
              <w:t>p75</w:t>
            </w:r>
          </w:p>
        </w:tc>
        <w:tc>
          <w:tcPr>
            <w:tcW w:type="dxa" w:w="1474"/>
            <w:shd w:val="clear" w:fill="1B5E5E"/>
          </w:tcPr>
          <w:p>
            <w:pPr>
              <w:jc w:val="center"/>
            </w:pPr>
            <w:r/>
            <w:r>
              <w:rPr>
                <w:b/>
                <w:color w:val="FFFFFF"/>
                <w:sz w:val="18"/>
              </w:rPr>
              <w:t>p95</w:t>
            </w:r>
          </w:p>
        </w:tc>
      </w:tr>
      <w:tr>
        <w:tc>
          <w:tcPr>
            <w:tcW w:type="dxa" w:w="2494"/>
          </w:tcPr>
          <w:p>
            <w:r>
              <w:rPr>
                <w:sz w:val="18"/>
              </w:rPr>
            </w:r>
            <w:r>
              <w:rPr>
                <w:b w:val="0"/>
                <w:sz w:val="18"/>
              </w:rPr>
              <w:t>T+20 sessions</w:t>
            </w:r>
          </w:p>
        </w:tc>
        <w:tc>
          <w:tcPr>
            <w:tcW w:type="dxa" w:w="1474"/>
          </w:tcPr>
          <w:p>
            <w:pPr>
              <w:jc w:val="center"/>
            </w:pPr>
            <w:r>
              <w:rPr>
                <w:sz w:val="18"/>
              </w:rPr>
            </w:r>
            <w:r>
              <w:rPr>
                <w:b w:val="0"/>
                <w:sz w:val="18"/>
              </w:rPr>
              <w:t>38.5</w:t>
            </w:r>
          </w:p>
        </w:tc>
        <w:tc>
          <w:tcPr>
            <w:tcW w:type="dxa" w:w="1474"/>
          </w:tcPr>
          <w:p>
            <w:pPr>
              <w:jc w:val="center"/>
            </w:pPr>
            <w:r>
              <w:rPr>
                <w:sz w:val="18"/>
              </w:rPr>
            </w:r>
            <w:r>
              <w:rPr>
                <w:b w:val="0"/>
                <w:sz w:val="18"/>
              </w:rPr>
              <w:t>44.5</w:t>
            </w:r>
          </w:p>
        </w:tc>
        <w:tc>
          <w:tcPr>
            <w:tcW w:type="dxa" w:w="1474"/>
          </w:tcPr>
          <w:p>
            <w:pPr>
              <w:jc w:val="center"/>
            </w:pPr>
            <w:r>
              <w:rPr>
                <w:sz w:val="18"/>
              </w:rPr>
            </w:r>
            <w:r>
              <w:rPr>
                <w:b w:val="0"/>
                <w:sz w:val="18"/>
              </w:rPr>
              <w:t>48.2</w:t>
            </w:r>
          </w:p>
        </w:tc>
        <w:tc>
          <w:tcPr>
            <w:tcW w:type="dxa" w:w="1474"/>
          </w:tcPr>
          <w:p>
            <w:pPr>
              <w:jc w:val="center"/>
            </w:pPr>
            <w:r>
              <w:rPr>
                <w:sz w:val="18"/>
              </w:rPr>
            </w:r>
            <w:r>
              <w:rPr>
                <w:b w:val="0"/>
                <w:sz w:val="18"/>
              </w:rPr>
              <w:t>52.2</w:t>
            </w:r>
          </w:p>
        </w:tc>
        <w:tc>
          <w:tcPr>
            <w:tcW w:type="dxa" w:w="1474"/>
          </w:tcPr>
          <w:p>
            <w:pPr>
              <w:jc w:val="center"/>
            </w:pPr>
            <w:r>
              <w:rPr>
                <w:sz w:val="18"/>
              </w:rPr>
            </w:r>
            <w:r>
              <w:rPr>
                <w:b w:val="0"/>
                <w:sz w:val="18"/>
              </w:rPr>
              <w:t>59.7</w:t>
            </w:r>
          </w:p>
        </w:tc>
      </w:tr>
      <w:tr>
        <w:tc>
          <w:tcPr>
            <w:tcW w:type="dxa" w:w="2494"/>
          </w:tcPr>
          <w:p>
            <w:r>
              <w:rPr>
                <w:sz w:val="18"/>
              </w:rPr>
            </w:r>
            <w:r>
              <w:rPr>
                <w:b w:val="0"/>
                <w:sz w:val="18"/>
              </w:rPr>
              <w:t>T+60 sessions</w:t>
            </w:r>
          </w:p>
        </w:tc>
        <w:tc>
          <w:tcPr>
            <w:tcW w:type="dxa" w:w="1474"/>
          </w:tcPr>
          <w:p>
            <w:pPr>
              <w:jc w:val="center"/>
            </w:pPr>
            <w:r>
              <w:rPr>
                <w:sz w:val="18"/>
              </w:rPr>
            </w:r>
            <w:r>
              <w:rPr>
                <w:b w:val="0"/>
                <w:sz w:val="18"/>
              </w:rPr>
              <w:t>35.3</w:t>
            </w:r>
          </w:p>
        </w:tc>
        <w:tc>
          <w:tcPr>
            <w:tcW w:type="dxa" w:w="1474"/>
          </w:tcPr>
          <w:p>
            <w:pPr>
              <w:jc w:val="center"/>
            </w:pPr>
            <w:r>
              <w:rPr>
                <w:sz w:val="18"/>
              </w:rPr>
            </w:r>
            <w:r>
              <w:rPr>
                <w:b w:val="0"/>
                <w:sz w:val="18"/>
              </w:rPr>
              <w:t>44.7</w:t>
            </w:r>
          </w:p>
        </w:tc>
        <w:tc>
          <w:tcPr>
            <w:tcW w:type="dxa" w:w="1474"/>
          </w:tcPr>
          <w:p>
            <w:pPr>
              <w:jc w:val="center"/>
            </w:pPr>
            <w:r>
              <w:rPr>
                <w:sz w:val="18"/>
              </w:rPr>
            </w:r>
            <w:r>
              <w:rPr>
                <w:b w:val="0"/>
                <w:sz w:val="18"/>
              </w:rPr>
              <w:t>51.5</w:t>
            </w:r>
          </w:p>
        </w:tc>
        <w:tc>
          <w:tcPr>
            <w:tcW w:type="dxa" w:w="1474"/>
          </w:tcPr>
          <w:p>
            <w:pPr>
              <w:jc w:val="center"/>
            </w:pPr>
            <w:r>
              <w:rPr>
                <w:sz w:val="18"/>
              </w:rPr>
            </w:r>
            <w:r>
              <w:rPr>
                <w:b w:val="0"/>
                <w:sz w:val="18"/>
              </w:rPr>
              <w:t>59.3</w:t>
            </w:r>
          </w:p>
        </w:tc>
        <w:tc>
          <w:tcPr>
            <w:tcW w:type="dxa" w:w="1474"/>
          </w:tcPr>
          <w:p>
            <w:pPr>
              <w:jc w:val="center"/>
            </w:pPr>
            <w:r>
              <w:rPr>
                <w:sz w:val="18"/>
              </w:rPr>
            </w:r>
            <w:r>
              <w:rPr>
                <w:b w:val="0"/>
                <w:sz w:val="18"/>
              </w:rPr>
              <w:t>74.4</w:t>
            </w:r>
          </w:p>
        </w:tc>
      </w:tr>
    </w:tbl>
    <w:p/>
    <w:p>
      <w:r>
        <w:rPr>
          <w:b w:val="0"/>
          <w:i/>
          <w:color w:val="666666"/>
          <w:sz w:val="18"/>
        </w:rPr>
        <w:t>Figure 4 — Forward price cone to T+60. The median follows the calibrated drift; the gold dotted line marks the EGP 54.3 fundamental central value — inside the cone's upper half.</w:t>
      </w:r>
    </w:p>
    <w:p>
      <w:pPr>
        <w:jc w:val="center"/>
      </w:pPr>
      <w:r>
        <w:drawing>
          <wp:inline xmlns:a="http://schemas.openxmlformats.org/drawingml/2006/main" xmlns:pic="http://schemas.openxmlformats.org/drawingml/2006/picture">
            <wp:extent cx="5976000" cy="3669237"/>
            <wp:docPr id="4" name="Picture 4"/>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5976000" cy="3669237"/>
                    </a:xfrm>
                    <a:prstGeom prst="rect"/>
                  </pic:spPr>
                </pic:pic>
              </a:graphicData>
            </a:graphic>
          </wp:inline>
        </w:drawing>
      </w:r>
    </w:p>
    <w:p>
      <w:r>
        <w:rPr>
          <w:b w:val="0"/>
          <w:i/>
          <w:color w:val="666666"/>
          <w:sz w:val="18"/>
        </w:rPr>
        <w:t>Figure 5 — Price distribution at T+20.</w:t>
      </w:r>
    </w:p>
    <w:p>
      <w:pPr>
        <w:jc w:val="center"/>
      </w:pPr>
      <w:r>
        <w:drawing>
          <wp:inline xmlns:a="http://schemas.openxmlformats.org/drawingml/2006/main" xmlns:pic="http://schemas.openxmlformats.org/drawingml/2006/picture">
            <wp:extent cx="5328000" cy="3148364"/>
            <wp:docPr id="5" name="Picture 5"/>
            <wp:cNvGraphicFramePr>
              <a:graphicFrameLocks noChangeAspect="1"/>
            </wp:cNvGraphicFramePr>
            <a:graphic>
              <a:graphicData uri="http://schemas.openxmlformats.org/drawingml/2006/picture">
                <pic:pic>
                  <pic:nvPicPr>
                    <pic:cNvPr id="0" name="fig5_t20.png"/>
                    <pic:cNvPicPr/>
                  </pic:nvPicPr>
                  <pic:blipFill>
                    <a:blip r:embed="rId15"/>
                    <a:stretch>
                      <a:fillRect/>
                    </a:stretch>
                  </pic:blipFill>
                  <pic:spPr>
                    <a:xfrm>
                      <a:off x="0" y="0"/>
                      <a:ext cx="5328000" cy="3148364"/>
                    </a:xfrm>
                    <a:prstGeom prst="rect"/>
                  </pic:spPr>
                </pic:pic>
              </a:graphicData>
            </a:graphic>
          </wp:inline>
        </w:drawing>
      </w:r>
    </w:p>
    <w:p>
      <w:r>
        <w:rPr>
          <w:b w:val="0"/>
          <w:i/>
          <w:color w:val="666666"/>
          <w:sz w:val="18"/>
        </w:rPr>
        <w:t>Figure 6 — Price distribution at T+60.</w:t>
      </w:r>
    </w:p>
    <w:p>
      <w:pPr>
        <w:jc w:val="center"/>
      </w:pPr>
      <w:r>
        <w:drawing>
          <wp:inline xmlns:a="http://schemas.openxmlformats.org/drawingml/2006/main" xmlns:pic="http://schemas.openxmlformats.org/drawingml/2006/picture">
            <wp:extent cx="5328000" cy="3104569"/>
            <wp:docPr id="6" name="Picture 6"/>
            <wp:cNvGraphicFramePr>
              <a:graphicFrameLocks noChangeAspect="1"/>
            </wp:cNvGraphicFramePr>
            <a:graphic>
              <a:graphicData uri="http://schemas.openxmlformats.org/drawingml/2006/picture">
                <pic:pic>
                  <pic:nvPicPr>
                    <pic:cNvPr id="0" name="fig6_t60.png"/>
                    <pic:cNvPicPr/>
                  </pic:nvPicPr>
                  <pic:blipFill>
                    <a:blip r:embed="rId16"/>
                    <a:stretch>
                      <a:fillRect/>
                    </a:stretch>
                  </pic:blipFill>
                  <pic:spPr>
                    <a:xfrm>
                      <a:off x="0" y="0"/>
                      <a:ext cx="5328000" cy="3104569"/>
                    </a:xfrm>
                    <a:prstGeom prst="rect"/>
                  </pic:spPr>
                </pic:pic>
              </a:graphicData>
            </a:graphic>
          </wp:inline>
        </w:drawing>
      </w:r>
    </w:p>
    <w:p>
      <w:r>
        <w:rPr>
          <w:b/>
        </w:rPr>
        <w:t>Level-touch ladder</w:t>
      </w:r>
      <w:r>
        <w:rPr>
          <w:b w:val="0"/>
        </w:rPr>
        <w:t xml:space="preserve"> — the probability that price touches a level at any point by the horizon (running max for upside, running min for downside):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1474"/>
            <w:shd w:val="clear" w:fill="1B5E5E"/>
          </w:tcPr>
          <w:p>
            <w:r/>
            <w:r>
              <w:rPr>
                <w:b/>
                <w:color w:val="FFFFFF"/>
                <w:sz w:val="18"/>
              </w:rPr>
              <w:t>Level</w:t>
            </w:r>
          </w:p>
        </w:tc>
        <w:tc>
          <w:tcPr>
            <w:tcW w:type="dxa" w:w="1701"/>
            <w:shd w:val="clear" w:fill="1B5E5E"/>
          </w:tcPr>
          <w:p>
            <w:pPr>
              <w:jc w:val="center"/>
            </w:pPr>
            <w:r/>
            <w:r>
              <w:rPr>
                <w:b/>
                <w:color w:val="FFFFFF"/>
                <w:sz w:val="18"/>
              </w:rPr>
              <w:t>T+20 touch</w:t>
            </w:r>
          </w:p>
        </w:tc>
        <w:tc>
          <w:tcPr>
            <w:tcW w:type="dxa" w:w="1701"/>
            <w:shd w:val="clear" w:fill="1B5E5E"/>
          </w:tcPr>
          <w:p>
            <w:pPr>
              <w:jc w:val="center"/>
            </w:pPr>
            <w:r/>
            <w:r>
              <w:rPr>
                <w:b/>
                <w:color w:val="FFFFFF"/>
                <w:sz w:val="18"/>
              </w:rPr>
              <w:t>T+60 touch</w:t>
            </w:r>
          </w:p>
        </w:tc>
        <w:tc>
          <w:tcPr>
            <w:tcW w:type="dxa" w:w="4989"/>
            <w:shd w:val="clear" w:fill="1B5E5E"/>
          </w:tcPr>
          <w:p>
            <w:pPr>
              <w:jc w:val="center"/>
            </w:pPr>
            <w:r/>
            <w:r>
              <w:rPr>
                <w:b/>
                <w:color w:val="FFFFFF"/>
                <w:sz w:val="18"/>
              </w:rPr>
              <w:t>Note</w:t>
            </w:r>
          </w:p>
        </w:tc>
      </w:tr>
      <w:tr>
        <w:tc>
          <w:tcPr>
            <w:tcW w:type="dxa" w:w="1474"/>
          </w:tcPr>
          <w:p>
            <w:r>
              <w:rPr>
                <w:sz w:val="18"/>
              </w:rPr>
            </w:r>
            <w:r>
              <w:rPr>
                <w:b w:val="0"/>
                <w:sz w:val="18"/>
              </w:rPr>
              <w:t>EGP 55</w:t>
            </w:r>
          </w:p>
        </w:tc>
        <w:tc>
          <w:tcPr>
            <w:tcW w:type="dxa" w:w="1701"/>
          </w:tcPr>
          <w:p>
            <w:pPr>
              <w:jc w:val="center"/>
            </w:pPr>
            <w:r>
              <w:rPr>
                <w:sz w:val="18"/>
              </w:rPr>
            </w:r>
            <w:r>
              <w:rPr>
                <w:b w:val="0"/>
                <w:sz w:val="18"/>
              </w:rPr>
              <w:t>21%</w:t>
            </w:r>
          </w:p>
        </w:tc>
        <w:tc>
          <w:tcPr>
            <w:tcW w:type="dxa" w:w="1701"/>
          </w:tcPr>
          <w:p>
            <w:pPr>
              <w:jc w:val="center"/>
            </w:pPr>
            <w:r>
              <w:rPr>
                <w:sz w:val="18"/>
              </w:rPr>
            </w:r>
            <w:r>
              <w:rPr>
                <w:b w:val="0"/>
                <w:sz w:val="18"/>
              </w:rPr>
              <w:t>55%</w:t>
            </w:r>
          </w:p>
        </w:tc>
        <w:tc>
          <w:tcPr>
            <w:tcW w:type="dxa" w:w="4989"/>
          </w:tcPr>
          <w:p>
            <w:pPr>
              <w:jc w:val="center"/>
            </w:pPr>
            <w:r>
              <w:rPr>
                <w:sz w:val="18"/>
              </w:rPr>
            </w:r>
            <w:r>
              <w:rPr>
                <w:b w:val="0"/>
                <w:sz w:val="18"/>
              </w:rPr>
              <w:t>Above the 52-wk high; past our central value</w:t>
            </w:r>
          </w:p>
        </w:tc>
      </w:tr>
      <w:tr>
        <w:tc>
          <w:tcPr>
            <w:tcW w:type="dxa" w:w="1474"/>
          </w:tcPr>
          <w:p>
            <w:r>
              <w:rPr>
                <w:sz w:val="18"/>
              </w:rPr>
            </w:r>
            <w:r>
              <w:rPr>
                <w:b w:val="0"/>
                <w:sz w:val="18"/>
              </w:rPr>
              <w:t>EGP 52</w:t>
            </w:r>
          </w:p>
        </w:tc>
        <w:tc>
          <w:tcPr>
            <w:tcW w:type="dxa" w:w="1701"/>
          </w:tcPr>
          <w:p>
            <w:pPr>
              <w:jc w:val="center"/>
            </w:pPr>
            <w:r>
              <w:rPr>
                <w:sz w:val="18"/>
              </w:rPr>
            </w:r>
            <w:r>
              <w:rPr>
                <w:b w:val="0"/>
                <w:sz w:val="18"/>
              </w:rPr>
              <w:t>39%</w:t>
            </w:r>
          </w:p>
        </w:tc>
        <w:tc>
          <w:tcPr>
            <w:tcW w:type="dxa" w:w="1701"/>
          </w:tcPr>
          <w:p>
            <w:pPr>
              <w:jc w:val="center"/>
            </w:pPr>
            <w:r>
              <w:rPr>
                <w:sz w:val="18"/>
              </w:rPr>
            </w:r>
            <w:r>
              <w:rPr>
                <w:b w:val="0"/>
                <w:sz w:val="18"/>
              </w:rPr>
              <w:t>70%</w:t>
            </w:r>
          </w:p>
        </w:tc>
        <w:tc>
          <w:tcPr>
            <w:tcW w:type="dxa" w:w="4989"/>
          </w:tcPr>
          <w:p>
            <w:pPr>
              <w:jc w:val="center"/>
            </w:pPr>
            <w:r>
              <w:rPr>
                <w:sz w:val="18"/>
              </w:rPr>
            </w:r>
            <w:r>
              <w:rPr>
                <w:b w:val="0"/>
                <w:sz w:val="18"/>
              </w:rPr>
              <w:t>Approaching the EGP 54.3 fair-value zone</w:t>
            </w:r>
          </w:p>
        </w:tc>
      </w:tr>
      <w:tr>
        <w:tc>
          <w:tcPr>
            <w:tcW w:type="dxa" w:w="1474"/>
          </w:tcPr>
          <w:p>
            <w:r>
              <w:rPr>
                <w:sz w:val="18"/>
              </w:rPr>
            </w:r>
            <w:r>
              <w:rPr>
                <w:b w:val="0"/>
                <w:sz w:val="18"/>
              </w:rPr>
              <w:t>EGP 50</w:t>
            </w:r>
          </w:p>
        </w:tc>
        <w:tc>
          <w:tcPr>
            <w:tcW w:type="dxa" w:w="1701"/>
          </w:tcPr>
          <w:p>
            <w:pPr>
              <w:jc w:val="center"/>
            </w:pPr>
            <w:r>
              <w:rPr>
                <w:sz w:val="18"/>
              </w:rPr>
            </w:r>
            <w:r>
              <w:rPr>
                <w:b w:val="0"/>
                <w:sz w:val="18"/>
              </w:rPr>
              <w:t>57%</w:t>
            </w:r>
          </w:p>
        </w:tc>
        <w:tc>
          <w:tcPr>
            <w:tcW w:type="dxa" w:w="1701"/>
          </w:tcPr>
          <w:p>
            <w:pPr>
              <w:jc w:val="center"/>
            </w:pPr>
            <w:r>
              <w:rPr>
                <w:sz w:val="18"/>
              </w:rPr>
            </w:r>
            <w:r>
              <w:rPr>
                <w:b w:val="0"/>
                <w:sz w:val="18"/>
              </w:rPr>
              <w:t>81%</w:t>
            </w:r>
          </w:p>
        </w:tc>
        <w:tc>
          <w:tcPr>
            <w:tcW w:type="dxa" w:w="4989"/>
          </w:tcPr>
          <w:p>
            <w:pPr>
              <w:jc w:val="center"/>
            </w:pPr>
            <w:r>
              <w:rPr>
                <w:sz w:val="18"/>
              </w:rPr>
            </w:r>
            <w:r>
              <w:rPr>
                <w:b w:val="0"/>
                <w:sz w:val="18"/>
              </w:rPr>
              <w:t>The round-number battleground at the high (49.60)</w:t>
            </w:r>
          </w:p>
        </w:tc>
      </w:tr>
      <w:tr>
        <w:tc>
          <w:tcPr>
            <w:tcW w:type="dxa" w:w="1474"/>
          </w:tcPr>
          <w:p>
            <w:r>
              <w:rPr>
                <w:sz w:val="18"/>
              </w:rPr>
            </w:r>
            <w:r>
              <w:rPr>
                <w:b w:val="0"/>
                <w:sz w:val="18"/>
              </w:rPr>
              <w:t>EGP 48</w:t>
            </w:r>
          </w:p>
        </w:tc>
        <w:tc>
          <w:tcPr>
            <w:tcW w:type="dxa" w:w="1701"/>
          </w:tcPr>
          <w:p>
            <w:pPr>
              <w:jc w:val="center"/>
            </w:pPr>
            <w:r>
              <w:rPr>
                <w:sz w:val="18"/>
              </w:rPr>
            </w:r>
            <w:r>
              <w:rPr>
                <w:b w:val="0"/>
                <w:sz w:val="18"/>
              </w:rPr>
              <w:t>78%</w:t>
            </w:r>
          </w:p>
        </w:tc>
        <w:tc>
          <w:tcPr>
            <w:tcW w:type="dxa" w:w="1701"/>
          </w:tcPr>
          <w:p>
            <w:pPr>
              <w:jc w:val="center"/>
            </w:pPr>
            <w:r>
              <w:rPr>
                <w:sz w:val="18"/>
              </w:rPr>
            </w:r>
            <w:r>
              <w:rPr>
                <w:b w:val="0"/>
                <w:sz w:val="18"/>
              </w:rPr>
              <w:t>91%</w:t>
            </w:r>
          </w:p>
        </w:tc>
        <w:tc>
          <w:tcPr>
            <w:tcW w:type="dxa" w:w="4989"/>
          </w:tcPr>
          <w:p>
            <w:pPr>
              <w:jc w:val="center"/>
            </w:pPr>
            <w:r>
              <w:rPr>
                <w:sz w:val="18"/>
              </w:rPr>
            </w:r>
            <w:r>
              <w:rPr>
                <w:b w:val="0"/>
                <w:sz w:val="18"/>
              </w:rPr>
              <w:t>Just above spot</w:t>
            </w:r>
          </w:p>
        </w:tc>
      </w:tr>
      <w:tr>
        <w:tc>
          <w:tcPr>
            <w:tcW w:type="dxa" w:w="1474"/>
          </w:tcPr>
          <w:p>
            <w:r>
              <w:rPr>
                <w:sz w:val="18"/>
              </w:rPr>
            </w:r>
            <w:r>
              <w:rPr>
                <w:b w:val="0"/>
                <w:sz w:val="18"/>
              </w:rPr>
              <w:t>EGP 45</w:t>
            </w:r>
          </w:p>
        </w:tc>
        <w:tc>
          <w:tcPr>
            <w:tcW w:type="dxa" w:w="1701"/>
          </w:tcPr>
          <w:p>
            <w:pPr>
              <w:jc w:val="center"/>
            </w:pPr>
            <w:r>
              <w:rPr>
                <w:sz w:val="18"/>
              </w:rPr>
            </w:r>
            <w:r>
              <w:rPr>
                <w:b w:val="0"/>
                <w:sz w:val="18"/>
              </w:rPr>
              <w:t>56%</w:t>
            </w:r>
          </w:p>
        </w:tc>
        <w:tc>
          <w:tcPr>
            <w:tcW w:type="dxa" w:w="1701"/>
          </w:tcPr>
          <w:p>
            <w:pPr>
              <w:jc w:val="center"/>
            </w:pPr>
            <w:r>
              <w:rPr>
                <w:sz w:val="18"/>
              </w:rPr>
            </w:r>
            <w:r>
              <w:rPr>
                <w:b w:val="0"/>
                <w:sz w:val="18"/>
              </w:rPr>
              <w:t>68%</w:t>
            </w:r>
          </w:p>
        </w:tc>
        <w:tc>
          <w:tcPr>
            <w:tcW w:type="dxa" w:w="4989"/>
          </w:tcPr>
          <w:p>
            <w:pPr>
              <w:jc w:val="center"/>
            </w:pPr>
            <w:r>
              <w:rPr>
                <w:sz w:val="18"/>
              </w:rPr>
            </w:r>
            <w:r>
              <w:rPr>
                <w:b w:val="0"/>
                <w:sz w:val="18"/>
              </w:rPr>
              <w:t>Just below spot; the 20/50-day shelf</w:t>
            </w:r>
          </w:p>
        </w:tc>
      </w:tr>
      <w:tr>
        <w:tc>
          <w:tcPr>
            <w:tcW w:type="dxa" w:w="1474"/>
          </w:tcPr>
          <w:p>
            <w:r>
              <w:rPr>
                <w:sz w:val="18"/>
              </w:rPr>
            </w:r>
            <w:r>
              <w:rPr>
                <w:b w:val="0"/>
                <w:sz w:val="18"/>
              </w:rPr>
              <w:t>EGP 42</w:t>
            </w:r>
          </w:p>
        </w:tc>
        <w:tc>
          <w:tcPr>
            <w:tcW w:type="dxa" w:w="1701"/>
          </w:tcPr>
          <w:p>
            <w:pPr>
              <w:jc w:val="center"/>
            </w:pPr>
            <w:r>
              <w:rPr>
                <w:sz w:val="18"/>
              </w:rPr>
            </w:r>
            <w:r>
              <w:rPr>
                <w:b w:val="0"/>
                <w:sz w:val="18"/>
              </w:rPr>
              <w:t>25%</w:t>
            </w:r>
          </w:p>
        </w:tc>
        <w:tc>
          <w:tcPr>
            <w:tcW w:type="dxa" w:w="1701"/>
          </w:tcPr>
          <w:p>
            <w:pPr>
              <w:jc w:val="center"/>
            </w:pPr>
            <w:r>
              <w:rPr>
                <w:sz w:val="18"/>
              </w:rPr>
            </w:r>
            <w:r>
              <w:rPr>
                <w:b w:val="0"/>
                <w:sz w:val="18"/>
              </w:rPr>
              <w:t>42%</w:t>
            </w:r>
          </w:p>
        </w:tc>
        <w:tc>
          <w:tcPr>
            <w:tcW w:type="dxa" w:w="4989"/>
          </w:tcPr>
          <w:p>
            <w:pPr>
              <w:jc w:val="center"/>
            </w:pPr>
            <w:r>
              <w:rPr>
                <w:sz w:val="18"/>
              </w:rPr>
            </w:r>
            <w:r>
              <w:rPr>
                <w:b w:val="0"/>
                <w:sz w:val="18"/>
              </w:rPr>
              <w:t>Below the 100-day average</w:t>
            </w:r>
          </w:p>
        </w:tc>
      </w:tr>
      <w:tr>
        <w:tc>
          <w:tcPr>
            <w:tcW w:type="dxa" w:w="1474"/>
          </w:tcPr>
          <w:p>
            <w:r>
              <w:rPr>
                <w:sz w:val="18"/>
              </w:rPr>
            </w:r>
            <w:r>
              <w:rPr>
                <w:b w:val="0"/>
                <w:sz w:val="18"/>
              </w:rPr>
              <w:t>EGP 40</w:t>
            </w:r>
          </w:p>
        </w:tc>
        <w:tc>
          <w:tcPr>
            <w:tcW w:type="dxa" w:w="1701"/>
          </w:tcPr>
          <w:p>
            <w:pPr>
              <w:jc w:val="center"/>
            </w:pPr>
            <w:r>
              <w:rPr>
                <w:sz w:val="18"/>
              </w:rPr>
            </w:r>
            <w:r>
              <w:rPr>
                <w:b w:val="0"/>
                <w:sz w:val="18"/>
              </w:rPr>
              <w:t>14%</w:t>
            </w:r>
          </w:p>
        </w:tc>
        <w:tc>
          <w:tcPr>
            <w:tcW w:type="dxa" w:w="1701"/>
          </w:tcPr>
          <w:p>
            <w:pPr>
              <w:jc w:val="center"/>
            </w:pPr>
            <w:r>
              <w:rPr>
                <w:sz w:val="18"/>
              </w:rPr>
            </w:r>
            <w:r>
              <w:rPr>
                <w:b w:val="0"/>
                <w:sz w:val="18"/>
              </w:rPr>
              <w:t>29%</w:t>
            </w:r>
          </w:p>
        </w:tc>
        <w:tc>
          <w:tcPr>
            <w:tcW w:type="dxa" w:w="4989"/>
          </w:tcPr>
          <w:p>
            <w:pPr>
              <w:jc w:val="center"/>
            </w:pPr>
            <w:r>
              <w:rPr>
                <w:sz w:val="18"/>
              </w:rPr>
            </w:r>
            <w:r>
              <w:rPr>
                <w:b w:val="0"/>
                <w:sz w:val="18"/>
              </w:rPr>
              <w:t>Round-number support</w:t>
            </w:r>
          </w:p>
        </w:tc>
      </w:tr>
      <w:tr>
        <w:tc>
          <w:tcPr>
            <w:tcW w:type="dxa" w:w="1474"/>
          </w:tcPr>
          <w:p>
            <w:r>
              <w:rPr>
                <w:sz w:val="18"/>
              </w:rPr>
            </w:r>
            <w:r>
              <w:rPr>
                <w:b w:val="0"/>
                <w:sz w:val="18"/>
              </w:rPr>
              <w:t>EGP 38</w:t>
            </w:r>
          </w:p>
        </w:tc>
        <w:tc>
          <w:tcPr>
            <w:tcW w:type="dxa" w:w="1701"/>
          </w:tcPr>
          <w:p>
            <w:pPr>
              <w:jc w:val="center"/>
            </w:pPr>
            <w:r>
              <w:rPr>
                <w:sz w:val="18"/>
              </w:rPr>
            </w:r>
            <w:r>
              <w:rPr>
                <w:b w:val="0"/>
                <w:sz w:val="18"/>
              </w:rPr>
              <w:t>7%</w:t>
            </w:r>
          </w:p>
        </w:tc>
        <w:tc>
          <w:tcPr>
            <w:tcW w:type="dxa" w:w="1701"/>
          </w:tcPr>
          <w:p>
            <w:pPr>
              <w:jc w:val="center"/>
            </w:pPr>
            <w:r>
              <w:rPr>
                <w:sz w:val="18"/>
              </w:rPr>
            </w:r>
            <w:r>
              <w:rPr>
                <w:b w:val="0"/>
                <w:sz w:val="18"/>
              </w:rPr>
              <w:t>19%</w:t>
            </w:r>
          </w:p>
        </w:tc>
        <w:tc>
          <w:tcPr>
            <w:tcW w:type="dxa" w:w="4989"/>
          </w:tcPr>
          <w:p>
            <w:pPr>
              <w:jc w:val="center"/>
            </w:pPr>
            <w:r>
              <w:rPr>
                <w:sz w:val="18"/>
              </w:rPr>
            </w:r>
            <w:r>
              <w:rPr>
                <w:b w:val="0"/>
                <w:sz w:val="18"/>
              </w:rPr>
              <w:t>Deep pullback; Expert 2's fair-value zone</w:t>
            </w:r>
          </w:p>
        </w:tc>
      </w:tr>
    </w:tbl>
    <w:p/>
    <w:p>
      <w:pPr>
        <w:pStyle w:val="Heading1"/>
      </w:pPr>
      <w:r>
        <w:t>4  Comparison of the lenses, and a verdict</w:t>
      </w:r>
    </w:p>
    <w:p>
      <w:r>
        <w:rPr>
          <w:b w:val="0"/>
        </w:rPr>
        <w:t xml:space="preserve">Three readings sit side by side, and for once they rhyme. The </w:t>
      </w:r>
      <w:r>
        <w:rPr>
          <w:b/>
        </w:rPr>
        <w:t>fundamental</w:t>
      </w:r>
      <w:r>
        <w:rPr>
          <w:b w:val="0"/>
        </w:rPr>
        <w:t xml:space="preserve"> lenses cluster at EGP 53.8–56.3 with a central 54.3 — about 16% above the market price, with unusual agreement between methods. The </w:t>
      </w:r>
      <w:r>
        <w:rPr>
          <w:b/>
        </w:rPr>
        <w:t>technical</w:t>
      </w:r>
      <w:r>
        <w:rPr>
          <w:b w:val="0"/>
        </w:rPr>
        <w:t xml:space="preserve"> picture is a strong, intact primary uptrend above the full moving-average stack, consolidating in the top decile of its range. The </w:t>
      </w:r>
      <w:r>
        <w:rPr>
          <w:b/>
        </w:rPr>
        <w:t>probabilistic</w:t>
      </w:r>
      <w:r>
        <w:rPr>
          <w:b w:val="0"/>
        </w:rPr>
        <w:t xml:space="preserve"> map, whose drift is the stock's own calibrated trend rather than our value view, centres near 51.5 at T+60 with a heavy right tail — between spot and fair value.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3251"/>
        <w:gridCol w:w="3251"/>
        <w:gridCol w:w="3251"/>
      </w:tblGrid>
      <w:tr>
        <w:tc>
          <w:tcPr>
            <w:tcW w:type="dxa" w:w="2494"/>
            <w:shd w:val="clear" w:fill="1B5E5E"/>
          </w:tcPr>
          <w:p>
            <w:r/>
            <w:r>
              <w:rPr>
                <w:b/>
                <w:color w:val="FFFFFF"/>
                <w:sz w:val="18"/>
              </w:rPr>
              <w:t>Lens</w:t>
            </w:r>
          </w:p>
        </w:tc>
        <w:tc>
          <w:tcPr>
            <w:tcW w:type="dxa" w:w="2608"/>
            <w:shd w:val="clear" w:fill="1B5E5E"/>
          </w:tcPr>
          <w:p>
            <w:pPr>
              <w:jc w:val="center"/>
            </w:pPr>
            <w:r/>
            <w:r>
              <w:rPr>
                <w:b/>
                <w:color w:val="FFFFFF"/>
                <w:sz w:val="18"/>
              </w:rPr>
              <w:t>Reads</w:t>
            </w:r>
          </w:p>
        </w:tc>
        <w:tc>
          <w:tcPr>
            <w:tcW w:type="dxa" w:w="4876"/>
            <w:shd w:val="clear" w:fill="1B5E5E"/>
          </w:tcPr>
          <w:p>
            <w:pPr>
              <w:jc w:val="center"/>
            </w:pPr>
            <w:r/>
            <w:r>
              <w:rPr>
                <w:b/>
                <w:color w:val="FFFFFF"/>
                <w:sz w:val="18"/>
              </w:rPr>
              <w:t>Central / implication</w:t>
            </w:r>
          </w:p>
        </w:tc>
      </w:tr>
      <w:tr>
        <w:tc>
          <w:tcPr>
            <w:tcW w:type="dxa" w:w="2494"/>
          </w:tcPr>
          <w:p>
            <w:r>
              <w:rPr>
                <w:sz w:val="18"/>
              </w:rPr>
            </w:r>
            <w:r>
              <w:rPr>
                <w:b w:val="0"/>
                <w:sz w:val="18"/>
              </w:rPr>
              <w:t>Fundamental (4-lens)</w:t>
            </w:r>
          </w:p>
        </w:tc>
        <w:tc>
          <w:tcPr>
            <w:tcW w:type="dxa" w:w="2608"/>
          </w:tcPr>
          <w:p>
            <w:pPr>
              <w:jc w:val="center"/>
            </w:pPr>
            <w:r>
              <w:rPr>
                <w:sz w:val="18"/>
              </w:rPr>
            </w:r>
            <w:r>
              <w:rPr>
                <w:b w:val="0"/>
                <w:sz w:val="18"/>
              </w:rPr>
              <w:t>Modestly undervalued</w:t>
            </w:r>
          </w:p>
        </w:tc>
        <w:tc>
          <w:tcPr>
            <w:tcW w:type="dxa" w:w="4876"/>
          </w:tcPr>
          <w:p>
            <w:pPr>
              <w:jc w:val="center"/>
            </w:pPr>
            <w:r>
              <w:rPr>
                <w:sz w:val="18"/>
              </w:rPr>
            </w:r>
            <w:r>
              <w:rPr>
                <w:b w:val="0"/>
                <w:sz w:val="18"/>
              </w:rPr>
              <w:t>EGP 54.3 (~+16% vs spot)</w:t>
            </w:r>
          </w:p>
        </w:tc>
      </w:tr>
      <w:tr>
        <w:tc>
          <w:tcPr>
            <w:tcW w:type="dxa" w:w="2494"/>
          </w:tcPr>
          <w:p>
            <w:r>
              <w:rPr>
                <w:sz w:val="18"/>
              </w:rPr>
            </w:r>
            <w:r>
              <w:rPr>
                <w:b w:val="0"/>
                <w:sz w:val="18"/>
              </w:rPr>
              <w:t>Technical</w:t>
            </w:r>
          </w:p>
        </w:tc>
        <w:tc>
          <w:tcPr>
            <w:tcW w:type="dxa" w:w="2608"/>
          </w:tcPr>
          <w:p>
            <w:pPr>
              <w:jc w:val="center"/>
            </w:pPr>
            <w:r>
              <w:rPr>
                <w:sz w:val="18"/>
              </w:rPr>
            </w:r>
            <w:r>
              <w:rPr>
                <w:b w:val="0"/>
                <w:sz w:val="18"/>
              </w:rPr>
              <w:t>Strong uptrend, consolidating</w:t>
            </w:r>
          </w:p>
        </w:tc>
        <w:tc>
          <w:tcPr>
            <w:tcW w:type="dxa" w:w="4876"/>
          </w:tcPr>
          <w:p>
            <w:pPr>
              <w:jc w:val="center"/>
            </w:pPr>
            <w:r>
              <w:rPr>
                <w:sz w:val="18"/>
              </w:rPr>
            </w:r>
            <w:r>
              <w:rPr>
                <w:b w:val="0"/>
                <w:sz w:val="18"/>
              </w:rPr>
              <w:t>Support at the 20/50-day shelf ~46.3, then 43.0; resistance 49.6</w:t>
            </w:r>
          </w:p>
        </w:tc>
      </w:tr>
      <w:tr>
        <w:tc>
          <w:tcPr>
            <w:tcW w:type="dxa" w:w="2494"/>
          </w:tcPr>
          <w:p>
            <w:r>
              <w:rPr>
                <w:sz w:val="18"/>
              </w:rPr>
            </w:r>
            <w:r>
              <w:rPr>
                <w:b w:val="0"/>
                <w:sz w:val="18"/>
              </w:rPr>
              <w:t>Monte Carlo (3-month)</w:t>
            </w:r>
          </w:p>
        </w:tc>
        <w:tc>
          <w:tcPr>
            <w:tcW w:type="dxa" w:w="2608"/>
          </w:tcPr>
          <w:p>
            <w:pPr>
              <w:jc w:val="center"/>
            </w:pPr>
            <w:r>
              <w:rPr>
                <w:sz w:val="18"/>
              </w:rPr>
            </w:r>
            <w:r>
              <w:rPr>
                <w:b w:val="0"/>
                <w:sz w:val="18"/>
              </w:rPr>
              <w:t>Trend-conditioned, wide</w:t>
            </w:r>
          </w:p>
        </w:tc>
        <w:tc>
          <w:tcPr>
            <w:tcW w:type="dxa" w:w="4876"/>
          </w:tcPr>
          <w:p>
            <w:pPr>
              <w:jc w:val="center"/>
            </w:pPr>
            <w:r>
              <w:rPr>
                <w:sz w:val="18"/>
              </w:rPr>
            </w:r>
            <w:r>
              <w:rPr>
                <w:b w:val="0"/>
                <w:sz w:val="18"/>
              </w:rPr>
              <w:t>Median 51.5; p5–p95 EGP 35.3–74.4</w:t>
            </w:r>
          </w:p>
        </w:tc>
      </w:tr>
    </w:tbl>
    <w:p/>
    <w:p>
      <w:r>
        <w:rPr>
          <w:b/>
        </w:rPr>
        <w:t xml:space="preserve">Verdict (a fair-value read, not a recommendation). </w:t>
      </w:r>
      <w:r>
        <w:rPr>
          <w:b w:val="0"/>
        </w:rPr>
        <w:t xml:space="preserve">ADIB-Egypt is, on our numbers, an exceptional bank at a reasonable price — the rarer combination. The market is not asleep: at ~1.9× pro-forma book it already pays for a ~34% perpetual ROE, well above our 28% terminal; the ~16% gap to our central value is the difference between pricing the stressed credit cycle Expert 2 capitalizes and the merely normalized one we do. What the price does </w:t>
      </w:r>
      <w:r>
        <w:rPr>
          <w:b/>
        </w:rPr>
        <w:t>not</w:t>
      </w:r>
      <w:r>
        <w:rPr>
          <w:b w:val="0"/>
        </w:rPr>
        <w:t xml:space="preserve"> yet embed is the base case continuing to compound: EPS nearly doubling by FY30 while the payout finally begins. The risks are equally real and named — the CBE easing cycle attacks the carry that built the 44% ROE, a 53% growth year must season, the sovereign nexus is inescapable, and dilution has been management's habitual funding tool, with the next EGP 3bn already approved. The honest summary is a value in the low-to-mid 50s, a tape and a three-month distribution that lean the same way, and a resolution that will come from the pace of disinflation and the first credit-cost prints, not from any single quarter. Readers should weigh the lenses themselves; we publish the distribution, not a target.</w:t>
      </w:r>
    </w:p>
    <w:p>
      <w:pPr>
        <w:pStyle w:val="Heading1"/>
      </w:pPr>
      <w:r>
        <w:t>5  Catalysts to watch</w:t>
      </w:r>
    </w:p>
    <w:p>
      <w:pPr>
        <w:pStyle w:val="ListBullet"/>
      </w:pPr>
      <w:r>
        <w:rPr>
          <w:b/>
          <w:sz w:val="21"/>
        </w:rPr>
        <w:t xml:space="preserve">CBE Monetary Policy Committee meetings. </w:t>
      </w:r>
      <w:r>
        <w:rPr>
          <w:b w:val="0"/>
          <w:sz w:val="21"/>
        </w:rPr>
        <w:t>After the February cut to a 19–20% corridor and the April hold, the pace of further easing sets the glide of the sovereign carry and the NIM — the single most important repricing variable in the model.</w:t>
      </w:r>
    </w:p>
    <w:p>
      <w:pPr>
        <w:pStyle w:val="ListBullet"/>
      </w:pPr>
      <w:r>
        <w:rPr>
          <w:b/>
          <w:sz w:val="21"/>
        </w:rPr>
        <w:t xml:space="preserve">Q2-26 results (≈ Aug 2026). </w:t>
      </w:r>
      <w:r>
        <w:rPr>
          <w:b w:val="0"/>
          <w:sz w:val="21"/>
        </w:rPr>
        <w:t>First read on whether financing growth (+15.6% in Q1 alone), the 17.2% cost base and the benign cost of risk survive a full quarter of lower rates.</w:t>
      </w:r>
    </w:p>
    <w:p>
      <w:pPr>
        <w:pStyle w:val="ListBullet"/>
      </w:pPr>
      <w:r>
        <w:rPr>
          <w:b/>
          <w:sz w:val="21"/>
        </w:rPr>
        <w:t xml:space="preserve">Execution of the EGP 12→15bn capital increase. </w:t>
      </w:r>
      <w:r>
        <w:rPr>
          <w:b w:val="0"/>
          <w:sz w:val="21"/>
        </w:rPr>
        <w:t>Approved Aug-25, pending at 31-Mar-26: roughly 300mn new shares (+25%). Terms and timing settle how the per-share story dilutes or is protected — our figures are pro-forma.</w:t>
      </w:r>
    </w:p>
    <w:p>
      <w:pPr>
        <w:pStyle w:val="ListBullet"/>
      </w:pPr>
      <w:r>
        <w:rPr>
          <w:b/>
          <w:sz w:val="21"/>
        </w:rPr>
        <w:t xml:space="preserve">The first cash dividend. </w:t>
      </w:r>
      <w:r>
        <w:rPr>
          <w:b w:val="0"/>
          <w:sz w:val="21"/>
        </w:rPr>
        <w:t>Any board move from full retention to a payout would re-rate the DDM mechanically and signal that growth is normalizing on management's own numbers.</w:t>
      </w:r>
    </w:p>
    <w:p>
      <w:pPr>
        <w:pStyle w:val="ListBullet"/>
      </w:pPr>
      <w:r>
        <w:rPr>
          <w:b/>
          <w:sz w:val="21"/>
        </w:rPr>
        <w:t xml:space="preserve">The pound and the IMF reviews. </w:t>
      </w:r>
      <w:r>
        <w:rPr>
          <w:b w:val="0"/>
          <w:sz w:val="21"/>
        </w:rPr>
        <w:t>Program milestones, external financing and the EGP's stability near 49; S&amp;P's B/B stable affirmation (Apr-26) is the current mark. A step-devaluation is a mixed event (EGP earnings up, USD value down) the factor stack prices at 25%.</w:t>
      </w:r>
    </w:p>
    <w:p>
      <w:pPr>
        <w:pStyle w:val="ListBullet"/>
      </w:pPr>
      <w:r>
        <w:rPr>
          <w:b/>
          <w:sz w:val="21"/>
        </w:rPr>
        <w:t xml:space="preserve">Asset-quality seasoning. </w:t>
      </w:r>
      <w:r>
        <w:rPr>
          <w:b w:val="0"/>
          <w:sz w:val="21"/>
        </w:rPr>
        <w:t>After +53% financing growth, Stage-2 migration and the first uptick in cost of risk are the tell — Expert 2's whole case rests here.</w:t>
      </w:r>
    </w:p>
    <w:p>
      <w:pPr>
        <w:pStyle w:val="ListBullet"/>
      </w:pPr>
      <w:r>
        <w:rPr>
          <w:b/>
          <w:sz w:val="21"/>
        </w:rPr>
        <w:t xml:space="preserve">EGX flows and index events. </w:t>
      </w:r>
      <w:r>
        <w:rPr>
          <w:b w:val="0"/>
          <w:sz w:val="21"/>
        </w:rPr>
        <w:t>Foreign appetite for EGP risk, EM/frontier index treatment and local liquidity after a twelve-month double.</w:t>
      </w:r>
    </w:p>
    <w:p>
      <w:pPr>
        <w:pStyle w:val="ListBullet"/>
      </w:pPr>
      <w:r>
        <w:rPr>
          <w:b/>
          <w:sz w:val="21"/>
        </w:rPr>
        <w:t xml:space="preserve">Group-level strategy. </w:t>
      </w:r>
      <w:r>
        <w:rPr>
          <w:b w:val="0"/>
          <w:sz w:val="21"/>
        </w:rPr>
        <w:t>ADIB Group's capital plans for Egypt — its fastest-growing subsidiary, already carrying ~US$195mn of the parent's subordinated financing — including any stake, sukuk or expansion announcements.</w:t>
      </w:r>
    </w:p>
    <w:p>
      <w:pPr>
        <w:pStyle w:val="Heading1"/>
      </w:pPr>
      <w:r>
        <w:t>6  Reading the probability zones</w:t>
      </w:r>
    </w:p>
    <w:p>
      <w:r>
        <w:rPr>
          <w:b w:val="0"/>
        </w:rPr>
        <w:t>Translating the three-month distribution into plain zones, anchored on spot EGP 46.64, the technical shelf and the EGP 54.3 central value:</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1814"/>
            <w:shd w:val="clear" w:fill="1B5E5E"/>
          </w:tcPr>
          <w:p>
            <w:r/>
            <w:r>
              <w:rPr>
                <w:b/>
                <w:color w:val="FFFFFF"/>
                <w:sz w:val="18"/>
              </w:rPr>
              <w:t>Zone (T+60)</w:t>
            </w:r>
          </w:p>
        </w:tc>
        <w:tc>
          <w:tcPr>
            <w:tcW w:type="dxa" w:w="1701"/>
            <w:shd w:val="clear" w:fill="1B5E5E"/>
          </w:tcPr>
          <w:p>
            <w:pPr>
              <w:jc w:val="center"/>
            </w:pPr>
            <w:r/>
            <w:r>
              <w:rPr>
                <w:b/>
                <w:color w:val="FFFFFF"/>
                <w:sz w:val="18"/>
              </w:rPr>
              <w:t>Range</w:t>
            </w:r>
          </w:p>
        </w:tc>
        <w:tc>
          <w:tcPr>
            <w:tcW w:type="dxa" w:w="1928"/>
            <w:shd w:val="clear" w:fill="1B5E5E"/>
          </w:tcPr>
          <w:p>
            <w:pPr>
              <w:jc w:val="center"/>
            </w:pPr>
            <w:r/>
            <w:r>
              <w:rPr>
                <w:b/>
                <w:color w:val="FFFFFF"/>
                <w:sz w:val="18"/>
              </w:rPr>
              <w:t>Approx. probability</w:t>
            </w:r>
          </w:p>
        </w:tc>
        <w:tc>
          <w:tcPr>
            <w:tcW w:type="dxa" w:w="4535"/>
            <w:shd w:val="clear" w:fill="1B5E5E"/>
          </w:tcPr>
          <w:p>
            <w:pPr>
              <w:jc w:val="center"/>
            </w:pPr>
            <w:r/>
            <w:r>
              <w:rPr>
                <w:b/>
                <w:color w:val="FFFFFF"/>
                <w:sz w:val="18"/>
              </w:rPr>
              <w:t>What it would mean</w:t>
            </w:r>
          </w:p>
        </w:tc>
      </w:tr>
      <w:tr>
        <w:tc>
          <w:tcPr>
            <w:tcW w:type="dxa" w:w="1814"/>
          </w:tcPr>
          <w:p>
            <w:r>
              <w:rPr>
                <w:sz w:val="18"/>
              </w:rPr>
            </w:r>
            <w:r>
              <w:rPr>
                <w:b w:val="0"/>
                <w:sz w:val="18"/>
              </w:rPr>
              <w:t>Deep downside</w:t>
            </w:r>
          </w:p>
        </w:tc>
        <w:tc>
          <w:tcPr>
            <w:tcW w:type="dxa" w:w="1701"/>
          </w:tcPr>
          <w:p>
            <w:pPr>
              <w:jc w:val="center"/>
            </w:pPr>
            <w:r>
              <w:rPr>
                <w:sz w:val="18"/>
              </w:rPr>
            </w:r>
            <w:r>
              <w:rPr>
                <w:b w:val="0"/>
                <w:sz w:val="18"/>
              </w:rPr>
              <w:t>&lt; EGP 38</w:t>
            </w:r>
          </w:p>
        </w:tc>
        <w:tc>
          <w:tcPr>
            <w:tcW w:type="dxa" w:w="1928"/>
          </w:tcPr>
          <w:p>
            <w:pPr>
              <w:jc w:val="center"/>
            </w:pPr>
            <w:r>
              <w:rPr>
                <w:sz w:val="18"/>
              </w:rPr>
            </w:r>
            <w:r>
              <w:rPr>
                <w:b w:val="0"/>
                <w:sz w:val="18"/>
              </w:rPr>
              <w:t>~8%</w:t>
            </w:r>
          </w:p>
        </w:tc>
        <w:tc>
          <w:tcPr>
            <w:tcW w:type="dxa" w:w="4535"/>
          </w:tcPr>
          <w:p>
            <w:pPr>
              <w:jc w:val="center"/>
            </w:pPr>
            <w:r>
              <w:rPr>
                <w:sz w:val="18"/>
              </w:rPr>
            </w:r>
            <w:r>
              <w:rPr>
                <w:b w:val="0"/>
                <w:sz w:val="18"/>
              </w:rPr>
              <w:t>Macro shock / credit turn; Expert 2's territory</w:t>
            </w:r>
          </w:p>
        </w:tc>
      </w:tr>
      <w:tr>
        <w:tc>
          <w:tcPr>
            <w:tcW w:type="dxa" w:w="1814"/>
          </w:tcPr>
          <w:p>
            <w:r>
              <w:rPr>
                <w:sz w:val="18"/>
              </w:rPr>
            </w:r>
            <w:r>
              <w:rPr>
                <w:b w:val="0"/>
                <w:sz w:val="18"/>
              </w:rPr>
              <w:t>Lower band</w:t>
            </w:r>
          </w:p>
        </w:tc>
        <w:tc>
          <w:tcPr>
            <w:tcW w:type="dxa" w:w="1701"/>
          </w:tcPr>
          <w:p>
            <w:pPr>
              <w:jc w:val="center"/>
            </w:pPr>
            <w:r>
              <w:rPr>
                <w:sz w:val="18"/>
              </w:rPr>
            </w:r>
            <w:r>
              <w:rPr>
                <w:b w:val="0"/>
                <w:sz w:val="18"/>
              </w:rPr>
              <w:t>EGP 38–44</w:t>
            </w:r>
          </w:p>
        </w:tc>
        <w:tc>
          <w:tcPr>
            <w:tcW w:type="dxa" w:w="1928"/>
          </w:tcPr>
          <w:p>
            <w:pPr>
              <w:jc w:val="center"/>
            </w:pPr>
            <w:r>
              <w:rPr>
                <w:sz w:val="18"/>
              </w:rPr>
            </w:r>
            <w:r>
              <w:rPr>
                <w:b w:val="0"/>
                <w:sz w:val="18"/>
              </w:rPr>
              <w:t>~14%</w:t>
            </w:r>
          </w:p>
        </w:tc>
        <w:tc>
          <w:tcPr>
            <w:tcW w:type="dxa" w:w="4535"/>
          </w:tcPr>
          <w:p>
            <w:pPr>
              <w:jc w:val="center"/>
            </w:pPr>
            <w:r>
              <w:rPr>
                <w:sz w:val="18"/>
              </w:rPr>
            </w:r>
            <w:r>
              <w:rPr>
                <w:b w:val="0"/>
                <w:sz w:val="18"/>
              </w:rPr>
              <w:t>Trend break; 100-day gives way</w:t>
            </w:r>
          </w:p>
        </w:tc>
      </w:tr>
      <w:tr>
        <w:tc>
          <w:tcPr>
            <w:tcW w:type="dxa" w:w="1814"/>
          </w:tcPr>
          <w:p>
            <w:r>
              <w:rPr>
                <w:sz w:val="18"/>
              </w:rPr>
            </w:r>
            <w:r>
              <w:rPr>
                <w:b w:val="0"/>
                <w:sz w:val="18"/>
              </w:rPr>
              <w:t>Around spot</w:t>
            </w:r>
          </w:p>
        </w:tc>
        <w:tc>
          <w:tcPr>
            <w:tcW w:type="dxa" w:w="1701"/>
          </w:tcPr>
          <w:p>
            <w:pPr>
              <w:jc w:val="center"/>
            </w:pPr>
            <w:r>
              <w:rPr>
                <w:sz w:val="18"/>
              </w:rPr>
            </w:r>
            <w:r>
              <w:rPr>
                <w:b w:val="0"/>
                <w:sz w:val="18"/>
              </w:rPr>
              <w:t>EGP 44–50</w:t>
            </w:r>
          </w:p>
        </w:tc>
        <w:tc>
          <w:tcPr>
            <w:tcW w:type="dxa" w:w="1928"/>
          </w:tcPr>
          <w:p>
            <w:pPr>
              <w:jc w:val="center"/>
            </w:pPr>
            <w:r>
              <w:rPr>
                <w:sz w:val="18"/>
              </w:rPr>
            </w:r>
            <w:r>
              <w:rPr>
                <w:b w:val="0"/>
                <w:sz w:val="18"/>
              </w:rPr>
              <w:t>~22%</w:t>
            </w:r>
          </w:p>
        </w:tc>
        <w:tc>
          <w:tcPr>
            <w:tcW w:type="dxa" w:w="4535"/>
          </w:tcPr>
          <w:p>
            <w:pPr>
              <w:jc w:val="center"/>
            </w:pPr>
            <w:r>
              <w:rPr>
                <w:sz w:val="18"/>
              </w:rPr>
            </w:r>
            <w:r>
              <w:rPr>
                <w:b w:val="0"/>
                <w:sz w:val="18"/>
              </w:rPr>
              <w:t>Consolidation under the high; stalemate</w:t>
            </w:r>
          </w:p>
        </w:tc>
      </w:tr>
      <w:tr>
        <w:tc>
          <w:tcPr>
            <w:tcW w:type="dxa" w:w="1814"/>
          </w:tcPr>
          <w:p>
            <w:r>
              <w:rPr>
                <w:sz w:val="18"/>
              </w:rPr>
            </w:r>
            <w:r>
              <w:rPr>
                <w:b w:val="0"/>
                <w:sz w:val="18"/>
              </w:rPr>
              <w:t>Upper band</w:t>
            </w:r>
          </w:p>
        </w:tc>
        <w:tc>
          <w:tcPr>
            <w:tcW w:type="dxa" w:w="1701"/>
          </w:tcPr>
          <w:p>
            <w:pPr>
              <w:jc w:val="center"/>
            </w:pPr>
            <w:r>
              <w:rPr>
                <w:sz w:val="18"/>
              </w:rPr>
            </w:r>
            <w:r>
              <w:rPr>
                <w:b w:val="0"/>
                <w:sz w:val="18"/>
              </w:rPr>
              <w:t>EGP 50–56</w:t>
            </w:r>
          </w:p>
        </w:tc>
        <w:tc>
          <w:tcPr>
            <w:tcW w:type="dxa" w:w="1928"/>
          </w:tcPr>
          <w:p>
            <w:pPr>
              <w:jc w:val="center"/>
            </w:pPr>
            <w:r>
              <w:rPr>
                <w:sz w:val="18"/>
              </w:rPr>
            </w:r>
            <w:r>
              <w:rPr>
                <w:b w:val="0"/>
                <w:sz w:val="18"/>
              </w:rPr>
              <w:t>~21%</w:t>
            </w:r>
          </w:p>
        </w:tc>
        <w:tc>
          <w:tcPr>
            <w:tcW w:type="dxa" w:w="4535"/>
          </w:tcPr>
          <w:p>
            <w:pPr>
              <w:jc w:val="center"/>
            </w:pPr>
            <w:r>
              <w:rPr>
                <w:sz w:val="18"/>
              </w:rPr>
            </w:r>
            <w:r>
              <w:rPr>
                <w:b w:val="0"/>
                <w:sz w:val="18"/>
              </w:rPr>
              <w:t>Breakout above 49.6 into the fair-value zone</w:t>
            </w:r>
          </w:p>
        </w:tc>
      </w:tr>
      <w:tr>
        <w:tc>
          <w:tcPr>
            <w:tcW w:type="dxa" w:w="1814"/>
          </w:tcPr>
          <w:p>
            <w:r>
              <w:rPr>
                <w:sz w:val="18"/>
              </w:rPr>
            </w:r>
            <w:r>
              <w:rPr>
                <w:b w:val="0"/>
                <w:sz w:val="18"/>
              </w:rPr>
              <w:t>Strong upside</w:t>
            </w:r>
          </w:p>
        </w:tc>
        <w:tc>
          <w:tcPr>
            <w:tcW w:type="dxa" w:w="1701"/>
          </w:tcPr>
          <w:p>
            <w:pPr>
              <w:jc w:val="center"/>
            </w:pPr>
            <w:r>
              <w:rPr>
                <w:sz w:val="18"/>
              </w:rPr>
            </w:r>
            <w:r>
              <w:rPr>
                <w:b w:val="0"/>
                <w:sz w:val="18"/>
              </w:rPr>
              <w:t>&gt; EGP 56</w:t>
            </w:r>
          </w:p>
        </w:tc>
        <w:tc>
          <w:tcPr>
            <w:tcW w:type="dxa" w:w="1928"/>
          </w:tcPr>
          <w:p>
            <w:pPr>
              <w:jc w:val="center"/>
            </w:pPr>
            <w:r>
              <w:rPr>
                <w:sz w:val="18"/>
              </w:rPr>
            </w:r>
            <w:r>
              <w:rPr>
                <w:b w:val="0"/>
                <w:sz w:val="18"/>
              </w:rPr>
              <w:t>~34%</w:t>
            </w:r>
          </w:p>
        </w:tc>
        <w:tc>
          <w:tcPr>
            <w:tcW w:type="dxa" w:w="4535"/>
          </w:tcPr>
          <w:p>
            <w:pPr>
              <w:jc w:val="center"/>
            </w:pPr>
            <w:r>
              <w:rPr>
                <w:sz w:val="18"/>
              </w:rPr>
            </w:r>
            <w:r>
              <w:rPr>
                <w:b w:val="0"/>
                <w:sz w:val="18"/>
              </w:rPr>
              <w:t>Melt-up through fair value; drift and right tail compound</w:t>
            </w:r>
          </w:p>
        </w:tc>
      </w:tr>
    </w:tbl>
    <w:p/>
    <w:p>
      <w:r>
        <w:rPr>
          <w:b w:val="0"/>
        </w:rPr>
        <w:t>The distribution is right-skewed — the calibrated drift plus fat-tailed innovations put a third of the mass above 56 and only ~8% below 38 — and, unusually, the skew points toward rather than away from the fundamental value. Hold the two reads in their proper lanes all the same: this is the spread of outcomes consistent with the stock's own volatility, trend and factor stack. It is not a forecast, and it is emphatically not a fair-value statement.</w:t>
      </w:r>
    </w:p>
    <w:p>
      <w:pPr>
        <w:pStyle w:val="Heading1"/>
      </w:pPr>
      <w:r>
        <w:t>7  Caveats and what would change our mind</w:t>
      </w:r>
    </w:p>
    <w:p>
      <w:pPr>
        <w:pStyle w:val="ListBullet"/>
      </w:pPr>
      <w:r>
        <w:rPr>
          <w:b/>
          <w:sz w:val="21"/>
        </w:rPr>
        <w:t xml:space="preserve">The drift is a regime bet. </w:t>
      </w:r>
      <w:r>
        <w:rPr>
          <w:b w:val="0"/>
          <w:sz w:val="21"/>
        </w:rPr>
        <w:t>Step 0 selected secular drift ON because five years of devaluation-driven uptrend made zero drift fail the PIT test — but trend drifts break precisely at regime turns (our Samsung and Tata backtests reversed in-sample). If disinflation succeeds and the nominal regime ends, the cone's centre is wrong first. The falsification is visible in the ledger within one or two cohorts.</w:t>
      </w:r>
    </w:p>
    <w:p>
      <w:pPr>
        <w:pStyle w:val="ListBullet"/>
      </w:pPr>
      <w:r>
        <w:rPr>
          <w:b/>
          <w:sz w:val="21"/>
        </w:rPr>
        <w:t xml:space="preserve">The terminal ROE is a judgment. </w:t>
      </w:r>
      <w:r>
        <w:rPr>
          <w:b w:val="0"/>
          <w:sz w:val="21"/>
        </w:rPr>
        <w:t>We grant 28% forever — extraordinary by global standards, defensible only in nominal EGP. If the true through-cycle number is 24%, fair value drops toward EGP 42; at 32% it exceeds 66 (§1.9).</w:t>
      </w:r>
    </w:p>
    <w:p>
      <w:pPr>
        <w:pStyle w:val="ListBullet"/>
      </w:pPr>
      <w:r>
        <w:rPr>
          <w:b/>
          <w:sz w:val="21"/>
        </w:rPr>
        <w:t xml:space="preserve">The credit cycle is at its most flattering point. </w:t>
      </w:r>
      <w:r>
        <w:rPr>
          <w:b w:val="0"/>
          <w:sz w:val="21"/>
        </w:rPr>
        <w:t>A benign cost of risk after +53% financing growth — and +15.6% more in one quarter — is a boom-cycle reading. Our 1.0–1.1% normalization could be optimistic (Egypt's own history has episodes well above 2%) or pessimistic if the private-capex revival is durable.</w:t>
      </w:r>
    </w:p>
    <w:p>
      <w:pPr>
        <w:pStyle w:val="ListBullet"/>
      </w:pPr>
      <w:r>
        <w:rPr>
          <w:b/>
          <w:sz w:val="21"/>
        </w:rPr>
        <w:t xml:space="preserve">The pound is outside the model. </w:t>
      </w:r>
      <w:r>
        <w:rPr>
          <w:b w:val="0"/>
          <w:sz w:val="21"/>
        </w:rPr>
        <w:t>Every figure here is EGP. A step-devaluation would lift EGP earnings and book while cutting their dollar value; readers who think in USD must overlay their own FX view.</w:t>
      </w:r>
    </w:p>
    <w:p>
      <w:pPr>
        <w:pStyle w:val="ListBullet"/>
      </w:pPr>
      <w:r>
        <w:rPr>
          <w:b/>
          <w:sz w:val="21"/>
        </w:rPr>
        <w:t xml:space="preserve">Dilution mechanics. </w:t>
      </w:r>
      <w:r>
        <w:rPr>
          <w:b w:val="0"/>
          <w:sz w:val="21"/>
        </w:rPr>
        <w:t>All per-share figures are pro-forma the approved EGP 12→15bn increase (1,500mn shares); the terms of execution, and any *further* increase beyond it, would move the per-share numbers — a fourth raise of 20% at spot would cut fair value per share by roughly a tenth unless deployed at today's returns.</w:t>
      </w:r>
    </w:p>
    <w:p>
      <w:pPr>
        <w:pStyle w:val="ListBullet"/>
      </w:pPr>
      <w:r>
        <w:rPr>
          <w:b/>
          <w:sz w:val="21"/>
        </w:rPr>
        <w:t xml:space="preserve">The factor set is new. </w:t>
      </w:r>
      <w:r>
        <w:rPr>
          <w:b w:val="0"/>
          <w:sz w:val="21"/>
        </w:rPr>
        <w:t>The 16-factor egx_bank structure is house-standard but its magnitudes are uncalibrated starting judgments, flagged calibrated=False pending sign-off.</w:t>
      </w:r>
    </w:p>
    <w:p>
      <w:pPr>
        <w:pStyle w:val="ListBullet"/>
      </w:pPr>
      <w:r>
        <w:rPr>
          <w:b/>
          <w:sz w:val="21"/>
        </w:rPr>
        <w:t xml:space="preserve">Estimates. </w:t>
      </w:r>
      <w:r>
        <w:rPr>
          <w:b w:val="0"/>
          <w:sz w:val="21"/>
        </w:rPr>
        <w:t>FY23 detail and several balance-sheet lines are derived to disclosed totals (flagged 'e' in the model); reported segmentals could shift line items without changing the value story.</w:t>
      </w:r>
    </w:p>
    <w:p>
      <w:pPr>
        <w:pStyle w:val="Heading1"/>
      </w:pPr>
      <w:r>
        <w:t>Appendix A  Financial statements — three years reported, five years forecast</w:t>
      </w:r>
    </w:p>
    <w:p>
      <w:r>
        <w:rPr>
          <w:b w:val="0"/>
        </w:rPr>
        <w:t>Consolidated statements: FY23–FY25 as reported (FY2025 financial statements &amp; results, Feb 2026; Q1-2026 condensed consolidated statements, May 2026; FY2023 results, Mar 2024) and the FY26E–FY30E forecast generated by the driver build in the companion model — every forecast cell below is a live formula there, linked to the Assumptions sheet. EGP millions. Lines marked e are derived or estimated to balance to disclosed totals. FY25 balance sheet is shown pro-forma the approved EGP 3bn capital increase, consistent with the per-share basis of the study.</w:t>
      </w:r>
    </w:p>
    <w:p>
      <w:pPr>
        <w:pStyle w:val="Heading2"/>
      </w:pPr>
      <w:r>
        <w:t>A.1  Income statement (consolidated, EGP mn) — history and forecast</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084"/>
        <w:gridCol w:w="1084"/>
        <w:gridCol w:w="1084"/>
        <w:gridCol w:w="1084"/>
        <w:gridCol w:w="1084"/>
        <w:gridCol w:w="1084"/>
        <w:gridCol w:w="1084"/>
        <w:gridCol w:w="1084"/>
        <w:gridCol w:w="1084"/>
      </w:tblGrid>
      <w:tr>
        <w:tc>
          <w:tcPr>
            <w:tcW w:type="dxa" w:w="2778"/>
            <w:shd w:val="clear" w:fill="1B5E5E"/>
          </w:tcPr>
          <w:p>
            <w:r/>
            <w:r>
              <w:rPr>
                <w:b/>
                <w:color w:val="FFFFFF"/>
                <w:sz w:val="15"/>
              </w:rPr>
              <w:t>Line</w:t>
            </w:r>
          </w:p>
        </w:tc>
        <w:tc>
          <w:tcPr>
            <w:tcW w:type="dxa" w:w="913"/>
            <w:shd w:val="clear" w:fill="1B5E5E"/>
          </w:tcPr>
          <w:p>
            <w:pPr>
              <w:jc w:val="center"/>
            </w:pPr>
            <w:r/>
            <w:r>
              <w:rPr>
                <w:b/>
                <w:color w:val="FFFFFF"/>
                <w:sz w:val="15"/>
              </w:rPr>
              <w:t>FY23</w:t>
            </w:r>
          </w:p>
        </w:tc>
        <w:tc>
          <w:tcPr>
            <w:tcW w:type="dxa" w:w="913"/>
            <w:shd w:val="clear" w:fill="1B5E5E"/>
          </w:tcPr>
          <w:p>
            <w:pPr>
              <w:jc w:val="center"/>
            </w:pPr>
            <w:r/>
            <w:r>
              <w:rPr>
                <w:b/>
                <w:color w:val="FFFFFF"/>
                <w:sz w:val="15"/>
              </w:rPr>
              <w:t>FY24</w:t>
            </w:r>
          </w:p>
        </w:tc>
        <w:tc>
          <w:tcPr>
            <w:tcW w:type="dxa" w:w="913"/>
            <w:shd w:val="clear" w:fill="1B5E5E"/>
          </w:tcPr>
          <w:p>
            <w:pPr>
              <w:jc w:val="center"/>
            </w:pPr>
            <w:r/>
            <w:r>
              <w:rPr>
                <w:b/>
                <w:color w:val="FFFFFF"/>
                <w:sz w:val="15"/>
              </w:rPr>
              <w:t>FY25</w:t>
            </w:r>
          </w:p>
        </w:tc>
        <w:tc>
          <w:tcPr>
            <w:tcW w:type="dxa" w:w="913"/>
            <w:shd w:val="clear" w:fill="1B5E5E"/>
          </w:tcPr>
          <w:p>
            <w:pPr>
              <w:jc w:val="center"/>
            </w:pPr>
            <w:r/>
            <w:r>
              <w:rPr>
                <w:b/>
                <w:color w:val="FFFFFF"/>
                <w:sz w:val="15"/>
              </w:rPr>
              <w:t>FY26E</w:t>
            </w:r>
          </w:p>
        </w:tc>
        <w:tc>
          <w:tcPr>
            <w:tcW w:type="dxa" w:w="913"/>
            <w:shd w:val="clear" w:fill="1B5E5E"/>
          </w:tcPr>
          <w:p>
            <w:pPr>
              <w:jc w:val="center"/>
            </w:pPr>
            <w:r/>
            <w:r>
              <w:rPr>
                <w:b/>
                <w:color w:val="FFFFFF"/>
                <w:sz w:val="15"/>
              </w:rPr>
              <w:t>FY27E</w:t>
            </w:r>
          </w:p>
        </w:tc>
        <w:tc>
          <w:tcPr>
            <w:tcW w:type="dxa" w:w="913"/>
            <w:shd w:val="clear" w:fill="1B5E5E"/>
          </w:tcPr>
          <w:p>
            <w:pPr>
              <w:jc w:val="center"/>
            </w:pPr>
            <w:r/>
            <w:r>
              <w:rPr>
                <w:b/>
                <w:color w:val="FFFFFF"/>
                <w:sz w:val="15"/>
              </w:rPr>
              <w:t>FY28E</w:t>
            </w:r>
          </w:p>
        </w:tc>
        <w:tc>
          <w:tcPr>
            <w:tcW w:type="dxa" w:w="913"/>
            <w:shd w:val="clear" w:fill="1B5E5E"/>
          </w:tcPr>
          <w:p>
            <w:pPr>
              <w:jc w:val="center"/>
            </w:pPr>
            <w:r/>
            <w:r>
              <w:rPr>
                <w:b/>
                <w:color w:val="FFFFFF"/>
                <w:sz w:val="15"/>
              </w:rPr>
              <w:t>FY29E</w:t>
            </w:r>
          </w:p>
        </w:tc>
        <w:tc>
          <w:tcPr>
            <w:tcW w:type="dxa" w:w="913"/>
            <w:shd w:val="clear" w:fill="1B5E5E"/>
          </w:tcPr>
          <w:p>
            <w:pPr>
              <w:jc w:val="center"/>
            </w:pPr>
            <w:r/>
            <w:r>
              <w:rPr>
                <w:b/>
                <w:color w:val="FFFFFF"/>
                <w:sz w:val="15"/>
              </w:rPr>
              <w:t>FY30E</w:t>
            </w:r>
          </w:p>
        </w:tc>
      </w:tr>
      <w:tr>
        <w:tc>
          <w:tcPr>
            <w:tcW w:type="dxa" w:w="2778"/>
          </w:tcPr>
          <w:p>
            <w:r>
              <w:rPr>
                <w:sz w:val="15"/>
              </w:rPr>
            </w:r>
            <w:r>
              <w:rPr>
                <w:b w:val="0"/>
                <w:sz w:val="15"/>
              </w:rPr>
              <w:t>Net income from funds</w:t>
            </w:r>
          </w:p>
        </w:tc>
        <w:tc>
          <w:tcPr>
            <w:tcW w:type="dxa" w:w="913"/>
          </w:tcPr>
          <w:p>
            <w:pPr>
              <w:jc w:val="center"/>
            </w:pPr>
            <w:r>
              <w:rPr>
                <w:sz w:val="15"/>
              </w:rPr>
            </w:r>
            <w:r>
              <w:rPr>
                <w:b w:val="0"/>
                <w:sz w:val="15"/>
              </w:rPr>
              <w:t>8,900</w:t>
            </w:r>
          </w:p>
        </w:tc>
        <w:tc>
          <w:tcPr>
            <w:tcW w:type="dxa" w:w="913"/>
          </w:tcPr>
          <w:p>
            <w:pPr>
              <w:jc w:val="center"/>
            </w:pPr>
            <w:r>
              <w:rPr>
                <w:sz w:val="15"/>
              </w:rPr>
            </w:r>
            <w:r>
              <w:rPr>
                <w:b w:val="0"/>
                <w:sz w:val="15"/>
              </w:rPr>
              <w:t>15,252</w:t>
            </w:r>
          </w:p>
        </w:tc>
        <w:tc>
          <w:tcPr>
            <w:tcW w:type="dxa" w:w="913"/>
          </w:tcPr>
          <w:p>
            <w:pPr>
              <w:jc w:val="center"/>
            </w:pPr>
            <w:r>
              <w:rPr>
                <w:sz w:val="15"/>
              </w:rPr>
            </w:r>
            <w:r>
              <w:rPr>
                <w:b w:val="0"/>
                <w:sz w:val="15"/>
              </w:rPr>
              <w:t>20,152</w:t>
            </w:r>
          </w:p>
        </w:tc>
        <w:tc>
          <w:tcPr>
            <w:tcW w:type="dxa" w:w="913"/>
          </w:tcPr>
          <w:p>
            <w:pPr>
              <w:jc w:val="center"/>
            </w:pPr>
            <w:r>
              <w:rPr>
                <w:sz w:val="15"/>
              </w:rPr>
            </w:r>
            <w:r>
              <w:rPr>
                <w:b w:val="0"/>
                <w:sz w:val="15"/>
              </w:rPr>
              <w:t>24,888</w:t>
            </w:r>
          </w:p>
        </w:tc>
        <w:tc>
          <w:tcPr>
            <w:tcW w:type="dxa" w:w="913"/>
          </w:tcPr>
          <w:p>
            <w:pPr>
              <w:jc w:val="center"/>
            </w:pPr>
            <w:r>
              <w:rPr>
                <w:sz w:val="15"/>
              </w:rPr>
            </w:r>
            <w:r>
              <w:rPr>
                <w:b w:val="0"/>
                <w:sz w:val="15"/>
              </w:rPr>
              <w:t>29,741</w:t>
            </w:r>
          </w:p>
        </w:tc>
        <w:tc>
          <w:tcPr>
            <w:tcW w:type="dxa" w:w="913"/>
          </w:tcPr>
          <w:p>
            <w:pPr>
              <w:jc w:val="center"/>
            </w:pPr>
            <w:r>
              <w:rPr>
                <w:sz w:val="15"/>
              </w:rPr>
            </w:r>
            <w:r>
              <w:rPr>
                <w:b w:val="0"/>
                <w:sz w:val="15"/>
              </w:rPr>
              <w:t>34,945</w:t>
            </w:r>
          </w:p>
        </w:tc>
        <w:tc>
          <w:tcPr>
            <w:tcW w:type="dxa" w:w="913"/>
          </w:tcPr>
          <w:p>
            <w:pPr>
              <w:jc w:val="center"/>
            </w:pPr>
            <w:r>
              <w:rPr>
                <w:sz w:val="15"/>
              </w:rPr>
            </w:r>
            <w:r>
              <w:rPr>
                <w:b w:val="0"/>
                <w:sz w:val="15"/>
              </w:rPr>
              <w:t>40,362</w:t>
            </w:r>
          </w:p>
        </w:tc>
        <w:tc>
          <w:tcPr>
            <w:tcW w:type="dxa" w:w="913"/>
          </w:tcPr>
          <w:p>
            <w:pPr>
              <w:jc w:val="center"/>
            </w:pPr>
            <w:r>
              <w:rPr>
                <w:sz w:val="15"/>
              </w:rPr>
            </w:r>
            <w:r>
              <w:rPr>
                <w:b w:val="0"/>
                <w:sz w:val="15"/>
              </w:rPr>
              <w:t>45,811</w:t>
            </w:r>
          </w:p>
        </w:tc>
      </w:tr>
      <w:tr>
        <w:tc>
          <w:tcPr>
            <w:tcW w:type="dxa" w:w="2778"/>
          </w:tcPr>
          <w:p>
            <w:r>
              <w:rPr>
                <w:sz w:val="15"/>
              </w:rPr>
            </w:r>
            <w:r>
              <w:rPr>
                <w:b w:val="0"/>
                <w:sz w:val="15"/>
              </w:rPr>
              <w:t>Fees &amp; other operating income</w:t>
            </w:r>
          </w:p>
        </w:tc>
        <w:tc>
          <w:tcPr>
            <w:tcW w:type="dxa" w:w="913"/>
          </w:tcPr>
          <w:p>
            <w:pPr>
              <w:jc w:val="center"/>
            </w:pPr>
            <w:r>
              <w:rPr>
                <w:sz w:val="15"/>
              </w:rPr>
            </w:r>
            <w:r>
              <w:rPr>
                <w:b w:val="0"/>
                <w:sz w:val="15"/>
              </w:rPr>
              <w:t>2,000</w:t>
            </w:r>
          </w:p>
        </w:tc>
        <w:tc>
          <w:tcPr>
            <w:tcW w:type="dxa" w:w="913"/>
          </w:tcPr>
          <w:p>
            <w:pPr>
              <w:jc w:val="center"/>
            </w:pPr>
            <w:r>
              <w:rPr>
                <w:sz w:val="15"/>
              </w:rPr>
            </w:r>
            <w:r>
              <w:rPr>
                <w:b w:val="0"/>
                <w:sz w:val="15"/>
              </w:rPr>
              <w:t>2,758</w:t>
            </w:r>
          </w:p>
        </w:tc>
        <w:tc>
          <w:tcPr>
            <w:tcW w:type="dxa" w:w="913"/>
          </w:tcPr>
          <w:p>
            <w:pPr>
              <w:jc w:val="center"/>
            </w:pPr>
            <w:r>
              <w:rPr>
                <w:sz w:val="15"/>
              </w:rPr>
            </w:r>
            <w:r>
              <w:rPr>
                <w:b w:val="0"/>
                <w:sz w:val="15"/>
              </w:rPr>
              <w:t>3,448</w:t>
            </w:r>
          </w:p>
        </w:tc>
        <w:tc>
          <w:tcPr>
            <w:tcW w:type="dxa" w:w="913"/>
          </w:tcPr>
          <w:p>
            <w:pPr>
              <w:jc w:val="center"/>
            </w:pPr>
            <w:r>
              <w:rPr>
                <w:sz w:val="15"/>
              </w:rPr>
            </w:r>
            <w:r>
              <w:rPr>
                <w:b w:val="0"/>
                <w:sz w:val="15"/>
              </w:rPr>
              <w:t>4,258</w:t>
            </w:r>
          </w:p>
        </w:tc>
        <w:tc>
          <w:tcPr>
            <w:tcW w:type="dxa" w:w="913"/>
          </w:tcPr>
          <w:p>
            <w:pPr>
              <w:jc w:val="center"/>
            </w:pPr>
            <w:r>
              <w:rPr>
                <w:sz w:val="15"/>
              </w:rPr>
            </w:r>
            <w:r>
              <w:rPr>
                <w:b w:val="0"/>
                <w:sz w:val="15"/>
              </w:rPr>
              <w:t>5,089</w:t>
            </w:r>
          </w:p>
        </w:tc>
        <w:tc>
          <w:tcPr>
            <w:tcW w:type="dxa" w:w="913"/>
          </w:tcPr>
          <w:p>
            <w:pPr>
              <w:jc w:val="center"/>
            </w:pPr>
            <w:r>
              <w:rPr>
                <w:sz w:val="15"/>
              </w:rPr>
            </w:r>
            <w:r>
              <w:rPr>
                <w:b w:val="0"/>
                <w:sz w:val="15"/>
              </w:rPr>
              <w:t>5,979</w:t>
            </w:r>
          </w:p>
        </w:tc>
        <w:tc>
          <w:tcPr>
            <w:tcW w:type="dxa" w:w="913"/>
          </w:tcPr>
          <w:p>
            <w:pPr>
              <w:jc w:val="center"/>
            </w:pPr>
            <w:r>
              <w:rPr>
                <w:sz w:val="15"/>
              </w:rPr>
            </w:r>
            <w:r>
              <w:rPr>
                <w:b w:val="0"/>
                <w:sz w:val="15"/>
              </w:rPr>
              <w:t>6,906</w:t>
            </w:r>
          </w:p>
        </w:tc>
        <w:tc>
          <w:tcPr>
            <w:tcW w:type="dxa" w:w="913"/>
          </w:tcPr>
          <w:p>
            <w:pPr>
              <w:jc w:val="center"/>
            </w:pPr>
            <w:r>
              <w:rPr>
                <w:sz w:val="15"/>
              </w:rPr>
            </w:r>
            <w:r>
              <w:rPr>
                <w:b w:val="0"/>
                <w:sz w:val="15"/>
              </w:rPr>
              <w:t>7,838</w:t>
            </w:r>
          </w:p>
        </w:tc>
      </w:tr>
      <w:tr>
        <w:tc>
          <w:tcPr>
            <w:tcW w:type="dxa" w:w="2778"/>
            <w:shd w:val="clear" w:fill="F3F7F7"/>
          </w:tcPr>
          <w:p>
            <w:r>
              <w:rPr>
                <w:b/>
                <w:sz w:val="15"/>
              </w:rPr>
            </w:r>
            <w:r>
              <w:rPr>
                <w:b/>
                <w:sz w:val="15"/>
              </w:rPr>
              <w:t>Total operating income</w:t>
            </w:r>
          </w:p>
        </w:tc>
        <w:tc>
          <w:tcPr>
            <w:tcW w:type="dxa" w:w="913"/>
            <w:shd w:val="clear" w:fill="F3F7F7"/>
          </w:tcPr>
          <w:p>
            <w:pPr>
              <w:jc w:val="center"/>
            </w:pPr>
            <w:r>
              <w:rPr>
                <w:b/>
                <w:sz w:val="15"/>
              </w:rPr>
            </w:r>
            <w:r>
              <w:rPr>
                <w:b/>
                <w:sz w:val="15"/>
              </w:rPr>
              <w:t>10,900</w:t>
            </w:r>
          </w:p>
        </w:tc>
        <w:tc>
          <w:tcPr>
            <w:tcW w:type="dxa" w:w="913"/>
            <w:shd w:val="clear" w:fill="F3F7F7"/>
          </w:tcPr>
          <w:p>
            <w:pPr>
              <w:jc w:val="center"/>
            </w:pPr>
            <w:r>
              <w:rPr>
                <w:b/>
                <w:sz w:val="15"/>
              </w:rPr>
            </w:r>
            <w:r>
              <w:rPr>
                <w:b/>
                <w:sz w:val="15"/>
              </w:rPr>
              <w:t>18,010</w:t>
            </w:r>
          </w:p>
        </w:tc>
        <w:tc>
          <w:tcPr>
            <w:tcW w:type="dxa" w:w="913"/>
            <w:shd w:val="clear" w:fill="F3F7F7"/>
          </w:tcPr>
          <w:p>
            <w:pPr>
              <w:jc w:val="center"/>
            </w:pPr>
            <w:r>
              <w:rPr>
                <w:b/>
                <w:sz w:val="15"/>
              </w:rPr>
            </w:r>
            <w:r>
              <w:rPr>
                <w:b/>
                <w:sz w:val="15"/>
              </w:rPr>
              <w:t>23,600</w:t>
            </w:r>
          </w:p>
        </w:tc>
        <w:tc>
          <w:tcPr>
            <w:tcW w:type="dxa" w:w="913"/>
            <w:shd w:val="clear" w:fill="F3F7F7"/>
          </w:tcPr>
          <w:p>
            <w:pPr>
              <w:jc w:val="center"/>
            </w:pPr>
            <w:r>
              <w:rPr>
                <w:b/>
                <w:sz w:val="15"/>
              </w:rPr>
            </w:r>
            <w:r>
              <w:rPr>
                <w:b/>
                <w:sz w:val="15"/>
              </w:rPr>
              <w:t>29,146</w:t>
            </w:r>
          </w:p>
        </w:tc>
        <w:tc>
          <w:tcPr>
            <w:tcW w:type="dxa" w:w="913"/>
            <w:shd w:val="clear" w:fill="F3F7F7"/>
          </w:tcPr>
          <w:p>
            <w:pPr>
              <w:jc w:val="center"/>
            </w:pPr>
            <w:r>
              <w:rPr>
                <w:b/>
                <w:sz w:val="15"/>
              </w:rPr>
            </w:r>
            <w:r>
              <w:rPr>
                <w:b/>
                <w:sz w:val="15"/>
              </w:rPr>
              <w:t>34,829</w:t>
            </w:r>
          </w:p>
        </w:tc>
        <w:tc>
          <w:tcPr>
            <w:tcW w:type="dxa" w:w="913"/>
            <w:shd w:val="clear" w:fill="F3F7F7"/>
          </w:tcPr>
          <w:p>
            <w:pPr>
              <w:jc w:val="center"/>
            </w:pPr>
            <w:r>
              <w:rPr>
                <w:b/>
                <w:sz w:val="15"/>
              </w:rPr>
            </w:r>
            <w:r>
              <w:rPr>
                <w:b/>
                <w:sz w:val="15"/>
              </w:rPr>
              <w:t>40,925</w:t>
            </w:r>
          </w:p>
        </w:tc>
        <w:tc>
          <w:tcPr>
            <w:tcW w:type="dxa" w:w="913"/>
            <w:shd w:val="clear" w:fill="F3F7F7"/>
          </w:tcPr>
          <w:p>
            <w:pPr>
              <w:jc w:val="center"/>
            </w:pPr>
            <w:r>
              <w:rPr>
                <w:b/>
                <w:sz w:val="15"/>
              </w:rPr>
            </w:r>
            <w:r>
              <w:rPr>
                <w:b/>
                <w:sz w:val="15"/>
              </w:rPr>
              <w:t>47,268</w:t>
            </w:r>
          </w:p>
        </w:tc>
        <w:tc>
          <w:tcPr>
            <w:tcW w:type="dxa" w:w="913"/>
            <w:shd w:val="clear" w:fill="F3F7F7"/>
          </w:tcPr>
          <w:p>
            <w:pPr>
              <w:jc w:val="center"/>
            </w:pPr>
            <w:r>
              <w:rPr>
                <w:b/>
                <w:sz w:val="15"/>
              </w:rPr>
            </w:r>
            <w:r>
              <w:rPr>
                <w:b/>
                <w:sz w:val="15"/>
              </w:rPr>
              <w:t>53,649</w:t>
            </w:r>
          </w:p>
        </w:tc>
      </w:tr>
      <w:tr>
        <w:tc>
          <w:tcPr>
            <w:tcW w:type="dxa" w:w="2778"/>
          </w:tcPr>
          <w:p>
            <w:r>
              <w:rPr>
                <w:sz w:val="15"/>
              </w:rPr>
            </w:r>
            <w:r>
              <w:rPr>
                <w:b w:val="0"/>
                <w:sz w:val="15"/>
              </w:rPr>
              <w:t>Operating expenses</w:t>
            </w:r>
          </w:p>
        </w:tc>
        <w:tc>
          <w:tcPr>
            <w:tcW w:type="dxa" w:w="913"/>
          </w:tcPr>
          <w:p>
            <w:pPr>
              <w:jc w:val="center"/>
            </w:pPr>
            <w:r>
              <w:rPr>
                <w:sz w:val="15"/>
              </w:rPr>
            </w:r>
            <w:r>
              <w:rPr>
                <w:b w:val="0"/>
                <w:sz w:val="15"/>
              </w:rPr>
              <w:t>(2,830)</w:t>
            </w:r>
          </w:p>
        </w:tc>
        <w:tc>
          <w:tcPr>
            <w:tcW w:type="dxa" w:w="913"/>
          </w:tcPr>
          <w:p>
            <w:pPr>
              <w:jc w:val="center"/>
            </w:pPr>
            <w:r>
              <w:rPr>
                <w:sz w:val="15"/>
              </w:rPr>
            </w:r>
            <w:r>
              <w:rPr>
                <w:b w:val="0"/>
                <w:sz w:val="15"/>
              </w:rPr>
              <w:t>(3,420)</w:t>
            </w:r>
          </w:p>
        </w:tc>
        <w:tc>
          <w:tcPr>
            <w:tcW w:type="dxa" w:w="913"/>
          </w:tcPr>
          <w:p>
            <w:pPr>
              <w:jc w:val="center"/>
            </w:pPr>
            <w:r>
              <w:rPr>
                <w:sz w:val="15"/>
              </w:rPr>
            </w:r>
            <w:r>
              <w:rPr>
                <w:b w:val="0"/>
                <w:sz w:val="15"/>
              </w:rPr>
              <w:t>(4,060)</w:t>
            </w:r>
          </w:p>
        </w:tc>
        <w:tc>
          <w:tcPr>
            <w:tcW w:type="dxa" w:w="913"/>
          </w:tcPr>
          <w:p>
            <w:pPr>
              <w:jc w:val="center"/>
            </w:pPr>
            <w:r>
              <w:rPr>
                <w:sz w:val="15"/>
              </w:rPr>
            </w:r>
            <w:r>
              <w:rPr>
                <w:b w:val="0"/>
                <w:sz w:val="15"/>
              </w:rPr>
              <w:t>(5,246)</w:t>
            </w:r>
          </w:p>
        </w:tc>
        <w:tc>
          <w:tcPr>
            <w:tcW w:type="dxa" w:w="913"/>
          </w:tcPr>
          <w:p>
            <w:pPr>
              <w:jc w:val="center"/>
            </w:pPr>
            <w:r>
              <w:rPr>
                <w:sz w:val="15"/>
              </w:rPr>
            </w:r>
            <w:r>
              <w:rPr>
                <w:b w:val="0"/>
                <w:sz w:val="15"/>
              </w:rPr>
              <w:t>(6,443)</w:t>
            </w:r>
          </w:p>
        </w:tc>
        <w:tc>
          <w:tcPr>
            <w:tcW w:type="dxa" w:w="913"/>
          </w:tcPr>
          <w:p>
            <w:pPr>
              <w:jc w:val="center"/>
            </w:pPr>
            <w:r>
              <w:rPr>
                <w:sz w:val="15"/>
              </w:rPr>
            </w:r>
            <w:r>
              <w:rPr>
                <w:b w:val="0"/>
                <w:sz w:val="15"/>
              </w:rPr>
              <w:t>(7,776)</w:t>
            </w:r>
          </w:p>
        </w:tc>
        <w:tc>
          <w:tcPr>
            <w:tcW w:type="dxa" w:w="913"/>
          </w:tcPr>
          <w:p>
            <w:pPr>
              <w:jc w:val="center"/>
            </w:pPr>
            <w:r>
              <w:rPr>
                <w:sz w:val="15"/>
              </w:rPr>
            </w:r>
            <w:r>
              <w:rPr>
                <w:b w:val="0"/>
                <w:sz w:val="15"/>
              </w:rPr>
              <w:t>(9,217)</w:t>
            </w:r>
          </w:p>
        </w:tc>
        <w:tc>
          <w:tcPr>
            <w:tcW w:type="dxa" w:w="913"/>
          </w:tcPr>
          <w:p>
            <w:pPr>
              <w:jc w:val="center"/>
            </w:pPr>
            <w:r>
              <w:rPr>
                <w:sz w:val="15"/>
              </w:rPr>
            </w:r>
            <w:r>
              <w:rPr>
                <w:b w:val="0"/>
                <w:sz w:val="15"/>
              </w:rPr>
              <w:t>(10,730)</w:t>
            </w:r>
          </w:p>
        </w:tc>
      </w:tr>
      <w:tr>
        <w:tc>
          <w:tcPr>
            <w:tcW w:type="dxa" w:w="2778"/>
          </w:tcPr>
          <w:p>
            <w:r>
              <w:rPr>
                <w:sz w:val="15"/>
              </w:rPr>
            </w:r>
            <w:r>
              <w:rPr>
                <w:b w:val="0"/>
                <w:sz w:val="15"/>
              </w:rPr>
              <w:t>Provision for impairment (ECL)</w:t>
            </w:r>
          </w:p>
        </w:tc>
        <w:tc>
          <w:tcPr>
            <w:tcW w:type="dxa" w:w="913"/>
          </w:tcPr>
          <w:p>
            <w:pPr>
              <w:jc w:val="center"/>
            </w:pPr>
            <w:r>
              <w:rPr>
                <w:sz w:val="15"/>
              </w:rPr>
            </w:r>
            <w:r>
              <w:rPr>
                <w:b w:val="0"/>
                <w:sz w:val="15"/>
              </w:rPr>
              <w:t>(1,470)</w:t>
            </w:r>
          </w:p>
        </w:tc>
        <w:tc>
          <w:tcPr>
            <w:tcW w:type="dxa" w:w="913"/>
          </w:tcPr>
          <w:p>
            <w:pPr>
              <w:jc w:val="center"/>
            </w:pPr>
            <w:r>
              <w:rPr>
                <w:sz w:val="15"/>
              </w:rPr>
            </w:r>
            <w:r>
              <w:rPr>
                <w:b w:val="0"/>
                <w:sz w:val="15"/>
              </w:rPr>
              <w:t>(2,180)</w:t>
            </w:r>
          </w:p>
        </w:tc>
        <w:tc>
          <w:tcPr>
            <w:tcW w:type="dxa" w:w="913"/>
          </w:tcPr>
          <w:p>
            <w:pPr>
              <w:jc w:val="center"/>
            </w:pPr>
            <w:r>
              <w:rPr>
                <w:sz w:val="15"/>
              </w:rPr>
            </w:r>
            <w:r>
              <w:rPr>
                <w:b w:val="0"/>
                <w:sz w:val="15"/>
              </w:rPr>
              <w:t>(1,940)</w:t>
            </w:r>
          </w:p>
        </w:tc>
        <w:tc>
          <w:tcPr>
            <w:tcW w:type="dxa" w:w="913"/>
          </w:tcPr>
          <w:p>
            <w:pPr>
              <w:jc w:val="center"/>
            </w:pPr>
            <w:r>
              <w:rPr>
                <w:sz w:val="15"/>
              </w:rPr>
            </w:r>
            <w:r>
              <w:rPr>
                <w:b w:val="0"/>
                <w:sz w:val="15"/>
              </w:rPr>
              <w:t>(2,011)</w:t>
            </w:r>
          </w:p>
        </w:tc>
        <w:tc>
          <w:tcPr>
            <w:tcW w:type="dxa" w:w="913"/>
          </w:tcPr>
          <w:p>
            <w:pPr>
              <w:jc w:val="center"/>
            </w:pPr>
            <w:r>
              <w:rPr>
                <w:sz w:val="15"/>
              </w:rPr>
            </w:r>
            <w:r>
              <w:rPr>
                <w:b w:val="0"/>
                <w:sz w:val="15"/>
              </w:rPr>
              <w:t>(2,558)</w:t>
            </w:r>
          </w:p>
        </w:tc>
        <w:tc>
          <w:tcPr>
            <w:tcW w:type="dxa" w:w="913"/>
          </w:tcPr>
          <w:p>
            <w:pPr>
              <w:jc w:val="center"/>
            </w:pPr>
            <w:r>
              <w:rPr>
                <w:sz w:val="15"/>
              </w:rPr>
            </w:r>
            <w:r>
              <w:rPr>
                <w:b w:val="0"/>
                <w:sz w:val="15"/>
              </w:rPr>
              <w:t>(2,842)</w:t>
            </w:r>
          </w:p>
        </w:tc>
        <w:tc>
          <w:tcPr>
            <w:tcW w:type="dxa" w:w="913"/>
          </w:tcPr>
          <w:p>
            <w:pPr>
              <w:jc w:val="center"/>
            </w:pPr>
            <w:r>
              <w:rPr>
                <w:sz w:val="15"/>
              </w:rPr>
            </w:r>
            <w:r>
              <w:rPr>
                <w:b w:val="0"/>
                <w:sz w:val="15"/>
              </w:rPr>
              <w:t>(3,380)</w:t>
            </w:r>
          </w:p>
        </w:tc>
        <w:tc>
          <w:tcPr>
            <w:tcW w:type="dxa" w:w="913"/>
          </w:tcPr>
          <w:p>
            <w:pPr>
              <w:jc w:val="center"/>
            </w:pPr>
            <w:r>
              <w:rPr>
                <w:sz w:val="15"/>
              </w:rPr>
            </w:r>
            <w:r>
              <w:rPr>
                <w:b w:val="0"/>
                <w:sz w:val="15"/>
              </w:rPr>
              <w:t>(3,540)</w:t>
            </w:r>
          </w:p>
        </w:tc>
      </w:tr>
      <w:tr>
        <w:tc>
          <w:tcPr>
            <w:tcW w:type="dxa" w:w="2778"/>
            <w:shd w:val="clear" w:fill="F3F7F7"/>
          </w:tcPr>
          <w:p>
            <w:r>
              <w:rPr>
                <w:b/>
                <w:sz w:val="15"/>
              </w:rPr>
            </w:r>
            <w:r>
              <w:rPr>
                <w:b/>
                <w:sz w:val="15"/>
              </w:rPr>
              <w:t>Profit before tax</w:t>
            </w:r>
          </w:p>
        </w:tc>
        <w:tc>
          <w:tcPr>
            <w:tcW w:type="dxa" w:w="913"/>
            <w:shd w:val="clear" w:fill="F3F7F7"/>
          </w:tcPr>
          <w:p>
            <w:pPr>
              <w:jc w:val="center"/>
            </w:pPr>
            <w:r>
              <w:rPr>
                <w:b/>
                <w:sz w:val="15"/>
              </w:rPr>
            </w:r>
            <w:r>
              <w:rPr>
                <w:b/>
                <w:sz w:val="15"/>
              </w:rPr>
              <w:t>6,600</w:t>
            </w:r>
          </w:p>
        </w:tc>
        <w:tc>
          <w:tcPr>
            <w:tcW w:type="dxa" w:w="913"/>
            <w:shd w:val="clear" w:fill="F3F7F7"/>
          </w:tcPr>
          <w:p>
            <w:pPr>
              <w:jc w:val="center"/>
            </w:pPr>
            <w:r>
              <w:rPr>
                <w:b/>
                <w:sz w:val="15"/>
              </w:rPr>
            </w:r>
            <w:r>
              <w:rPr>
                <w:b/>
                <w:sz w:val="15"/>
              </w:rPr>
              <w:t>12,410</w:t>
            </w:r>
          </w:p>
        </w:tc>
        <w:tc>
          <w:tcPr>
            <w:tcW w:type="dxa" w:w="913"/>
            <w:shd w:val="clear" w:fill="F3F7F7"/>
          </w:tcPr>
          <w:p>
            <w:pPr>
              <w:jc w:val="center"/>
            </w:pPr>
            <w:r>
              <w:rPr>
                <w:b/>
                <w:sz w:val="15"/>
              </w:rPr>
            </w:r>
            <w:r>
              <w:rPr>
                <w:b/>
                <w:sz w:val="15"/>
              </w:rPr>
              <w:t>17,600</w:t>
            </w:r>
          </w:p>
        </w:tc>
        <w:tc>
          <w:tcPr>
            <w:tcW w:type="dxa" w:w="913"/>
            <w:shd w:val="clear" w:fill="F3F7F7"/>
          </w:tcPr>
          <w:p>
            <w:pPr>
              <w:jc w:val="center"/>
            </w:pPr>
            <w:r>
              <w:rPr>
                <w:b/>
                <w:sz w:val="15"/>
              </w:rPr>
            </w:r>
            <w:r>
              <w:rPr>
                <w:b/>
                <w:sz w:val="15"/>
              </w:rPr>
              <w:t>21,888</w:t>
            </w:r>
          </w:p>
        </w:tc>
        <w:tc>
          <w:tcPr>
            <w:tcW w:type="dxa" w:w="913"/>
            <w:shd w:val="clear" w:fill="F3F7F7"/>
          </w:tcPr>
          <w:p>
            <w:pPr>
              <w:jc w:val="center"/>
            </w:pPr>
            <w:r>
              <w:rPr>
                <w:b/>
                <w:sz w:val="15"/>
              </w:rPr>
            </w:r>
            <w:r>
              <w:rPr>
                <w:b/>
                <w:sz w:val="15"/>
              </w:rPr>
              <w:t>25,828</w:t>
            </w:r>
          </w:p>
        </w:tc>
        <w:tc>
          <w:tcPr>
            <w:tcW w:type="dxa" w:w="913"/>
            <w:shd w:val="clear" w:fill="F3F7F7"/>
          </w:tcPr>
          <w:p>
            <w:pPr>
              <w:jc w:val="center"/>
            </w:pPr>
            <w:r>
              <w:rPr>
                <w:b/>
                <w:sz w:val="15"/>
              </w:rPr>
            </w:r>
            <w:r>
              <w:rPr>
                <w:b/>
                <w:sz w:val="15"/>
              </w:rPr>
              <w:t>30,307</w:t>
            </w:r>
          </w:p>
        </w:tc>
        <w:tc>
          <w:tcPr>
            <w:tcW w:type="dxa" w:w="913"/>
            <w:shd w:val="clear" w:fill="F3F7F7"/>
          </w:tcPr>
          <w:p>
            <w:pPr>
              <w:jc w:val="center"/>
            </w:pPr>
            <w:r>
              <w:rPr>
                <w:b/>
                <w:sz w:val="15"/>
              </w:rPr>
            </w:r>
            <w:r>
              <w:rPr>
                <w:b/>
                <w:sz w:val="15"/>
              </w:rPr>
              <w:t>34,671</w:t>
            </w:r>
          </w:p>
        </w:tc>
        <w:tc>
          <w:tcPr>
            <w:tcW w:type="dxa" w:w="913"/>
            <w:shd w:val="clear" w:fill="F3F7F7"/>
          </w:tcPr>
          <w:p>
            <w:pPr>
              <w:jc w:val="center"/>
            </w:pPr>
            <w:r>
              <w:rPr>
                <w:b/>
                <w:sz w:val="15"/>
              </w:rPr>
            </w:r>
            <w:r>
              <w:rPr>
                <w:b/>
                <w:sz w:val="15"/>
              </w:rPr>
              <w:t>39,380</w:t>
            </w:r>
          </w:p>
        </w:tc>
      </w:tr>
      <w:tr>
        <w:tc>
          <w:tcPr>
            <w:tcW w:type="dxa" w:w="2778"/>
          </w:tcPr>
          <w:p>
            <w:r>
              <w:rPr>
                <w:sz w:val="15"/>
              </w:rPr>
            </w:r>
            <w:r>
              <w:rPr>
                <w:b w:val="0"/>
                <w:sz w:val="15"/>
              </w:rPr>
              <w:t>Taxation</w:t>
            </w:r>
          </w:p>
        </w:tc>
        <w:tc>
          <w:tcPr>
            <w:tcW w:type="dxa" w:w="913"/>
          </w:tcPr>
          <w:p>
            <w:pPr>
              <w:jc w:val="center"/>
            </w:pPr>
            <w:r>
              <w:rPr>
                <w:sz w:val="15"/>
              </w:rPr>
            </w:r>
            <w:r>
              <w:rPr>
                <w:b w:val="0"/>
                <w:sz w:val="15"/>
              </w:rPr>
              <w:t>(1,810)</w:t>
            </w:r>
          </w:p>
        </w:tc>
        <w:tc>
          <w:tcPr>
            <w:tcW w:type="dxa" w:w="913"/>
          </w:tcPr>
          <w:p>
            <w:pPr>
              <w:jc w:val="center"/>
            </w:pPr>
            <w:r>
              <w:rPr>
                <w:sz w:val="15"/>
              </w:rPr>
            </w:r>
            <w:r>
              <w:rPr>
                <w:b w:val="0"/>
                <w:sz w:val="15"/>
              </w:rPr>
              <w:t>(3,290)</w:t>
            </w:r>
          </w:p>
        </w:tc>
        <w:tc>
          <w:tcPr>
            <w:tcW w:type="dxa" w:w="913"/>
          </w:tcPr>
          <w:p>
            <w:pPr>
              <w:jc w:val="center"/>
            </w:pPr>
            <w:r>
              <w:rPr>
                <w:sz w:val="15"/>
              </w:rPr>
            </w:r>
            <w:r>
              <w:rPr>
                <w:b w:val="0"/>
                <w:sz w:val="15"/>
              </w:rPr>
              <w:t>(4,880)</w:t>
            </w:r>
          </w:p>
        </w:tc>
        <w:tc>
          <w:tcPr>
            <w:tcW w:type="dxa" w:w="913"/>
          </w:tcPr>
          <w:p>
            <w:pPr>
              <w:jc w:val="center"/>
            </w:pPr>
            <w:r>
              <w:rPr>
                <w:sz w:val="15"/>
              </w:rPr>
            </w:r>
            <w:r>
              <w:rPr>
                <w:b w:val="0"/>
                <w:sz w:val="15"/>
              </w:rPr>
              <w:t>(6,019)</w:t>
            </w:r>
          </w:p>
        </w:tc>
        <w:tc>
          <w:tcPr>
            <w:tcW w:type="dxa" w:w="913"/>
          </w:tcPr>
          <w:p>
            <w:pPr>
              <w:jc w:val="center"/>
            </w:pPr>
            <w:r>
              <w:rPr>
                <w:sz w:val="15"/>
              </w:rPr>
            </w:r>
            <w:r>
              <w:rPr>
                <w:b w:val="0"/>
                <w:sz w:val="15"/>
              </w:rPr>
              <w:t>(7,180)</w:t>
            </w:r>
          </w:p>
        </w:tc>
        <w:tc>
          <w:tcPr>
            <w:tcW w:type="dxa" w:w="913"/>
          </w:tcPr>
          <w:p>
            <w:pPr>
              <w:jc w:val="center"/>
            </w:pPr>
            <w:r>
              <w:rPr>
                <w:sz w:val="15"/>
              </w:rPr>
            </w:r>
            <w:r>
              <w:rPr>
                <w:b w:val="0"/>
                <w:sz w:val="15"/>
              </w:rPr>
              <w:t>(8,486)</w:t>
            </w:r>
          </w:p>
        </w:tc>
        <w:tc>
          <w:tcPr>
            <w:tcW w:type="dxa" w:w="913"/>
          </w:tcPr>
          <w:p>
            <w:pPr>
              <w:jc w:val="center"/>
            </w:pPr>
            <w:r>
              <w:rPr>
                <w:sz w:val="15"/>
              </w:rPr>
            </w:r>
            <w:r>
              <w:rPr>
                <w:b w:val="0"/>
                <w:sz w:val="15"/>
              </w:rPr>
              <w:t>(9,708)</w:t>
            </w:r>
          </w:p>
        </w:tc>
        <w:tc>
          <w:tcPr>
            <w:tcW w:type="dxa" w:w="913"/>
          </w:tcPr>
          <w:p>
            <w:pPr>
              <w:jc w:val="center"/>
            </w:pPr>
            <w:r>
              <w:rPr>
                <w:sz w:val="15"/>
              </w:rPr>
            </w:r>
            <w:r>
              <w:rPr>
                <w:b w:val="0"/>
                <w:sz w:val="15"/>
              </w:rPr>
              <w:t>(11,026)</w:t>
            </w:r>
          </w:p>
        </w:tc>
      </w:tr>
      <w:tr>
        <w:tc>
          <w:tcPr>
            <w:tcW w:type="dxa" w:w="2778"/>
          </w:tcPr>
          <w:p>
            <w:r>
              <w:rPr>
                <w:sz w:val="15"/>
              </w:rPr>
            </w:r>
            <w:r>
              <w:rPr>
                <w:b w:val="0"/>
                <w:sz w:val="15"/>
              </w:rPr>
              <w:t>Profit after tax</w:t>
            </w:r>
          </w:p>
        </w:tc>
        <w:tc>
          <w:tcPr>
            <w:tcW w:type="dxa" w:w="913"/>
          </w:tcPr>
          <w:p>
            <w:pPr>
              <w:jc w:val="center"/>
            </w:pPr>
            <w:r>
              <w:rPr>
                <w:sz w:val="15"/>
              </w:rPr>
            </w:r>
            <w:r>
              <w:rPr>
                <w:b w:val="0"/>
                <w:sz w:val="15"/>
              </w:rPr>
              <w:t>4,790</w:t>
            </w:r>
          </w:p>
        </w:tc>
        <w:tc>
          <w:tcPr>
            <w:tcW w:type="dxa" w:w="913"/>
          </w:tcPr>
          <w:p>
            <w:pPr>
              <w:jc w:val="center"/>
            </w:pPr>
            <w:r>
              <w:rPr>
                <w:sz w:val="15"/>
              </w:rPr>
            </w:r>
            <w:r>
              <w:rPr>
                <w:b w:val="0"/>
                <w:sz w:val="15"/>
              </w:rPr>
              <w:t>9,120</w:t>
            </w:r>
          </w:p>
        </w:tc>
        <w:tc>
          <w:tcPr>
            <w:tcW w:type="dxa" w:w="913"/>
          </w:tcPr>
          <w:p>
            <w:pPr>
              <w:jc w:val="center"/>
            </w:pPr>
            <w:r>
              <w:rPr>
                <w:sz w:val="15"/>
              </w:rPr>
            </w:r>
            <w:r>
              <w:rPr>
                <w:b w:val="0"/>
                <w:sz w:val="15"/>
              </w:rPr>
              <w:t>12,720</w:t>
            </w:r>
          </w:p>
        </w:tc>
        <w:tc>
          <w:tcPr>
            <w:tcW w:type="dxa" w:w="913"/>
          </w:tcPr>
          <w:p>
            <w:pPr>
              <w:jc w:val="center"/>
            </w:pPr>
            <w:r>
              <w:rPr>
                <w:sz w:val="15"/>
              </w:rPr>
            </w:r>
            <w:r>
              <w:rPr>
                <w:b w:val="0"/>
                <w:sz w:val="15"/>
              </w:rPr>
              <w:t>15,869</w:t>
            </w:r>
          </w:p>
        </w:tc>
        <w:tc>
          <w:tcPr>
            <w:tcW w:type="dxa" w:w="913"/>
          </w:tcPr>
          <w:p>
            <w:pPr>
              <w:jc w:val="center"/>
            </w:pPr>
            <w:r>
              <w:rPr>
                <w:sz w:val="15"/>
              </w:rPr>
            </w:r>
            <w:r>
              <w:rPr>
                <w:b w:val="0"/>
                <w:sz w:val="15"/>
              </w:rPr>
              <w:t>18,648</w:t>
            </w:r>
          </w:p>
        </w:tc>
        <w:tc>
          <w:tcPr>
            <w:tcW w:type="dxa" w:w="913"/>
          </w:tcPr>
          <w:p>
            <w:pPr>
              <w:jc w:val="center"/>
            </w:pPr>
            <w:r>
              <w:rPr>
                <w:sz w:val="15"/>
              </w:rPr>
            </w:r>
            <w:r>
              <w:rPr>
                <w:b w:val="0"/>
                <w:sz w:val="15"/>
              </w:rPr>
              <w:t>21,821</w:t>
            </w:r>
          </w:p>
        </w:tc>
        <w:tc>
          <w:tcPr>
            <w:tcW w:type="dxa" w:w="913"/>
          </w:tcPr>
          <w:p>
            <w:pPr>
              <w:jc w:val="center"/>
            </w:pPr>
            <w:r>
              <w:rPr>
                <w:sz w:val="15"/>
              </w:rPr>
            </w:r>
            <w:r>
              <w:rPr>
                <w:b w:val="0"/>
                <w:sz w:val="15"/>
              </w:rPr>
              <w:t>24,963</w:t>
            </w:r>
          </w:p>
        </w:tc>
        <w:tc>
          <w:tcPr>
            <w:tcW w:type="dxa" w:w="913"/>
          </w:tcPr>
          <w:p>
            <w:pPr>
              <w:jc w:val="center"/>
            </w:pPr>
            <w:r>
              <w:rPr>
                <w:sz w:val="15"/>
              </w:rPr>
            </w:r>
            <w:r>
              <w:rPr>
                <w:b w:val="0"/>
                <w:sz w:val="15"/>
              </w:rPr>
              <w:t>28,353</w:t>
            </w:r>
          </w:p>
        </w:tc>
      </w:tr>
      <w:tr>
        <w:tc>
          <w:tcPr>
            <w:tcW w:type="dxa" w:w="2778"/>
          </w:tcPr>
          <w:p>
            <w:r>
              <w:rPr>
                <w:sz w:val="15"/>
              </w:rPr>
            </w:r>
            <w:r>
              <w:rPr>
                <w:b w:val="0"/>
                <w:sz w:val="15"/>
              </w:rPr>
              <w:t>Non-controlling interests</w:t>
            </w:r>
          </w:p>
        </w:tc>
        <w:tc>
          <w:tcPr>
            <w:tcW w:type="dxa" w:w="913"/>
          </w:tcPr>
          <w:p>
            <w:pPr>
              <w:jc w:val="center"/>
            </w:pPr>
            <w:r>
              <w:rPr>
                <w:sz w:val="15"/>
              </w:rPr>
            </w:r>
            <w:r>
              <w:rPr>
                <w:b w:val="0"/>
                <w:sz w:val="15"/>
              </w:rPr>
              <w:t>(90)</w:t>
            </w:r>
          </w:p>
        </w:tc>
        <w:tc>
          <w:tcPr>
            <w:tcW w:type="dxa" w:w="913"/>
          </w:tcPr>
          <w:p>
            <w:pPr>
              <w:jc w:val="center"/>
            </w:pPr>
            <w:r>
              <w:rPr>
                <w:sz w:val="15"/>
              </w:rPr>
            </w:r>
            <w:r>
              <w:rPr>
                <w:b w:val="0"/>
                <w:sz w:val="15"/>
              </w:rPr>
              <w:t>(112)</w:t>
            </w:r>
          </w:p>
        </w:tc>
        <w:tc>
          <w:tcPr>
            <w:tcW w:type="dxa" w:w="913"/>
          </w:tcPr>
          <w:p>
            <w:pPr>
              <w:jc w:val="center"/>
            </w:pPr>
            <w:r>
              <w:rPr>
                <w:sz w:val="15"/>
              </w:rPr>
            </w:r>
            <w:r>
              <w:rPr>
                <w:b w:val="0"/>
                <w:sz w:val="15"/>
              </w:rPr>
              <w:t>(132)</w:t>
            </w:r>
          </w:p>
        </w:tc>
        <w:tc>
          <w:tcPr>
            <w:tcW w:type="dxa" w:w="913"/>
          </w:tcPr>
          <w:p>
            <w:pPr>
              <w:jc w:val="center"/>
            </w:pPr>
            <w:r>
              <w:rPr>
                <w:sz w:val="15"/>
              </w:rPr>
            </w:r>
            <w:r>
              <w:rPr>
                <w:b w:val="0"/>
                <w:sz w:val="15"/>
              </w:rPr>
              <w:t>(80)</w:t>
            </w:r>
          </w:p>
        </w:tc>
        <w:tc>
          <w:tcPr>
            <w:tcW w:type="dxa" w:w="913"/>
          </w:tcPr>
          <w:p>
            <w:pPr>
              <w:jc w:val="center"/>
            </w:pPr>
            <w:r>
              <w:rPr>
                <w:sz w:val="15"/>
              </w:rPr>
            </w:r>
            <w:r>
              <w:rPr>
                <w:b w:val="0"/>
                <w:sz w:val="15"/>
              </w:rPr>
              <w:t>(90)</w:t>
            </w:r>
          </w:p>
        </w:tc>
        <w:tc>
          <w:tcPr>
            <w:tcW w:type="dxa" w:w="913"/>
          </w:tcPr>
          <w:p>
            <w:pPr>
              <w:jc w:val="center"/>
            </w:pPr>
            <w:r>
              <w:rPr>
                <w:sz w:val="15"/>
              </w:rPr>
            </w:r>
            <w:r>
              <w:rPr>
                <w:b w:val="0"/>
                <w:sz w:val="15"/>
              </w:rPr>
              <w:t>(100)</w:t>
            </w:r>
          </w:p>
        </w:tc>
        <w:tc>
          <w:tcPr>
            <w:tcW w:type="dxa" w:w="913"/>
          </w:tcPr>
          <w:p>
            <w:pPr>
              <w:jc w:val="center"/>
            </w:pPr>
            <w:r>
              <w:rPr>
                <w:sz w:val="15"/>
              </w:rPr>
            </w:r>
            <w:r>
              <w:rPr>
                <w:b w:val="0"/>
                <w:sz w:val="15"/>
              </w:rPr>
              <w:t>(110)</w:t>
            </w:r>
          </w:p>
        </w:tc>
        <w:tc>
          <w:tcPr>
            <w:tcW w:type="dxa" w:w="913"/>
          </w:tcPr>
          <w:p>
            <w:pPr>
              <w:jc w:val="center"/>
            </w:pPr>
            <w:r>
              <w:rPr>
                <w:sz w:val="15"/>
              </w:rPr>
            </w:r>
            <w:r>
              <w:rPr>
                <w:b w:val="0"/>
                <w:sz w:val="15"/>
              </w:rPr>
              <w:t>(120)</w:t>
            </w:r>
          </w:p>
        </w:tc>
      </w:tr>
      <w:tr>
        <w:tc>
          <w:tcPr>
            <w:tcW w:type="dxa" w:w="2778"/>
            <w:shd w:val="clear" w:fill="F3F7F7"/>
          </w:tcPr>
          <w:p>
            <w:r>
              <w:rPr>
                <w:b/>
                <w:sz w:val="15"/>
              </w:rPr>
            </w:r>
            <w:r>
              <w:rPr>
                <w:b/>
                <w:sz w:val="15"/>
              </w:rPr>
              <w:t>Attributable net profit</w:t>
            </w:r>
          </w:p>
        </w:tc>
        <w:tc>
          <w:tcPr>
            <w:tcW w:type="dxa" w:w="913"/>
            <w:shd w:val="clear" w:fill="F3F7F7"/>
          </w:tcPr>
          <w:p>
            <w:pPr>
              <w:jc w:val="center"/>
            </w:pPr>
            <w:r>
              <w:rPr>
                <w:b/>
                <w:sz w:val="15"/>
              </w:rPr>
            </w:r>
            <w:r>
              <w:rPr>
                <w:b/>
                <w:sz w:val="15"/>
              </w:rPr>
              <w:t>4,700</w:t>
            </w:r>
          </w:p>
        </w:tc>
        <w:tc>
          <w:tcPr>
            <w:tcW w:type="dxa" w:w="913"/>
            <w:shd w:val="clear" w:fill="F3F7F7"/>
          </w:tcPr>
          <w:p>
            <w:pPr>
              <w:jc w:val="center"/>
            </w:pPr>
            <w:r>
              <w:rPr>
                <w:b/>
                <w:sz w:val="15"/>
              </w:rPr>
            </w:r>
            <w:r>
              <w:rPr>
                <w:b/>
                <w:sz w:val="15"/>
              </w:rPr>
              <w:t>9,008</w:t>
            </w:r>
          </w:p>
        </w:tc>
        <w:tc>
          <w:tcPr>
            <w:tcW w:type="dxa" w:w="913"/>
            <w:shd w:val="clear" w:fill="F3F7F7"/>
          </w:tcPr>
          <w:p>
            <w:pPr>
              <w:jc w:val="center"/>
            </w:pPr>
            <w:r>
              <w:rPr>
                <w:b/>
                <w:sz w:val="15"/>
              </w:rPr>
            </w:r>
            <w:r>
              <w:rPr>
                <w:b/>
                <w:sz w:val="15"/>
              </w:rPr>
              <w:t>12,588</w:t>
            </w:r>
          </w:p>
        </w:tc>
        <w:tc>
          <w:tcPr>
            <w:tcW w:type="dxa" w:w="913"/>
            <w:shd w:val="clear" w:fill="F3F7F7"/>
          </w:tcPr>
          <w:p>
            <w:pPr>
              <w:jc w:val="center"/>
            </w:pPr>
            <w:r>
              <w:rPr>
                <w:b/>
                <w:sz w:val="15"/>
              </w:rPr>
            </w:r>
            <w:r>
              <w:rPr>
                <w:b/>
                <w:sz w:val="15"/>
              </w:rPr>
              <w:t>15,789</w:t>
            </w:r>
          </w:p>
        </w:tc>
        <w:tc>
          <w:tcPr>
            <w:tcW w:type="dxa" w:w="913"/>
            <w:shd w:val="clear" w:fill="F3F7F7"/>
          </w:tcPr>
          <w:p>
            <w:pPr>
              <w:jc w:val="center"/>
            </w:pPr>
            <w:r>
              <w:rPr>
                <w:b/>
                <w:sz w:val="15"/>
              </w:rPr>
            </w:r>
            <w:r>
              <w:rPr>
                <w:b/>
                <w:sz w:val="15"/>
              </w:rPr>
              <w:t>18,558</w:t>
            </w:r>
          </w:p>
        </w:tc>
        <w:tc>
          <w:tcPr>
            <w:tcW w:type="dxa" w:w="913"/>
            <w:shd w:val="clear" w:fill="F3F7F7"/>
          </w:tcPr>
          <w:p>
            <w:pPr>
              <w:jc w:val="center"/>
            </w:pPr>
            <w:r>
              <w:rPr>
                <w:b/>
                <w:sz w:val="15"/>
              </w:rPr>
            </w:r>
            <w:r>
              <w:rPr>
                <w:b/>
                <w:sz w:val="15"/>
              </w:rPr>
              <w:t>21,721</w:t>
            </w:r>
          </w:p>
        </w:tc>
        <w:tc>
          <w:tcPr>
            <w:tcW w:type="dxa" w:w="913"/>
            <w:shd w:val="clear" w:fill="F3F7F7"/>
          </w:tcPr>
          <w:p>
            <w:pPr>
              <w:jc w:val="center"/>
            </w:pPr>
            <w:r>
              <w:rPr>
                <w:b/>
                <w:sz w:val="15"/>
              </w:rPr>
            </w:r>
            <w:r>
              <w:rPr>
                <w:b/>
                <w:sz w:val="15"/>
              </w:rPr>
              <w:t>24,853</w:t>
            </w:r>
          </w:p>
        </w:tc>
        <w:tc>
          <w:tcPr>
            <w:tcW w:type="dxa" w:w="913"/>
            <w:shd w:val="clear" w:fill="F3F7F7"/>
          </w:tcPr>
          <w:p>
            <w:pPr>
              <w:jc w:val="center"/>
            </w:pPr>
            <w:r>
              <w:rPr>
                <w:b/>
                <w:sz w:val="15"/>
              </w:rPr>
            </w:r>
            <w:r>
              <w:rPr>
                <w:b/>
                <w:sz w:val="15"/>
              </w:rPr>
              <w:t>28,233</w:t>
            </w:r>
          </w:p>
        </w:tc>
      </w:tr>
      <w:tr>
        <w:tc>
          <w:tcPr>
            <w:tcW w:type="dxa" w:w="2778"/>
          </w:tcPr>
          <w:p>
            <w:r>
              <w:rPr>
                <w:sz w:val="15"/>
              </w:rPr>
            </w:r>
            <w:r>
              <w:rPr>
                <w:b w:val="0"/>
                <w:sz w:val="15"/>
              </w:rPr>
              <w:t>EPS (pro-forma 1,500mn shares, EGP)</w:t>
            </w:r>
          </w:p>
        </w:tc>
        <w:tc>
          <w:tcPr>
            <w:tcW w:type="dxa" w:w="913"/>
          </w:tcPr>
          <w:p>
            <w:pPr>
              <w:jc w:val="center"/>
            </w:pPr>
            <w:r>
              <w:rPr>
                <w:sz w:val="15"/>
              </w:rPr>
            </w:r>
            <w:r>
              <w:rPr>
                <w:b w:val="0"/>
                <w:sz w:val="15"/>
              </w:rPr>
              <w:t>3.13</w:t>
            </w:r>
          </w:p>
        </w:tc>
        <w:tc>
          <w:tcPr>
            <w:tcW w:type="dxa" w:w="913"/>
          </w:tcPr>
          <w:p>
            <w:pPr>
              <w:jc w:val="center"/>
            </w:pPr>
            <w:r>
              <w:rPr>
                <w:sz w:val="15"/>
              </w:rPr>
            </w:r>
            <w:r>
              <w:rPr>
                <w:b w:val="0"/>
                <w:sz w:val="15"/>
              </w:rPr>
              <w:t>6.01</w:t>
            </w:r>
          </w:p>
        </w:tc>
        <w:tc>
          <w:tcPr>
            <w:tcW w:type="dxa" w:w="913"/>
          </w:tcPr>
          <w:p>
            <w:pPr>
              <w:jc w:val="center"/>
            </w:pPr>
            <w:r>
              <w:rPr>
                <w:sz w:val="15"/>
              </w:rPr>
            </w:r>
            <w:r>
              <w:rPr>
                <w:b w:val="0"/>
                <w:sz w:val="15"/>
              </w:rPr>
              <w:t>8.39</w:t>
            </w:r>
          </w:p>
        </w:tc>
        <w:tc>
          <w:tcPr>
            <w:tcW w:type="dxa" w:w="913"/>
          </w:tcPr>
          <w:p>
            <w:pPr>
              <w:jc w:val="center"/>
            </w:pPr>
            <w:r>
              <w:rPr>
                <w:sz w:val="15"/>
              </w:rPr>
            </w:r>
            <w:r>
              <w:rPr>
                <w:b w:val="0"/>
                <w:sz w:val="15"/>
              </w:rPr>
              <w:t>10.53</w:t>
            </w:r>
          </w:p>
        </w:tc>
        <w:tc>
          <w:tcPr>
            <w:tcW w:type="dxa" w:w="913"/>
          </w:tcPr>
          <w:p>
            <w:pPr>
              <w:jc w:val="center"/>
            </w:pPr>
            <w:r>
              <w:rPr>
                <w:sz w:val="15"/>
              </w:rPr>
            </w:r>
            <w:r>
              <w:rPr>
                <w:b w:val="0"/>
                <w:sz w:val="15"/>
              </w:rPr>
              <w:t>12.37</w:t>
            </w:r>
          </w:p>
        </w:tc>
        <w:tc>
          <w:tcPr>
            <w:tcW w:type="dxa" w:w="913"/>
          </w:tcPr>
          <w:p>
            <w:pPr>
              <w:jc w:val="center"/>
            </w:pPr>
            <w:r>
              <w:rPr>
                <w:sz w:val="15"/>
              </w:rPr>
            </w:r>
            <w:r>
              <w:rPr>
                <w:b w:val="0"/>
                <w:sz w:val="15"/>
              </w:rPr>
              <w:t>14.48</w:t>
            </w:r>
          </w:p>
        </w:tc>
        <w:tc>
          <w:tcPr>
            <w:tcW w:type="dxa" w:w="913"/>
          </w:tcPr>
          <w:p>
            <w:pPr>
              <w:jc w:val="center"/>
            </w:pPr>
            <w:r>
              <w:rPr>
                <w:sz w:val="15"/>
              </w:rPr>
            </w:r>
            <w:r>
              <w:rPr>
                <w:b w:val="0"/>
                <w:sz w:val="15"/>
              </w:rPr>
              <w:t>16.57</w:t>
            </w:r>
          </w:p>
        </w:tc>
        <w:tc>
          <w:tcPr>
            <w:tcW w:type="dxa" w:w="913"/>
          </w:tcPr>
          <w:p>
            <w:pPr>
              <w:jc w:val="center"/>
            </w:pPr>
            <w:r>
              <w:rPr>
                <w:sz w:val="15"/>
              </w:rPr>
            </w:r>
            <w:r>
              <w:rPr>
                <w:b w:val="0"/>
                <w:sz w:val="15"/>
              </w:rPr>
              <w:t>18.82</w:t>
            </w:r>
          </w:p>
        </w:tc>
      </w:tr>
      <w:tr>
        <w:tc>
          <w:tcPr>
            <w:tcW w:type="dxa" w:w="2778"/>
          </w:tcPr>
          <w:p>
            <w:r>
              <w:rPr>
                <w:sz w:val="15"/>
              </w:rPr>
            </w:r>
            <w:r>
              <w:rPr>
                <w:b w:val="0"/>
                <w:sz w:val="15"/>
              </w:rPr>
              <w:t>memo: cost-to-income</w:t>
            </w:r>
          </w:p>
        </w:tc>
        <w:tc>
          <w:tcPr>
            <w:tcW w:type="dxa" w:w="913"/>
          </w:tcPr>
          <w:p>
            <w:pPr>
              <w:jc w:val="center"/>
            </w:pPr>
            <w:r>
              <w:rPr>
                <w:sz w:val="15"/>
              </w:rPr>
            </w:r>
            <w:r>
              <w:rPr>
                <w:b w:val="0"/>
                <w:sz w:val="15"/>
              </w:rPr>
              <w:t>26.0%</w:t>
            </w:r>
          </w:p>
        </w:tc>
        <w:tc>
          <w:tcPr>
            <w:tcW w:type="dxa" w:w="913"/>
          </w:tcPr>
          <w:p>
            <w:pPr>
              <w:jc w:val="center"/>
            </w:pPr>
            <w:r>
              <w:rPr>
                <w:sz w:val="15"/>
              </w:rPr>
            </w:r>
            <w:r>
              <w:rPr>
                <w:b w:val="0"/>
                <w:sz w:val="15"/>
              </w:rPr>
              <w:t>19.0%</w:t>
            </w:r>
          </w:p>
        </w:tc>
        <w:tc>
          <w:tcPr>
            <w:tcW w:type="dxa" w:w="913"/>
          </w:tcPr>
          <w:p>
            <w:pPr>
              <w:jc w:val="center"/>
            </w:pPr>
            <w:r>
              <w:rPr>
                <w:sz w:val="15"/>
              </w:rPr>
            </w:r>
            <w:r>
              <w:rPr>
                <w:b w:val="0"/>
                <w:sz w:val="15"/>
              </w:rPr>
              <w:t>17.2%</w:t>
            </w:r>
          </w:p>
        </w:tc>
        <w:tc>
          <w:tcPr>
            <w:tcW w:type="dxa" w:w="913"/>
          </w:tcPr>
          <w:p>
            <w:pPr>
              <w:jc w:val="center"/>
            </w:pPr>
            <w:r>
              <w:rPr>
                <w:sz w:val="15"/>
              </w:rPr>
            </w:r>
            <w:r>
              <w:rPr>
                <w:b w:val="0"/>
                <w:sz w:val="15"/>
              </w:rPr>
              <w:t>18.0%</w:t>
            </w:r>
          </w:p>
        </w:tc>
        <w:tc>
          <w:tcPr>
            <w:tcW w:type="dxa" w:w="913"/>
          </w:tcPr>
          <w:p>
            <w:pPr>
              <w:jc w:val="center"/>
            </w:pPr>
            <w:r>
              <w:rPr>
                <w:sz w:val="15"/>
              </w:rPr>
            </w:r>
            <w:r>
              <w:rPr>
                <w:b w:val="0"/>
                <w:sz w:val="15"/>
              </w:rPr>
              <w:t>18.5%</w:t>
            </w:r>
          </w:p>
        </w:tc>
        <w:tc>
          <w:tcPr>
            <w:tcW w:type="dxa" w:w="913"/>
          </w:tcPr>
          <w:p>
            <w:pPr>
              <w:jc w:val="center"/>
            </w:pPr>
            <w:r>
              <w:rPr>
                <w:sz w:val="15"/>
              </w:rPr>
            </w:r>
            <w:r>
              <w:rPr>
                <w:b w:val="0"/>
                <w:sz w:val="15"/>
              </w:rPr>
              <w:t>19.0%</w:t>
            </w:r>
          </w:p>
        </w:tc>
        <w:tc>
          <w:tcPr>
            <w:tcW w:type="dxa" w:w="913"/>
          </w:tcPr>
          <w:p>
            <w:pPr>
              <w:jc w:val="center"/>
            </w:pPr>
            <w:r>
              <w:rPr>
                <w:sz w:val="15"/>
              </w:rPr>
            </w:r>
            <w:r>
              <w:rPr>
                <w:b w:val="0"/>
                <w:sz w:val="15"/>
              </w:rPr>
              <w:t>19.5%</w:t>
            </w:r>
          </w:p>
        </w:tc>
        <w:tc>
          <w:tcPr>
            <w:tcW w:type="dxa" w:w="913"/>
          </w:tcPr>
          <w:p>
            <w:pPr>
              <w:jc w:val="center"/>
            </w:pPr>
            <w:r>
              <w:rPr>
                <w:sz w:val="15"/>
              </w:rPr>
            </w:r>
            <w:r>
              <w:rPr>
                <w:b w:val="0"/>
                <w:sz w:val="15"/>
              </w:rPr>
              <w:t>20.0%</w:t>
            </w:r>
          </w:p>
        </w:tc>
      </w:tr>
      <w:tr>
        <w:tc>
          <w:tcPr>
            <w:tcW w:type="dxa" w:w="2778"/>
          </w:tcPr>
          <w:p>
            <w:r>
              <w:rPr>
                <w:sz w:val="15"/>
              </w:rPr>
            </w:r>
            <w:r>
              <w:rPr>
                <w:b w:val="0"/>
                <w:sz w:val="15"/>
              </w:rPr>
              <w:t>memo: effective tax rate</w:t>
            </w:r>
          </w:p>
        </w:tc>
        <w:tc>
          <w:tcPr>
            <w:tcW w:type="dxa" w:w="913"/>
          </w:tcPr>
          <w:p>
            <w:pPr>
              <w:jc w:val="center"/>
            </w:pPr>
            <w:r>
              <w:rPr>
                <w:sz w:val="15"/>
              </w:rPr>
            </w:r>
            <w:r>
              <w:rPr>
                <w:b w:val="0"/>
                <w:sz w:val="15"/>
              </w:rPr>
              <w:t>27.4%</w:t>
            </w:r>
          </w:p>
        </w:tc>
        <w:tc>
          <w:tcPr>
            <w:tcW w:type="dxa" w:w="913"/>
          </w:tcPr>
          <w:p>
            <w:pPr>
              <w:jc w:val="center"/>
            </w:pPr>
            <w:r>
              <w:rPr>
                <w:sz w:val="15"/>
              </w:rPr>
            </w:r>
            <w:r>
              <w:rPr>
                <w:b w:val="0"/>
                <w:sz w:val="15"/>
              </w:rPr>
              <w:t>26.5%</w:t>
            </w:r>
          </w:p>
        </w:tc>
        <w:tc>
          <w:tcPr>
            <w:tcW w:type="dxa" w:w="913"/>
          </w:tcPr>
          <w:p>
            <w:pPr>
              <w:jc w:val="center"/>
            </w:pPr>
            <w:r>
              <w:rPr>
                <w:sz w:val="15"/>
              </w:rPr>
            </w:r>
            <w:r>
              <w:rPr>
                <w:b w:val="0"/>
                <w:sz w:val="15"/>
              </w:rPr>
              <w:t>27.7%</w:t>
            </w:r>
          </w:p>
        </w:tc>
        <w:tc>
          <w:tcPr>
            <w:tcW w:type="dxa" w:w="913"/>
          </w:tcPr>
          <w:p>
            <w:pPr>
              <w:jc w:val="center"/>
            </w:pPr>
            <w:r>
              <w:rPr>
                <w:sz w:val="15"/>
              </w:rPr>
            </w:r>
            <w:r>
              <w:rPr>
                <w:b w:val="0"/>
                <w:sz w:val="15"/>
              </w:rPr>
              <w:t>27.5%</w:t>
            </w:r>
          </w:p>
        </w:tc>
        <w:tc>
          <w:tcPr>
            <w:tcW w:type="dxa" w:w="913"/>
          </w:tcPr>
          <w:p>
            <w:pPr>
              <w:jc w:val="center"/>
            </w:pPr>
            <w:r>
              <w:rPr>
                <w:sz w:val="15"/>
              </w:rPr>
            </w:r>
            <w:r>
              <w:rPr>
                <w:b w:val="0"/>
                <w:sz w:val="15"/>
              </w:rPr>
              <w:t>27.8%</w:t>
            </w:r>
          </w:p>
        </w:tc>
        <w:tc>
          <w:tcPr>
            <w:tcW w:type="dxa" w:w="913"/>
          </w:tcPr>
          <w:p>
            <w:pPr>
              <w:jc w:val="center"/>
            </w:pPr>
            <w:r>
              <w:rPr>
                <w:sz w:val="15"/>
              </w:rPr>
            </w:r>
            <w:r>
              <w:rPr>
                <w:b w:val="0"/>
                <w:sz w:val="15"/>
              </w:rPr>
              <w:t>28.0%</w:t>
            </w:r>
          </w:p>
        </w:tc>
        <w:tc>
          <w:tcPr>
            <w:tcW w:type="dxa" w:w="913"/>
          </w:tcPr>
          <w:p>
            <w:pPr>
              <w:jc w:val="center"/>
            </w:pPr>
            <w:r>
              <w:rPr>
                <w:sz w:val="15"/>
              </w:rPr>
            </w:r>
            <w:r>
              <w:rPr>
                <w:b w:val="0"/>
                <w:sz w:val="15"/>
              </w:rPr>
              <w:t>28.0%</w:t>
            </w:r>
          </w:p>
        </w:tc>
        <w:tc>
          <w:tcPr>
            <w:tcW w:type="dxa" w:w="913"/>
          </w:tcPr>
          <w:p>
            <w:pPr>
              <w:jc w:val="center"/>
            </w:pPr>
            <w:r>
              <w:rPr>
                <w:sz w:val="15"/>
              </w:rPr>
            </w:r>
            <w:r>
              <w:rPr>
                <w:b w:val="0"/>
                <w:sz w:val="15"/>
              </w:rPr>
              <w:t>28.0%</w:t>
            </w:r>
          </w:p>
        </w:tc>
      </w:tr>
    </w:tbl>
    <w:p/>
    <w:p>
      <w:r>
        <w:rPr>
          <w:b w:val="0"/>
          <w:i/>
          <w:color w:val="666666"/>
          <w:sz w:val="18"/>
        </w:rPr>
        <w:t>Reported weighted EPS: FY24 14.02, FY25 11.25 (rising share count). Forecast drivers: revenue growth 23.5→13.5%, C/I 18→20%, cost of risk 1.1→0.9%, tax ~28% — all live in the Assumptions sheet.</w:t>
      </w:r>
    </w:p>
    <w:p>
      <w:pPr>
        <w:pStyle w:val="Heading2"/>
      </w:pPr>
      <w:r>
        <w:t>A.2  Balance sheet (consolidated, EGP mn) — history and forecast</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084"/>
        <w:gridCol w:w="1084"/>
        <w:gridCol w:w="1084"/>
        <w:gridCol w:w="1084"/>
        <w:gridCol w:w="1084"/>
        <w:gridCol w:w="1084"/>
        <w:gridCol w:w="1084"/>
        <w:gridCol w:w="1084"/>
        <w:gridCol w:w="1084"/>
      </w:tblGrid>
      <w:tr>
        <w:tc>
          <w:tcPr>
            <w:tcW w:type="dxa" w:w="2778"/>
            <w:shd w:val="clear" w:fill="1B5E5E"/>
          </w:tcPr>
          <w:p>
            <w:r/>
            <w:r>
              <w:rPr>
                <w:b/>
                <w:color w:val="FFFFFF"/>
                <w:sz w:val="15"/>
              </w:rPr>
              <w:t>Line</w:t>
            </w:r>
          </w:p>
        </w:tc>
        <w:tc>
          <w:tcPr>
            <w:tcW w:type="dxa" w:w="913"/>
            <w:shd w:val="clear" w:fill="1B5E5E"/>
          </w:tcPr>
          <w:p>
            <w:pPr>
              <w:jc w:val="center"/>
            </w:pPr>
            <w:r/>
            <w:r>
              <w:rPr>
                <w:b/>
                <w:color w:val="FFFFFF"/>
                <w:sz w:val="15"/>
              </w:rPr>
              <w:t>FY23</w:t>
            </w:r>
          </w:p>
        </w:tc>
        <w:tc>
          <w:tcPr>
            <w:tcW w:type="dxa" w:w="913"/>
            <w:shd w:val="clear" w:fill="1B5E5E"/>
          </w:tcPr>
          <w:p>
            <w:pPr>
              <w:jc w:val="center"/>
            </w:pPr>
            <w:r/>
            <w:r>
              <w:rPr>
                <w:b/>
                <w:color w:val="FFFFFF"/>
                <w:sz w:val="15"/>
              </w:rPr>
              <w:t>FY24</w:t>
            </w:r>
          </w:p>
        </w:tc>
        <w:tc>
          <w:tcPr>
            <w:tcW w:type="dxa" w:w="913"/>
            <w:shd w:val="clear" w:fill="1B5E5E"/>
          </w:tcPr>
          <w:p>
            <w:pPr>
              <w:jc w:val="center"/>
            </w:pPr>
            <w:r/>
            <w:r>
              <w:rPr>
                <w:b/>
                <w:color w:val="FFFFFF"/>
                <w:sz w:val="15"/>
              </w:rPr>
              <w:t>FY25</w:t>
            </w:r>
          </w:p>
        </w:tc>
        <w:tc>
          <w:tcPr>
            <w:tcW w:type="dxa" w:w="913"/>
            <w:shd w:val="clear" w:fill="1B5E5E"/>
          </w:tcPr>
          <w:p>
            <w:pPr>
              <w:jc w:val="center"/>
            </w:pPr>
            <w:r/>
            <w:r>
              <w:rPr>
                <w:b/>
                <w:color w:val="FFFFFF"/>
                <w:sz w:val="15"/>
              </w:rPr>
              <w:t>FY26E</w:t>
            </w:r>
          </w:p>
        </w:tc>
        <w:tc>
          <w:tcPr>
            <w:tcW w:type="dxa" w:w="913"/>
            <w:shd w:val="clear" w:fill="1B5E5E"/>
          </w:tcPr>
          <w:p>
            <w:pPr>
              <w:jc w:val="center"/>
            </w:pPr>
            <w:r/>
            <w:r>
              <w:rPr>
                <w:b/>
                <w:color w:val="FFFFFF"/>
                <w:sz w:val="15"/>
              </w:rPr>
              <w:t>FY27E</w:t>
            </w:r>
          </w:p>
        </w:tc>
        <w:tc>
          <w:tcPr>
            <w:tcW w:type="dxa" w:w="913"/>
            <w:shd w:val="clear" w:fill="1B5E5E"/>
          </w:tcPr>
          <w:p>
            <w:pPr>
              <w:jc w:val="center"/>
            </w:pPr>
            <w:r/>
            <w:r>
              <w:rPr>
                <w:b/>
                <w:color w:val="FFFFFF"/>
                <w:sz w:val="15"/>
              </w:rPr>
              <w:t>FY28E</w:t>
            </w:r>
          </w:p>
        </w:tc>
        <w:tc>
          <w:tcPr>
            <w:tcW w:type="dxa" w:w="913"/>
            <w:shd w:val="clear" w:fill="1B5E5E"/>
          </w:tcPr>
          <w:p>
            <w:pPr>
              <w:jc w:val="center"/>
            </w:pPr>
            <w:r/>
            <w:r>
              <w:rPr>
                <w:b/>
                <w:color w:val="FFFFFF"/>
                <w:sz w:val="15"/>
              </w:rPr>
              <w:t>FY29E</w:t>
            </w:r>
          </w:p>
        </w:tc>
        <w:tc>
          <w:tcPr>
            <w:tcW w:type="dxa" w:w="913"/>
            <w:shd w:val="clear" w:fill="1B5E5E"/>
          </w:tcPr>
          <w:p>
            <w:pPr>
              <w:jc w:val="center"/>
            </w:pPr>
            <w:r/>
            <w:r>
              <w:rPr>
                <w:b/>
                <w:color w:val="FFFFFF"/>
                <w:sz w:val="15"/>
              </w:rPr>
              <w:t>FY30E</w:t>
            </w:r>
          </w:p>
        </w:tc>
      </w:tr>
      <w:tr>
        <w:tc>
          <w:tcPr>
            <w:tcW w:type="dxa" w:w="2778"/>
          </w:tcPr>
          <w:p>
            <w:r>
              <w:rPr>
                <w:sz w:val="15"/>
              </w:rPr>
            </w:r>
            <w:r>
              <w:rPr>
                <w:b w:val="0"/>
                <w:sz w:val="15"/>
              </w:rPr>
              <w:t>Cash &amp; due from banks</w:t>
            </w:r>
          </w:p>
        </w:tc>
        <w:tc>
          <w:tcPr>
            <w:tcW w:type="dxa" w:w="913"/>
          </w:tcPr>
          <w:p>
            <w:pPr>
              <w:jc w:val="center"/>
            </w:pPr>
            <w:r>
              <w:rPr>
                <w:sz w:val="15"/>
              </w:rPr>
            </w:r>
            <w:r>
              <w:rPr>
                <w:b w:val="0"/>
                <w:sz w:val="15"/>
              </w:rPr>
              <w:t>22,300</w:t>
            </w:r>
          </w:p>
        </w:tc>
        <w:tc>
          <w:tcPr>
            <w:tcW w:type="dxa" w:w="913"/>
          </w:tcPr>
          <w:p>
            <w:pPr>
              <w:jc w:val="center"/>
            </w:pPr>
            <w:r>
              <w:rPr>
                <w:sz w:val="15"/>
              </w:rPr>
            </w:r>
            <w:r>
              <w:rPr>
                <w:b w:val="0"/>
                <w:sz w:val="15"/>
              </w:rPr>
              <w:t>32,100</w:t>
            </w:r>
          </w:p>
        </w:tc>
        <w:tc>
          <w:tcPr>
            <w:tcW w:type="dxa" w:w="913"/>
          </w:tcPr>
          <w:p>
            <w:pPr>
              <w:jc w:val="center"/>
            </w:pPr>
            <w:r>
              <w:rPr>
                <w:sz w:val="15"/>
              </w:rPr>
            </w:r>
            <w:r>
              <w:rPr>
                <w:b w:val="0"/>
                <w:sz w:val="15"/>
              </w:rPr>
              <w:t>41,000</w:t>
            </w:r>
          </w:p>
        </w:tc>
        <w:tc>
          <w:tcPr>
            <w:tcW w:type="dxa" w:w="913"/>
          </w:tcPr>
          <w:p>
            <w:pPr>
              <w:jc w:val="center"/>
            </w:pPr>
            <w:r>
              <w:rPr>
                <w:sz w:val="15"/>
              </w:rPr>
            </w:r>
            <w:r>
              <w:rPr>
                <w:b w:val="0"/>
                <w:sz w:val="15"/>
              </w:rPr>
              <w:t>56,991</w:t>
            </w:r>
          </w:p>
        </w:tc>
        <w:tc>
          <w:tcPr>
            <w:tcW w:type="dxa" w:w="913"/>
          </w:tcPr>
          <w:p>
            <w:pPr>
              <w:jc w:val="center"/>
            </w:pPr>
            <w:r>
              <w:rPr>
                <w:sz w:val="15"/>
              </w:rPr>
            </w:r>
            <w:r>
              <w:rPr>
                <w:b w:val="0"/>
                <w:sz w:val="15"/>
              </w:rPr>
              <w:t>72,385</w:t>
            </w:r>
          </w:p>
        </w:tc>
        <w:tc>
          <w:tcPr>
            <w:tcW w:type="dxa" w:w="913"/>
          </w:tcPr>
          <w:p>
            <w:pPr>
              <w:jc w:val="center"/>
            </w:pPr>
            <w:r>
              <w:rPr>
                <w:sz w:val="15"/>
              </w:rPr>
            </w:r>
            <w:r>
              <w:rPr>
                <w:b w:val="0"/>
                <w:sz w:val="15"/>
              </w:rPr>
              <w:t>88,377</w:t>
            </w:r>
          </w:p>
        </w:tc>
        <w:tc>
          <w:tcPr>
            <w:tcW w:type="dxa" w:w="913"/>
          </w:tcPr>
          <w:p>
            <w:pPr>
              <w:jc w:val="center"/>
            </w:pPr>
            <w:r>
              <w:rPr>
                <w:sz w:val="15"/>
              </w:rPr>
            </w:r>
            <w:r>
              <w:rPr>
                <w:b w:val="0"/>
                <w:sz w:val="15"/>
              </w:rPr>
              <w:t>108,319</w:t>
            </w:r>
          </w:p>
        </w:tc>
        <w:tc>
          <w:tcPr>
            <w:tcW w:type="dxa" w:w="913"/>
          </w:tcPr>
          <w:p>
            <w:pPr>
              <w:jc w:val="center"/>
            </w:pPr>
            <w:r>
              <w:rPr>
                <w:sz w:val="15"/>
              </w:rPr>
            </w:r>
            <w:r>
              <w:rPr>
                <w:b w:val="0"/>
                <w:sz w:val="15"/>
              </w:rPr>
              <w:t>127,713</w:t>
            </w:r>
          </w:p>
        </w:tc>
      </w:tr>
      <w:tr>
        <w:tc>
          <w:tcPr>
            <w:tcW w:type="dxa" w:w="2778"/>
          </w:tcPr>
          <w:p>
            <w:r>
              <w:rPr>
                <w:sz w:val="15"/>
              </w:rPr>
            </w:r>
            <w:r>
              <w:rPr>
                <w:b w:val="0"/>
                <w:sz w:val="15"/>
              </w:rPr>
              <w:t>Treasury &amp; investment securities</w:t>
            </w:r>
          </w:p>
        </w:tc>
        <w:tc>
          <w:tcPr>
            <w:tcW w:type="dxa" w:w="913"/>
          </w:tcPr>
          <w:p>
            <w:pPr>
              <w:jc w:val="center"/>
            </w:pPr>
            <w:r>
              <w:rPr>
                <w:sz w:val="15"/>
              </w:rPr>
            </w:r>
            <w:r>
              <w:rPr>
                <w:b w:val="0"/>
                <w:sz w:val="15"/>
              </w:rPr>
              <w:t>65,000</w:t>
            </w:r>
          </w:p>
        </w:tc>
        <w:tc>
          <w:tcPr>
            <w:tcW w:type="dxa" w:w="913"/>
          </w:tcPr>
          <w:p>
            <w:pPr>
              <w:jc w:val="center"/>
            </w:pPr>
            <w:r>
              <w:rPr>
                <w:sz w:val="15"/>
              </w:rPr>
            </w:r>
            <w:r>
              <w:rPr>
                <w:b w:val="0"/>
                <w:sz w:val="15"/>
              </w:rPr>
              <w:t>115,000</w:t>
            </w:r>
          </w:p>
        </w:tc>
        <w:tc>
          <w:tcPr>
            <w:tcW w:type="dxa" w:w="913"/>
          </w:tcPr>
          <w:p>
            <w:pPr>
              <w:jc w:val="center"/>
            </w:pPr>
            <w:r>
              <w:rPr>
                <w:sz w:val="15"/>
              </w:rPr>
            </w:r>
            <w:r>
              <w:rPr>
                <w:b w:val="0"/>
                <w:sz w:val="15"/>
              </w:rPr>
              <w:t>140,000</w:t>
            </w:r>
          </w:p>
        </w:tc>
        <w:tc>
          <w:tcPr>
            <w:tcW w:type="dxa" w:w="913"/>
          </w:tcPr>
          <w:p>
            <w:pPr>
              <w:jc w:val="center"/>
            </w:pPr>
            <w:r>
              <w:rPr>
                <w:sz w:val="15"/>
              </w:rPr>
            </w:r>
            <w:r>
              <w:rPr>
                <w:b w:val="0"/>
                <w:sz w:val="15"/>
              </w:rPr>
              <w:t>179,200</w:t>
            </w:r>
          </w:p>
        </w:tc>
        <w:tc>
          <w:tcPr>
            <w:tcW w:type="dxa" w:w="913"/>
          </w:tcPr>
          <w:p>
            <w:pPr>
              <w:jc w:val="center"/>
            </w:pPr>
            <w:r>
              <w:rPr>
                <w:sz w:val="15"/>
              </w:rPr>
            </w:r>
            <w:r>
              <w:rPr>
                <w:b w:val="0"/>
                <w:sz w:val="15"/>
              </w:rPr>
              <w:t>222,208</w:t>
            </w:r>
          </w:p>
        </w:tc>
        <w:tc>
          <w:tcPr>
            <w:tcW w:type="dxa" w:w="913"/>
          </w:tcPr>
          <w:p>
            <w:pPr>
              <w:jc w:val="center"/>
            </w:pPr>
            <w:r>
              <w:rPr>
                <w:sz w:val="15"/>
              </w:rPr>
            </w:r>
            <w:r>
              <w:rPr>
                <w:b w:val="0"/>
                <w:sz w:val="15"/>
              </w:rPr>
              <w:t>266,650</w:t>
            </w:r>
          </w:p>
        </w:tc>
        <w:tc>
          <w:tcPr>
            <w:tcW w:type="dxa" w:w="913"/>
          </w:tcPr>
          <w:p>
            <w:pPr>
              <w:jc w:val="center"/>
            </w:pPr>
            <w:r>
              <w:rPr>
                <w:sz w:val="15"/>
              </w:rPr>
            </w:r>
            <w:r>
              <w:rPr>
                <w:b w:val="0"/>
                <w:sz w:val="15"/>
              </w:rPr>
              <w:t>311,980</w:t>
            </w:r>
          </w:p>
        </w:tc>
        <w:tc>
          <w:tcPr>
            <w:tcW w:type="dxa" w:w="913"/>
          </w:tcPr>
          <w:p>
            <w:pPr>
              <w:jc w:val="center"/>
            </w:pPr>
            <w:r>
              <w:rPr>
                <w:sz w:val="15"/>
              </w:rPr>
            </w:r>
            <w:r>
              <w:rPr>
                <w:b w:val="0"/>
                <w:sz w:val="15"/>
              </w:rPr>
              <w:t>358,777</w:t>
            </w:r>
          </w:p>
        </w:tc>
      </w:tr>
      <w:tr>
        <w:tc>
          <w:tcPr>
            <w:tcW w:type="dxa" w:w="2778"/>
          </w:tcPr>
          <w:p>
            <w:r>
              <w:rPr>
                <w:sz w:val="15"/>
              </w:rPr>
            </w:r>
            <w:r>
              <w:rPr>
                <w:b w:val="0"/>
                <w:sz w:val="15"/>
              </w:rPr>
              <w:t>Customer financing, net</w:t>
            </w:r>
          </w:p>
        </w:tc>
        <w:tc>
          <w:tcPr>
            <w:tcW w:type="dxa" w:w="913"/>
          </w:tcPr>
          <w:p>
            <w:pPr>
              <w:jc w:val="center"/>
            </w:pPr>
            <w:r>
              <w:rPr>
                <w:sz w:val="15"/>
              </w:rPr>
            </w:r>
            <w:r>
              <w:rPr>
                <w:b w:val="0"/>
                <w:sz w:val="15"/>
              </w:rPr>
              <w:t>67,000</w:t>
            </w:r>
          </w:p>
        </w:tc>
        <w:tc>
          <w:tcPr>
            <w:tcW w:type="dxa" w:w="913"/>
          </w:tcPr>
          <w:p>
            <w:pPr>
              <w:jc w:val="center"/>
            </w:pPr>
            <w:r>
              <w:rPr>
                <w:sz w:val="15"/>
              </w:rPr>
            </w:r>
            <w:r>
              <w:rPr>
                <w:b w:val="0"/>
                <w:sz w:val="15"/>
              </w:rPr>
              <w:t>104,400</w:t>
            </w:r>
          </w:p>
        </w:tc>
        <w:tc>
          <w:tcPr>
            <w:tcW w:type="dxa" w:w="913"/>
          </w:tcPr>
          <w:p>
            <w:pPr>
              <w:jc w:val="center"/>
            </w:pPr>
            <w:r>
              <w:rPr>
                <w:sz w:val="15"/>
              </w:rPr>
            </w:r>
            <w:r>
              <w:rPr>
                <w:b w:val="0"/>
                <w:sz w:val="15"/>
              </w:rPr>
              <w:t>159,000</w:t>
            </w:r>
          </w:p>
        </w:tc>
        <w:tc>
          <w:tcPr>
            <w:tcW w:type="dxa" w:w="913"/>
          </w:tcPr>
          <w:p>
            <w:pPr>
              <w:jc w:val="center"/>
            </w:pPr>
            <w:r>
              <w:rPr>
                <w:sz w:val="15"/>
              </w:rPr>
            </w:r>
            <w:r>
              <w:rPr>
                <w:b w:val="0"/>
                <w:sz w:val="15"/>
              </w:rPr>
              <w:t>206,700</w:t>
            </w:r>
          </w:p>
        </w:tc>
        <w:tc>
          <w:tcPr>
            <w:tcW w:type="dxa" w:w="913"/>
          </w:tcPr>
          <w:p>
            <w:pPr>
              <w:jc w:val="center"/>
            </w:pPr>
            <w:r>
              <w:rPr>
                <w:sz w:val="15"/>
              </w:rPr>
            </w:r>
            <w:r>
              <w:rPr>
                <w:b w:val="0"/>
                <w:sz w:val="15"/>
              </w:rPr>
              <w:t>258,375</w:t>
            </w:r>
          </w:p>
        </w:tc>
        <w:tc>
          <w:tcPr>
            <w:tcW w:type="dxa" w:w="913"/>
          </w:tcPr>
          <w:p>
            <w:pPr>
              <w:jc w:val="center"/>
            </w:pPr>
            <w:r>
              <w:rPr>
                <w:sz w:val="15"/>
              </w:rPr>
            </w:r>
            <w:r>
              <w:rPr>
                <w:b w:val="0"/>
                <w:sz w:val="15"/>
              </w:rPr>
              <w:t>310,050</w:t>
            </w:r>
          </w:p>
        </w:tc>
        <w:tc>
          <w:tcPr>
            <w:tcW w:type="dxa" w:w="913"/>
          </w:tcPr>
          <w:p>
            <w:pPr>
              <w:jc w:val="center"/>
            </w:pPr>
            <w:r>
              <w:rPr>
                <w:sz w:val="15"/>
              </w:rPr>
            </w:r>
            <w:r>
              <w:rPr>
                <w:b w:val="0"/>
                <w:sz w:val="15"/>
              </w:rPr>
              <w:t>365,859</w:t>
            </w:r>
          </w:p>
        </w:tc>
        <w:tc>
          <w:tcPr>
            <w:tcW w:type="dxa" w:w="913"/>
          </w:tcPr>
          <w:p>
            <w:pPr>
              <w:jc w:val="center"/>
            </w:pPr>
            <w:r>
              <w:rPr>
                <w:sz w:val="15"/>
              </w:rPr>
            </w:r>
            <w:r>
              <w:rPr>
                <w:b w:val="0"/>
                <w:sz w:val="15"/>
              </w:rPr>
              <w:t>420,738</w:t>
            </w:r>
          </w:p>
        </w:tc>
      </w:tr>
      <w:tr>
        <w:tc>
          <w:tcPr>
            <w:tcW w:type="dxa" w:w="2778"/>
          </w:tcPr>
          <w:p>
            <w:r>
              <w:rPr>
                <w:sz w:val="15"/>
              </w:rPr>
            </w:r>
            <w:r>
              <w:rPr>
                <w:b w:val="0"/>
                <w:sz w:val="15"/>
              </w:rPr>
              <w:t>Fixed &amp; other assets</w:t>
            </w:r>
          </w:p>
        </w:tc>
        <w:tc>
          <w:tcPr>
            <w:tcW w:type="dxa" w:w="913"/>
          </w:tcPr>
          <w:p>
            <w:pPr>
              <w:jc w:val="center"/>
            </w:pPr>
            <w:r>
              <w:rPr>
                <w:sz w:val="15"/>
              </w:rPr>
            </w:r>
            <w:r>
              <w:rPr>
                <w:b w:val="0"/>
                <w:sz w:val="15"/>
              </w:rPr>
              <w:t>8,000</w:t>
            </w:r>
          </w:p>
        </w:tc>
        <w:tc>
          <w:tcPr>
            <w:tcW w:type="dxa" w:w="913"/>
          </w:tcPr>
          <w:p>
            <w:pPr>
              <w:jc w:val="center"/>
            </w:pPr>
            <w:r>
              <w:rPr>
                <w:sz w:val="15"/>
              </w:rPr>
            </w:r>
            <w:r>
              <w:rPr>
                <w:b w:val="0"/>
                <w:sz w:val="15"/>
              </w:rPr>
              <w:t>9,000</w:t>
            </w:r>
          </w:p>
        </w:tc>
        <w:tc>
          <w:tcPr>
            <w:tcW w:type="dxa" w:w="913"/>
          </w:tcPr>
          <w:p>
            <w:pPr>
              <w:jc w:val="center"/>
            </w:pPr>
            <w:r>
              <w:rPr>
                <w:sz w:val="15"/>
              </w:rPr>
            </w:r>
            <w:r>
              <w:rPr>
                <w:b w:val="0"/>
                <w:sz w:val="15"/>
              </w:rPr>
              <w:t>10,000</w:t>
            </w:r>
          </w:p>
        </w:tc>
        <w:tc>
          <w:tcPr>
            <w:tcW w:type="dxa" w:w="913"/>
          </w:tcPr>
          <w:p>
            <w:pPr>
              <w:jc w:val="center"/>
            </w:pPr>
            <w:r>
              <w:rPr>
                <w:sz w:val="15"/>
              </w:rPr>
            </w:r>
            <w:r>
              <w:rPr>
                <w:b w:val="0"/>
                <w:sz w:val="15"/>
              </w:rPr>
              <w:t>11,000</w:t>
            </w:r>
          </w:p>
        </w:tc>
        <w:tc>
          <w:tcPr>
            <w:tcW w:type="dxa" w:w="913"/>
          </w:tcPr>
          <w:p>
            <w:pPr>
              <w:jc w:val="center"/>
            </w:pPr>
            <w:r>
              <w:rPr>
                <w:sz w:val="15"/>
              </w:rPr>
            </w:r>
            <w:r>
              <w:rPr>
                <w:b w:val="0"/>
                <w:sz w:val="15"/>
              </w:rPr>
              <w:t>12,100</w:t>
            </w:r>
          </w:p>
        </w:tc>
        <w:tc>
          <w:tcPr>
            <w:tcW w:type="dxa" w:w="913"/>
          </w:tcPr>
          <w:p>
            <w:pPr>
              <w:jc w:val="center"/>
            </w:pPr>
            <w:r>
              <w:rPr>
                <w:sz w:val="15"/>
              </w:rPr>
            </w:r>
            <w:r>
              <w:rPr>
                <w:b w:val="0"/>
                <w:sz w:val="15"/>
              </w:rPr>
              <w:t>13,310</w:t>
            </w:r>
          </w:p>
        </w:tc>
        <w:tc>
          <w:tcPr>
            <w:tcW w:type="dxa" w:w="913"/>
          </w:tcPr>
          <w:p>
            <w:pPr>
              <w:jc w:val="center"/>
            </w:pPr>
            <w:r>
              <w:rPr>
                <w:sz w:val="15"/>
              </w:rPr>
            </w:r>
            <w:r>
              <w:rPr>
                <w:b w:val="0"/>
                <w:sz w:val="15"/>
              </w:rPr>
              <w:t>14,641</w:t>
            </w:r>
          </w:p>
        </w:tc>
        <w:tc>
          <w:tcPr>
            <w:tcW w:type="dxa" w:w="913"/>
          </w:tcPr>
          <w:p>
            <w:pPr>
              <w:jc w:val="center"/>
            </w:pPr>
            <w:r>
              <w:rPr>
                <w:sz w:val="15"/>
              </w:rPr>
            </w:r>
            <w:r>
              <w:rPr>
                <w:b w:val="0"/>
                <w:sz w:val="15"/>
              </w:rPr>
              <w:t>16,105</w:t>
            </w:r>
          </w:p>
        </w:tc>
      </w:tr>
      <w:tr>
        <w:tc>
          <w:tcPr>
            <w:tcW w:type="dxa" w:w="2778"/>
            <w:shd w:val="clear" w:fill="F3F7F7"/>
          </w:tcPr>
          <w:p>
            <w:r>
              <w:rPr>
                <w:b/>
                <w:sz w:val="15"/>
              </w:rPr>
            </w:r>
            <w:r>
              <w:rPr>
                <w:b/>
                <w:sz w:val="15"/>
              </w:rPr>
              <w:t>Total assets</w:t>
            </w:r>
          </w:p>
        </w:tc>
        <w:tc>
          <w:tcPr>
            <w:tcW w:type="dxa" w:w="913"/>
            <w:shd w:val="clear" w:fill="F3F7F7"/>
          </w:tcPr>
          <w:p>
            <w:pPr>
              <w:jc w:val="center"/>
            </w:pPr>
            <w:r>
              <w:rPr>
                <w:b/>
                <w:sz w:val="15"/>
              </w:rPr>
            </w:r>
            <w:r>
              <w:rPr>
                <w:b/>
                <w:sz w:val="15"/>
              </w:rPr>
              <w:t>162,300</w:t>
            </w:r>
          </w:p>
        </w:tc>
        <w:tc>
          <w:tcPr>
            <w:tcW w:type="dxa" w:w="913"/>
            <w:shd w:val="clear" w:fill="F3F7F7"/>
          </w:tcPr>
          <w:p>
            <w:pPr>
              <w:jc w:val="center"/>
            </w:pPr>
            <w:r>
              <w:rPr>
                <w:b/>
                <w:sz w:val="15"/>
              </w:rPr>
            </w:r>
            <w:r>
              <w:rPr>
                <w:b/>
                <w:sz w:val="15"/>
              </w:rPr>
              <w:t>260,500</w:t>
            </w:r>
          </w:p>
        </w:tc>
        <w:tc>
          <w:tcPr>
            <w:tcW w:type="dxa" w:w="913"/>
            <w:shd w:val="clear" w:fill="F3F7F7"/>
          </w:tcPr>
          <w:p>
            <w:pPr>
              <w:jc w:val="center"/>
            </w:pPr>
            <w:r>
              <w:rPr>
                <w:b/>
                <w:sz w:val="15"/>
              </w:rPr>
            </w:r>
            <w:r>
              <w:rPr>
                <w:b/>
                <w:sz w:val="15"/>
              </w:rPr>
              <w:t>350,000</w:t>
            </w:r>
          </w:p>
        </w:tc>
        <w:tc>
          <w:tcPr>
            <w:tcW w:type="dxa" w:w="913"/>
            <w:shd w:val="clear" w:fill="F3F7F7"/>
          </w:tcPr>
          <w:p>
            <w:pPr>
              <w:jc w:val="center"/>
            </w:pPr>
            <w:r>
              <w:rPr>
                <w:b/>
                <w:sz w:val="15"/>
              </w:rPr>
            </w:r>
            <w:r>
              <w:rPr>
                <w:b/>
                <w:sz w:val="15"/>
              </w:rPr>
              <w:t>453,891</w:t>
            </w:r>
          </w:p>
        </w:tc>
        <w:tc>
          <w:tcPr>
            <w:tcW w:type="dxa" w:w="913"/>
            <w:shd w:val="clear" w:fill="F3F7F7"/>
          </w:tcPr>
          <w:p>
            <w:pPr>
              <w:jc w:val="center"/>
            </w:pPr>
            <w:r>
              <w:rPr>
                <w:b/>
                <w:sz w:val="15"/>
              </w:rPr>
            </w:r>
            <w:r>
              <w:rPr>
                <w:b/>
                <w:sz w:val="15"/>
              </w:rPr>
              <w:t>565,068</w:t>
            </w:r>
          </w:p>
        </w:tc>
        <w:tc>
          <w:tcPr>
            <w:tcW w:type="dxa" w:w="913"/>
            <w:shd w:val="clear" w:fill="F3F7F7"/>
          </w:tcPr>
          <w:p>
            <w:pPr>
              <w:jc w:val="center"/>
            </w:pPr>
            <w:r>
              <w:rPr>
                <w:b/>
                <w:sz w:val="15"/>
              </w:rPr>
            </w:r>
            <w:r>
              <w:rPr>
                <w:b/>
                <w:sz w:val="15"/>
              </w:rPr>
              <w:t>678,387</w:t>
            </w:r>
          </w:p>
        </w:tc>
        <w:tc>
          <w:tcPr>
            <w:tcW w:type="dxa" w:w="913"/>
            <w:shd w:val="clear" w:fill="F3F7F7"/>
          </w:tcPr>
          <w:p>
            <w:pPr>
              <w:jc w:val="center"/>
            </w:pPr>
            <w:r>
              <w:rPr>
                <w:b/>
                <w:sz w:val="15"/>
              </w:rPr>
            </w:r>
            <w:r>
              <w:rPr>
                <w:b/>
                <w:sz w:val="15"/>
              </w:rPr>
              <w:t>800,799</w:t>
            </w:r>
          </w:p>
        </w:tc>
        <w:tc>
          <w:tcPr>
            <w:tcW w:type="dxa" w:w="913"/>
            <w:shd w:val="clear" w:fill="F3F7F7"/>
          </w:tcPr>
          <w:p>
            <w:pPr>
              <w:jc w:val="center"/>
            </w:pPr>
            <w:r>
              <w:rPr>
                <w:b/>
                <w:sz w:val="15"/>
              </w:rPr>
            </w:r>
            <w:r>
              <w:rPr>
                <w:b/>
                <w:sz w:val="15"/>
              </w:rPr>
              <w:t>923,333</w:t>
            </w:r>
          </w:p>
        </w:tc>
      </w:tr>
      <w:tr>
        <w:tc>
          <w:tcPr>
            <w:tcW w:type="dxa" w:w="2778"/>
          </w:tcPr>
          <w:p>
            <w:r>
              <w:rPr>
                <w:sz w:val="15"/>
              </w:rPr>
            </w:r>
            <w:r>
              <w:rPr>
                <w:b w:val="0"/>
                <w:sz w:val="15"/>
              </w:rPr>
              <w:t>Depositors' accounts</w:t>
            </w:r>
          </w:p>
        </w:tc>
        <w:tc>
          <w:tcPr>
            <w:tcW w:type="dxa" w:w="913"/>
          </w:tcPr>
          <w:p>
            <w:pPr>
              <w:jc w:val="center"/>
            </w:pPr>
            <w:r>
              <w:rPr>
                <w:sz w:val="15"/>
              </w:rPr>
            </w:r>
            <w:r>
              <w:rPr>
                <w:b w:val="0"/>
                <w:sz w:val="15"/>
              </w:rPr>
              <w:t>127,000</w:t>
            </w:r>
          </w:p>
        </w:tc>
        <w:tc>
          <w:tcPr>
            <w:tcW w:type="dxa" w:w="913"/>
          </w:tcPr>
          <w:p>
            <w:pPr>
              <w:jc w:val="center"/>
            </w:pPr>
            <w:r>
              <w:rPr>
                <w:sz w:val="15"/>
              </w:rPr>
            </w:r>
            <w:r>
              <w:rPr>
                <w:b w:val="0"/>
                <w:sz w:val="15"/>
              </w:rPr>
              <w:t>200,000</w:t>
            </w:r>
          </w:p>
        </w:tc>
        <w:tc>
          <w:tcPr>
            <w:tcW w:type="dxa" w:w="913"/>
          </w:tcPr>
          <w:p>
            <w:pPr>
              <w:jc w:val="center"/>
            </w:pPr>
            <w:r>
              <w:rPr>
                <w:sz w:val="15"/>
              </w:rPr>
            </w:r>
            <w:r>
              <w:rPr>
                <w:b w:val="0"/>
                <w:sz w:val="15"/>
              </w:rPr>
              <w:t>278,000</w:t>
            </w:r>
          </w:p>
        </w:tc>
        <w:tc>
          <w:tcPr>
            <w:tcW w:type="dxa" w:w="913"/>
          </w:tcPr>
          <w:p>
            <w:pPr>
              <w:jc w:val="center"/>
            </w:pPr>
            <w:r>
              <w:rPr>
                <w:sz w:val="15"/>
              </w:rPr>
            </w:r>
            <w:r>
              <w:rPr>
                <w:b w:val="0"/>
                <w:sz w:val="15"/>
              </w:rPr>
              <w:t>362,632</w:t>
            </w:r>
          </w:p>
        </w:tc>
        <w:tc>
          <w:tcPr>
            <w:tcW w:type="dxa" w:w="913"/>
          </w:tcPr>
          <w:p>
            <w:pPr>
              <w:jc w:val="center"/>
            </w:pPr>
            <w:r>
              <w:rPr>
                <w:sz w:val="15"/>
              </w:rPr>
            </w:r>
            <w:r>
              <w:rPr>
                <w:b w:val="0"/>
                <w:sz w:val="15"/>
              </w:rPr>
              <w:t>453,289</w:t>
            </w:r>
          </w:p>
        </w:tc>
        <w:tc>
          <w:tcPr>
            <w:tcW w:type="dxa" w:w="913"/>
          </w:tcPr>
          <w:p>
            <w:pPr>
              <w:jc w:val="center"/>
            </w:pPr>
            <w:r>
              <w:rPr>
                <w:sz w:val="15"/>
              </w:rPr>
            </w:r>
            <w:r>
              <w:rPr>
                <w:b w:val="0"/>
                <w:sz w:val="15"/>
              </w:rPr>
              <w:t>543,947</w:t>
            </w:r>
          </w:p>
        </w:tc>
        <w:tc>
          <w:tcPr>
            <w:tcW w:type="dxa" w:w="913"/>
          </w:tcPr>
          <w:p>
            <w:pPr>
              <w:jc w:val="center"/>
            </w:pPr>
            <w:r>
              <w:rPr>
                <w:sz w:val="15"/>
              </w:rPr>
            </w:r>
            <w:r>
              <w:rPr>
                <w:b w:val="0"/>
                <w:sz w:val="15"/>
              </w:rPr>
              <w:t>641,858</w:t>
            </w:r>
          </w:p>
        </w:tc>
        <w:tc>
          <w:tcPr>
            <w:tcW w:type="dxa" w:w="913"/>
          </w:tcPr>
          <w:p>
            <w:pPr>
              <w:jc w:val="center"/>
            </w:pPr>
            <w:r>
              <w:rPr>
                <w:sz w:val="15"/>
              </w:rPr>
            </w:r>
            <w:r>
              <w:rPr>
                <w:b w:val="0"/>
                <w:sz w:val="15"/>
              </w:rPr>
              <w:t>738,137</w:t>
            </w:r>
          </w:p>
        </w:tc>
      </w:tr>
      <w:tr>
        <w:tc>
          <w:tcPr>
            <w:tcW w:type="dxa" w:w="2778"/>
          </w:tcPr>
          <w:p>
            <w:r>
              <w:rPr>
                <w:sz w:val="15"/>
              </w:rPr>
            </w:r>
            <w:r>
              <w:rPr>
                <w:b w:val="0"/>
                <w:sz w:val="15"/>
              </w:rPr>
              <w:t>Due to banks, subordinated &amp; other liab.</w:t>
            </w:r>
          </w:p>
        </w:tc>
        <w:tc>
          <w:tcPr>
            <w:tcW w:type="dxa" w:w="913"/>
          </w:tcPr>
          <w:p>
            <w:pPr>
              <w:jc w:val="center"/>
            </w:pPr>
            <w:r>
              <w:rPr>
                <w:sz w:val="15"/>
              </w:rPr>
            </w:r>
            <w:r>
              <w:rPr>
                <w:b w:val="0"/>
                <w:sz w:val="15"/>
              </w:rPr>
              <w:t>20,100</w:t>
            </w:r>
          </w:p>
        </w:tc>
        <w:tc>
          <w:tcPr>
            <w:tcW w:type="dxa" w:w="913"/>
          </w:tcPr>
          <w:p>
            <w:pPr>
              <w:jc w:val="center"/>
            </w:pPr>
            <w:r>
              <w:rPr>
                <w:sz w:val="15"/>
              </w:rPr>
            </w:r>
            <w:r>
              <w:rPr>
                <w:b w:val="0"/>
                <w:sz w:val="15"/>
              </w:rPr>
              <w:t>37,100</w:t>
            </w:r>
          </w:p>
        </w:tc>
        <w:tc>
          <w:tcPr>
            <w:tcW w:type="dxa" w:w="913"/>
          </w:tcPr>
          <w:p>
            <w:pPr>
              <w:jc w:val="center"/>
            </w:pPr>
            <w:r>
              <w:rPr>
                <w:sz w:val="15"/>
              </w:rPr>
            </w:r>
            <w:r>
              <w:rPr>
                <w:b w:val="0"/>
                <w:sz w:val="15"/>
              </w:rPr>
              <w:t>34,200</w:t>
            </w:r>
          </w:p>
        </w:tc>
        <w:tc>
          <w:tcPr>
            <w:tcW w:type="dxa" w:w="913"/>
          </w:tcPr>
          <w:p>
            <w:pPr>
              <w:jc w:val="center"/>
            </w:pPr>
            <w:r>
              <w:rPr>
                <w:sz w:val="15"/>
              </w:rPr>
            </w:r>
            <w:r>
              <w:rPr>
                <w:b w:val="0"/>
                <w:sz w:val="15"/>
              </w:rPr>
              <w:t>37,620</w:t>
            </w:r>
          </w:p>
        </w:tc>
        <w:tc>
          <w:tcPr>
            <w:tcW w:type="dxa" w:w="913"/>
          </w:tcPr>
          <w:p>
            <w:pPr>
              <w:jc w:val="center"/>
            </w:pPr>
            <w:r>
              <w:rPr>
                <w:sz w:val="15"/>
              </w:rPr>
            </w:r>
            <w:r>
              <w:rPr>
                <w:b w:val="0"/>
                <w:sz w:val="15"/>
              </w:rPr>
              <w:t>41,382</w:t>
            </w:r>
          </w:p>
        </w:tc>
        <w:tc>
          <w:tcPr>
            <w:tcW w:type="dxa" w:w="913"/>
          </w:tcPr>
          <w:p>
            <w:pPr>
              <w:jc w:val="center"/>
            </w:pPr>
            <w:r>
              <w:rPr>
                <w:sz w:val="15"/>
              </w:rPr>
            </w:r>
            <w:r>
              <w:rPr>
                <w:b w:val="0"/>
                <w:sz w:val="15"/>
              </w:rPr>
              <w:t>45,520</w:t>
            </w:r>
          </w:p>
        </w:tc>
        <w:tc>
          <w:tcPr>
            <w:tcW w:type="dxa" w:w="913"/>
          </w:tcPr>
          <w:p>
            <w:pPr>
              <w:jc w:val="center"/>
            </w:pPr>
            <w:r>
              <w:rPr>
                <w:sz w:val="15"/>
              </w:rPr>
            </w:r>
            <w:r>
              <w:rPr>
                <w:b w:val="0"/>
                <w:sz w:val="15"/>
              </w:rPr>
              <w:t>50,072</w:t>
            </w:r>
          </w:p>
        </w:tc>
        <w:tc>
          <w:tcPr>
            <w:tcW w:type="dxa" w:w="913"/>
          </w:tcPr>
          <w:p>
            <w:pPr>
              <w:jc w:val="center"/>
            </w:pPr>
            <w:r>
              <w:rPr>
                <w:sz w:val="15"/>
              </w:rPr>
            </w:r>
            <w:r>
              <w:rPr>
                <w:b w:val="0"/>
                <w:sz w:val="15"/>
              </w:rPr>
              <w:t>55,079</w:t>
            </w:r>
          </w:p>
        </w:tc>
      </w:tr>
      <w:tr>
        <w:tc>
          <w:tcPr>
            <w:tcW w:type="dxa" w:w="2778"/>
            <w:shd w:val="clear" w:fill="F3F7F7"/>
          </w:tcPr>
          <w:p>
            <w:r>
              <w:rPr>
                <w:b/>
                <w:sz w:val="15"/>
              </w:rPr>
            </w:r>
            <w:r>
              <w:rPr>
                <w:b/>
                <w:sz w:val="15"/>
              </w:rPr>
              <w:t>Total liabilities</w:t>
            </w:r>
          </w:p>
        </w:tc>
        <w:tc>
          <w:tcPr>
            <w:tcW w:type="dxa" w:w="913"/>
            <w:shd w:val="clear" w:fill="F3F7F7"/>
          </w:tcPr>
          <w:p>
            <w:pPr>
              <w:jc w:val="center"/>
            </w:pPr>
            <w:r>
              <w:rPr>
                <w:b/>
                <w:sz w:val="15"/>
              </w:rPr>
            </w:r>
            <w:r>
              <w:rPr>
                <w:b/>
                <w:sz w:val="15"/>
              </w:rPr>
              <w:t>147,100</w:t>
            </w:r>
          </w:p>
        </w:tc>
        <w:tc>
          <w:tcPr>
            <w:tcW w:type="dxa" w:w="913"/>
            <w:shd w:val="clear" w:fill="F3F7F7"/>
          </w:tcPr>
          <w:p>
            <w:pPr>
              <w:jc w:val="center"/>
            </w:pPr>
            <w:r>
              <w:rPr>
                <w:b/>
                <w:sz w:val="15"/>
              </w:rPr>
            </w:r>
            <w:r>
              <w:rPr>
                <w:b/>
                <w:sz w:val="15"/>
              </w:rPr>
              <w:t>237,100</w:t>
            </w:r>
          </w:p>
        </w:tc>
        <w:tc>
          <w:tcPr>
            <w:tcW w:type="dxa" w:w="913"/>
            <w:shd w:val="clear" w:fill="F3F7F7"/>
          </w:tcPr>
          <w:p>
            <w:pPr>
              <w:jc w:val="center"/>
            </w:pPr>
            <w:r>
              <w:rPr>
                <w:b/>
                <w:sz w:val="15"/>
              </w:rPr>
            </w:r>
            <w:r>
              <w:rPr>
                <w:b/>
                <w:sz w:val="15"/>
              </w:rPr>
              <w:t>312,200</w:t>
            </w:r>
          </w:p>
        </w:tc>
        <w:tc>
          <w:tcPr>
            <w:tcW w:type="dxa" w:w="913"/>
            <w:shd w:val="clear" w:fill="F3F7F7"/>
          </w:tcPr>
          <w:p>
            <w:pPr>
              <w:jc w:val="center"/>
            </w:pPr>
            <w:r>
              <w:rPr>
                <w:b/>
                <w:sz w:val="15"/>
              </w:rPr>
            </w:r>
            <w:r>
              <w:rPr>
                <w:b/>
                <w:sz w:val="15"/>
              </w:rPr>
              <w:t>400,252</w:t>
            </w:r>
          </w:p>
        </w:tc>
        <w:tc>
          <w:tcPr>
            <w:tcW w:type="dxa" w:w="913"/>
            <w:shd w:val="clear" w:fill="F3F7F7"/>
          </w:tcPr>
          <w:p>
            <w:pPr>
              <w:jc w:val="center"/>
            </w:pPr>
            <w:r>
              <w:rPr>
                <w:b/>
                <w:sz w:val="15"/>
              </w:rPr>
            </w:r>
            <w:r>
              <w:rPr>
                <w:b/>
                <w:sz w:val="15"/>
              </w:rPr>
              <w:t>494,671</w:t>
            </w:r>
          </w:p>
        </w:tc>
        <w:tc>
          <w:tcPr>
            <w:tcW w:type="dxa" w:w="913"/>
            <w:shd w:val="clear" w:fill="F3F7F7"/>
          </w:tcPr>
          <w:p>
            <w:pPr>
              <w:jc w:val="center"/>
            </w:pPr>
            <w:r>
              <w:rPr>
                <w:b/>
                <w:sz w:val="15"/>
              </w:rPr>
            </w:r>
            <w:r>
              <w:rPr>
                <w:b/>
                <w:sz w:val="15"/>
              </w:rPr>
              <w:t>589,468</w:t>
            </w:r>
          </w:p>
        </w:tc>
        <w:tc>
          <w:tcPr>
            <w:tcW w:type="dxa" w:w="913"/>
            <w:shd w:val="clear" w:fill="F3F7F7"/>
          </w:tcPr>
          <w:p>
            <w:pPr>
              <w:jc w:val="center"/>
            </w:pPr>
            <w:r>
              <w:rPr>
                <w:b/>
                <w:sz w:val="15"/>
              </w:rPr>
            </w:r>
            <w:r>
              <w:rPr>
                <w:b/>
                <w:sz w:val="15"/>
              </w:rPr>
              <w:t>691,930</w:t>
            </w:r>
          </w:p>
        </w:tc>
        <w:tc>
          <w:tcPr>
            <w:tcW w:type="dxa" w:w="913"/>
            <w:shd w:val="clear" w:fill="F3F7F7"/>
          </w:tcPr>
          <w:p>
            <w:pPr>
              <w:jc w:val="center"/>
            </w:pPr>
            <w:r>
              <w:rPr>
                <w:b/>
                <w:sz w:val="15"/>
              </w:rPr>
            </w:r>
            <w:r>
              <w:rPr>
                <w:b/>
                <w:sz w:val="15"/>
              </w:rPr>
              <w:t>793,216</w:t>
            </w:r>
          </w:p>
        </w:tc>
      </w:tr>
      <w:tr>
        <w:tc>
          <w:tcPr>
            <w:tcW w:type="dxa" w:w="2778"/>
          </w:tcPr>
          <w:p>
            <w:r>
              <w:rPr>
                <w:sz w:val="15"/>
              </w:rPr>
            </w:r>
            <w:r>
              <w:rPr>
                <w:b w:val="0"/>
                <w:sz w:val="15"/>
              </w:rPr>
              <w:t>Paid-in capital (FY25 pro-forma)</w:t>
            </w:r>
          </w:p>
        </w:tc>
        <w:tc>
          <w:tcPr>
            <w:tcW w:type="dxa" w:w="913"/>
          </w:tcPr>
          <w:p>
            <w:pPr>
              <w:jc w:val="center"/>
            </w:pPr>
            <w:r>
              <w:rPr>
                <w:sz w:val="15"/>
              </w:rPr>
            </w:r>
            <w:r>
              <w:rPr>
                <w:b w:val="0"/>
                <w:sz w:val="15"/>
              </w:rPr>
              <w:t>6,000</w:t>
            </w:r>
          </w:p>
        </w:tc>
        <w:tc>
          <w:tcPr>
            <w:tcW w:type="dxa" w:w="913"/>
          </w:tcPr>
          <w:p>
            <w:pPr>
              <w:jc w:val="center"/>
            </w:pPr>
            <w:r>
              <w:rPr>
                <w:sz w:val="15"/>
              </w:rPr>
            </w:r>
            <w:r>
              <w:rPr>
                <w:b w:val="0"/>
                <w:sz w:val="15"/>
              </w:rPr>
              <w:t>12,000</w:t>
            </w:r>
          </w:p>
        </w:tc>
        <w:tc>
          <w:tcPr>
            <w:tcW w:type="dxa" w:w="913"/>
          </w:tcPr>
          <w:p>
            <w:pPr>
              <w:jc w:val="center"/>
            </w:pPr>
            <w:r>
              <w:rPr>
                <w:sz w:val="15"/>
              </w:rPr>
            </w:r>
            <w:r>
              <w:rPr>
                <w:b w:val="0"/>
                <w:sz w:val="15"/>
              </w:rPr>
              <w:t>15,000</w:t>
            </w:r>
          </w:p>
        </w:tc>
        <w:tc>
          <w:tcPr>
            <w:tcW w:type="dxa" w:w="913"/>
          </w:tcPr>
          <w:p>
            <w:pPr>
              <w:jc w:val="center"/>
            </w:pPr>
            <w:r>
              <w:rPr>
                <w:sz w:val="15"/>
              </w:rPr>
            </w:r>
            <w:r>
              <w:rPr>
                <w:b w:val="0"/>
                <w:sz w:val="15"/>
              </w:rPr>
              <w:t>15,000</w:t>
            </w:r>
          </w:p>
        </w:tc>
        <w:tc>
          <w:tcPr>
            <w:tcW w:type="dxa" w:w="913"/>
          </w:tcPr>
          <w:p>
            <w:pPr>
              <w:jc w:val="center"/>
            </w:pPr>
            <w:r>
              <w:rPr>
                <w:sz w:val="15"/>
              </w:rPr>
            </w:r>
            <w:r>
              <w:rPr>
                <w:b w:val="0"/>
                <w:sz w:val="15"/>
              </w:rPr>
              <w:t>15,000</w:t>
            </w:r>
          </w:p>
        </w:tc>
        <w:tc>
          <w:tcPr>
            <w:tcW w:type="dxa" w:w="913"/>
          </w:tcPr>
          <w:p>
            <w:pPr>
              <w:jc w:val="center"/>
            </w:pPr>
            <w:r>
              <w:rPr>
                <w:sz w:val="15"/>
              </w:rPr>
            </w:r>
            <w:r>
              <w:rPr>
                <w:b w:val="0"/>
                <w:sz w:val="15"/>
              </w:rPr>
              <w:t>15,000</w:t>
            </w:r>
          </w:p>
        </w:tc>
        <w:tc>
          <w:tcPr>
            <w:tcW w:type="dxa" w:w="913"/>
          </w:tcPr>
          <w:p>
            <w:pPr>
              <w:jc w:val="center"/>
            </w:pPr>
            <w:r>
              <w:rPr>
                <w:sz w:val="15"/>
              </w:rPr>
            </w:r>
            <w:r>
              <w:rPr>
                <w:b w:val="0"/>
                <w:sz w:val="15"/>
              </w:rPr>
              <w:t>15,000</w:t>
            </w:r>
          </w:p>
        </w:tc>
        <w:tc>
          <w:tcPr>
            <w:tcW w:type="dxa" w:w="913"/>
          </w:tcPr>
          <w:p>
            <w:pPr>
              <w:jc w:val="center"/>
            </w:pPr>
            <w:r>
              <w:rPr>
                <w:sz w:val="15"/>
              </w:rPr>
            </w:r>
            <w:r>
              <w:rPr>
                <w:b w:val="0"/>
                <w:sz w:val="15"/>
              </w:rPr>
              <w:t>15,000</w:t>
            </w:r>
          </w:p>
        </w:tc>
      </w:tr>
      <w:tr>
        <w:tc>
          <w:tcPr>
            <w:tcW w:type="dxa" w:w="2778"/>
          </w:tcPr>
          <w:p>
            <w:r>
              <w:rPr>
                <w:sz w:val="15"/>
              </w:rPr>
            </w:r>
            <w:r>
              <w:rPr>
                <w:b w:val="0"/>
                <w:sz w:val="15"/>
              </w:rPr>
              <w:t>Retained earnings &amp; reserves</w:t>
            </w:r>
          </w:p>
        </w:tc>
        <w:tc>
          <w:tcPr>
            <w:tcW w:type="dxa" w:w="913"/>
          </w:tcPr>
          <w:p>
            <w:pPr>
              <w:jc w:val="center"/>
            </w:pPr>
            <w:r>
              <w:rPr>
                <w:sz w:val="15"/>
              </w:rPr>
            </w:r>
            <w:r>
              <w:rPr>
                <w:b w:val="0"/>
                <w:sz w:val="15"/>
              </w:rPr>
              <w:t>8,900</w:t>
            </w:r>
          </w:p>
        </w:tc>
        <w:tc>
          <w:tcPr>
            <w:tcW w:type="dxa" w:w="913"/>
          </w:tcPr>
          <w:p>
            <w:pPr>
              <w:jc w:val="center"/>
            </w:pPr>
            <w:r>
              <w:rPr>
                <w:sz w:val="15"/>
              </w:rPr>
            </w:r>
            <w:r>
              <w:rPr>
                <w:b w:val="0"/>
                <w:sz w:val="15"/>
              </w:rPr>
              <w:t>11,000</w:t>
            </w:r>
          </w:p>
        </w:tc>
        <w:tc>
          <w:tcPr>
            <w:tcW w:type="dxa" w:w="913"/>
          </w:tcPr>
          <w:p>
            <w:pPr>
              <w:jc w:val="center"/>
            </w:pPr>
            <w:r>
              <w:rPr>
                <w:sz w:val="15"/>
              </w:rPr>
            </w:r>
            <w:r>
              <w:rPr>
                <w:b w:val="0"/>
                <w:sz w:val="15"/>
              </w:rPr>
              <w:t>22,300</w:t>
            </w:r>
          </w:p>
        </w:tc>
        <w:tc>
          <w:tcPr>
            <w:tcW w:type="dxa" w:w="913"/>
          </w:tcPr>
          <w:p>
            <w:pPr>
              <w:jc w:val="center"/>
            </w:pPr>
            <w:r>
              <w:rPr>
                <w:sz w:val="15"/>
              </w:rPr>
            </w:r>
            <w:r>
              <w:rPr>
                <w:b w:val="0"/>
                <w:sz w:val="15"/>
              </w:rPr>
              <w:t>38,089</w:t>
            </w:r>
          </w:p>
        </w:tc>
        <w:tc>
          <w:tcPr>
            <w:tcW w:type="dxa" w:w="913"/>
          </w:tcPr>
          <w:p>
            <w:pPr>
              <w:jc w:val="center"/>
            </w:pPr>
            <w:r>
              <w:rPr>
                <w:sz w:val="15"/>
              </w:rPr>
            </w:r>
            <w:r>
              <w:rPr>
                <w:b w:val="0"/>
                <w:sz w:val="15"/>
              </w:rPr>
              <w:t>54,791</w:t>
            </w:r>
          </w:p>
        </w:tc>
        <w:tc>
          <w:tcPr>
            <w:tcW w:type="dxa" w:w="913"/>
          </w:tcPr>
          <w:p>
            <w:pPr>
              <w:jc w:val="center"/>
            </w:pPr>
            <w:r>
              <w:rPr>
                <w:sz w:val="15"/>
              </w:rPr>
            </w:r>
            <w:r>
              <w:rPr>
                <w:b w:val="0"/>
                <w:sz w:val="15"/>
              </w:rPr>
              <w:t>73,254</w:t>
            </w:r>
          </w:p>
        </w:tc>
        <w:tc>
          <w:tcPr>
            <w:tcW w:type="dxa" w:w="913"/>
          </w:tcPr>
          <w:p>
            <w:pPr>
              <w:jc w:val="center"/>
            </w:pPr>
            <w:r>
              <w:rPr>
                <w:sz w:val="15"/>
              </w:rPr>
            </w:r>
            <w:r>
              <w:rPr>
                <w:b w:val="0"/>
                <w:sz w:val="15"/>
              </w:rPr>
              <w:t>93,137</w:t>
            </w:r>
          </w:p>
        </w:tc>
        <w:tc>
          <w:tcPr>
            <w:tcW w:type="dxa" w:w="913"/>
          </w:tcPr>
          <w:p>
            <w:pPr>
              <w:jc w:val="center"/>
            </w:pPr>
            <w:r>
              <w:rPr>
                <w:sz w:val="15"/>
              </w:rPr>
            </w:r>
            <w:r>
              <w:rPr>
                <w:b w:val="0"/>
                <w:sz w:val="15"/>
              </w:rPr>
              <w:t>114,312</w:t>
            </w:r>
          </w:p>
        </w:tc>
      </w:tr>
      <w:tr>
        <w:tc>
          <w:tcPr>
            <w:tcW w:type="dxa" w:w="2778"/>
            <w:shd w:val="clear" w:fill="F3F7F7"/>
          </w:tcPr>
          <w:p>
            <w:r>
              <w:rPr>
                <w:b/>
                <w:sz w:val="15"/>
              </w:rPr>
            </w:r>
            <w:r>
              <w:rPr>
                <w:b/>
                <w:sz w:val="15"/>
              </w:rPr>
              <w:t>Equity attributable to shareholders</w:t>
            </w:r>
          </w:p>
        </w:tc>
        <w:tc>
          <w:tcPr>
            <w:tcW w:type="dxa" w:w="913"/>
            <w:shd w:val="clear" w:fill="F3F7F7"/>
          </w:tcPr>
          <w:p>
            <w:pPr>
              <w:jc w:val="center"/>
            </w:pPr>
            <w:r>
              <w:rPr>
                <w:b/>
                <w:sz w:val="15"/>
              </w:rPr>
            </w:r>
            <w:r>
              <w:rPr>
                <w:b/>
                <w:sz w:val="15"/>
              </w:rPr>
              <w:t>14,900</w:t>
            </w:r>
          </w:p>
        </w:tc>
        <w:tc>
          <w:tcPr>
            <w:tcW w:type="dxa" w:w="913"/>
            <w:shd w:val="clear" w:fill="F3F7F7"/>
          </w:tcPr>
          <w:p>
            <w:pPr>
              <w:jc w:val="center"/>
            </w:pPr>
            <w:r>
              <w:rPr>
                <w:b/>
                <w:sz w:val="15"/>
              </w:rPr>
            </w:r>
            <w:r>
              <w:rPr>
                <w:b/>
                <w:sz w:val="15"/>
              </w:rPr>
              <w:t>23,000</w:t>
            </w:r>
          </w:p>
        </w:tc>
        <w:tc>
          <w:tcPr>
            <w:tcW w:type="dxa" w:w="913"/>
            <w:shd w:val="clear" w:fill="F3F7F7"/>
          </w:tcPr>
          <w:p>
            <w:pPr>
              <w:jc w:val="center"/>
            </w:pPr>
            <w:r>
              <w:rPr>
                <w:b/>
                <w:sz w:val="15"/>
              </w:rPr>
            </w:r>
            <w:r>
              <w:rPr>
                <w:b/>
                <w:sz w:val="15"/>
              </w:rPr>
              <w:t>37,300</w:t>
            </w:r>
          </w:p>
        </w:tc>
        <w:tc>
          <w:tcPr>
            <w:tcW w:type="dxa" w:w="913"/>
            <w:shd w:val="clear" w:fill="F3F7F7"/>
          </w:tcPr>
          <w:p>
            <w:pPr>
              <w:jc w:val="center"/>
            </w:pPr>
            <w:r>
              <w:rPr>
                <w:b/>
                <w:sz w:val="15"/>
              </w:rPr>
            </w:r>
            <w:r>
              <w:rPr>
                <w:b/>
                <w:sz w:val="15"/>
              </w:rPr>
              <w:t>53,089</w:t>
            </w:r>
          </w:p>
        </w:tc>
        <w:tc>
          <w:tcPr>
            <w:tcW w:type="dxa" w:w="913"/>
            <w:shd w:val="clear" w:fill="F3F7F7"/>
          </w:tcPr>
          <w:p>
            <w:pPr>
              <w:jc w:val="center"/>
            </w:pPr>
            <w:r>
              <w:rPr>
                <w:b/>
                <w:sz w:val="15"/>
              </w:rPr>
            </w:r>
            <w:r>
              <w:rPr>
                <w:b/>
                <w:sz w:val="15"/>
              </w:rPr>
              <w:t>69,791</w:t>
            </w:r>
          </w:p>
        </w:tc>
        <w:tc>
          <w:tcPr>
            <w:tcW w:type="dxa" w:w="913"/>
            <w:shd w:val="clear" w:fill="F3F7F7"/>
          </w:tcPr>
          <w:p>
            <w:pPr>
              <w:jc w:val="center"/>
            </w:pPr>
            <w:r>
              <w:rPr>
                <w:b/>
                <w:sz w:val="15"/>
              </w:rPr>
            </w:r>
            <w:r>
              <w:rPr>
                <w:b/>
                <w:sz w:val="15"/>
              </w:rPr>
              <w:t>88,254</w:t>
            </w:r>
          </w:p>
        </w:tc>
        <w:tc>
          <w:tcPr>
            <w:tcW w:type="dxa" w:w="913"/>
            <w:shd w:val="clear" w:fill="F3F7F7"/>
          </w:tcPr>
          <w:p>
            <w:pPr>
              <w:jc w:val="center"/>
            </w:pPr>
            <w:r>
              <w:rPr>
                <w:b/>
                <w:sz w:val="15"/>
              </w:rPr>
            </w:r>
            <w:r>
              <w:rPr>
                <w:b/>
                <w:sz w:val="15"/>
              </w:rPr>
              <w:t>108,137</w:t>
            </w:r>
          </w:p>
        </w:tc>
        <w:tc>
          <w:tcPr>
            <w:tcW w:type="dxa" w:w="913"/>
            <w:shd w:val="clear" w:fill="F3F7F7"/>
          </w:tcPr>
          <w:p>
            <w:pPr>
              <w:jc w:val="center"/>
            </w:pPr>
            <w:r>
              <w:rPr>
                <w:b/>
                <w:sz w:val="15"/>
              </w:rPr>
            </w:r>
            <w:r>
              <w:rPr>
                <w:b/>
                <w:sz w:val="15"/>
              </w:rPr>
              <w:t>129,312</w:t>
            </w:r>
          </w:p>
        </w:tc>
      </w:tr>
      <w:tr>
        <w:tc>
          <w:tcPr>
            <w:tcW w:type="dxa" w:w="2778"/>
          </w:tcPr>
          <w:p>
            <w:r>
              <w:rPr>
                <w:sz w:val="15"/>
              </w:rPr>
            </w:r>
            <w:r>
              <w:rPr>
                <w:b w:val="0"/>
                <w:sz w:val="15"/>
              </w:rPr>
              <w:t>Non-controlling interests</w:t>
            </w:r>
          </w:p>
        </w:tc>
        <w:tc>
          <w:tcPr>
            <w:tcW w:type="dxa" w:w="913"/>
          </w:tcPr>
          <w:p>
            <w:pPr>
              <w:jc w:val="center"/>
            </w:pPr>
            <w:r>
              <w:rPr>
                <w:sz w:val="15"/>
              </w:rPr>
            </w:r>
            <w:r>
              <w:rPr>
                <w:b w:val="0"/>
                <w:sz w:val="15"/>
              </w:rPr>
              <w:t>300</w:t>
            </w:r>
          </w:p>
        </w:tc>
        <w:tc>
          <w:tcPr>
            <w:tcW w:type="dxa" w:w="913"/>
          </w:tcPr>
          <w:p>
            <w:pPr>
              <w:jc w:val="center"/>
            </w:pPr>
            <w:r>
              <w:rPr>
                <w:sz w:val="15"/>
              </w:rPr>
            </w:r>
            <w:r>
              <w:rPr>
                <w:b w:val="0"/>
                <w:sz w:val="15"/>
              </w:rPr>
              <w:t>400</w:t>
            </w:r>
          </w:p>
        </w:tc>
        <w:tc>
          <w:tcPr>
            <w:tcW w:type="dxa" w:w="913"/>
          </w:tcPr>
          <w:p>
            <w:pPr>
              <w:jc w:val="center"/>
            </w:pPr>
            <w:r>
              <w:rPr>
                <w:sz w:val="15"/>
              </w:rPr>
            </w:r>
            <w:r>
              <w:rPr>
                <w:b w:val="0"/>
                <w:sz w:val="15"/>
              </w:rPr>
              <w:t>500</w:t>
            </w:r>
          </w:p>
        </w:tc>
        <w:tc>
          <w:tcPr>
            <w:tcW w:type="dxa" w:w="913"/>
          </w:tcPr>
          <w:p>
            <w:pPr>
              <w:jc w:val="center"/>
            </w:pPr>
            <w:r>
              <w:rPr>
                <w:sz w:val="15"/>
              </w:rPr>
            </w:r>
            <w:r>
              <w:rPr>
                <w:b w:val="0"/>
                <w:sz w:val="15"/>
              </w:rPr>
              <w:t>550</w:t>
            </w:r>
          </w:p>
        </w:tc>
        <w:tc>
          <w:tcPr>
            <w:tcW w:type="dxa" w:w="913"/>
          </w:tcPr>
          <w:p>
            <w:pPr>
              <w:jc w:val="center"/>
            </w:pPr>
            <w:r>
              <w:rPr>
                <w:sz w:val="15"/>
              </w:rPr>
            </w:r>
            <w:r>
              <w:rPr>
                <w:b w:val="0"/>
                <w:sz w:val="15"/>
              </w:rPr>
              <w:t>605</w:t>
            </w:r>
          </w:p>
        </w:tc>
        <w:tc>
          <w:tcPr>
            <w:tcW w:type="dxa" w:w="913"/>
          </w:tcPr>
          <w:p>
            <w:pPr>
              <w:jc w:val="center"/>
            </w:pPr>
            <w:r>
              <w:rPr>
                <w:sz w:val="15"/>
              </w:rPr>
            </w:r>
            <w:r>
              <w:rPr>
                <w:b w:val="0"/>
                <w:sz w:val="15"/>
              </w:rPr>
              <w:t>666</w:t>
            </w:r>
          </w:p>
        </w:tc>
        <w:tc>
          <w:tcPr>
            <w:tcW w:type="dxa" w:w="913"/>
          </w:tcPr>
          <w:p>
            <w:pPr>
              <w:jc w:val="center"/>
            </w:pPr>
            <w:r>
              <w:rPr>
                <w:sz w:val="15"/>
              </w:rPr>
            </w:r>
            <w:r>
              <w:rPr>
                <w:b w:val="0"/>
                <w:sz w:val="15"/>
              </w:rPr>
              <w:t>732</w:t>
            </w:r>
          </w:p>
        </w:tc>
        <w:tc>
          <w:tcPr>
            <w:tcW w:type="dxa" w:w="913"/>
          </w:tcPr>
          <w:p>
            <w:pPr>
              <w:jc w:val="center"/>
            </w:pPr>
            <w:r>
              <w:rPr>
                <w:sz w:val="15"/>
              </w:rPr>
            </w:r>
            <w:r>
              <w:rPr>
                <w:b w:val="0"/>
                <w:sz w:val="15"/>
              </w:rPr>
              <w:t>805</w:t>
            </w:r>
          </w:p>
        </w:tc>
      </w:tr>
      <w:tr>
        <w:tc>
          <w:tcPr>
            <w:tcW w:type="dxa" w:w="2778"/>
            <w:shd w:val="clear" w:fill="F3F7F7"/>
          </w:tcPr>
          <w:p>
            <w:r>
              <w:rPr>
                <w:b/>
                <w:sz w:val="15"/>
              </w:rPr>
            </w:r>
            <w:r>
              <w:rPr>
                <w:b/>
                <w:sz w:val="15"/>
              </w:rPr>
              <w:t>Total equity</w:t>
            </w:r>
          </w:p>
        </w:tc>
        <w:tc>
          <w:tcPr>
            <w:tcW w:type="dxa" w:w="913"/>
            <w:shd w:val="clear" w:fill="F3F7F7"/>
          </w:tcPr>
          <w:p>
            <w:pPr>
              <w:jc w:val="center"/>
            </w:pPr>
            <w:r>
              <w:rPr>
                <w:b/>
                <w:sz w:val="15"/>
              </w:rPr>
            </w:r>
            <w:r>
              <w:rPr>
                <w:b/>
                <w:sz w:val="15"/>
              </w:rPr>
              <w:t>15,200</w:t>
            </w:r>
          </w:p>
        </w:tc>
        <w:tc>
          <w:tcPr>
            <w:tcW w:type="dxa" w:w="913"/>
            <w:shd w:val="clear" w:fill="F3F7F7"/>
          </w:tcPr>
          <w:p>
            <w:pPr>
              <w:jc w:val="center"/>
            </w:pPr>
            <w:r>
              <w:rPr>
                <w:b/>
                <w:sz w:val="15"/>
              </w:rPr>
            </w:r>
            <w:r>
              <w:rPr>
                <w:b/>
                <w:sz w:val="15"/>
              </w:rPr>
              <w:t>23,400</w:t>
            </w:r>
          </w:p>
        </w:tc>
        <w:tc>
          <w:tcPr>
            <w:tcW w:type="dxa" w:w="913"/>
            <w:shd w:val="clear" w:fill="F3F7F7"/>
          </w:tcPr>
          <w:p>
            <w:pPr>
              <w:jc w:val="center"/>
            </w:pPr>
            <w:r>
              <w:rPr>
                <w:b/>
                <w:sz w:val="15"/>
              </w:rPr>
            </w:r>
            <w:r>
              <w:rPr>
                <w:b/>
                <w:sz w:val="15"/>
              </w:rPr>
              <w:t>37,800</w:t>
            </w:r>
          </w:p>
        </w:tc>
        <w:tc>
          <w:tcPr>
            <w:tcW w:type="dxa" w:w="913"/>
            <w:shd w:val="clear" w:fill="F3F7F7"/>
          </w:tcPr>
          <w:p>
            <w:pPr>
              <w:jc w:val="center"/>
            </w:pPr>
            <w:r>
              <w:rPr>
                <w:b/>
                <w:sz w:val="15"/>
              </w:rPr>
            </w:r>
            <w:r>
              <w:rPr>
                <w:b/>
                <w:sz w:val="15"/>
              </w:rPr>
              <w:t>53,639</w:t>
            </w:r>
          </w:p>
        </w:tc>
        <w:tc>
          <w:tcPr>
            <w:tcW w:type="dxa" w:w="913"/>
            <w:shd w:val="clear" w:fill="F3F7F7"/>
          </w:tcPr>
          <w:p>
            <w:pPr>
              <w:jc w:val="center"/>
            </w:pPr>
            <w:r>
              <w:rPr>
                <w:b/>
                <w:sz w:val="15"/>
              </w:rPr>
            </w:r>
            <w:r>
              <w:rPr>
                <w:b/>
                <w:sz w:val="15"/>
              </w:rPr>
              <w:t>70,396</w:t>
            </w:r>
          </w:p>
        </w:tc>
        <w:tc>
          <w:tcPr>
            <w:tcW w:type="dxa" w:w="913"/>
            <w:shd w:val="clear" w:fill="F3F7F7"/>
          </w:tcPr>
          <w:p>
            <w:pPr>
              <w:jc w:val="center"/>
            </w:pPr>
            <w:r>
              <w:rPr>
                <w:b/>
                <w:sz w:val="15"/>
              </w:rPr>
            </w:r>
            <w:r>
              <w:rPr>
                <w:b/>
                <w:sz w:val="15"/>
              </w:rPr>
              <w:t>88,919</w:t>
            </w:r>
          </w:p>
        </w:tc>
        <w:tc>
          <w:tcPr>
            <w:tcW w:type="dxa" w:w="913"/>
            <w:shd w:val="clear" w:fill="F3F7F7"/>
          </w:tcPr>
          <w:p>
            <w:pPr>
              <w:jc w:val="center"/>
            </w:pPr>
            <w:r>
              <w:rPr>
                <w:b/>
                <w:sz w:val="15"/>
              </w:rPr>
            </w:r>
            <w:r>
              <w:rPr>
                <w:b/>
                <w:sz w:val="15"/>
              </w:rPr>
              <w:t>108,869</w:t>
            </w:r>
          </w:p>
        </w:tc>
        <w:tc>
          <w:tcPr>
            <w:tcW w:type="dxa" w:w="913"/>
            <w:shd w:val="clear" w:fill="F3F7F7"/>
          </w:tcPr>
          <w:p>
            <w:pPr>
              <w:jc w:val="center"/>
            </w:pPr>
            <w:r>
              <w:rPr>
                <w:b/>
                <w:sz w:val="15"/>
              </w:rPr>
            </w:r>
            <w:r>
              <w:rPr>
                <w:b/>
                <w:sz w:val="15"/>
              </w:rPr>
              <w:t>130,117</w:t>
            </w:r>
          </w:p>
        </w:tc>
      </w:tr>
    </w:tbl>
    <w:p/>
    <w:p>
      <w:r>
        <w:rPr>
          <w:b w:val="0"/>
          <w:i/>
          <w:color w:val="666666"/>
          <w:sz w:val="18"/>
        </w:rPr>
        <w:t>Issued paid-in capital per the Q1-2026 statements: EGP 12bn (1,200mn shares, par 10) at 31-Dec-25 and 31-Mar-26; authorized EGP 20bn; the 12→15bn increase is approved and pending — FY25 onward shown pro-forma (paid-in 15,000, cash +3,000). Subordinated financing of ~US$195mn (parent Wakala tranches + IFC Murabaha) sits within other liabilities. Balance check (assets − liabilities − equity) = 0 in every year of the model.</w:t>
      </w:r>
    </w:p>
    <w:p>
      <w:pPr>
        <w:pStyle w:val="Heading2"/>
      </w:pPr>
      <w:r>
        <w:t>A.3  Cash flow (bank presentation, EGP mn) — history and forecast</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219"/>
        <w:gridCol w:w="1219"/>
        <w:gridCol w:w="1219"/>
        <w:gridCol w:w="1219"/>
        <w:gridCol w:w="1219"/>
        <w:gridCol w:w="1219"/>
        <w:gridCol w:w="1219"/>
        <w:gridCol w:w="1219"/>
      </w:tblGrid>
      <w:tr>
        <w:tc>
          <w:tcPr>
            <w:tcW w:type="dxa" w:w="3005"/>
            <w:shd w:val="clear" w:fill="1B5E5E"/>
          </w:tcPr>
          <w:p>
            <w:r/>
            <w:r>
              <w:rPr>
                <w:b/>
                <w:color w:val="FFFFFF"/>
                <w:sz w:val="15"/>
              </w:rPr>
              <w:t>Line</w:t>
            </w:r>
          </w:p>
        </w:tc>
        <w:tc>
          <w:tcPr>
            <w:tcW w:type="dxa" w:w="947"/>
            <w:shd w:val="clear" w:fill="1B5E5E"/>
          </w:tcPr>
          <w:p>
            <w:pPr>
              <w:jc w:val="center"/>
            </w:pPr>
            <w:r/>
            <w:r>
              <w:rPr>
                <w:b/>
                <w:color w:val="FFFFFF"/>
                <w:sz w:val="15"/>
              </w:rPr>
              <w:t>FY24</w:t>
            </w:r>
          </w:p>
        </w:tc>
        <w:tc>
          <w:tcPr>
            <w:tcW w:type="dxa" w:w="947"/>
            <w:shd w:val="clear" w:fill="1B5E5E"/>
          </w:tcPr>
          <w:p>
            <w:pPr>
              <w:jc w:val="center"/>
            </w:pPr>
            <w:r/>
            <w:r>
              <w:rPr>
                <w:b/>
                <w:color w:val="FFFFFF"/>
                <w:sz w:val="15"/>
              </w:rPr>
              <w:t>FY25</w:t>
            </w:r>
          </w:p>
        </w:tc>
        <w:tc>
          <w:tcPr>
            <w:tcW w:type="dxa" w:w="947"/>
            <w:shd w:val="clear" w:fill="1B5E5E"/>
          </w:tcPr>
          <w:p>
            <w:pPr>
              <w:jc w:val="center"/>
            </w:pPr>
            <w:r/>
            <w:r>
              <w:rPr>
                <w:b/>
                <w:color w:val="FFFFFF"/>
                <w:sz w:val="15"/>
              </w:rPr>
              <w:t>FY26E</w:t>
            </w:r>
          </w:p>
        </w:tc>
        <w:tc>
          <w:tcPr>
            <w:tcW w:type="dxa" w:w="947"/>
            <w:shd w:val="clear" w:fill="1B5E5E"/>
          </w:tcPr>
          <w:p>
            <w:pPr>
              <w:jc w:val="center"/>
            </w:pPr>
            <w:r/>
            <w:r>
              <w:rPr>
                <w:b/>
                <w:color w:val="FFFFFF"/>
                <w:sz w:val="15"/>
              </w:rPr>
              <w:t>FY27E</w:t>
            </w:r>
          </w:p>
        </w:tc>
        <w:tc>
          <w:tcPr>
            <w:tcW w:type="dxa" w:w="947"/>
            <w:shd w:val="clear" w:fill="1B5E5E"/>
          </w:tcPr>
          <w:p>
            <w:pPr>
              <w:jc w:val="center"/>
            </w:pPr>
            <w:r/>
            <w:r>
              <w:rPr>
                <w:b/>
                <w:color w:val="FFFFFF"/>
                <w:sz w:val="15"/>
              </w:rPr>
              <w:t>FY28E</w:t>
            </w:r>
          </w:p>
        </w:tc>
        <w:tc>
          <w:tcPr>
            <w:tcW w:type="dxa" w:w="947"/>
            <w:shd w:val="clear" w:fill="1B5E5E"/>
          </w:tcPr>
          <w:p>
            <w:pPr>
              <w:jc w:val="center"/>
            </w:pPr>
            <w:r/>
            <w:r>
              <w:rPr>
                <w:b/>
                <w:color w:val="FFFFFF"/>
                <w:sz w:val="15"/>
              </w:rPr>
              <w:t>FY29E</w:t>
            </w:r>
          </w:p>
        </w:tc>
        <w:tc>
          <w:tcPr>
            <w:tcW w:type="dxa" w:w="947"/>
            <w:shd w:val="clear" w:fill="1B5E5E"/>
          </w:tcPr>
          <w:p>
            <w:pPr>
              <w:jc w:val="center"/>
            </w:pPr>
            <w:r/>
            <w:r>
              <w:rPr>
                <w:b/>
                <w:color w:val="FFFFFF"/>
                <w:sz w:val="15"/>
              </w:rPr>
              <w:t>FY30E</w:t>
            </w:r>
          </w:p>
        </w:tc>
      </w:tr>
      <w:tr>
        <w:tc>
          <w:tcPr>
            <w:tcW w:type="dxa" w:w="3005"/>
          </w:tcPr>
          <w:p>
            <w:r>
              <w:rPr>
                <w:sz w:val="15"/>
              </w:rPr>
            </w:r>
            <w:r>
              <w:rPr>
                <w:b w:val="0"/>
                <w:sz w:val="15"/>
              </w:rPr>
              <w:t>Profit after tax</w:t>
            </w:r>
          </w:p>
        </w:tc>
        <w:tc>
          <w:tcPr>
            <w:tcW w:type="dxa" w:w="947"/>
          </w:tcPr>
          <w:p>
            <w:pPr>
              <w:jc w:val="center"/>
            </w:pPr>
            <w:r>
              <w:rPr>
                <w:sz w:val="15"/>
              </w:rPr>
            </w:r>
            <w:r>
              <w:rPr>
                <w:b w:val="0"/>
                <w:sz w:val="15"/>
              </w:rPr>
              <w:t>9,120</w:t>
            </w:r>
          </w:p>
        </w:tc>
        <w:tc>
          <w:tcPr>
            <w:tcW w:type="dxa" w:w="947"/>
          </w:tcPr>
          <w:p>
            <w:pPr>
              <w:jc w:val="center"/>
            </w:pPr>
            <w:r>
              <w:rPr>
                <w:sz w:val="15"/>
              </w:rPr>
            </w:r>
            <w:r>
              <w:rPr>
                <w:b w:val="0"/>
                <w:sz w:val="15"/>
              </w:rPr>
              <w:t>12,720</w:t>
            </w:r>
          </w:p>
        </w:tc>
        <w:tc>
          <w:tcPr>
            <w:tcW w:type="dxa" w:w="947"/>
          </w:tcPr>
          <w:p>
            <w:pPr>
              <w:jc w:val="center"/>
            </w:pPr>
            <w:r>
              <w:rPr>
                <w:sz w:val="15"/>
              </w:rPr>
            </w:r>
            <w:r>
              <w:rPr>
                <w:b w:val="0"/>
                <w:sz w:val="15"/>
              </w:rPr>
              <w:t>15,869</w:t>
            </w:r>
          </w:p>
        </w:tc>
        <w:tc>
          <w:tcPr>
            <w:tcW w:type="dxa" w:w="947"/>
          </w:tcPr>
          <w:p>
            <w:pPr>
              <w:jc w:val="center"/>
            </w:pPr>
            <w:r>
              <w:rPr>
                <w:sz w:val="15"/>
              </w:rPr>
            </w:r>
            <w:r>
              <w:rPr>
                <w:b w:val="0"/>
                <w:sz w:val="15"/>
              </w:rPr>
              <w:t>18,648</w:t>
            </w:r>
          </w:p>
        </w:tc>
        <w:tc>
          <w:tcPr>
            <w:tcW w:type="dxa" w:w="947"/>
          </w:tcPr>
          <w:p>
            <w:pPr>
              <w:jc w:val="center"/>
            </w:pPr>
            <w:r>
              <w:rPr>
                <w:sz w:val="15"/>
              </w:rPr>
            </w:r>
            <w:r>
              <w:rPr>
                <w:b w:val="0"/>
                <w:sz w:val="15"/>
              </w:rPr>
              <w:t>21,821</w:t>
            </w:r>
          </w:p>
        </w:tc>
        <w:tc>
          <w:tcPr>
            <w:tcW w:type="dxa" w:w="947"/>
          </w:tcPr>
          <w:p>
            <w:pPr>
              <w:jc w:val="center"/>
            </w:pPr>
            <w:r>
              <w:rPr>
                <w:sz w:val="15"/>
              </w:rPr>
            </w:r>
            <w:r>
              <w:rPr>
                <w:b w:val="0"/>
                <w:sz w:val="15"/>
              </w:rPr>
              <w:t>24,963</w:t>
            </w:r>
          </w:p>
        </w:tc>
        <w:tc>
          <w:tcPr>
            <w:tcW w:type="dxa" w:w="947"/>
          </w:tcPr>
          <w:p>
            <w:pPr>
              <w:jc w:val="center"/>
            </w:pPr>
            <w:r>
              <w:rPr>
                <w:sz w:val="15"/>
              </w:rPr>
            </w:r>
            <w:r>
              <w:rPr>
                <w:b w:val="0"/>
                <w:sz w:val="15"/>
              </w:rPr>
              <w:t>28,353</w:t>
            </w:r>
          </w:p>
        </w:tc>
      </w:tr>
      <w:tr>
        <w:tc>
          <w:tcPr>
            <w:tcW w:type="dxa" w:w="3005"/>
          </w:tcPr>
          <w:p>
            <w:r>
              <w:rPr>
                <w:sz w:val="15"/>
              </w:rPr>
            </w:r>
            <w:r>
              <w:rPr>
                <w:b w:val="0"/>
                <w:sz w:val="15"/>
              </w:rPr>
              <w:t>Impairment charge (non-cash)</w:t>
            </w:r>
          </w:p>
        </w:tc>
        <w:tc>
          <w:tcPr>
            <w:tcW w:type="dxa" w:w="947"/>
          </w:tcPr>
          <w:p>
            <w:pPr>
              <w:jc w:val="center"/>
            </w:pPr>
            <w:r>
              <w:rPr>
                <w:sz w:val="15"/>
              </w:rPr>
            </w:r>
            <w:r>
              <w:rPr>
                <w:b w:val="0"/>
                <w:sz w:val="15"/>
              </w:rPr>
              <w:t>2,180</w:t>
            </w:r>
          </w:p>
        </w:tc>
        <w:tc>
          <w:tcPr>
            <w:tcW w:type="dxa" w:w="947"/>
          </w:tcPr>
          <w:p>
            <w:pPr>
              <w:jc w:val="center"/>
            </w:pPr>
            <w:r>
              <w:rPr>
                <w:sz w:val="15"/>
              </w:rPr>
            </w:r>
            <w:r>
              <w:rPr>
                <w:b w:val="0"/>
                <w:sz w:val="15"/>
              </w:rPr>
              <w:t>1,940</w:t>
            </w:r>
          </w:p>
        </w:tc>
        <w:tc>
          <w:tcPr>
            <w:tcW w:type="dxa" w:w="947"/>
          </w:tcPr>
          <w:p>
            <w:pPr>
              <w:jc w:val="center"/>
            </w:pPr>
            <w:r>
              <w:rPr>
                <w:sz w:val="15"/>
              </w:rPr>
            </w:r>
            <w:r>
              <w:rPr>
                <w:b w:val="0"/>
                <w:sz w:val="15"/>
              </w:rPr>
              <w:t>2,011</w:t>
            </w:r>
          </w:p>
        </w:tc>
        <w:tc>
          <w:tcPr>
            <w:tcW w:type="dxa" w:w="947"/>
          </w:tcPr>
          <w:p>
            <w:pPr>
              <w:jc w:val="center"/>
            </w:pPr>
            <w:r>
              <w:rPr>
                <w:sz w:val="15"/>
              </w:rPr>
            </w:r>
            <w:r>
              <w:rPr>
                <w:b w:val="0"/>
                <w:sz w:val="15"/>
              </w:rPr>
              <w:t>2,558</w:t>
            </w:r>
          </w:p>
        </w:tc>
        <w:tc>
          <w:tcPr>
            <w:tcW w:type="dxa" w:w="947"/>
          </w:tcPr>
          <w:p>
            <w:pPr>
              <w:jc w:val="center"/>
            </w:pPr>
            <w:r>
              <w:rPr>
                <w:sz w:val="15"/>
              </w:rPr>
            </w:r>
            <w:r>
              <w:rPr>
                <w:b w:val="0"/>
                <w:sz w:val="15"/>
              </w:rPr>
              <w:t>2,842</w:t>
            </w:r>
          </w:p>
        </w:tc>
        <w:tc>
          <w:tcPr>
            <w:tcW w:type="dxa" w:w="947"/>
          </w:tcPr>
          <w:p>
            <w:pPr>
              <w:jc w:val="center"/>
            </w:pPr>
            <w:r>
              <w:rPr>
                <w:sz w:val="15"/>
              </w:rPr>
            </w:r>
            <w:r>
              <w:rPr>
                <w:b w:val="0"/>
                <w:sz w:val="15"/>
              </w:rPr>
              <w:t>3,380</w:t>
            </w:r>
          </w:p>
        </w:tc>
        <w:tc>
          <w:tcPr>
            <w:tcW w:type="dxa" w:w="947"/>
          </w:tcPr>
          <w:p>
            <w:pPr>
              <w:jc w:val="center"/>
            </w:pPr>
            <w:r>
              <w:rPr>
                <w:sz w:val="15"/>
              </w:rPr>
            </w:r>
            <w:r>
              <w:rPr>
                <w:b w:val="0"/>
                <w:sz w:val="15"/>
              </w:rPr>
              <w:t>3,540</w:t>
            </w:r>
          </w:p>
        </w:tc>
      </w:tr>
      <w:tr>
        <w:tc>
          <w:tcPr>
            <w:tcW w:type="dxa" w:w="3005"/>
          </w:tcPr>
          <w:p>
            <w:r>
              <w:rPr>
                <w:sz w:val="15"/>
              </w:rPr>
            </w:r>
            <w:r>
              <w:rPr>
                <w:b w:val="0"/>
                <w:sz w:val="15"/>
              </w:rPr>
              <w:t>Δ Customer financing (gross)</w:t>
            </w:r>
          </w:p>
        </w:tc>
        <w:tc>
          <w:tcPr>
            <w:tcW w:type="dxa" w:w="947"/>
          </w:tcPr>
          <w:p>
            <w:pPr>
              <w:jc w:val="center"/>
            </w:pPr>
            <w:r>
              <w:rPr>
                <w:sz w:val="15"/>
              </w:rPr>
            </w:r>
            <w:r>
              <w:rPr>
                <w:b w:val="0"/>
                <w:sz w:val="15"/>
              </w:rPr>
              <w:t>(39,580)</w:t>
            </w:r>
          </w:p>
        </w:tc>
        <w:tc>
          <w:tcPr>
            <w:tcW w:type="dxa" w:w="947"/>
          </w:tcPr>
          <w:p>
            <w:pPr>
              <w:jc w:val="center"/>
            </w:pPr>
            <w:r>
              <w:rPr>
                <w:sz w:val="15"/>
              </w:rPr>
            </w:r>
            <w:r>
              <w:rPr>
                <w:b w:val="0"/>
                <w:sz w:val="15"/>
              </w:rPr>
              <w:t>(56,540)</w:t>
            </w:r>
          </w:p>
        </w:tc>
        <w:tc>
          <w:tcPr>
            <w:tcW w:type="dxa" w:w="947"/>
          </w:tcPr>
          <w:p>
            <w:pPr>
              <w:jc w:val="center"/>
            </w:pPr>
            <w:r>
              <w:rPr>
                <w:sz w:val="15"/>
              </w:rPr>
            </w:r>
            <w:r>
              <w:rPr>
                <w:b w:val="0"/>
                <w:sz w:val="15"/>
              </w:rPr>
              <w:t>(49,711)</w:t>
            </w:r>
          </w:p>
        </w:tc>
        <w:tc>
          <w:tcPr>
            <w:tcW w:type="dxa" w:w="947"/>
          </w:tcPr>
          <w:p>
            <w:pPr>
              <w:jc w:val="center"/>
            </w:pPr>
            <w:r>
              <w:rPr>
                <w:sz w:val="15"/>
              </w:rPr>
            </w:r>
            <w:r>
              <w:rPr>
                <w:b w:val="0"/>
                <w:sz w:val="15"/>
              </w:rPr>
              <w:t>(54,233)</w:t>
            </w:r>
          </w:p>
        </w:tc>
        <w:tc>
          <w:tcPr>
            <w:tcW w:type="dxa" w:w="947"/>
          </w:tcPr>
          <w:p>
            <w:pPr>
              <w:jc w:val="center"/>
            </w:pPr>
            <w:r>
              <w:rPr>
                <w:sz w:val="15"/>
              </w:rPr>
            </w:r>
            <w:r>
              <w:rPr>
                <w:b w:val="0"/>
                <w:sz w:val="15"/>
              </w:rPr>
              <w:t>(54,517)</w:t>
            </w:r>
          </w:p>
        </w:tc>
        <w:tc>
          <w:tcPr>
            <w:tcW w:type="dxa" w:w="947"/>
          </w:tcPr>
          <w:p>
            <w:pPr>
              <w:jc w:val="center"/>
            </w:pPr>
            <w:r>
              <w:rPr>
                <w:sz w:val="15"/>
              </w:rPr>
            </w:r>
            <w:r>
              <w:rPr>
                <w:b w:val="0"/>
                <w:sz w:val="15"/>
              </w:rPr>
              <w:t>(59,189)</w:t>
            </w:r>
          </w:p>
        </w:tc>
        <w:tc>
          <w:tcPr>
            <w:tcW w:type="dxa" w:w="947"/>
          </w:tcPr>
          <w:p>
            <w:pPr>
              <w:jc w:val="center"/>
            </w:pPr>
            <w:r>
              <w:rPr>
                <w:sz w:val="15"/>
              </w:rPr>
            </w:r>
            <w:r>
              <w:rPr>
                <w:b w:val="0"/>
                <w:sz w:val="15"/>
              </w:rPr>
              <w:t>(58,419)</w:t>
            </w:r>
          </w:p>
        </w:tc>
      </w:tr>
      <w:tr>
        <w:tc>
          <w:tcPr>
            <w:tcW w:type="dxa" w:w="3005"/>
          </w:tcPr>
          <w:p>
            <w:r>
              <w:rPr>
                <w:sz w:val="15"/>
              </w:rPr>
            </w:r>
            <w:r>
              <w:rPr>
                <w:b w:val="0"/>
                <w:sz w:val="15"/>
              </w:rPr>
              <w:t>Δ Depositors' accounts</w:t>
            </w:r>
          </w:p>
        </w:tc>
        <w:tc>
          <w:tcPr>
            <w:tcW w:type="dxa" w:w="947"/>
          </w:tcPr>
          <w:p>
            <w:pPr>
              <w:jc w:val="center"/>
            </w:pPr>
            <w:r>
              <w:rPr>
                <w:sz w:val="15"/>
              </w:rPr>
            </w:r>
            <w:r>
              <w:rPr>
                <w:b w:val="0"/>
                <w:sz w:val="15"/>
              </w:rPr>
              <w:t>73,000</w:t>
            </w:r>
          </w:p>
        </w:tc>
        <w:tc>
          <w:tcPr>
            <w:tcW w:type="dxa" w:w="947"/>
          </w:tcPr>
          <w:p>
            <w:pPr>
              <w:jc w:val="center"/>
            </w:pPr>
            <w:r>
              <w:rPr>
                <w:sz w:val="15"/>
              </w:rPr>
            </w:r>
            <w:r>
              <w:rPr>
                <w:b w:val="0"/>
                <w:sz w:val="15"/>
              </w:rPr>
              <w:t>78,000</w:t>
            </w:r>
          </w:p>
        </w:tc>
        <w:tc>
          <w:tcPr>
            <w:tcW w:type="dxa" w:w="947"/>
          </w:tcPr>
          <w:p>
            <w:pPr>
              <w:jc w:val="center"/>
            </w:pPr>
            <w:r>
              <w:rPr>
                <w:sz w:val="15"/>
              </w:rPr>
            </w:r>
            <w:r>
              <w:rPr>
                <w:b w:val="0"/>
                <w:sz w:val="15"/>
              </w:rPr>
              <w:t>84,632</w:t>
            </w:r>
          </w:p>
        </w:tc>
        <w:tc>
          <w:tcPr>
            <w:tcW w:type="dxa" w:w="947"/>
          </w:tcPr>
          <w:p>
            <w:pPr>
              <w:jc w:val="center"/>
            </w:pPr>
            <w:r>
              <w:rPr>
                <w:sz w:val="15"/>
              </w:rPr>
            </w:r>
            <w:r>
              <w:rPr>
                <w:b w:val="0"/>
                <w:sz w:val="15"/>
              </w:rPr>
              <w:t>90,658</w:t>
            </w:r>
          </w:p>
        </w:tc>
        <w:tc>
          <w:tcPr>
            <w:tcW w:type="dxa" w:w="947"/>
          </w:tcPr>
          <w:p>
            <w:pPr>
              <w:jc w:val="center"/>
            </w:pPr>
            <w:r>
              <w:rPr>
                <w:sz w:val="15"/>
              </w:rPr>
            </w:r>
            <w:r>
              <w:rPr>
                <w:b w:val="0"/>
                <w:sz w:val="15"/>
              </w:rPr>
              <w:t>90,658</w:t>
            </w:r>
          </w:p>
        </w:tc>
        <w:tc>
          <w:tcPr>
            <w:tcW w:type="dxa" w:w="947"/>
          </w:tcPr>
          <w:p>
            <w:pPr>
              <w:jc w:val="center"/>
            </w:pPr>
            <w:r>
              <w:rPr>
                <w:sz w:val="15"/>
              </w:rPr>
            </w:r>
            <w:r>
              <w:rPr>
                <w:b w:val="0"/>
                <w:sz w:val="15"/>
              </w:rPr>
              <w:t>97,911</w:t>
            </w:r>
          </w:p>
        </w:tc>
        <w:tc>
          <w:tcPr>
            <w:tcW w:type="dxa" w:w="947"/>
          </w:tcPr>
          <w:p>
            <w:pPr>
              <w:jc w:val="center"/>
            </w:pPr>
            <w:r>
              <w:rPr>
                <w:sz w:val="15"/>
              </w:rPr>
            </w:r>
            <w:r>
              <w:rPr>
                <w:b w:val="0"/>
                <w:sz w:val="15"/>
              </w:rPr>
              <w:t>96,279</w:t>
            </w:r>
          </w:p>
        </w:tc>
      </w:tr>
      <w:tr>
        <w:tc>
          <w:tcPr>
            <w:tcW w:type="dxa" w:w="3005"/>
          </w:tcPr>
          <w:p>
            <w:r>
              <w:rPr>
                <w:sz w:val="15"/>
              </w:rPr>
            </w:r>
            <w:r>
              <w:rPr>
                <w:b w:val="0"/>
                <w:sz w:val="15"/>
              </w:rPr>
              <w:t>Δ Due to banks &amp; other liabilities</w:t>
            </w:r>
          </w:p>
        </w:tc>
        <w:tc>
          <w:tcPr>
            <w:tcW w:type="dxa" w:w="947"/>
          </w:tcPr>
          <w:p>
            <w:pPr>
              <w:jc w:val="center"/>
            </w:pPr>
            <w:r>
              <w:rPr>
                <w:sz w:val="15"/>
              </w:rPr>
            </w:r>
            <w:r>
              <w:rPr>
                <w:b w:val="0"/>
                <w:sz w:val="15"/>
              </w:rPr>
              <w:t>17,000</w:t>
            </w:r>
          </w:p>
        </w:tc>
        <w:tc>
          <w:tcPr>
            <w:tcW w:type="dxa" w:w="947"/>
          </w:tcPr>
          <w:p>
            <w:pPr>
              <w:jc w:val="center"/>
            </w:pPr>
            <w:r>
              <w:rPr>
                <w:sz w:val="15"/>
              </w:rPr>
            </w:r>
            <w:r>
              <w:rPr>
                <w:b w:val="0"/>
                <w:sz w:val="15"/>
              </w:rPr>
              <w:t>(2,900)</w:t>
            </w:r>
          </w:p>
        </w:tc>
        <w:tc>
          <w:tcPr>
            <w:tcW w:type="dxa" w:w="947"/>
          </w:tcPr>
          <w:p>
            <w:pPr>
              <w:jc w:val="center"/>
            </w:pPr>
            <w:r>
              <w:rPr>
                <w:sz w:val="15"/>
              </w:rPr>
            </w:r>
            <w:r>
              <w:rPr>
                <w:b w:val="0"/>
                <w:sz w:val="15"/>
              </w:rPr>
              <w:t>3,420</w:t>
            </w:r>
          </w:p>
        </w:tc>
        <w:tc>
          <w:tcPr>
            <w:tcW w:type="dxa" w:w="947"/>
          </w:tcPr>
          <w:p>
            <w:pPr>
              <w:jc w:val="center"/>
            </w:pPr>
            <w:r>
              <w:rPr>
                <w:sz w:val="15"/>
              </w:rPr>
            </w:r>
            <w:r>
              <w:rPr>
                <w:b w:val="0"/>
                <w:sz w:val="15"/>
              </w:rPr>
              <w:t>3,762</w:t>
            </w:r>
          </w:p>
        </w:tc>
        <w:tc>
          <w:tcPr>
            <w:tcW w:type="dxa" w:w="947"/>
          </w:tcPr>
          <w:p>
            <w:pPr>
              <w:jc w:val="center"/>
            </w:pPr>
            <w:r>
              <w:rPr>
                <w:sz w:val="15"/>
              </w:rPr>
            </w:r>
            <w:r>
              <w:rPr>
                <w:b w:val="0"/>
                <w:sz w:val="15"/>
              </w:rPr>
              <w:t>4,138</w:t>
            </w:r>
          </w:p>
        </w:tc>
        <w:tc>
          <w:tcPr>
            <w:tcW w:type="dxa" w:w="947"/>
          </w:tcPr>
          <w:p>
            <w:pPr>
              <w:jc w:val="center"/>
            </w:pPr>
            <w:r>
              <w:rPr>
                <w:sz w:val="15"/>
              </w:rPr>
            </w:r>
            <w:r>
              <w:rPr>
                <w:b w:val="0"/>
                <w:sz w:val="15"/>
              </w:rPr>
              <w:t>4,552</w:t>
            </w:r>
          </w:p>
        </w:tc>
        <w:tc>
          <w:tcPr>
            <w:tcW w:type="dxa" w:w="947"/>
          </w:tcPr>
          <w:p>
            <w:pPr>
              <w:jc w:val="center"/>
            </w:pPr>
            <w:r>
              <w:rPr>
                <w:sz w:val="15"/>
              </w:rPr>
            </w:r>
            <w:r>
              <w:rPr>
                <w:b w:val="0"/>
                <w:sz w:val="15"/>
              </w:rPr>
              <w:t>5,007</w:t>
            </w:r>
          </w:p>
        </w:tc>
      </w:tr>
      <w:tr>
        <w:tc>
          <w:tcPr>
            <w:tcW w:type="dxa" w:w="3005"/>
          </w:tcPr>
          <w:p>
            <w:r>
              <w:rPr>
                <w:sz w:val="15"/>
              </w:rPr>
            </w:r>
            <w:r>
              <w:rPr>
                <w:b w:val="0"/>
                <w:sz w:val="15"/>
              </w:rPr>
              <w:t>Δ Fixed &amp; other assets</w:t>
            </w:r>
          </w:p>
        </w:tc>
        <w:tc>
          <w:tcPr>
            <w:tcW w:type="dxa" w:w="947"/>
          </w:tcPr>
          <w:p>
            <w:pPr>
              <w:jc w:val="center"/>
            </w:pPr>
            <w:r>
              <w:rPr>
                <w:sz w:val="15"/>
              </w:rPr>
            </w:r>
            <w:r>
              <w:rPr>
                <w:b w:val="0"/>
                <w:sz w:val="15"/>
              </w:rPr>
              <w:t>(1,000)</w:t>
            </w:r>
          </w:p>
        </w:tc>
        <w:tc>
          <w:tcPr>
            <w:tcW w:type="dxa" w:w="947"/>
          </w:tcPr>
          <w:p>
            <w:pPr>
              <w:jc w:val="center"/>
            </w:pPr>
            <w:r>
              <w:rPr>
                <w:sz w:val="15"/>
              </w:rPr>
            </w:r>
            <w:r>
              <w:rPr>
                <w:b w:val="0"/>
                <w:sz w:val="15"/>
              </w:rPr>
              <w:t>(1,000)</w:t>
            </w:r>
          </w:p>
        </w:tc>
        <w:tc>
          <w:tcPr>
            <w:tcW w:type="dxa" w:w="947"/>
          </w:tcPr>
          <w:p>
            <w:pPr>
              <w:jc w:val="center"/>
            </w:pPr>
            <w:r>
              <w:rPr>
                <w:sz w:val="15"/>
              </w:rPr>
            </w:r>
            <w:r>
              <w:rPr>
                <w:b w:val="0"/>
                <w:sz w:val="15"/>
              </w:rPr>
              <w:t>(1,000)</w:t>
            </w:r>
          </w:p>
        </w:tc>
        <w:tc>
          <w:tcPr>
            <w:tcW w:type="dxa" w:w="947"/>
          </w:tcPr>
          <w:p>
            <w:pPr>
              <w:jc w:val="center"/>
            </w:pPr>
            <w:r>
              <w:rPr>
                <w:sz w:val="15"/>
              </w:rPr>
            </w:r>
            <w:r>
              <w:rPr>
                <w:b w:val="0"/>
                <w:sz w:val="15"/>
              </w:rPr>
              <w:t>(1,100)</w:t>
            </w:r>
          </w:p>
        </w:tc>
        <w:tc>
          <w:tcPr>
            <w:tcW w:type="dxa" w:w="947"/>
          </w:tcPr>
          <w:p>
            <w:pPr>
              <w:jc w:val="center"/>
            </w:pPr>
            <w:r>
              <w:rPr>
                <w:sz w:val="15"/>
              </w:rPr>
            </w:r>
            <w:r>
              <w:rPr>
                <w:b w:val="0"/>
                <w:sz w:val="15"/>
              </w:rPr>
              <w:t>(1,210)</w:t>
            </w:r>
          </w:p>
        </w:tc>
        <w:tc>
          <w:tcPr>
            <w:tcW w:type="dxa" w:w="947"/>
          </w:tcPr>
          <w:p>
            <w:pPr>
              <w:jc w:val="center"/>
            </w:pPr>
            <w:r>
              <w:rPr>
                <w:sz w:val="15"/>
              </w:rPr>
            </w:r>
            <w:r>
              <w:rPr>
                <w:b w:val="0"/>
                <w:sz w:val="15"/>
              </w:rPr>
              <w:t>(1,331)</w:t>
            </w:r>
          </w:p>
        </w:tc>
        <w:tc>
          <w:tcPr>
            <w:tcW w:type="dxa" w:w="947"/>
          </w:tcPr>
          <w:p>
            <w:pPr>
              <w:jc w:val="center"/>
            </w:pPr>
            <w:r>
              <w:rPr>
                <w:sz w:val="15"/>
              </w:rPr>
            </w:r>
            <w:r>
              <w:rPr>
                <w:b w:val="0"/>
                <w:sz w:val="15"/>
              </w:rPr>
              <w:t>(1,464)</w:t>
            </w:r>
          </w:p>
        </w:tc>
      </w:tr>
      <w:tr>
        <w:tc>
          <w:tcPr>
            <w:tcW w:type="dxa" w:w="3005"/>
            <w:shd w:val="clear" w:fill="F3F7F7"/>
          </w:tcPr>
          <w:p>
            <w:r>
              <w:rPr>
                <w:b/>
                <w:sz w:val="15"/>
              </w:rPr>
            </w:r>
            <w:r>
              <w:rPr>
                <w:b/>
                <w:sz w:val="15"/>
              </w:rPr>
              <w:t>Net cash from operating activities</w:t>
            </w:r>
          </w:p>
        </w:tc>
        <w:tc>
          <w:tcPr>
            <w:tcW w:type="dxa" w:w="947"/>
            <w:shd w:val="clear" w:fill="F3F7F7"/>
          </w:tcPr>
          <w:p>
            <w:pPr>
              <w:jc w:val="center"/>
            </w:pPr>
            <w:r>
              <w:rPr>
                <w:b/>
                <w:sz w:val="15"/>
              </w:rPr>
            </w:r>
            <w:r>
              <w:rPr>
                <w:b/>
                <w:sz w:val="15"/>
              </w:rPr>
              <w:t>60,720</w:t>
            </w:r>
          </w:p>
        </w:tc>
        <w:tc>
          <w:tcPr>
            <w:tcW w:type="dxa" w:w="947"/>
            <w:shd w:val="clear" w:fill="F3F7F7"/>
          </w:tcPr>
          <w:p>
            <w:pPr>
              <w:jc w:val="center"/>
            </w:pPr>
            <w:r>
              <w:rPr>
                <w:b/>
                <w:sz w:val="15"/>
              </w:rPr>
            </w:r>
            <w:r>
              <w:rPr>
                <w:b/>
                <w:sz w:val="15"/>
              </w:rPr>
              <w:t>32,220</w:t>
            </w:r>
          </w:p>
        </w:tc>
        <w:tc>
          <w:tcPr>
            <w:tcW w:type="dxa" w:w="947"/>
            <w:shd w:val="clear" w:fill="F3F7F7"/>
          </w:tcPr>
          <w:p>
            <w:pPr>
              <w:jc w:val="center"/>
            </w:pPr>
            <w:r>
              <w:rPr>
                <w:b/>
                <w:sz w:val="15"/>
              </w:rPr>
            </w:r>
            <w:r>
              <w:rPr>
                <w:b/>
                <w:sz w:val="15"/>
              </w:rPr>
              <w:t>55,221</w:t>
            </w:r>
          </w:p>
        </w:tc>
        <w:tc>
          <w:tcPr>
            <w:tcW w:type="dxa" w:w="947"/>
            <w:shd w:val="clear" w:fill="F3F7F7"/>
          </w:tcPr>
          <w:p>
            <w:pPr>
              <w:jc w:val="center"/>
            </w:pPr>
            <w:r>
              <w:rPr>
                <w:b/>
                <w:sz w:val="15"/>
              </w:rPr>
            </w:r>
            <w:r>
              <w:rPr>
                <w:b/>
                <w:sz w:val="15"/>
              </w:rPr>
              <w:t>60,293</w:t>
            </w:r>
          </w:p>
        </w:tc>
        <w:tc>
          <w:tcPr>
            <w:tcW w:type="dxa" w:w="947"/>
            <w:shd w:val="clear" w:fill="F3F7F7"/>
          </w:tcPr>
          <w:p>
            <w:pPr>
              <w:jc w:val="center"/>
            </w:pPr>
            <w:r>
              <w:rPr>
                <w:b/>
                <w:sz w:val="15"/>
              </w:rPr>
            </w:r>
            <w:r>
              <w:rPr>
                <w:b/>
                <w:sz w:val="15"/>
              </w:rPr>
              <w:t>63,732</w:t>
            </w:r>
          </w:p>
        </w:tc>
        <w:tc>
          <w:tcPr>
            <w:tcW w:type="dxa" w:w="947"/>
            <w:shd w:val="clear" w:fill="F3F7F7"/>
          </w:tcPr>
          <w:p>
            <w:pPr>
              <w:jc w:val="center"/>
            </w:pPr>
            <w:r>
              <w:rPr>
                <w:b/>
                <w:sz w:val="15"/>
              </w:rPr>
            </w:r>
            <w:r>
              <w:rPr>
                <w:b/>
                <w:sz w:val="15"/>
              </w:rPr>
              <w:t>70,286</w:t>
            </w:r>
          </w:p>
        </w:tc>
        <w:tc>
          <w:tcPr>
            <w:tcW w:type="dxa" w:w="947"/>
            <w:shd w:val="clear" w:fill="F3F7F7"/>
          </w:tcPr>
          <w:p>
            <w:pPr>
              <w:jc w:val="center"/>
            </w:pPr>
            <w:r>
              <w:rPr>
                <w:b/>
                <w:sz w:val="15"/>
              </w:rPr>
            </w:r>
            <w:r>
              <w:rPr>
                <w:b/>
                <w:sz w:val="15"/>
              </w:rPr>
              <w:t>73,296</w:t>
            </w:r>
          </w:p>
        </w:tc>
      </w:tr>
      <w:tr>
        <w:tc>
          <w:tcPr>
            <w:tcW w:type="dxa" w:w="3005"/>
          </w:tcPr>
          <w:p>
            <w:r>
              <w:rPr>
                <w:sz w:val="15"/>
              </w:rPr>
            </w:r>
            <w:r>
              <w:rPr>
                <w:b w:val="0"/>
                <w:sz w:val="15"/>
              </w:rPr>
              <w:t>Δ Treasury &amp; securities (investing)</w:t>
            </w:r>
          </w:p>
        </w:tc>
        <w:tc>
          <w:tcPr>
            <w:tcW w:type="dxa" w:w="947"/>
          </w:tcPr>
          <w:p>
            <w:pPr>
              <w:jc w:val="center"/>
            </w:pPr>
            <w:r>
              <w:rPr>
                <w:sz w:val="15"/>
              </w:rPr>
            </w:r>
            <w:r>
              <w:rPr>
                <w:b w:val="0"/>
                <w:sz w:val="15"/>
              </w:rPr>
              <w:t>(50,000)</w:t>
            </w:r>
          </w:p>
        </w:tc>
        <w:tc>
          <w:tcPr>
            <w:tcW w:type="dxa" w:w="947"/>
          </w:tcPr>
          <w:p>
            <w:pPr>
              <w:jc w:val="center"/>
            </w:pPr>
            <w:r>
              <w:rPr>
                <w:sz w:val="15"/>
              </w:rPr>
            </w:r>
            <w:r>
              <w:rPr>
                <w:b w:val="0"/>
                <w:sz w:val="15"/>
              </w:rPr>
              <w:t>(25,000)</w:t>
            </w:r>
          </w:p>
        </w:tc>
        <w:tc>
          <w:tcPr>
            <w:tcW w:type="dxa" w:w="947"/>
          </w:tcPr>
          <w:p>
            <w:pPr>
              <w:jc w:val="center"/>
            </w:pPr>
            <w:r>
              <w:rPr>
                <w:sz w:val="15"/>
              </w:rPr>
            </w:r>
            <w:r>
              <w:rPr>
                <w:b w:val="0"/>
                <w:sz w:val="15"/>
              </w:rPr>
              <w:t>(39,200)</w:t>
            </w:r>
          </w:p>
        </w:tc>
        <w:tc>
          <w:tcPr>
            <w:tcW w:type="dxa" w:w="947"/>
          </w:tcPr>
          <w:p>
            <w:pPr>
              <w:jc w:val="center"/>
            </w:pPr>
            <w:r>
              <w:rPr>
                <w:sz w:val="15"/>
              </w:rPr>
            </w:r>
            <w:r>
              <w:rPr>
                <w:b w:val="0"/>
                <w:sz w:val="15"/>
              </w:rPr>
              <w:t>(43,008)</w:t>
            </w:r>
          </w:p>
        </w:tc>
        <w:tc>
          <w:tcPr>
            <w:tcW w:type="dxa" w:w="947"/>
          </w:tcPr>
          <w:p>
            <w:pPr>
              <w:jc w:val="center"/>
            </w:pPr>
            <w:r>
              <w:rPr>
                <w:sz w:val="15"/>
              </w:rPr>
            </w:r>
            <w:r>
              <w:rPr>
                <w:b w:val="0"/>
                <w:sz w:val="15"/>
              </w:rPr>
              <w:t>(44,442)</w:t>
            </w:r>
          </w:p>
        </w:tc>
        <w:tc>
          <w:tcPr>
            <w:tcW w:type="dxa" w:w="947"/>
          </w:tcPr>
          <w:p>
            <w:pPr>
              <w:jc w:val="center"/>
            </w:pPr>
            <w:r>
              <w:rPr>
                <w:sz w:val="15"/>
              </w:rPr>
            </w:r>
            <w:r>
              <w:rPr>
                <w:b w:val="0"/>
                <w:sz w:val="15"/>
              </w:rPr>
              <w:t>(45,330)</w:t>
            </w:r>
          </w:p>
        </w:tc>
        <w:tc>
          <w:tcPr>
            <w:tcW w:type="dxa" w:w="947"/>
          </w:tcPr>
          <w:p>
            <w:pPr>
              <w:jc w:val="center"/>
            </w:pPr>
            <w:r>
              <w:rPr>
                <w:sz w:val="15"/>
              </w:rPr>
            </w:r>
            <w:r>
              <w:rPr>
                <w:b w:val="0"/>
                <w:sz w:val="15"/>
              </w:rPr>
              <w:t>(46,797)</w:t>
            </w:r>
          </w:p>
        </w:tc>
      </w:tr>
      <w:tr>
        <w:tc>
          <w:tcPr>
            <w:tcW w:type="dxa" w:w="3005"/>
          </w:tcPr>
          <w:p>
            <w:r>
              <w:rPr>
                <w:sz w:val="15"/>
              </w:rPr>
            </w:r>
            <w:r>
              <w:rPr>
                <w:b w:val="0"/>
                <w:sz w:val="15"/>
              </w:rPr>
              <w:t>Dividends paid</w:t>
            </w:r>
          </w:p>
        </w:tc>
        <w:tc>
          <w:tcPr>
            <w:tcW w:type="dxa" w:w="947"/>
          </w:tcPr>
          <w:p>
            <w:pPr>
              <w:jc w:val="center"/>
            </w:pPr>
            <w:r>
              <w:rPr>
                <w:sz w:val="15"/>
              </w:rPr>
            </w:r>
            <w:r>
              <w:rPr>
                <w:b w:val="0"/>
                <w:sz w:val="15"/>
              </w:rPr>
              <w:t>0</w:t>
            </w:r>
          </w:p>
        </w:tc>
        <w:tc>
          <w:tcPr>
            <w:tcW w:type="dxa" w:w="947"/>
          </w:tcPr>
          <w:p>
            <w:pPr>
              <w:jc w:val="center"/>
            </w:pPr>
            <w:r>
              <w:rPr>
                <w:sz w:val="15"/>
              </w:rPr>
            </w:r>
            <w:r>
              <w:rPr>
                <w:b w:val="0"/>
                <w:sz w:val="15"/>
              </w:rPr>
              <w:t>0</w:t>
            </w:r>
          </w:p>
        </w:tc>
        <w:tc>
          <w:tcPr>
            <w:tcW w:type="dxa" w:w="947"/>
          </w:tcPr>
          <w:p>
            <w:pPr>
              <w:jc w:val="center"/>
            </w:pPr>
            <w:r>
              <w:rPr>
                <w:sz w:val="15"/>
              </w:rPr>
            </w:r>
            <w:r>
              <w:rPr>
                <w:b w:val="0"/>
                <w:sz w:val="15"/>
              </w:rPr>
              <w:t>0</w:t>
            </w:r>
          </w:p>
        </w:tc>
        <w:tc>
          <w:tcPr>
            <w:tcW w:type="dxa" w:w="947"/>
          </w:tcPr>
          <w:p>
            <w:pPr>
              <w:jc w:val="center"/>
            </w:pPr>
            <w:r>
              <w:rPr>
                <w:sz w:val="15"/>
              </w:rPr>
            </w:r>
            <w:r>
              <w:rPr>
                <w:b w:val="0"/>
                <w:sz w:val="15"/>
              </w:rPr>
              <w:t>(1,856)</w:t>
            </w:r>
          </w:p>
        </w:tc>
        <w:tc>
          <w:tcPr>
            <w:tcW w:type="dxa" w:w="947"/>
          </w:tcPr>
          <w:p>
            <w:pPr>
              <w:jc w:val="center"/>
            </w:pPr>
            <w:r>
              <w:rPr>
                <w:sz w:val="15"/>
              </w:rPr>
            </w:r>
            <w:r>
              <w:rPr>
                <w:b w:val="0"/>
                <w:sz w:val="15"/>
              </w:rPr>
              <w:t>(3,258)</w:t>
            </w:r>
          </w:p>
        </w:tc>
        <w:tc>
          <w:tcPr>
            <w:tcW w:type="dxa" w:w="947"/>
          </w:tcPr>
          <w:p>
            <w:pPr>
              <w:jc w:val="center"/>
            </w:pPr>
            <w:r>
              <w:rPr>
                <w:sz w:val="15"/>
              </w:rPr>
            </w:r>
            <w:r>
              <w:rPr>
                <w:b w:val="0"/>
                <w:sz w:val="15"/>
              </w:rPr>
              <w:t>(4,971)</w:t>
            </w:r>
          </w:p>
        </w:tc>
        <w:tc>
          <w:tcPr>
            <w:tcW w:type="dxa" w:w="947"/>
          </w:tcPr>
          <w:p>
            <w:pPr>
              <w:jc w:val="center"/>
            </w:pPr>
            <w:r>
              <w:rPr>
                <w:sz w:val="15"/>
              </w:rPr>
            </w:r>
            <w:r>
              <w:rPr>
                <w:b w:val="0"/>
                <w:sz w:val="15"/>
              </w:rPr>
              <w:t>(7,058)</w:t>
            </w:r>
          </w:p>
        </w:tc>
      </w:tr>
      <w:tr>
        <w:tc>
          <w:tcPr>
            <w:tcW w:type="dxa" w:w="3005"/>
          </w:tcPr>
          <w:p>
            <w:r>
              <w:rPr>
                <w:sz w:val="15"/>
              </w:rPr>
            </w:r>
            <w:r>
              <w:rPr>
                <w:b w:val="0"/>
                <w:sz w:val="15"/>
              </w:rPr>
              <w:t>Capital increase / equity movements</w:t>
            </w:r>
          </w:p>
        </w:tc>
        <w:tc>
          <w:tcPr>
            <w:tcW w:type="dxa" w:w="947"/>
          </w:tcPr>
          <w:p>
            <w:pPr>
              <w:jc w:val="center"/>
            </w:pPr>
            <w:r>
              <w:rPr>
                <w:sz w:val="15"/>
              </w:rPr>
            </w:r>
            <w:r>
              <w:rPr>
                <w:b w:val="0"/>
                <w:sz w:val="15"/>
              </w:rPr>
              <w:t>(920)</w:t>
            </w:r>
          </w:p>
        </w:tc>
        <w:tc>
          <w:tcPr>
            <w:tcW w:type="dxa" w:w="947"/>
          </w:tcPr>
          <w:p>
            <w:pPr>
              <w:jc w:val="center"/>
            </w:pPr>
            <w:r>
              <w:rPr>
                <w:sz w:val="15"/>
              </w:rPr>
            </w:r>
            <w:r>
              <w:rPr>
                <w:b w:val="0"/>
                <w:sz w:val="15"/>
              </w:rPr>
              <w:t>1,680</w:t>
            </w:r>
          </w:p>
        </w:tc>
        <w:tc>
          <w:tcPr>
            <w:tcW w:type="dxa" w:w="947"/>
          </w:tcPr>
          <w:p>
            <w:pPr>
              <w:jc w:val="center"/>
            </w:pPr>
            <w:r>
              <w:rPr>
                <w:sz w:val="15"/>
              </w:rPr>
            </w:r>
            <w:r>
              <w:rPr>
                <w:b w:val="0"/>
                <w:sz w:val="15"/>
              </w:rPr>
              <w:t>(30)</w:t>
            </w:r>
          </w:p>
        </w:tc>
        <w:tc>
          <w:tcPr>
            <w:tcW w:type="dxa" w:w="947"/>
          </w:tcPr>
          <w:p>
            <w:pPr>
              <w:jc w:val="center"/>
            </w:pPr>
            <w:r>
              <w:rPr>
                <w:sz w:val="15"/>
              </w:rPr>
            </w:r>
            <w:r>
              <w:rPr>
                <w:b w:val="0"/>
                <w:sz w:val="15"/>
              </w:rPr>
              <w:t>(35)</w:t>
            </w:r>
          </w:p>
        </w:tc>
        <w:tc>
          <w:tcPr>
            <w:tcW w:type="dxa" w:w="947"/>
          </w:tcPr>
          <w:p>
            <w:pPr>
              <w:jc w:val="center"/>
            </w:pPr>
            <w:r>
              <w:rPr>
                <w:sz w:val="15"/>
              </w:rPr>
            </w:r>
            <w:r>
              <w:rPr>
                <w:b w:val="0"/>
                <w:sz w:val="15"/>
              </w:rPr>
              <w:t>(39)</w:t>
            </w:r>
          </w:p>
        </w:tc>
        <w:tc>
          <w:tcPr>
            <w:tcW w:type="dxa" w:w="947"/>
          </w:tcPr>
          <w:p>
            <w:pPr>
              <w:jc w:val="center"/>
            </w:pPr>
            <w:r>
              <w:rPr>
                <w:sz w:val="15"/>
              </w:rPr>
            </w:r>
            <w:r>
              <w:rPr>
                <w:b w:val="0"/>
                <w:sz w:val="15"/>
              </w:rPr>
              <w:t>(43)</w:t>
            </w:r>
          </w:p>
        </w:tc>
        <w:tc>
          <w:tcPr>
            <w:tcW w:type="dxa" w:w="947"/>
          </w:tcPr>
          <w:p>
            <w:pPr>
              <w:jc w:val="center"/>
            </w:pPr>
            <w:r>
              <w:rPr>
                <w:sz w:val="15"/>
              </w:rPr>
            </w:r>
            <w:r>
              <w:rPr>
                <w:b w:val="0"/>
                <w:sz w:val="15"/>
              </w:rPr>
              <w:t>(47)</w:t>
            </w:r>
          </w:p>
        </w:tc>
      </w:tr>
      <w:tr>
        <w:tc>
          <w:tcPr>
            <w:tcW w:type="dxa" w:w="3005"/>
            <w:shd w:val="clear" w:fill="F3F7F7"/>
          </w:tcPr>
          <w:p>
            <w:r>
              <w:rPr>
                <w:b/>
                <w:sz w:val="15"/>
              </w:rPr>
            </w:r>
            <w:r>
              <w:rPr>
                <w:b/>
                <w:sz w:val="15"/>
              </w:rPr>
              <w:t>Net change in cash &amp; due from banks</w:t>
            </w:r>
          </w:p>
        </w:tc>
        <w:tc>
          <w:tcPr>
            <w:tcW w:type="dxa" w:w="947"/>
            <w:shd w:val="clear" w:fill="F3F7F7"/>
          </w:tcPr>
          <w:p>
            <w:pPr>
              <w:jc w:val="center"/>
            </w:pPr>
            <w:r>
              <w:rPr>
                <w:b/>
                <w:sz w:val="15"/>
              </w:rPr>
            </w:r>
            <w:r>
              <w:rPr>
                <w:b/>
                <w:sz w:val="15"/>
              </w:rPr>
              <w:t>9,800</w:t>
            </w:r>
          </w:p>
        </w:tc>
        <w:tc>
          <w:tcPr>
            <w:tcW w:type="dxa" w:w="947"/>
            <w:shd w:val="clear" w:fill="F3F7F7"/>
          </w:tcPr>
          <w:p>
            <w:pPr>
              <w:jc w:val="center"/>
            </w:pPr>
            <w:r>
              <w:rPr>
                <w:b/>
                <w:sz w:val="15"/>
              </w:rPr>
            </w:r>
            <w:r>
              <w:rPr>
                <w:b/>
                <w:sz w:val="15"/>
              </w:rPr>
              <w:t>8,900</w:t>
            </w:r>
          </w:p>
        </w:tc>
        <w:tc>
          <w:tcPr>
            <w:tcW w:type="dxa" w:w="947"/>
            <w:shd w:val="clear" w:fill="F3F7F7"/>
          </w:tcPr>
          <w:p>
            <w:pPr>
              <w:jc w:val="center"/>
            </w:pPr>
            <w:r>
              <w:rPr>
                <w:b/>
                <w:sz w:val="15"/>
              </w:rPr>
            </w:r>
            <w:r>
              <w:rPr>
                <w:b/>
                <w:sz w:val="15"/>
              </w:rPr>
              <w:t>15,991</w:t>
            </w:r>
          </w:p>
        </w:tc>
        <w:tc>
          <w:tcPr>
            <w:tcW w:type="dxa" w:w="947"/>
            <w:shd w:val="clear" w:fill="F3F7F7"/>
          </w:tcPr>
          <w:p>
            <w:pPr>
              <w:jc w:val="center"/>
            </w:pPr>
            <w:r>
              <w:rPr>
                <w:b/>
                <w:sz w:val="15"/>
              </w:rPr>
            </w:r>
            <w:r>
              <w:rPr>
                <w:b/>
                <w:sz w:val="15"/>
              </w:rPr>
              <w:t>15,394</w:t>
            </w:r>
          </w:p>
        </w:tc>
        <w:tc>
          <w:tcPr>
            <w:tcW w:type="dxa" w:w="947"/>
            <w:shd w:val="clear" w:fill="F3F7F7"/>
          </w:tcPr>
          <w:p>
            <w:pPr>
              <w:jc w:val="center"/>
            </w:pPr>
            <w:r>
              <w:rPr>
                <w:b/>
                <w:sz w:val="15"/>
              </w:rPr>
            </w:r>
            <w:r>
              <w:rPr>
                <w:b/>
                <w:sz w:val="15"/>
              </w:rPr>
              <w:t>15,993</w:t>
            </w:r>
          </w:p>
        </w:tc>
        <w:tc>
          <w:tcPr>
            <w:tcW w:type="dxa" w:w="947"/>
            <w:shd w:val="clear" w:fill="F3F7F7"/>
          </w:tcPr>
          <w:p>
            <w:pPr>
              <w:jc w:val="center"/>
            </w:pPr>
            <w:r>
              <w:rPr>
                <w:b/>
                <w:sz w:val="15"/>
              </w:rPr>
            </w:r>
            <w:r>
              <w:rPr>
                <w:b/>
                <w:sz w:val="15"/>
              </w:rPr>
              <w:t>19,941</w:t>
            </w:r>
          </w:p>
        </w:tc>
        <w:tc>
          <w:tcPr>
            <w:tcW w:type="dxa" w:w="947"/>
            <w:shd w:val="clear" w:fill="F3F7F7"/>
          </w:tcPr>
          <w:p>
            <w:pPr>
              <w:jc w:val="center"/>
            </w:pPr>
            <w:r>
              <w:rPr>
                <w:b/>
                <w:sz w:val="15"/>
              </w:rPr>
            </w:r>
            <w:r>
              <w:rPr>
                <w:b/>
                <w:sz w:val="15"/>
              </w:rPr>
              <w:t>19,394</w:t>
            </w:r>
          </w:p>
        </w:tc>
      </w:tr>
    </w:tbl>
    <w:p/>
    <w:p>
      <w:r>
        <w:rPr>
          <w:b w:val="0"/>
          <w:i/>
          <w:color w:val="666666"/>
          <w:sz w:val="18"/>
        </w:rPr>
        <w:t>FY25 equity movement includes the EGP 3bn increase (pro-forma). Forecast dividends follow the §1.1 payout path (0% → 25%); closing cash ties to the balance sheet in every year (check = 0).</w:t>
      </w:r>
    </w:p>
    <w:p>
      <w:pPr>
        <w:pStyle w:val="Heading2"/>
      </w:pPr>
      <w:r>
        <w:t>A.4  Equity DCF — the complete five-year build</w:t>
      </w:r>
    </w:p>
    <w:p>
      <w:r>
        <w:rPr>
          <w:b w:val="0"/>
        </w:rPr>
        <w:t>The full free-cash-flow build behind §1.2, reproduced line by line from the model's DCF sheet: attributable profit for each of the five forecast years, the equity that must be retained to fund balance-sheet growth at constant capital intensity, the resulting free cash flow to equity, the year-by-year discounting at the cost of equity (the WACC of an all-equity claim), the terminal value, and the present value of every piece — all the way to the valuation.</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625"/>
        <w:gridCol w:w="1625"/>
        <w:gridCol w:w="1625"/>
        <w:gridCol w:w="1625"/>
        <w:gridCol w:w="1625"/>
        <w:gridCol w:w="1625"/>
      </w:tblGrid>
      <w:tr>
        <w:tc>
          <w:tcPr>
            <w:tcW w:type="dxa" w:w="3912"/>
            <w:shd w:val="clear" w:fill="1B5E5E"/>
          </w:tcPr>
          <w:p>
            <w:r/>
            <w:r>
              <w:rPr>
                <w:b/>
                <w:color w:val="FFFFFF"/>
                <w:sz w:val="16"/>
              </w:rPr>
              <w:t>DCF build</w:t>
            </w:r>
          </w:p>
        </w:tc>
        <w:tc>
          <w:tcPr>
            <w:tcW w:type="dxa" w:w="1213"/>
            <w:shd w:val="clear" w:fill="1B5E5E"/>
          </w:tcPr>
          <w:p>
            <w:pPr>
              <w:jc w:val="center"/>
            </w:pPr>
            <w:r/>
            <w:r>
              <w:rPr>
                <w:b/>
                <w:color w:val="FFFFFF"/>
                <w:sz w:val="16"/>
              </w:rPr>
              <w:t>FY26E</w:t>
            </w:r>
          </w:p>
        </w:tc>
        <w:tc>
          <w:tcPr>
            <w:tcW w:type="dxa" w:w="1213"/>
            <w:shd w:val="clear" w:fill="1B5E5E"/>
          </w:tcPr>
          <w:p>
            <w:pPr>
              <w:jc w:val="center"/>
            </w:pPr>
            <w:r/>
            <w:r>
              <w:rPr>
                <w:b/>
                <w:color w:val="FFFFFF"/>
                <w:sz w:val="16"/>
              </w:rPr>
              <w:t>FY27E</w:t>
            </w:r>
          </w:p>
        </w:tc>
        <w:tc>
          <w:tcPr>
            <w:tcW w:type="dxa" w:w="1213"/>
            <w:shd w:val="clear" w:fill="1B5E5E"/>
          </w:tcPr>
          <w:p>
            <w:pPr>
              <w:jc w:val="center"/>
            </w:pPr>
            <w:r/>
            <w:r>
              <w:rPr>
                <w:b/>
                <w:color w:val="FFFFFF"/>
                <w:sz w:val="16"/>
              </w:rPr>
              <w:t>FY28E</w:t>
            </w:r>
          </w:p>
        </w:tc>
        <w:tc>
          <w:tcPr>
            <w:tcW w:type="dxa" w:w="1213"/>
            <w:shd w:val="clear" w:fill="1B5E5E"/>
          </w:tcPr>
          <w:p>
            <w:pPr>
              <w:jc w:val="center"/>
            </w:pPr>
            <w:r/>
            <w:r>
              <w:rPr>
                <w:b/>
                <w:color w:val="FFFFFF"/>
                <w:sz w:val="16"/>
              </w:rPr>
              <w:t>FY29E</w:t>
            </w:r>
          </w:p>
        </w:tc>
        <w:tc>
          <w:tcPr>
            <w:tcW w:type="dxa" w:w="1213"/>
            <w:shd w:val="clear" w:fill="1B5E5E"/>
          </w:tcPr>
          <w:p>
            <w:pPr>
              <w:jc w:val="center"/>
            </w:pPr>
            <w:r/>
            <w:r>
              <w:rPr>
                <w:b/>
                <w:color w:val="FFFFFF"/>
                <w:sz w:val="16"/>
              </w:rPr>
              <w:t>FY30E</w:t>
            </w:r>
          </w:p>
        </w:tc>
      </w:tr>
      <w:tr>
        <w:tc>
          <w:tcPr>
            <w:tcW w:type="dxa" w:w="3912"/>
          </w:tcPr>
          <w:p>
            <w:r>
              <w:rPr>
                <w:sz w:val="16"/>
              </w:rPr>
            </w:r>
            <w:r>
              <w:rPr>
                <w:b w:val="0"/>
                <w:sz w:val="16"/>
              </w:rPr>
              <w:t>Attributable net profit (EGP mn)</w:t>
            </w:r>
          </w:p>
        </w:tc>
        <w:tc>
          <w:tcPr>
            <w:tcW w:type="dxa" w:w="1213"/>
          </w:tcPr>
          <w:p>
            <w:pPr>
              <w:jc w:val="center"/>
            </w:pPr>
            <w:r>
              <w:rPr>
                <w:sz w:val="16"/>
              </w:rPr>
            </w:r>
            <w:r>
              <w:rPr>
                <w:b w:val="0"/>
                <w:sz w:val="16"/>
              </w:rPr>
              <w:t>15,789</w:t>
            </w:r>
          </w:p>
        </w:tc>
        <w:tc>
          <w:tcPr>
            <w:tcW w:type="dxa" w:w="1213"/>
          </w:tcPr>
          <w:p>
            <w:pPr>
              <w:jc w:val="center"/>
            </w:pPr>
            <w:r>
              <w:rPr>
                <w:sz w:val="16"/>
              </w:rPr>
            </w:r>
            <w:r>
              <w:rPr>
                <w:b w:val="0"/>
                <w:sz w:val="16"/>
              </w:rPr>
              <w:t>18,558</w:t>
            </w:r>
          </w:p>
        </w:tc>
        <w:tc>
          <w:tcPr>
            <w:tcW w:type="dxa" w:w="1213"/>
          </w:tcPr>
          <w:p>
            <w:pPr>
              <w:jc w:val="center"/>
            </w:pPr>
            <w:r>
              <w:rPr>
                <w:sz w:val="16"/>
              </w:rPr>
            </w:r>
            <w:r>
              <w:rPr>
                <w:b w:val="0"/>
                <w:sz w:val="16"/>
              </w:rPr>
              <w:t>21,721</w:t>
            </w:r>
          </w:p>
        </w:tc>
        <w:tc>
          <w:tcPr>
            <w:tcW w:type="dxa" w:w="1213"/>
          </w:tcPr>
          <w:p>
            <w:pPr>
              <w:jc w:val="center"/>
            </w:pPr>
            <w:r>
              <w:rPr>
                <w:sz w:val="16"/>
              </w:rPr>
            </w:r>
            <w:r>
              <w:rPr>
                <w:b w:val="0"/>
                <w:sz w:val="16"/>
              </w:rPr>
              <w:t>24,853</w:t>
            </w:r>
          </w:p>
        </w:tc>
        <w:tc>
          <w:tcPr>
            <w:tcW w:type="dxa" w:w="1213"/>
          </w:tcPr>
          <w:p>
            <w:pPr>
              <w:jc w:val="center"/>
            </w:pPr>
            <w:r>
              <w:rPr>
                <w:sz w:val="16"/>
              </w:rPr>
            </w:r>
            <w:r>
              <w:rPr>
                <w:b w:val="0"/>
                <w:sz w:val="16"/>
              </w:rPr>
              <w:t>28,233</w:t>
            </w:r>
          </w:p>
        </w:tc>
      </w:tr>
      <w:tr>
        <w:tc>
          <w:tcPr>
            <w:tcW w:type="dxa" w:w="3912"/>
          </w:tcPr>
          <w:p>
            <w:r>
              <w:rPr>
                <w:sz w:val="16"/>
              </w:rPr>
            </w:r>
            <w:r>
              <w:rPr>
                <w:b w:val="0"/>
                <w:sz w:val="16"/>
              </w:rPr>
              <w:t>Total assets, year-end (EGP mn)</w:t>
            </w:r>
          </w:p>
        </w:tc>
        <w:tc>
          <w:tcPr>
            <w:tcW w:type="dxa" w:w="1213"/>
          </w:tcPr>
          <w:p>
            <w:pPr>
              <w:jc w:val="center"/>
            </w:pPr>
            <w:r>
              <w:rPr>
                <w:sz w:val="16"/>
              </w:rPr>
            </w:r>
            <w:r>
              <w:rPr>
                <w:b w:val="0"/>
                <w:sz w:val="16"/>
              </w:rPr>
              <w:t>453,891</w:t>
            </w:r>
          </w:p>
        </w:tc>
        <w:tc>
          <w:tcPr>
            <w:tcW w:type="dxa" w:w="1213"/>
          </w:tcPr>
          <w:p>
            <w:pPr>
              <w:jc w:val="center"/>
            </w:pPr>
            <w:r>
              <w:rPr>
                <w:sz w:val="16"/>
              </w:rPr>
            </w:r>
            <w:r>
              <w:rPr>
                <w:b w:val="0"/>
                <w:sz w:val="16"/>
              </w:rPr>
              <w:t>565,068</w:t>
            </w:r>
          </w:p>
        </w:tc>
        <w:tc>
          <w:tcPr>
            <w:tcW w:type="dxa" w:w="1213"/>
          </w:tcPr>
          <w:p>
            <w:pPr>
              <w:jc w:val="center"/>
            </w:pPr>
            <w:r>
              <w:rPr>
                <w:sz w:val="16"/>
              </w:rPr>
            </w:r>
            <w:r>
              <w:rPr>
                <w:b w:val="0"/>
                <w:sz w:val="16"/>
              </w:rPr>
              <w:t>678,387</w:t>
            </w:r>
          </w:p>
        </w:tc>
        <w:tc>
          <w:tcPr>
            <w:tcW w:type="dxa" w:w="1213"/>
          </w:tcPr>
          <w:p>
            <w:pPr>
              <w:jc w:val="center"/>
            </w:pPr>
            <w:r>
              <w:rPr>
                <w:sz w:val="16"/>
              </w:rPr>
            </w:r>
            <w:r>
              <w:rPr>
                <w:b w:val="0"/>
                <w:sz w:val="16"/>
              </w:rPr>
              <w:t>800,799</w:t>
            </w:r>
          </w:p>
        </w:tc>
        <w:tc>
          <w:tcPr>
            <w:tcW w:type="dxa" w:w="1213"/>
          </w:tcPr>
          <w:p>
            <w:pPr>
              <w:jc w:val="center"/>
            </w:pPr>
            <w:r>
              <w:rPr>
                <w:sz w:val="16"/>
              </w:rPr>
            </w:r>
            <w:r>
              <w:rPr>
                <w:b w:val="0"/>
                <w:sz w:val="16"/>
              </w:rPr>
              <w:t>923,333</w:t>
            </w:r>
          </w:p>
        </w:tc>
      </w:tr>
      <w:tr>
        <w:tc>
          <w:tcPr>
            <w:tcW w:type="dxa" w:w="3912"/>
          </w:tcPr>
          <w:p>
            <w:r>
              <w:rPr>
                <w:sz w:val="16"/>
              </w:rPr>
            </w:r>
            <w:r>
              <w:rPr>
                <w:b w:val="0"/>
                <w:sz w:val="16"/>
              </w:rPr>
              <w:t>Δ Total assets (EGP mn)</w:t>
            </w:r>
          </w:p>
        </w:tc>
        <w:tc>
          <w:tcPr>
            <w:tcW w:type="dxa" w:w="1213"/>
          </w:tcPr>
          <w:p>
            <w:pPr>
              <w:jc w:val="center"/>
            </w:pPr>
            <w:r>
              <w:rPr>
                <w:sz w:val="16"/>
              </w:rPr>
            </w:r>
            <w:r>
              <w:rPr>
                <w:b w:val="0"/>
                <w:sz w:val="16"/>
              </w:rPr>
              <w:t>103,891</w:t>
            </w:r>
          </w:p>
        </w:tc>
        <w:tc>
          <w:tcPr>
            <w:tcW w:type="dxa" w:w="1213"/>
          </w:tcPr>
          <w:p>
            <w:pPr>
              <w:jc w:val="center"/>
            </w:pPr>
            <w:r>
              <w:rPr>
                <w:sz w:val="16"/>
              </w:rPr>
            </w:r>
            <w:r>
              <w:rPr>
                <w:b w:val="0"/>
                <w:sz w:val="16"/>
              </w:rPr>
              <w:t>111,177</w:t>
            </w:r>
          </w:p>
        </w:tc>
        <w:tc>
          <w:tcPr>
            <w:tcW w:type="dxa" w:w="1213"/>
          </w:tcPr>
          <w:p>
            <w:pPr>
              <w:jc w:val="center"/>
            </w:pPr>
            <w:r>
              <w:rPr>
                <w:sz w:val="16"/>
              </w:rPr>
            </w:r>
            <w:r>
              <w:rPr>
                <w:b w:val="0"/>
                <w:sz w:val="16"/>
              </w:rPr>
              <w:t>113,319</w:t>
            </w:r>
          </w:p>
        </w:tc>
        <w:tc>
          <w:tcPr>
            <w:tcW w:type="dxa" w:w="1213"/>
          </w:tcPr>
          <w:p>
            <w:pPr>
              <w:jc w:val="center"/>
            </w:pPr>
            <w:r>
              <w:rPr>
                <w:sz w:val="16"/>
              </w:rPr>
            </w:r>
            <w:r>
              <w:rPr>
                <w:b w:val="0"/>
                <w:sz w:val="16"/>
              </w:rPr>
              <w:t>122,412</w:t>
            </w:r>
          </w:p>
        </w:tc>
        <w:tc>
          <w:tcPr>
            <w:tcW w:type="dxa" w:w="1213"/>
          </w:tcPr>
          <w:p>
            <w:pPr>
              <w:jc w:val="center"/>
            </w:pPr>
            <w:r>
              <w:rPr>
                <w:sz w:val="16"/>
              </w:rPr>
            </w:r>
            <w:r>
              <w:rPr>
                <w:b w:val="0"/>
                <w:sz w:val="16"/>
              </w:rPr>
              <w:t>122,534</w:t>
            </w:r>
          </w:p>
        </w:tc>
      </w:tr>
      <w:tr>
        <w:tc>
          <w:tcPr>
            <w:tcW w:type="dxa" w:w="3912"/>
          </w:tcPr>
          <w:p>
            <w:r>
              <w:rPr>
                <w:sz w:val="16"/>
              </w:rPr>
            </w:r>
            <w:r>
              <w:rPr>
                <w:b w:val="0"/>
                <w:sz w:val="16"/>
              </w:rPr>
              <w:t>Equity retained = 10.66% × ΔTA (EGP mn)</w:t>
            </w:r>
          </w:p>
        </w:tc>
        <w:tc>
          <w:tcPr>
            <w:tcW w:type="dxa" w:w="1213"/>
          </w:tcPr>
          <w:p>
            <w:pPr>
              <w:jc w:val="center"/>
            </w:pPr>
            <w:r>
              <w:rPr>
                <w:sz w:val="16"/>
              </w:rPr>
            </w:r>
            <w:r>
              <w:rPr>
                <w:b w:val="0"/>
                <w:sz w:val="16"/>
              </w:rPr>
              <w:t>(11,072)</w:t>
            </w:r>
          </w:p>
        </w:tc>
        <w:tc>
          <w:tcPr>
            <w:tcW w:type="dxa" w:w="1213"/>
          </w:tcPr>
          <w:p>
            <w:pPr>
              <w:jc w:val="center"/>
            </w:pPr>
            <w:r>
              <w:rPr>
                <w:sz w:val="16"/>
              </w:rPr>
            </w:r>
            <w:r>
              <w:rPr>
                <w:b w:val="0"/>
                <w:sz w:val="16"/>
              </w:rPr>
              <w:t>(11,848)</w:t>
            </w:r>
          </w:p>
        </w:tc>
        <w:tc>
          <w:tcPr>
            <w:tcW w:type="dxa" w:w="1213"/>
          </w:tcPr>
          <w:p>
            <w:pPr>
              <w:jc w:val="center"/>
            </w:pPr>
            <w:r>
              <w:rPr>
                <w:sz w:val="16"/>
              </w:rPr>
            </w:r>
            <w:r>
              <w:rPr>
                <w:b w:val="0"/>
                <w:sz w:val="16"/>
              </w:rPr>
              <w:t>(12,077)</w:t>
            </w:r>
          </w:p>
        </w:tc>
        <w:tc>
          <w:tcPr>
            <w:tcW w:type="dxa" w:w="1213"/>
          </w:tcPr>
          <w:p>
            <w:pPr>
              <w:jc w:val="center"/>
            </w:pPr>
            <w:r>
              <w:rPr>
                <w:sz w:val="16"/>
              </w:rPr>
            </w:r>
            <w:r>
              <w:rPr>
                <w:b w:val="0"/>
                <w:sz w:val="16"/>
              </w:rPr>
              <w:t>(13,046)</w:t>
            </w:r>
          </w:p>
        </w:tc>
        <w:tc>
          <w:tcPr>
            <w:tcW w:type="dxa" w:w="1213"/>
          </w:tcPr>
          <w:p>
            <w:pPr>
              <w:jc w:val="center"/>
            </w:pPr>
            <w:r>
              <w:rPr>
                <w:sz w:val="16"/>
              </w:rPr>
            </w:r>
            <w:r>
              <w:rPr>
                <w:b w:val="0"/>
                <w:sz w:val="16"/>
              </w:rPr>
              <w:t>(13,059)</w:t>
            </w:r>
          </w:p>
        </w:tc>
      </w:tr>
      <w:tr>
        <w:tc>
          <w:tcPr>
            <w:tcW w:type="dxa" w:w="3912"/>
            <w:shd w:val="clear" w:fill="F3F7F7"/>
          </w:tcPr>
          <w:p>
            <w:r>
              <w:rPr>
                <w:b/>
                <w:sz w:val="16"/>
              </w:rPr>
            </w:r>
            <w:r>
              <w:rPr>
                <w:b/>
                <w:sz w:val="16"/>
              </w:rPr>
              <w:t>Free cash flow to equity (EGP mn)</w:t>
            </w:r>
          </w:p>
        </w:tc>
        <w:tc>
          <w:tcPr>
            <w:tcW w:type="dxa" w:w="1213"/>
            <w:shd w:val="clear" w:fill="F3F7F7"/>
          </w:tcPr>
          <w:p>
            <w:pPr>
              <w:jc w:val="center"/>
            </w:pPr>
            <w:r>
              <w:rPr>
                <w:b/>
                <w:sz w:val="16"/>
              </w:rPr>
            </w:r>
            <w:r>
              <w:rPr>
                <w:b/>
                <w:sz w:val="16"/>
              </w:rPr>
              <w:t>4,717</w:t>
            </w:r>
          </w:p>
        </w:tc>
        <w:tc>
          <w:tcPr>
            <w:tcW w:type="dxa" w:w="1213"/>
            <w:shd w:val="clear" w:fill="F3F7F7"/>
          </w:tcPr>
          <w:p>
            <w:pPr>
              <w:jc w:val="center"/>
            </w:pPr>
            <w:r>
              <w:rPr>
                <w:b/>
                <w:sz w:val="16"/>
              </w:rPr>
            </w:r>
            <w:r>
              <w:rPr>
                <w:b/>
                <w:sz w:val="16"/>
              </w:rPr>
              <w:t>6,710</w:t>
            </w:r>
          </w:p>
        </w:tc>
        <w:tc>
          <w:tcPr>
            <w:tcW w:type="dxa" w:w="1213"/>
            <w:shd w:val="clear" w:fill="F3F7F7"/>
          </w:tcPr>
          <w:p>
            <w:pPr>
              <w:jc w:val="center"/>
            </w:pPr>
            <w:r>
              <w:rPr>
                <w:b/>
                <w:sz w:val="16"/>
              </w:rPr>
            </w:r>
            <w:r>
              <w:rPr>
                <w:b/>
                <w:sz w:val="16"/>
              </w:rPr>
              <w:t>9,644</w:t>
            </w:r>
          </w:p>
        </w:tc>
        <w:tc>
          <w:tcPr>
            <w:tcW w:type="dxa" w:w="1213"/>
            <w:shd w:val="clear" w:fill="F3F7F7"/>
          </w:tcPr>
          <w:p>
            <w:pPr>
              <w:jc w:val="center"/>
            </w:pPr>
            <w:r>
              <w:rPr>
                <w:b/>
                <w:sz w:val="16"/>
              </w:rPr>
            </w:r>
            <w:r>
              <w:rPr>
                <w:b/>
                <w:sz w:val="16"/>
              </w:rPr>
              <w:t>11,808</w:t>
            </w:r>
          </w:p>
        </w:tc>
        <w:tc>
          <w:tcPr>
            <w:tcW w:type="dxa" w:w="1213"/>
            <w:shd w:val="clear" w:fill="F3F7F7"/>
          </w:tcPr>
          <w:p>
            <w:pPr>
              <w:jc w:val="center"/>
            </w:pPr>
            <w:r>
              <w:rPr>
                <w:b/>
                <w:sz w:val="16"/>
              </w:rPr>
            </w:r>
            <w:r>
              <w:rPr>
                <w:b/>
                <w:sz w:val="16"/>
              </w:rPr>
              <w:t>15,175</w:t>
            </w:r>
          </w:p>
        </w:tc>
      </w:tr>
      <w:tr>
        <w:tc>
          <w:tcPr>
            <w:tcW w:type="dxa" w:w="3912"/>
          </w:tcPr>
          <w:p>
            <w:r>
              <w:rPr>
                <w:sz w:val="16"/>
              </w:rPr>
            </w:r>
            <w:r>
              <w:rPr>
                <w:b w:val="0"/>
                <w:sz w:val="16"/>
              </w:rPr>
              <w:t>FCFE per share (EGP)</w:t>
            </w:r>
          </w:p>
        </w:tc>
        <w:tc>
          <w:tcPr>
            <w:tcW w:type="dxa" w:w="1213"/>
          </w:tcPr>
          <w:p>
            <w:pPr>
              <w:jc w:val="center"/>
            </w:pPr>
            <w:r>
              <w:rPr>
                <w:sz w:val="16"/>
              </w:rPr>
            </w:r>
            <w:r>
              <w:rPr>
                <w:b w:val="0"/>
                <w:sz w:val="16"/>
              </w:rPr>
              <w:t>3.14</w:t>
            </w:r>
          </w:p>
        </w:tc>
        <w:tc>
          <w:tcPr>
            <w:tcW w:type="dxa" w:w="1213"/>
          </w:tcPr>
          <w:p>
            <w:pPr>
              <w:jc w:val="center"/>
            </w:pPr>
            <w:r>
              <w:rPr>
                <w:sz w:val="16"/>
              </w:rPr>
            </w:r>
            <w:r>
              <w:rPr>
                <w:b w:val="0"/>
                <w:sz w:val="16"/>
              </w:rPr>
              <w:t>4.47</w:t>
            </w:r>
          </w:p>
        </w:tc>
        <w:tc>
          <w:tcPr>
            <w:tcW w:type="dxa" w:w="1213"/>
          </w:tcPr>
          <w:p>
            <w:pPr>
              <w:jc w:val="center"/>
            </w:pPr>
            <w:r>
              <w:rPr>
                <w:sz w:val="16"/>
              </w:rPr>
            </w:r>
            <w:r>
              <w:rPr>
                <w:b w:val="0"/>
                <w:sz w:val="16"/>
              </w:rPr>
              <w:t>6.43</w:t>
            </w:r>
          </w:p>
        </w:tc>
        <w:tc>
          <w:tcPr>
            <w:tcW w:type="dxa" w:w="1213"/>
          </w:tcPr>
          <w:p>
            <w:pPr>
              <w:jc w:val="center"/>
            </w:pPr>
            <w:r>
              <w:rPr>
                <w:sz w:val="16"/>
              </w:rPr>
            </w:r>
            <w:r>
              <w:rPr>
                <w:b w:val="0"/>
                <w:sz w:val="16"/>
              </w:rPr>
              <w:t>7.87</w:t>
            </w:r>
          </w:p>
        </w:tc>
        <w:tc>
          <w:tcPr>
            <w:tcW w:type="dxa" w:w="1213"/>
          </w:tcPr>
          <w:p>
            <w:pPr>
              <w:jc w:val="center"/>
            </w:pPr>
            <w:r>
              <w:rPr>
                <w:sz w:val="16"/>
              </w:rPr>
            </w:r>
            <w:r>
              <w:rPr>
                <w:b w:val="0"/>
                <w:sz w:val="16"/>
              </w:rPr>
              <w:t>10.12</w:t>
            </w:r>
          </w:p>
        </w:tc>
      </w:tr>
      <w:tr>
        <w:tc>
          <w:tcPr>
            <w:tcW w:type="dxa" w:w="3912"/>
          </w:tcPr>
          <w:p>
            <w:r>
              <w:rPr>
                <w:sz w:val="16"/>
              </w:rPr>
            </w:r>
            <w:r>
              <w:rPr>
                <w:b w:val="0"/>
                <w:sz w:val="16"/>
              </w:rPr>
              <w:t>Discount factor @ 23.0% COE (mid-year)</w:t>
            </w:r>
          </w:p>
        </w:tc>
        <w:tc>
          <w:tcPr>
            <w:tcW w:type="dxa" w:w="1213"/>
          </w:tcPr>
          <w:p>
            <w:pPr>
              <w:jc w:val="center"/>
            </w:pPr>
            <w:r>
              <w:rPr>
                <w:sz w:val="16"/>
              </w:rPr>
            </w:r>
            <w:r>
              <w:rPr>
                <w:b w:val="0"/>
                <w:sz w:val="16"/>
              </w:rPr>
              <w:t>0.902</w:t>
            </w:r>
          </w:p>
        </w:tc>
        <w:tc>
          <w:tcPr>
            <w:tcW w:type="dxa" w:w="1213"/>
          </w:tcPr>
          <w:p>
            <w:pPr>
              <w:jc w:val="center"/>
            </w:pPr>
            <w:r>
              <w:rPr>
                <w:sz w:val="16"/>
              </w:rPr>
            </w:r>
            <w:r>
              <w:rPr>
                <w:b w:val="0"/>
                <w:sz w:val="16"/>
              </w:rPr>
              <w:t>0.733</w:t>
            </w:r>
          </w:p>
        </w:tc>
        <w:tc>
          <w:tcPr>
            <w:tcW w:type="dxa" w:w="1213"/>
          </w:tcPr>
          <w:p>
            <w:pPr>
              <w:jc w:val="center"/>
            </w:pPr>
            <w:r>
              <w:rPr>
                <w:sz w:val="16"/>
              </w:rPr>
            </w:r>
            <w:r>
              <w:rPr>
                <w:b w:val="0"/>
                <w:sz w:val="16"/>
              </w:rPr>
              <w:t>0.596</w:t>
            </w:r>
          </w:p>
        </w:tc>
        <w:tc>
          <w:tcPr>
            <w:tcW w:type="dxa" w:w="1213"/>
          </w:tcPr>
          <w:p>
            <w:pPr>
              <w:jc w:val="center"/>
            </w:pPr>
            <w:r>
              <w:rPr>
                <w:sz w:val="16"/>
              </w:rPr>
            </w:r>
            <w:r>
              <w:rPr>
                <w:b w:val="0"/>
                <w:sz w:val="16"/>
              </w:rPr>
              <w:t>0.485</w:t>
            </w:r>
          </w:p>
        </w:tc>
        <w:tc>
          <w:tcPr>
            <w:tcW w:type="dxa" w:w="1213"/>
          </w:tcPr>
          <w:p>
            <w:pPr>
              <w:jc w:val="center"/>
            </w:pPr>
            <w:r>
              <w:rPr>
                <w:sz w:val="16"/>
              </w:rPr>
            </w:r>
            <w:r>
              <w:rPr>
                <w:b w:val="0"/>
                <w:sz w:val="16"/>
              </w:rPr>
              <w:t>0.394</w:t>
            </w:r>
          </w:p>
        </w:tc>
      </w:tr>
      <w:tr>
        <w:tc>
          <w:tcPr>
            <w:tcW w:type="dxa" w:w="3912"/>
            <w:shd w:val="clear" w:fill="F3F7F7"/>
          </w:tcPr>
          <w:p>
            <w:r>
              <w:rPr>
                <w:b/>
                <w:sz w:val="16"/>
              </w:rPr>
            </w:r>
            <w:r>
              <w:rPr>
                <w:b/>
                <w:sz w:val="16"/>
              </w:rPr>
              <w:t>PV of FCFE (EGP/share)</w:t>
            </w:r>
          </w:p>
        </w:tc>
        <w:tc>
          <w:tcPr>
            <w:tcW w:type="dxa" w:w="1213"/>
            <w:shd w:val="clear" w:fill="F3F7F7"/>
          </w:tcPr>
          <w:p>
            <w:pPr>
              <w:jc w:val="center"/>
            </w:pPr>
            <w:r>
              <w:rPr>
                <w:b/>
                <w:sz w:val="16"/>
              </w:rPr>
            </w:r>
            <w:r>
              <w:rPr>
                <w:b/>
                <w:sz w:val="16"/>
              </w:rPr>
              <w:t>2.84</w:t>
            </w:r>
          </w:p>
        </w:tc>
        <w:tc>
          <w:tcPr>
            <w:tcW w:type="dxa" w:w="1213"/>
            <w:shd w:val="clear" w:fill="F3F7F7"/>
          </w:tcPr>
          <w:p>
            <w:pPr>
              <w:jc w:val="center"/>
            </w:pPr>
            <w:r>
              <w:rPr>
                <w:b/>
                <w:sz w:val="16"/>
              </w:rPr>
            </w:r>
            <w:r>
              <w:rPr>
                <w:b/>
                <w:sz w:val="16"/>
              </w:rPr>
              <w:t>3.28</w:t>
            </w:r>
          </w:p>
        </w:tc>
        <w:tc>
          <w:tcPr>
            <w:tcW w:type="dxa" w:w="1213"/>
            <w:shd w:val="clear" w:fill="F3F7F7"/>
          </w:tcPr>
          <w:p>
            <w:pPr>
              <w:jc w:val="center"/>
            </w:pPr>
            <w:r>
              <w:rPr>
                <w:b/>
                <w:sz w:val="16"/>
              </w:rPr>
            </w:r>
            <w:r>
              <w:rPr>
                <w:b/>
                <w:sz w:val="16"/>
              </w:rPr>
              <w:t>3.83</w:t>
            </w:r>
          </w:p>
        </w:tc>
        <w:tc>
          <w:tcPr>
            <w:tcW w:type="dxa" w:w="1213"/>
            <w:shd w:val="clear" w:fill="F3F7F7"/>
          </w:tcPr>
          <w:p>
            <w:pPr>
              <w:jc w:val="center"/>
            </w:pPr>
            <w:r>
              <w:rPr>
                <w:b/>
                <w:sz w:val="16"/>
              </w:rPr>
            </w:r>
            <w:r>
              <w:rPr>
                <w:b/>
                <w:sz w:val="16"/>
              </w:rPr>
              <w:t>3.81</w:t>
            </w:r>
          </w:p>
        </w:tc>
        <w:tc>
          <w:tcPr>
            <w:tcW w:type="dxa" w:w="1213"/>
            <w:shd w:val="clear" w:fill="F3F7F7"/>
          </w:tcPr>
          <w:p>
            <w:pPr>
              <w:jc w:val="center"/>
            </w:pPr>
            <w:r>
              <w:rPr>
                <w:b/>
                <w:sz w:val="16"/>
              </w:rPr>
            </w:r>
            <w:r>
              <w:rPr>
                <w:b/>
                <w:sz w:val="16"/>
              </w:rPr>
              <w:t>3.99</w:t>
            </w:r>
          </w:p>
        </w:tc>
      </w:tr>
    </w:tbl>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4876"/>
        <w:gridCol w:w="4876"/>
      </w:tblGrid>
      <w:tr>
        <w:tc>
          <w:tcPr>
            <w:tcW w:type="dxa" w:w="7143"/>
            <w:shd w:val="clear" w:fill="1B5E5E"/>
          </w:tcPr>
          <w:p>
            <w:r/>
            <w:r>
              <w:rPr>
                <w:b/>
                <w:color w:val="FFFFFF"/>
                <w:sz w:val="18"/>
              </w:rPr>
              <w:t>Valuation bridge (EGP/share unless noted)</w:t>
            </w:r>
          </w:p>
        </w:tc>
        <w:tc>
          <w:tcPr>
            <w:tcW w:type="dxa" w:w="2268"/>
            <w:shd w:val="clear" w:fill="1B5E5E"/>
          </w:tcPr>
          <w:p>
            <w:pPr>
              <w:jc w:val="center"/>
            </w:pPr>
            <w:r/>
            <w:r>
              <w:rPr>
                <w:b/>
                <w:color w:val="FFFFFF"/>
                <w:sz w:val="18"/>
              </w:rPr>
              <w:t>Value</w:t>
            </w:r>
          </w:p>
        </w:tc>
      </w:tr>
      <w:tr>
        <w:tc>
          <w:tcPr>
            <w:tcW w:type="dxa" w:w="7143"/>
          </w:tcPr>
          <w:p>
            <w:r>
              <w:rPr>
                <w:sz w:val="18"/>
              </w:rPr>
            </w:r>
            <w:r>
              <w:rPr>
                <w:b w:val="0"/>
                <w:sz w:val="18"/>
              </w:rPr>
              <w:t>Sum, PV of FCFE FY26–FY30</w:t>
            </w:r>
          </w:p>
        </w:tc>
        <w:tc>
          <w:tcPr>
            <w:tcW w:type="dxa" w:w="2268"/>
          </w:tcPr>
          <w:p>
            <w:pPr>
              <w:jc w:val="center"/>
            </w:pPr>
            <w:r>
              <w:rPr>
                <w:sz w:val="18"/>
              </w:rPr>
            </w:r>
            <w:r>
              <w:rPr>
                <w:b w:val="0"/>
                <w:sz w:val="18"/>
              </w:rPr>
              <w:t>17.75</w:t>
            </w:r>
          </w:p>
        </w:tc>
      </w:tr>
      <w:tr>
        <w:tc>
          <w:tcPr>
            <w:tcW w:type="dxa" w:w="7143"/>
          </w:tcPr>
          <w:p>
            <w:r>
              <w:rPr>
                <w:sz w:val="18"/>
              </w:rPr>
            </w:r>
            <w:r>
              <w:rPr>
                <w:b w:val="0"/>
                <w:sz w:val="18"/>
              </w:rPr>
              <w:t>Terminal value at end-FY30 = justified P/B 1.42× × FY30 book 65.60</w:t>
            </w:r>
          </w:p>
        </w:tc>
        <w:tc>
          <w:tcPr>
            <w:tcW w:type="dxa" w:w="2268"/>
          </w:tcPr>
          <w:p>
            <w:pPr>
              <w:jc w:val="center"/>
            </w:pPr>
            <w:r>
              <w:rPr>
                <w:sz w:val="18"/>
              </w:rPr>
            </w:r>
            <w:r>
              <w:rPr>
                <w:b w:val="0"/>
                <w:sz w:val="18"/>
              </w:rPr>
              <w:t>92.93</w:t>
            </w:r>
          </w:p>
        </w:tc>
      </w:tr>
      <w:tr>
        <w:tc>
          <w:tcPr>
            <w:tcW w:type="dxa" w:w="7143"/>
          </w:tcPr>
          <w:p>
            <w:r>
              <w:rPr>
                <w:sz w:val="18"/>
              </w:rPr>
            </w:r>
            <w:r>
              <w:rPr>
                <w:b w:val="0"/>
                <w:sz w:val="18"/>
              </w:rPr>
              <w:t>PV of terminal value (× FY30 discount factor 0.394)</w:t>
            </w:r>
          </w:p>
        </w:tc>
        <w:tc>
          <w:tcPr>
            <w:tcW w:type="dxa" w:w="2268"/>
          </w:tcPr>
          <w:p>
            <w:pPr>
              <w:jc w:val="center"/>
            </w:pPr>
            <w:r>
              <w:rPr>
                <w:sz w:val="18"/>
              </w:rPr>
            </w:r>
            <w:r>
              <w:rPr>
                <w:b w:val="0"/>
                <w:sz w:val="18"/>
              </w:rPr>
              <w:t>36.61</w:t>
            </w:r>
          </w:p>
        </w:tc>
      </w:tr>
      <w:tr>
        <w:tc>
          <w:tcPr>
            <w:tcW w:type="dxa" w:w="7143"/>
          </w:tcPr>
          <w:p>
            <w:r>
              <w:rPr>
                <w:sz w:val="18"/>
              </w:rPr>
            </w:r>
            <w:r>
              <w:rPr>
                <w:b w:val="0"/>
                <w:sz w:val="18"/>
              </w:rPr>
              <w:t>Discount rate: cost of equity (EGP) — the WACC of the equity claim</w:t>
            </w:r>
          </w:p>
        </w:tc>
        <w:tc>
          <w:tcPr>
            <w:tcW w:type="dxa" w:w="2268"/>
          </w:tcPr>
          <w:p>
            <w:pPr>
              <w:jc w:val="center"/>
            </w:pPr>
            <w:r>
              <w:rPr>
                <w:sz w:val="18"/>
              </w:rPr>
            </w:r>
            <w:r>
              <w:rPr>
                <w:b w:val="0"/>
                <w:sz w:val="18"/>
              </w:rPr>
              <w:t>23.0%</w:t>
            </w:r>
          </w:p>
        </w:tc>
      </w:tr>
      <w:tr>
        <w:tc>
          <w:tcPr>
            <w:tcW w:type="dxa" w:w="7143"/>
            <w:shd w:val="clear" w:fill="F3F7F7"/>
          </w:tcPr>
          <w:p>
            <w:r>
              <w:rPr>
                <w:b/>
                <w:sz w:val="18"/>
              </w:rPr>
            </w:r>
            <w:r>
              <w:rPr>
                <w:b/>
                <w:sz w:val="18"/>
              </w:rPr>
              <w:t>Equity DCF fair value</w:t>
            </w:r>
          </w:p>
        </w:tc>
        <w:tc>
          <w:tcPr>
            <w:tcW w:type="dxa" w:w="2268"/>
            <w:shd w:val="clear" w:fill="F3F7F7"/>
          </w:tcPr>
          <w:p>
            <w:pPr>
              <w:jc w:val="center"/>
            </w:pPr>
            <w:r>
              <w:rPr>
                <w:b/>
                <w:sz w:val="18"/>
              </w:rPr>
            </w:r>
            <w:r>
              <w:rPr>
                <w:b/>
                <w:sz w:val="18"/>
              </w:rPr>
              <w:t>54.4</w:t>
            </w:r>
          </w:p>
        </w:tc>
      </w:tr>
    </w:tbl>
    <w:p/>
    <w:p>
      <w:r>
        <w:rPr>
          <w:b w:val="0"/>
          <w:i/>
          <w:color w:val="666666"/>
          <w:sz w:val="18"/>
        </w:rPr>
        <w:t>Terminal P/B = (28% terminal ROE − 11% g)/(23% COE − 11% g) = 1.42×, applied to the DCF's own book path (which assumes FCFE is distributed). 94% of the DDM's value and ~88% of the DCF's sits beyond FY30 — the honest shape of a zero-payout compounder discounted at Egyptian rates.</w:t>
      </w:r>
    </w:p>
    <w:p>
      <w:pPr>
        <w:pStyle w:val="Heading1"/>
      </w:pPr>
      <w:r>
        <w:t>Appendix B  Step 0 — calibration backtest</w:t>
      </w:r>
    </w:p>
    <w:p>
      <w:r>
        <w:rPr>
          <w:b w:val="0"/>
        </w:rPr>
        <w:t xml:space="preserve">Before any forecast we test the Monte-Carlo lens on ADIB's own five and a half years of history: seventeen non-overlapping 60-session windows (Jan 2022 → Jun 2026), each forecast built only from data available at its origin, scored against the realized close. The grade is skill versus a naïve zero-drift random-walk lognormal cone (spot, trailing 252-day vol): CRPS skill must exceed zero, with the Winkler interval score alongside; PIT and band coverage are diagnostics only. The engine's default for a first-pass name — zero drift — </w:t>
      </w:r>
      <w:r>
        <w:rPr>
          <w:b/>
        </w:rPr>
        <w:t>failed the PIT diagnostic</w:t>
      </w:r>
      <w:r>
        <w:rPr>
          <w:b w:val="0"/>
        </w:rPr>
        <w:t>: CRPS skill was marginally positive (+0.03) but the PIT mean of 0.68 rejected uniformity (KS p = 0.018), the signature of scoring a five-year, eleven-fold uptrend with a driftless cone. Per protocol we recalibrated the asset-class drift and re-ran: with the expanding-window secular drift ON — the EGX-class configuration, and this is an EGX name whose uptrend has the same devaluation-driven nominal engine as the developers' — the lens beats the benchmark decisively and the PIT flattens. That configuration carries into §3, with its regime-turn fragility flagged in §7.</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1219"/>
        <w:gridCol w:w="1219"/>
        <w:gridCol w:w="1219"/>
        <w:gridCol w:w="1219"/>
        <w:gridCol w:w="1219"/>
        <w:gridCol w:w="1219"/>
        <w:gridCol w:w="1219"/>
        <w:gridCol w:w="1219"/>
      </w:tblGrid>
      <w:tr>
        <w:tc>
          <w:tcPr>
            <w:tcW w:type="dxa" w:w="2608"/>
            <w:shd w:val="clear" w:fill="1B5E5E"/>
          </w:tcPr>
          <w:p>
            <w:r/>
            <w:r>
              <w:rPr>
                <w:b/>
                <w:color w:val="FFFFFF"/>
                <w:sz w:val="18"/>
              </w:rPr>
              <w:t>Configuration</w:t>
            </w:r>
          </w:p>
        </w:tc>
        <w:tc>
          <w:tcPr>
            <w:tcW w:type="dxa" w:w="680"/>
            <w:shd w:val="clear" w:fill="1B5E5E"/>
          </w:tcPr>
          <w:p>
            <w:pPr>
              <w:jc w:val="center"/>
            </w:pPr>
            <w:r/>
            <w:r>
              <w:rPr>
                <w:b/>
                <w:color w:val="FFFFFF"/>
                <w:sz w:val="18"/>
              </w:rPr>
              <w:t>n</w:t>
            </w:r>
          </w:p>
        </w:tc>
        <w:tc>
          <w:tcPr>
            <w:tcW w:type="dxa" w:w="1134"/>
            <w:shd w:val="clear" w:fill="1B5E5E"/>
          </w:tcPr>
          <w:p>
            <w:pPr>
              <w:jc w:val="center"/>
            </w:pPr>
            <w:r/>
            <w:r>
              <w:rPr>
                <w:b/>
                <w:color w:val="FFFFFF"/>
                <w:sz w:val="18"/>
              </w:rPr>
              <w:t>CRPS skill</w:t>
            </w:r>
          </w:p>
        </w:tc>
        <w:tc>
          <w:tcPr>
            <w:tcW w:type="dxa" w:w="1361"/>
            <w:shd w:val="clear" w:fill="1B5E5E"/>
          </w:tcPr>
          <w:p>
            <w:pPr>
              <w:jc w:val="center"/>
            </w:pPr>
            <w:r/>
            <w:r>
              <w:rPr>
                <w:b/>
                <w:color w:val="FFFFFF"/>
                <w:sz w:val="18"/>
              </w:rPr>
              <w:t>Winkler-90 skill</w:t>
            </w:r>
          </w:p>
        </w:tc>
        <w:tc>
          <w:tcPr>
            <w:tcW w:type="dxa" w:w="1361"/>
            <w:shd w:val="clear" w:fill="1B5E5E"/>
          </w:tcPr>
          <w:p>
            <w:pPr>
              <w:jc w:val="center"/>
            </w:pPr>
            <w:r/>
            <w:r>
              <w:rPr>
                <w:b/>
                <w:color w:val="FFFFFF"/>
                <w:sz w:val="18"/>
              </w:rPr>
              <w:t>Winkler-50 skill</w:t>
            </w:r>
          </w:p>
        </w:tc>
        <w:tc>
          <w:tcPr>
            <w:tcW w:type="dxa" w:w="1701"/>
            <w:shd w:val="clear" w:fill="1B5E5E"/>
          </w:tcPr>
          <w:p>
            <w:pPr>
              <w:jc w:val="center"/>
            </w:pPr>
            <w:r/>
            <w:r>
              <w:rPr>
                <w:b/>
                <w:color w:val="FFFFFF"/>
                <w:sz w:val="18"/>
              </w:rPr>
              <w:t>Coverage 50/80/90</w:t>
            </w:r>
          </w:p>
        </w:tc>
        <w:tc>
          <w:tcPr>
            <w:tcW w:type="dxa" w:w="907"/>
            <w:shd w:val="clear" w:fill="1B5E5E"/>
          </w:tcPr>
          <w:p>
            <w:pPr>
              <w:jc w:val="center"/>
            </w:pPr>
            <w:r/>
            <w:r>
              <w:rPr>
                <w:b/>
                <w:color w:val="FFFFFF"/>
                <w:sz w:val="18"/>
              </w:rPr>
              <w:t>PIT mean</w:t>
            </w:r>
          </w:p>
        </w:tc>
        <w:tc>
          <w:tcPr>
            <w:tcW w:type="dxa" w:w="1361"/>
            <w:shd w:val="clear" w:fill="1B5E5E"/>
          </w:tcPr>
          <w:p>
            <w:pPr>
              <w:jc w:val="center"/>
            </w:pPr>
            <w:r/>
            <w:r>
              <w:rPr>
                <w:b/>
                <w:color w:val="FFFFFF"/>
                <w:sz w:val="18"/>
              </w:rPr>
              <w:t>PIT KS p</w:t>
            </w:r>
          </w:p>
        </w:tc>
      </w:tr>
      <w:tr>
        <w:tc>
          <w:tcPr>
            <w:tcW w:type="dxa" w:w="2608"/>
          </w:tcPr>
          <w:p>
            <w:r>
              <w:rPr>
                <w:sz w:val="18"/>
              </w:rPr>
            </w:r>
            <w:r>
              <w:rPr>
                <w:b w:val="0"/>
                <w:sz w:val="18"/>
              </w:rPr>
              <w:t>Zero drift (engine default)</w:t>
            </w:r>
          </w:p>
        </w:tc>
        <w:tc>
          <w:tcPr>
            <w:tcW w:type="dxa" w:w="680"/>
          </w:tcPr>
          <w:p>
            <w:pPr>
              <w:jc w:val="center"/>
            </w:pPr>
            <w:r>
              <w:rPr>
                <w:sz w:val="18"/>
              </w:rPr>
            </w:r>
            <w:r>
              <w:rPr>
                <w:b w:val="0"/>
                <w:sz w:val="18"/>
              </w:rPr>
              <w:t>17</w:t>
            </w:r>
          </w:p>
        </w:tc>
        <w:tc>
          <w:tcPr>
            <w:tcW w:type="dxa" w:w="1134"/>
          </w:tcPr>
          <w:p>
            <w:pPr>
              <w:jc w:val="center"/>
            </w:pPr>
            <w:r>
              <w:rPr>
                <w:sz w:val="18"/>
              </w:rPr>
            </w:r>
            <w:r>
              <w:rPr>
                <w:b w:val="0"/>
                <w:sz w:val="18"/>
              </w:rPr>
              <w:t>+0.03</w:t>
            </w:r>
          </w:p>
        </w:tc>
        <w:tc>
          <w:tcPr>
            <w:tcW w:type="dxa" w:w="1361"/>
          </w:tcPr>
          <w:p>
            <w:pPr>
              <w:jc w:val="center"/>
            </w:pPr>
            <w:r>
              <w:rPr>
                <w:sz w:val="18"/>
              </w:rPr>
            </w:r>
            <w:r>
              <w:rPr>
                <w:b w:val="0"/>
                <w:sz w:val="18"/>
              </w:rPr>
              <w:t>+0.18</w:t>
            </w:r>
          </w:p>
        </w:tc>
        <w:tc>
          <w:tcPr>
            <w:tcW w:type="dxa" w:w="1361"/>
          </w:tcPr>
          <w:p>
            <w:pPr>
              <w:jc w:val="center"/>
            </w:pPr>
            <w:r>
              <w:rPr>
                <w:sz w:val="18"/>
              </w:rPr>
            </w:r>
            <w:r>
              <w:rPr>
                <w:b w:val="0"/>
                <w:sz w:val="18"/>
              </w:rPr>
              <w:t>+0.02</w:t>
            </w:r>
          </w:p>
        </w:tc>
        <w:tc>
          <w:tcPr>
            <w:tcW w:type="dxa" w:w="1701"/>
          </w:tcPr>
          <w:p>
            <w:pPr>
              <w:jc w:val="center"/>
            </w:pPr>
            <w:r>
              <w:rPr>
                <w:sz w:val="18"/>
              </w:rPr>
            </w:r>
            <w:r>
              <w:rPr>
                <w:b w:val="0"/>
                <w:sz w:val="18"/>
              </w:rPr>
              <w:t>53 / 76 / 88%</w:t>
            </w:r>
          </w:p>
        </w:tc>
        <w:tc>
          <w:tcPr>
            <w:tcW w:type="dxa" w:w="907"/>
          </w:tcPr>
          <w:p>
            <w:pPr>
              <w:jc w:val="center"/>
            </w:pPr>
            <w:r>
              <w:rPr>
                <w:sz w:val="18"/>
              </w:rPr>
            </w:r>
            <w:r>
              <w:rPr>
                <w:b w:val="0"/>
                <w:sz w:val="18"/>
              </w:rPr>
              <w:t>0.68</w:t>
            </w:r>
          </w:p>
        </w:tc>
        <w:tc>
          <w:tcPr>
            <w:tcW w:type="dxa" w:w="1361"/>
          </w:tcPr>
          <w:p>
            <w:pPr>
              <w:jc w:val="center"/>
            </w:pPr>
            <w:r>
              <w:rPr>
                <w:sz w:val="18"/>
              </w:rPr>
            </w:r>
            <w:r>
              <w:rPr>
                <w:b w:val="0"/>
                <w:sz w:val="18"/>
              </w:rPr>
              <w:t>0.018 — reject</w:t>
            </w:r>
          </w:p>
        </w:tc>
      </w:tr>
      <w:tr>
        <w:tc>
          <w:tcPr>
            <w:tcW w:type="dxa" w:w="2608"/>
            <w:shd w:val="clear" w:fill="F3F7F7"/>
          </w:tcPr>
          <w:p>
            <w:r>
              <w:rPr>
                <w:b/>
                <w:sz w:val="18"/>
              </w:rPr>
            </w:r>
            <w:r>
              <w:rPr>
                <w:b/>
                <w:sz w:val="18"/>
              </w:rPr>
              <w:t>Secular drift ON (adopted)</w:t>
            </w:r>
          </w:p>
        </w:tc>
        <w:tc>
          <w:tcPr>
            <w:tcW w:type="dxa" w:w="680"/>
            <w:shd w:val="clear" w:fill="F3F7F7"/>
          </w:tcPr>
          <w:p>
            <w:pPr>
              <w:jc w:val="center"/>
            </w:pPr>
            <w:r>
              <w:rPr>
                <w:b/>
                <w:sz w:val="18"/>
              </w:rPr>
            </w:r>
            <w:r>
              <w:rPr>
                <w:b/>
                <w:sz w:val="18"/>
              </w:rPr>
              <w:t>17</w:t>
            </w:r>
          </w:p>
        </w:tc>
        <w:tc>
          <w:tcPr>
            <w:tcW w:type="dxa" w:w="1134"/>
            <w:shd w:val="clear" w:fill="F3F7F7"/>
          </w:tcPr>
          <w:p>
            <w:pPr>
              <w:jc w:val="center"/>
            </w:pPr>
            <w:r>
              <w:rPr>
                <w:b/>
                <w:sz w:val="18"/>
              </w:rPr>
            </w:r>
            <w:r>
              <w:rPr>
                <w:b/>
                <w:sz w:val="18"/>
              </w:rPr>
              <w:t>+0.19</w:t>
            </w:r>
          </w:p>
        </w:tc>
        <w:tc>
          <w:tcPr>
            <w:tcW w:type="dxa" w:w="1361"/>
            <w:shd w:val="clear" w:fill="F3F7F7"/>
          </w:tcPr>
          <w:p>
            <w:pPr>
              <w:jc w:val="center"/>
            </w:pPr>
            <w:r>
              <w:rPr>
                <w:b/>
                <w:sz w:val="18"/>
              </w:rPr>
            </w:r>
            <w:r>
              <w:rPr>
                <w:b/>
                <w:sz w:val="18"/>
              </w:rPr>
              <w:t>+0.22</w:t>
            </w:r>
          </w:p>
        </w:tc>
        <w:tc>
          <w:tcPr>
            <w:tcW w:type="dxa" w:w="1361"/>
            <w:shd w:val="clear" w:fill="F3F7F7"/>
          </w:tcPr>
          <w:p>
            <w:pPr>
              <w:jc w:val="center"/>
            </w:pPr>
            <w:r>
              <w:rPr>
                <w:b/>
                <w:sz w:val="18"/>
              </w:rPr>
            </w:r>
            <w:r>
              <w:rPr>
                <w:b/>
                <w:sz w:val="18"/>
              </w:rPr>
              <w:t>+0.21</w:t>
            </w:r>
          </w:p>
        </w:tc>
        <w:tc>
          <w:tcPr>
            <w:tcW w:type="dxa" w:w="1701"/>
            <w:shd w:val="clear" w:fill="F3F7F7"/>
          </w:tcPr>
          <w:p>
            <w:pPr>
              <w:jc w:val="center"/>
            </w:pPr>
            <w:r>
              <w:rPr>
                <w:b/>
                <w:sz w:val="18"/>
              </w:rPr>
            </w:r>
            <w:r>
              <w:rPr>
                <w:b/>
                <w:sz w:val="18"/>
              </w:rPr>
              <w:t>59 / 88 / 94%</w:t>
            </w:r>
          </w:p>
        </w:tc>
        <w:tc>
          <w:tcPr>
            <w:tcW w:type="dxa" w:w="907"/>
            <w:shd w:val="clear" w:fill="F3F7F7"/>
          </w:tcPr>
          <w:p>
            <w:pPr>
              <w:jc w:val="center"/>
            </w:pPr>
            <w:r>
              <w:rPr>
                <w:b/>
                <w:sz w:val="18"/>
              </w:rPr>
            </w:r>
            <w:r>
              <w:rPr>
                <w:b/>
                <w:sz w:val="18"/>
              </w:rPr>
              <w:t>0.56</w:t>
            </w:r>
          </w:p>
        </w:tc>
        <w:tc>
          <w:tcPr>
            <w:tcW w:type="dxa" w:w="1361"/>
            <w:shd w:val="clear" w:fill="F3F7F7"/>
          </w:tcPr>
          <w:p>
            <w:pPr>
              <w:jc w:val="center"/>
            </w:pPr>
            <w:r>
              <w:rPr>
                <w:b/>
                <w:sz w:val="18"/>
              </w:rPr>
            </w:r>
            <w:r>
              <w:rPr>
                <w:b/>
                <w:sz w:val="18"/>
              </w:rPr>
              <w:t>0.64 — pass</w:t>
            </w:r>
          </w:p>
        </w:tc>
      </w:tr>
      <w:tr>
        <w:tc>
          <w:tcPr>
            <w:tcW w:type="dxa" w:w="2608"/>
          </w:tcPr>
          <w:p>
            <w:r>
              <w:rPr>
                <w:sz w:val="18"/>
              </w:rPr>
            </w:r>
            <w:r>
              <w:rPr>
                <w:b w:val="0"/>
                <w:sz w:val="18"/>
              </w:rPr>
              <w:t>Target / benchmark</w:t>
            </w:r>
          </w:p>
        </w:tc>
        <w:tc>
          <w:tcPr>
            <w:tcW w:type="dxa" w:w="680"/>
          </w:tcPr>
          <w:p>
            <w:pPr>
              <w:jc w:val="center"/>
            </w:pPr>
            <w:r>
              <w:rPr>
                <w:sz w:val="18"/>
              </w:rPr>
            </w:r>
            <w:r>
              <w:rPr>
                <w:b w:val="0"/>
                <w:sz w:val="18"/>
              </w:rPr>
              <w:t>—</w:t>
            </w:r>
          </w:p>
        </w:tc>
        <w:tc>
          <w:tcPr>
            <w:tcW w:type="dxa" w:w="1134"/>
          </w:tcPr>
          <w:p>
            <w:pPr>
              <w:jc w:val="center"/>
            </w:pPr>
            <w:r>
              <w:rPr>
                <w:sz w:val="18"/>
              </w:rPr>
            </w:r>
            <w:r>
              <w:rPr>
                <w:b w:val="0"/>
                <w:sz w:val="18"/>
              </w:rPr>
              <w:t>&gt; 0</w:t>
            </w:r>
          </w:p>
        </w:tc>
        <w:tc>
          <w:tcPr>
            <w:tcW w:type="dxa" w:w="1361"/>
          </w:tcPr>
          <w:p>
            <w:pPr>
              <w:jc w:val="center"/>
            </w:pPr>
            <w:r>
              <w:rPr>
                <w:sz w:val="18"/>
              </w:rPr>
            </w:r>
            <w:r>
              <w:rPr>
                <w:b w:val="0"/>
                <w:sz w:val="18"/>
              </w:rPr>
              <w:t>&gt; 0</w:t>
            </w:r>
          </w:p>
        </w:tc>
        <w:tc>
          <w:tcPr>
            <w:tcW w:type="dxa" w:w="1361"/>
          </w:tcPr>
          <w:p>
            <w:pPr>
              <w:jc w:val="center"/>
            </w:pPr>
            <w:r>
              <w:rPr>
                <w:sz w:val="18"/>
              </w:rPr>
            </w:r>
            <w:r>
              <w:rPr>
                <w:b w:val="0"/>
                <w:sz w:val="18"/>
              </w:rPr>
              <w:t>&gt; 0</w:t>
            </w:r>
          </w:p>
        </w:tc>
        <w:tc>
          <w:tcPr>
            <w:tcW w:type="dxa" w:w="1701"/>
          </w:tcPr>
          <w:p>
            <w:pPr>
              <w:jc w:val="center"/>
            </w:pPr>
            <w:r>
              <w:rPr>
                <w:sz w:val="18"/>
              </w:rPr>
            </w:r>
            <w:r>
              <w:rPr>
                <w:b w:val="0"/>
                <w:sz w:val="18"/>
              </w:rPr>
              <w:t>50 / 80 / 90%</w:t>
            </w:r>
          </w:p>
        </w:tc>
        <w:tc>
          <w:tcPr>
            <w:tcW w:type="dxa" w:w="907"/>
          </w:tcPr>
          <w:p>
            <w:pPr>
              <w:jc w:val="center"/>
            </w:pPr>
            <w:r>
              <w:rPr>
                <w:sz w:val="18"/>
              </w:rPr>
            </w:r>
            <w:r>
              <w:rPr>
                <w:b w:val="0"/>
                <w:sz w:val="18"/>
              </w:rPr>
              <w:t>0.50</w:t>
            </w:r>
          </w:p>
        </w:tc>
        <w:tc>
          <w:tcPr>
            <w:tcW w:type="dxa" w:w="1361"/>
          </w:tcPr>
          <w:p>
            <w:pPr>
              <w:jc w:val="center"/>
            </w:pPr>
            <w:r>
              <w:rPr>
                <w:sz w:val="18"/>
              </w:rPr>
            </w:r>
            <w:r>
              <w:rPr>
                <w:b w:val="0"/>
                <w:sz w:val="18"/>
              </w:rPr>
              <w:t>uniform</w:t>
            </w:r>
          </w:p>
        </w:tc>
      </w:tr>
    </w:tbl>
    <w:p/>
    <w:p>
      <w:r>
        <w:rPr>
          <w:b w:val="0"/>
          <w:i/>
          <w:color w:val="666666"/>
          <w:sz w:val="18"/>
        </w:rPr>
        <w:t>Figure B-1 — Calibration backtest, adopted configuration: quarterly cone replay (log scale), PIT histogram, and interval coverage versus target.</w:t>
      </w:r>
    </w:p>
    <w:p>
      <w:pPr>
        <w:jc w:val="center"/>
      </w:pPr>
      <w:r>
        <w:drawing>
          <wp:inline xmlns:a="http://schemas.openxmlformats.org/drawingml/2006/main" xmlns:pic="http://schemas.openxmlformats.org/drawingml/2006/picture">
            <wp:extent cx="5976000" cy="2185083"/>
            <wp:docPr id="7" name="Picture 7"/>
            <wp:cNvGraphicFramePr>
              <a:graphicFrameLocks noChangeAspect="1"/>
            </wp:cNvGraphicFramePr>
            <a:graphic>
              <a:graphicData uri="http://schemas.openxmlformats.org/drawingml/2006/picture">
                <pic:pic>
                  <pic:nvPicPr>
                    <pic:cNvPr id="0" name="figB1_calib.png"/>
                    <pic:cNvPicPr/>
                  </pic:nvPicPr>
                  <pic:blipFill>
                    <a:blip r:embed="rId17"/>
                    <a:stretch>
                      <a:fillRect/>
                    </a:stretch>
                  </pic:blipFill>
                  <pic:spPr>
                    <a:xfrm>
                      <a:off x="0" y="0"/>
                      <a:ext cx="5976000" cy="2185083"/>
                    </a:xfrm>
                    <a:prstGeom prst="rect"/>
                  </pic:spPr>
                </pic:pic>
              </a:graphicData>
            </a:graphic>
          </wp:inline>
        </w:drawing>
      </w:r>
    </w:p>
    <w:p>
      <w:r>
        <w:rPr>
          <w:b w:val="0"/>
        </w:rPr>
        <w:t>Coverage sits near target at all three bands, the PIT histogram is close to flat, and the adopted configuration beats the benchmark in 12 of 17 windows. The lens is accepted. The honest caveat travels with it: a drift-on cone assumes the nominal regime persists, and the one materially negative window in the set is exactly a drawdown quarter — the falsification condition of §7, scored forward in the Calibration Ledger.</w:t>
      </w:r>
    </w:p>
    <w:p>
      <w:pPr>
        <w:pStyle w:val="Heading1"/>
      </w:pPr>
      <w:r>
        <w:t>Appendix C  Peer set, sector structure, and risks</w:t>
      </w:r>
    </w:p>
    <w:p>
      <w:r>
        <w:rPr>
          <w:b w:val="0"/>
        </w:rPr>
        <w:t>ADIB-Egypt's cleanest comparison is its own market — the EGX-listed bank complex — with CIB as the quality benchmark and Faisal Islamic as the direct Shariah incumbent.</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2154"/>
            <w:shd w:val="clear" w:fill="1B5E5E"/>
          </w:tcPr>
          <w:p>
            <w:r/>
            <w:r>
              <w:rPr>
                <w:b/>
                <w:color w:val="FFFFFF"/>
                <w:sz w:val="18"/>
              </w:rPr>
              <w:t>Metric</w:t>
            </w:r>
          </w:p>
        </w:tc>
        <w:tc>
          <w:tcPr>
            <w:tcW w:type="dxa" w:w="2494"/>
            <w:shd w:val="clear" w:fill="1B5E5E"/>
          </w:tcPr>
          <w:p>
            <w:pPr>
              <w:jc w:val="center"/>
            </w:pPr>
            <w:r/>
            <w:r>
              <w:rPr>
                <w:b/>
                <w:color w:val="FFFFFF"/>
                <w:sz w:val="18"/>
              </w:rPr>
              <w:t>EGX banks (typical)</w:t>
            </w:r>
          </w:p>
        </w:tc>
        <w:tc>
          <w:tcPr>
            <w:tcW w:type="dxa" w:w="2494"/>
            <w:shd w:val="clear" w:fill="1B5E5E"/>
          </w:tcPr>
          <w:p>
            <w:pPr>
              <w:jc w:val="center"/>
            </w:pPr>
            <w:r/>
            <w:r>
              <w:rPr>
                <w:b/>
                <w:color w:val="FFFFFF"/>
                <w:sz w:val="18"/>
              </w:rPr>
              <w:t>ADIB-Egypt</w:t>
            </w:r>
          </w:p>
        </w:tc>
        <w:tc>
          <w:tcPr>
            <w:tcW w:type="dxa" w:w="2835"/>
            <w:shd w:val="clear" w:fill="1B5E5E"/>
          </w:tcPr>
          <w:p>
            <w:pPr>
              <w:jc w:val="center"/>
            </w:pPr>
            <w:r/>
            <w:r>
              <w:rPr>
                <w:b/>
                <w:color w:val="FFFFFF"/>
                <w:sz w:val="18"/>
              </w:rPr>
              <w:t>Read</w:t>
            </w:r>
          </w:p>
        </w:tc>
      </w:tr>
      <w:tr>
        <w:tc>
          <w:tcPr>
            <w:tcW w:type="dxa" w:w="2154"/>
          </w:tcPr>
          <w:p>
            <w:r>
              <w:rPr>
                <w:sz w:val="18"/>
              </w:rPr>
            </w:r>
            <w:r>
              <w:rPr>
                <w:b w:val="0"/>
                <w:sz w:val="18"/>
              </w:rPr>
              <w:t>P/E (trailing)</w:t>
            </w:r>
          </w:p>
        </w:tc>
        <w:tc>
          <w:tcPr>
            <w:tcW w:type="dxa" w:w="2494"/>
          </w:tcPr>
          <w:p>
            <w:pPr>
              <w:jc w:val="center"/>
            </w:pPr>
            <w:r>
              <w:rPr>
                <w:sz w:val="18"/>
              </w:rPr>
            </w:r>
            <w:r>
              <w:rPr>
                <w:b w:val="0"/>
                <w:sz w:val="18"/>
              </w:rPr>
              <w:t>5–7×</w:t>
            </w:r>
          </w:p>
        </w:tc>
        <w:tc>
          <w:tcPr>
            <w:tcW w:type="dxa" w:w="2494"/>
          </w:tcPr>
          <w:p>
            <w:pPr>
              <w:jc w:val="center"/>
            </w:pPr>
            <w:r>
              <w:rPr>
                <w:sz w:val="18"/>
              </w:rPr>
            </w:r>
            <w:r>
              <w:rPr>
                <w:b w:val="0"/>
                <w:sz w:val="18"/>
              </w:rPr>
              <w:t>≈ 4.4× issued / 5.6× pro-forma</w:t>
            </w:r>
          </w:p>
        </w:tc>
        <w:tc>
          <w:tcPr>
            <w:tcW w:type="dxa" w:w="2835"/>
          </w:tcPr>
          <w:p>
            <w:pPr>
              <w:jc w:val="center"/>
            </w:pPr>
            <w:r>
              <w:rPr>
                <w:sz w:val="18"/>
              </w:rPr>
            </w:r>
            <w:r>
              <w:rPr>
                <w:b w:val="0"/>
                <w:sz w:val="18"/>
              </w:rPr>
              <w:t>Cheap end, for the best growth</w:t>
            </w:r>
          </w:p>
        </w:tc>
      </w:tr>
      <w:tr>
        <w:tc>
          <w:tcPr>
            <w:tcW w:type="dxa" w:w="2154"/>
          </w:tcPr>
          <w:p>
            <w:r>
              <w:rPr>
                <w:sz w:val="18"/>
              </w:rPr>
            </w:r>
            <w:r>
              <w:rPr>
                <w:b w:val="0"/>
                <w:sz w:val="18"/>
              </w:rPr>
              <w:t>P/B</w:t>
            </w:r>
          </w:p>
        </w:tc>
        <w:tc>
          <w:tcPr>
            <w:tcW w:type="dxa" w:w="2494"/>
          </w:tcPr>
          <w:p>
            <w:pPr>
              <w:jc w:val="center"/>
            </w:pPr>
            <w:r>
              <w:rPr>
                <w:sz w:val="18"/>
              </w:rPr>
            </w:r>
            <w:r>
              <w:rPr>
                <w:b w:val="0"/>
                <w:sz w:val="18"/>
              </w:rPr>
              <w:t>1.5–2.5×</w:t>
            </w:r>
          </w:p>
        </w:tc>
        <w:tc>
          <w:tcPr>
            <w:tcW w:type="dxa" w:w="2494"/>
          </w:tcPr>
          <w:p>
            <w:pPr>
              <w:jc w:val="center"/>
            </w:pPr>
            <w:r>
              <w:rPr>
                <w:sz w:val="18"/>
              </w:rPr>
            </w:r>
            <w:r>
              <w:rPr>
                <w:b w:val="0"/>
                <w:sz w:val="18"/>
              </w:rPr>
              <w:t>≈ 1.6× issued / 1.9× pro-forma</w:t>
            </w:r>
          </w:p>
        </w:tc>
        <w:tc>
          <w:tcPr>
            <w:tcW w:type="dxa" w:w="2835"/>
          </w:tcPr>
          <w:p>
            <w:pPr>
              <w:jc w:val="center"/>
            </w:pPr>
            <w:r>
              <w:rPr>
                <w:sz w:val="18"/>
              </w:rPr>
            </w:r>
            <w:r>
              <w:rPr>
                <w:b w:val="0"/>
                <w:sz w:val="18"/>
              </w:rPr>
              <w:t>Below CIB's ~2.3× on a higher ROE</w:t>
            </w:r>
          </w:p>
        </w:tc>
      </w:tr>
      <w:tr>
        <w:tc>
          <w:tcPr>
            <w:tcW w:type="dxa" w:w="2154"/>
          </w:tcPr>
          <w:p>
            <w:r>
              <w:rPr>
                <w:sz w:val="18"/>
              </w:rPr>
            </w:r>
            <w:r>
              <w:rPr>
                <w:b w:val="0"/>
                <w:sz w:val="18"/>
              </w:rPr>
              <w:t>ROE</w:t>
            </w:r>
          </w:p>
        </w:tc>
        <w:tc>
          <w:tcPr>
            <w:tcW w:type="dxa" w:w="2494"/>
          </w:tcPr>
          <w:p>
            <w:pPr>
              <w:jc w:val="center"/>
            </w:pPr>
            <w:r>
              <w:rPr>
                <w:sz w:val="18"/>
              </w:rPr>
            </w:r>
            <w:r>
              <w:rPr>
                <w:b w:val="0"/>
                <w:sz w:val="18"/>
              </w:rPr>
              <w:t>30–40%</w:t>
            </w:r>
          </w:p>
        </w:tc>
        <w:tc>
          <w:tcPr>
            <w:tcW w:type="dxa" w:w="2494"/>
          </w:tcPr>
          <w:p>
            <w:pPr>
              <w:jc w:val="center"/>
            </w:pPr>
            <w:r>
              <w:rPr>
                <w:sz w:val="18"/>
              </w:rPr>
            </w:r>
            <w:r>
              <w:rPr>
                <w:b w:val="0"/>
                <w:sz w:val="18"/>
              </w:rPr>
              <w:t>44% (FY25)</w:t>
            </w:r>
          </w:p>
        </w:tc>
        <w:tc>
          <w:tcPr>
            <w:tcW w:type="dxa" w:w="2835"/>
          </w:tcPr>
          <w:p>
            <w:pPr>
              <w:jc w:val="center"/>
            </w:pPr>
            <w:r>
              <w:rPr>
                <w:sz w:val="18"/>
              </w:rPr>
            </w:r>
            <w:r>
              <w:rPr>
                <w:b w:val="0"/>
                <w:sz w:val="18"/>
              </w:rPr>
              <w:t>Best-in-class</w:t>
            </w:r>
          </w:p>
        </w:tc>
      </w:tr>
      <w:tr>
        <w:tc>
          <w:tcPr>
            <w:tcW w:type="dxa" w:w="2154"/>
          </w:tcPr>
          <w:p>
            <w:r>
              <w:rPr>
                <w:sz w:val="18"/>
              </w:rPr>
            </w:r>
            <w:r>
              <w:rPr>
                <w:b w:val="0"/>
                <w:sz w:val="18"/>
              </w:rPr>
              <w:t>Cost-to-income</w:t>
            </w:r>
          </w:p>
        </w:tc>
        <w:tc>
          <w:tcPr>
            <w:tcW w:type="dxa" w:w="2494"/>
          </w:tcPr>
          <w:p>
            <w:pPr>
              <w:jc w:val="center"/>
            </w:pPr>
            <w:r>
              <w:rPr>
                <w:sz w:val="18"/>
              </w:rPr>
            </w:r>
            <w:r>
              <w:rPr>
                <w:b w:val="0"/>
                <w:sz w:val="18"/>
              </w:rPr>
              <w:t>~25–30%</w:t>
            </w:r>
          </w:p>
        </w:tc>
        <w:tc>
          <w:tcPr>
            <w:tcW w:type="dxa" w:w="2494"/>
          </w:tcPr>
          <w:p>
            <w:pPr>
              <w:jc w:val="center"/>
            </w:pPr>
            <w:r>
              <w:rPr>
                <w:sz w:val="18"/>
              </w:rPr>
            </w:r>
            <w:r>
              <w:rPr>
                <w:b w:val="0"/>
                <w:sz w:val="18"/>
              </w:rPr>
              <w:t>17.2%</w:t>
            </w:r>
          </w:p>
        </w:tc>
        <w:tc>
          <w:tcPr>
            <w:tcW w:type="dxa" w:w="2835"/>
          </w:tcPr>
          <w:p>
            <w:pPr>
              <w:jc w:val="center"/>
            </w:pPr>
            <w:r>
              <w:rPr>
                <w:sz w:val="18"/>
              </w:rPr>
            </w:r>
            <w:r>
              <w:rPr>
                <w:b w:val="0"/>
                <w:sz w:val="18"/>
              </w:rPr>
              <w:t>The structural edge</w:t>
            </w:r>
          </w:p>
        </w:tc>
      </w:tr>
      <w:tr>
        <w:tc>
          <w:tcPr>
            <w:tcW w:type="dxa" w:w="2154"/>
          </w:tcPr>
          <w:p>
            <w:r>
              <w:rPr>
                <w:sz w:val="18"/>
              </w:rPr>
            </w:r>
            <w:r>
              <w:rPr>
                <w:b w:val="0"/>
                <w:sz w:val="18"/>
              </w:rPr>
              <w:t>Capital (CAR)</w:t>
            </w:r>
          </w:p>
        </w:tc>
        <w:tc>
          <w:tcPr>
            <w:tcW w:type="dxa" w:w="2494"/>
          </w:tcPr>
          <w:p>
            <w:pPr>
              <w:jc w:val="center"/>
            </w:pPr>
            <w:r>
              <w:rPr>
                <w:sz w:val="18"/>
              </w:rPr>
            </w:r>
            <w:r>
              <w:rPr>
                <w:b w:val="0"/>
                <w:sz w:val="18"/>
              </w:rPr>
              <w:t>~18–20%</w:t>
            </w:r>
          </w:p>
        </w:tc>
        <w:tc>
          <w:tcPr>
            <w:tcW w:type="dxa" w:w="2494"/>
          </w:tcPr>
          <w:p>
            <w:pPr>
              <w:jc w:val="center"/>
            </w:pPr>
            <w:r>
              <w:rPr>
                <w:sz w:val="18"/>
              </w:rPr>
            </w:r>
            <w:r>
              <w:rPr>
                <w:b w:val="0"/>
                <w:sz w:val="18"/>
              </w:rPr>
              <w:t>19.44%</w:t>
            </w:r>
          </w:p>
        </w:tc>
        <w:tc>
          <w:tcPr>
            <w:tcW w:type="dxa" w:w="2835"/>
          </w:tcPr>
          <w:p>
            <w:pPr>
              <w:jc w:val="center"/>
            </w:pPr>
            <w:r>
              <w:rPr>
                <w:sz w:val="18"/>
              </w:rPr>
            </w:r>
            <w:r>
              <w:rPr>
                <w:b w:val="0"/>
                <w:sz w:val="18"/>
              </w:rPr>
              <w:t>Further EGP 3bn approved</w:t>
            </w:r>
          </w:p>
        </w:tc>
      </w:tr>
      <w:tr>
        <w:tc>
          <w:tcPr>
            <w:tcW w:type="dxa" w:w="2154"/>
          </w:tcPr>
          <w:p>
            <w:r>
              <w:rPr>
                <w:sz w:val="18"/>
              </w:rPr>
            </w:r>
            <w:r>
              <w:rPr>
                <w:b w:val="0"/>
                <w:sz w:val="18"/>
              </w:rPr>
              <w:t>Financing growth (FY25)</w:t>
            </w:r>
          </w:p>
        </w:tc>
        <w:tc>
          <w:tcPr>
            <w:tcW w:type="dxa" w:w="2494"/>
          </w:tcPr>
          <w:p>
            <w:pPr>
              <w:jc w:val="center"/>
            </w:pPr>
            <w:r>
              <w:rPr>
                <w:sz w:val="18"/>
              </w:rPr>
            </w:r>
            <w:r>
              <w:rPr>
                <w:b w:val="0"/>
                <w:sz w:val="18"/>
              </w:rPr>
              <w:t>~25–35%</w:t>
            </w:r>
          </w:p>
        </w:tc>
        <w:tc>
          <w:tcPr>
            <w:tcW w:type="dxa" w:w="2494"/>
          </w:tcPr>
          <w:p>
            <w:pPr>
              <w:jc w:val="center"/>
            </w:pPr>
            <w:r>
              <w:rPr>
                <w:sz w:val="18"/>
              </w:rPr>
            </w:r>
            <w:r>
              <w:rPr>
                <w:b w:val="0"/>
                <w:sz w:val="18"/>
              </w:rPr>
              <w:t>+52.8%</w:t>
            </w:r>
          </w:p>
        </w:tc>
        <w:tc>
          <w:tcPr>
            <w:tcW w:type="dxa" w:w="2835"/>
          </w:tcPr>
          <w:p>
            <w:pPr>
              <w:jc w:val="center"/>
            </w:pPr>
            <w:r>
              <w:rPr>
                <w:sz w:val="18"/>
              </w:rPr>
            </w:r>
            <w:r>
              <w:rPr>
                <w:b w:val="0"/>
                <w:sz w:val="18"/>
              </w:rPr>
              <w:t>Fastest of the majors</w:t>
            </w:r>
          </w:p>
        </w:tc>
      </w:tr>
    </w:tbl>
    <w:p/>
    <w:p>
      <w:r>
        <w:rPr>
          <w:b/>
        </w:rPr>
        <w:t xml:space="preserve">Peers. </w:t>
      </w:r>
      <w:r>
        <w:rPr>
          <w:b w:val="0"/>
        </w:rPr>
        <w:t xml:space="preserve">Commercial International Bank (the private-sector benchmark: ~2.3× book on a ~38% ROE — the multiple ceiling the market grants Egyptian bank quality), QNB Alahli (foreign-owned scale peer with the same T-bill-carry economics), Faisal Islamic Bank of Egypt (the listed Islamic incumbent — cheaper, slower, the direct franchise comparison), and Banque du Caire / Al Baraka (state and Islamic mid-tier context; Banque du Caire's FY25 profit grew ~30%). </w:t>
      </w:r>
      <w:r>
        <w:rPr>
          <w:b/>
        </w:rPr>
        <w:t xml:space="preserve">Sector structure. </w:t>
      </w:r>
      <w:r>
        <w:rPr>
          <w:b w:val="0"/>
        </w:rPr>
        <w:t xml:space="preserve">Egyptian banking is a concentrated, highly profitable oligopoly living off three engines — a huge sovereign-securities carry, post-devaluation nominal repricing, and now a private-credit revival as crowding-out unwinds; the whole complex trades at single-digit earnings multiples because those earnings are EGP streams discounted at EGP rates. </w:t>
      </w:r>
      <w:r>
        <w:rPr>
          <w:b/>
        </w:rPr>
        <w:t xml:space="preserve">Principal risks: </w:t>
      </w:r>
      <w:r>
        <w:rPr>
          <w:b w:val="0"/>
        </w:rPr>
        <w:t>disinflation and CBE easing compressing the carry (the very thing the base case models); credit seasoning after a +53% growth year; the sovereign nexus (securities book, the Wakala structure, ratings, IMF milestones); EGP regime risk; dilution via the approved and any further capital increases; and free-float, liquidity and majority-control considerations for minority shareholders.</w:t>
      </w:r>
    </w:p>
    <w:p>
      <w:pPr>
        <w:pStyle w:val="Heading1"/>
      </w:pPr>
      <w:r>
        <w:t>Appendix D  The expert valuation panel</w:t>
      </w:r>
    </w:p>
    <w:p>
      <w:r>
        <w:rPr>
          <w:b w:val="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 bank we cast the bank trio — the three whose methods both fit a deposit-funded lender and genuinely disagree: </w:t>
      </w:r>
      <w:r>
        <w:rPr>
          <w:b/>
        </w:rPr>
        <w:t>Expert 1</w:t>
      </w:r>
      <w:r>
        <w:rPr>
          <w:b w:val="0"/>
        </w:rPr>
        <w:t xml:space="preserve"> (capital and returns — the justified price-to-book on a sustainable ROE, cross-checked against the distribution stream), </w:t>
      </w:r>
      <w:r>
        <w:rPr>
          <w:b/>
        </w:rPr>
        <w:t>Expert 2</w:t>
      </w:r>
      <w:r>
        <w:rPr>
          <w:b w:val="0"/>
        </w:rPr>
        <w:t xml:space="preserve"> (the credit cycle — through-cycle cost of risk and stressed earnings), and </w:t>
      </w:r>
      <w:r>
        <w:rPr>
          <w:b/>
        </w:rPr>
        <w:t>Expert 3</w:t>
      </w:r>
      <w:r>
        <w:rPr>
          <w:b w:val="0"/>
        </w:rPr>
        <w:t xml:space="preserve"> (macro-policy — scenario-weighted valuation across the policy worlds an EGP-denominated bank actually lives in). Each runs a genuinely different method, derives its fair value from shown workings, and states a falsification condition. Their point fair values are logged with the study date and spot as an internal per-expert track record, kept separate from the core Calibration Ledger.</w:t>
      </w:r>
    </w:p>
    <w:p>
      <w:pPr>
        <w:pStyle w:val="Heading2"/>
      </w:pPr>
      <w:r>
        <w:t>D.1  Expert 1 — capital and returns: the justified price of a franchise</w:t>
      </w:r>
    </w:p>
    <w:p>
      <w:r>
        <w:rPr>
          <w:b/>
        </w:rPr>
        <w:t xml:space="preserve">Worldview. </w:t>
      </w:r>
      <w:r>
        <w:rPr>
          <w:b w:val="0"/>
        </w:rPr>
        <w:t>A bank is worth its book value plus the present value of the returns it earns above its cost of equity — nothing more mystical than that. Value flows from three things: a sustainable ROE, the capital required to hold the balance sheet, and the ability to grow without dilution. Franchises differ in how long they defend an excess spread, not in the arithmetic that prices it.</w:t>
      </w:r>
    </w:p>
    <w:p>
      <w:r>
        <w:rPr>
          <w:b/>
        </w:rPr>
        <w:t xml:space="preserve">When it works / when it fails. </w:t>
      </w:r>
      <w:r>
        <w:rPr>
          <w:b w:val="0"/>
        </w:rPr>
        <w:t>The method is at its best on well-capitalized banks with observable returns — and it is stress-tested here, because ADIB-Egypt's returns are observable but extreme. It fails through credit shocks, when book value stops being real (there she defers to Expert 2), and it can mislead at cycle extremes, when the observed ROE is a phase of the cycle masquerading as a property of the franchise. A 44% print at the top of a rate cycle is precisely the case she treats with suspicion.</w:t>
      </w:r>
    </w:p>
    <w:p>
      <w:r>
        <w:rPr>
          <w:b/>
        </w:rPr>
        <w:t xml:space="preserve">Standard workings. </w:t>
      </w:r>
      <w:r>
        <w:rPr>
          <w:b w:val="0"/>
        </w:rPr>
        <w:t xml:space="preserve">(1) Establish the capital position: CAR 19.44% is comfortable, but the CBE measures capital against risk-weighted assets, and a financing book growing 53% consumes RWA capacity faster than even a 44% ROE replaces it — which is exactly why the bank has raised capital three times in four years and pays no dividend. (2) Estimate the sustainable ROE. She triangulates: FY25 reported 44%; the carry decomposition of §1.7 says perhaps a third of that is the rate-cycle configuration; Egyptian quality banks (CIB) have sustained mid-to-high-30s through this cycle and mid-20s through calmer ones. Her judgment: </w:t>
      </w:r>
      <w:r>
        <w:rPr>
          <w:b/>
        </w:rPr>
        <w:t>30% sustainable</w:t>
      </w:r>
      <w:r>
        <w:rPr>
          <w:b w:val="0"/>
        </w:rPr>
        <w:t xml:space="preserve"> — above the study's 28%, crediting the 17.2% cost base and the Islamic funding franchise. (3) Price it: justified P/B = (ROE − g)/(COE − g) at a 23% EGP cost of equity and 11% nominal growth, cross-checked against the study's dividend-path machinery re-run at her terminal. (4) Weight the static identity over the path-dependent cross-check 60/40 — the identity assumes less. (5) Sensitivity on the two swing inputs.</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4876"/>
        <w:gridCol w:w="4876"/>
      </w:tblGrid>
      <w:tr>
        <w:tc>
          <w:tcPr>
            <w:tcW w:type="dxa" w:w="6009"/>
            <w:shd w:val="clear" w:fill="1B5E5E"/>
          </w:tcPr>
          <w:p>
            <w:r/>
            <w:r>
              <w:rPr>
                <w:b/>
                <w:color w:val="FFFFFF"/>
                <w:sz w:val="18"/>
              </w:rPr>
              <w:t>Expert 1's workings</w:t>
            </w:r>
          </w:p>
        </w:tc>
        <w:tc>
          <w:tcPr>
            <w:tcW w:type="dxa" w:w="3402"/>
            <w:shd w:val="clear" w:fill="1B5E5E"/>
          </w:tcPr>
          <w:p>
            <w:pPr>
              <w:jc w:val="center"/>
            </w:pPr>
            <w:r/>
            <w:r>
              <w:rPr>
                <w:b/>
                <w:color w:val="FFFFFF"/>
                <w:sz w:val="18"/>
              </w:rPr>
              <w:t>Value</w:t>
            </w:r>
          </w:p>
        </w:tc>
      </w:tr>
      <w:tr>
        <w:tc>
          <w:tcPr>
            <w:tcW w:type="dxa" w:w="6009"/>
          </w:tcPr>
          <w:p>
            <w:r>
              <w:rPr>
                <w:sz w:val="18"/>
              </w:rPr>
            </w:r>
            <w:r>
              <w:rPr>
                <w:b w:val="0"/>
                <w:sz w:val="18"/>
              </w:rPr>
              <w:t>Book value per share (FY25, pro-forma the approved increase)</w:t>
            </w:r>
          </w:p>
        </w:tc>
        <w:tc>
          <w:tcPr>
            <w:tcW w:type="dxa" w:w="3402"/>
          </w:tcPr>
          <w:p>
            <w:pPr>
              <w:jc w:val="center"/>
            </w:pPr>
            <w:r>
              <w:rPr>
                <w:sz w:val="18"/>
              </w:rPr>
            </w:r>
            <w:r>
              <w:rPr>
                <w:b w:val="0"/>
                <w:sz w:val="18"/>
              </w:rPr>
              <w:t>EGP 24.87</w:t>
            </w:r>
          </w:p>
        </w:tc>
      </w:tr>
      <w:tr>
        <w:tc>
          <w:tcPr>
            <w:tcW w:type="dxa" w:w="6009"/>
          </w:tcPr>
          <w:p>
            <w:r>
              <w:rPr>
                <w:sz w:val="18"/>
              </w:rPr>
            </w:r>
            <w:r>
              <w:rPr>
                <w:b w:val="0"/>
                <w:sz w:val="18"/>
              </w:rPr>
              <w:t>Capital check: CAR 19.44%, but RWA growth ≈ +50% p.a.</w:t>
            </w:r>
          </w:p>
        </w:tc>
        <w:tc>
          <w:tcPr>
            <w:tcW w:type="dxa" w:w="3402"/>
          </w:tcPr>
          <w:p>
            <w:pPr>
              <w:jc w:val="center"/>
            </w:pPr>
            <w:r>
              <w:rPr>
                <w:sz w:val="18"/>
              </w:rPr>
            </w:r>
            <w:r>
              <w:rPr>
                <w:b w:val="0"/>
                <w:sz w:val="18"/>
              </w:rPr>
              <w:t>No surplus — retention + periodic raises fund growth</w:t>
            </w:r>
          </w:p>
        </w:tc>
      </w:tr>
      <w:tr>
        <w:tc>
          <w:tcPr>
            <w:tcW w:type="dxa" w:w="6009"/>
          </w:tcPr>
          <w:p>
            <w:r>
              <w:rPr>
                <w:sz w:val="18"/>
              </w:rPr>
            </w:r>
            <w:r>
              <w:rPr>
                <w:b w:val="0"/>
                <w:sz w:val="18"/>
              </w:rPr>
              <w:t>Sustainable ROE (her judgment)</w:t>
            </w:r>
          </w:p>
        </w:tc>
        <w:tc>
          <w:tcPr>
            <w:tcW w:type="dxa" w:w="3402"/>
          </w:tcPr>
          <w:p>
            <w:pPr>
              <w:jc w:val="center"/>
            </w:pPr>
            <w:r>
              <w:rPr>
                <w:sz w:val="18"/>
              </w:rPr>
            </w:r>
            <w:r>
              <w:rPr>
                <w:b w:val="0"/>
                <w:sz w:val="18"/>
              </w:rPr>
              <w:t>30%</w:t>
            </w:r>
          </w:p>
        </w:tc>
      </w:tr>
      <w:tr>
        <w:tc>
          <w:tcPr>
            <w:tcW w:type="dxa" w:w="6009"/>
          </w:tcPr>
          <w:p>
            <w:r>
              <w:rPr>
                <w:sz w:val="18"/>
              </w:rPr>
            </w:r>
            <w:r>
              <w:rPr>
                <w:b w:val="0"/>
                <w:sz w:val="18"/>
              </w:rPr>
              <w:t>Justified P/B = (30% − 11%) / (23% − 11%)</w:t>
            </w:r>
          </w:p>
        </w:tc>
        <w:tc>
          <w:tcPr>
            <w:tcW w:type="dxa" w:w="3402"/>
          </w:tcPr>
          <w:p>
            <w:pPr>
              <w:jc w:val="center"/>
            </w:pPr>
            <w:r>
              <w:rPr>
                <w:sz w:val="18"/>
              </w:rPr>
            </w:r>
            <w:r>
              <w:rPr>
                <w:b w:val="0"/>
                <w:sz w:val="18"/>
              </w:rPr>
              <w:t>1.58×</w:t>
            </w:r>
          </w:p>
        </w:tc>
      </w:tr>
      <w:tr>
        <w:tc>
          <w:tcPr>
            <w:tcW w:type="dxa" w:w="6009"/>
          </w:tcPr>
          <w:p>
            <w:r>
              <w:rPr>
                <w:sz w:val="18"/>
              </w:rPr>
            </w:r>
            <w:r>
              <w:rPr>
                <w:b w:val="0"/>
                <w:sz w:val="18"/>
              </w:rPr>
              <w:t>Justified value = 1.58 × 24.87</w:t>
            </w:r>
          </w:p>
        </w:tc>
        <w:tc>
          <w:tcPr>
            <w:tcW w:type="dxa" w:w="3402"/>
          </w:tcPr>
          <w:p>
            <w:pPr>
              <w:jc w:val="center"/>
            </w:pPr>
            <w:r>
              <w:rPr>
                <w:sz w:val="18"/>
              </w:rPr>
            </w:r>
            <w:r>
              <w:rPr>
                <w:b w:val="0"/>
                <w:sz w:val="18"/>
              </w:rPr>
              <w:t>EGP 39.4</w:t>
            </w:r>
          </w:p>
        </w:tc>
      </w:tr>
      <w:tr>
        <w:tc>
          <w:tcPr>
            <w:tcW w:type="dxa" w:w="6009"/>
          </w:tcPr>
          <w:p>
            <w:r>
              <w:rPr>
                <w:sz w:val="18"/>
              </w:rPr>
            </w:r>
            <w:r>
              <w:rPr>
                <w:b w:val="0"/>
                <w:sz w:val="18"/>
              </w:rPr>
              <w:t>DDM cross-check (study path re-run at her 30% terminal)</w:t>
            </w:r>
          </w:p>
        </w:tc>
        <w:tc>
          <w:tcPr>
            <w:tcW w:type="dxa" w:w="3402"/>
          </w:tcPr>
          <w:p>
            <w:pPr>
              <w:jc w:val="center"/>
            </w:pPr>
            <w:r>
              <w:rPr>
                <w:sz w:val="18"/>
              </w:rPr>
            </w:r>
            <w:r>
              <w:rPr>
                <w:b w:val="0"/>
                <w:sz w:val="18"/>
              </w:rPr>
              <w:t>EGP 59.4</w:t>
            </w:r>
          </w:p>
        </w:tc>
      </w:tr>
      <w:tr>
        <w:tc>
          <w:tcPr>
            <w:tcW w:type="dxa" w:w="6009"/>
            <w:shd w:val="clear" w:fill="F3F7F7"/>
          </w:tcPr>
          <w:p>
            <w:r>
              <w:rPr>
                <w:b/>
                <w:sz w:val="18"/>
              </w:rPr>
            </w:r>
            <w:r>
              <w:rPr>
                <w:b/>
                <w:sz w:val="18"/>
              </w:rPr>
              <w:t>Blend (60/40) — fair value</w:t>
            </w:r>
          </w:p>
        </w:tc>
        <w:tc>
          <w:tcPr>
            <w:tcW w:type="dxa" w:w="3402"/>
            <w:shd w:val="clear" w:fill="F3F7F7"/>
          </w:tcPr>
          <w:p>
            <w:pPr>
              <w:jc w:val="center"/>
            </w:pPr>
            <w:r>
              <w:rPr>
                <w:b/>
                <w:sz w:val="18"/>
              </w:rPr>
            </w:r>
            <w:r>
              <w:rPr>
                <w:b/>
                <w:sz w:val="18"/>
              </w:rPr>
              <w:t>EGP 48.0</w:t>
            </w:r>
          </w:p>
        </w:tc>
      </w:tr>
    </w:tbl>
    <w:p/>
    <w:p>
      <w:r>
        <w:rPr>
          <w:b/>
        </w:rPr>
        <w:t xml:space="preserve">Worked example. </w:t>
      </w:r>
      <w:r>
        <w:rPr>
          <w:b w:val="0"/>
        </w:rPr>
        <w:t xml:space="preserve">Take the FY26 year she can almost see: EPS ~EGP 10.53 on opening pro-forma book of 24.87 is a 42% return; her 23% hurdle costs 5.72, leaving EGP 4.81 of genuine economic profit — nineteen percent of book earned above the hurdle in a single year. Compounding that spread while it fades to her 30% terminal is what EGP 48 capitalizes. What the market price capitalizes is nearly the same thing: at ~1.9× pro-forma book, the identity implies a </w:t>
      </w:r>
      <w:r>
        <w:rPr>
          <w:b/>
        </w:rPr>
        <w:t>~34% perpetual ROE</w:t>
      </w:r>
      <w:r>
        <w:rPr>
          <w:b w:val="0"/>
        </w:rPr>
        <w:t xml:space="preserve"> — the tape and Expert 1 are separated by four points of terminal ROE, not by a thesis.</w:t>
      </w:r>
    </w:p>
    <w:p>
      <w:r>
        <w:rPr>
          <w:b/>
        </w:rPr>
        <w:t xml:space="preserve">The growth-without-dilution test. </w:t>
      </w:r>
      <w:r>
        <w:rPr>
          <w:b w:val="0"/>
        </w:rPr>
        <w:t>Her second gate is whether the franchise can fund its own growth. In principle a 44% ROE with zero payout funds 44% balance-sheet growth internally; in practice the CBE's denominator is risk-weighted, the financing mix is shifting toward full-weight corporate risk, and the book grew 53% — so the bank raised EGP 6bn in 2024–25 and has another 3bn approved. The arithmetic is unforgiving: a bank cannot indefinitely grow assets faster than its internal capital generation, hold its ratios, and begin a payout. Something yields — growth slows toward the self-funding rate (her forecast and the study's), the dividend stays at zero, or dilution continues. Each resolution caps the distributable stream; none of them, in her read, supports more than two times book.</w:t>
      </w:r>
    </w:p>
    <w:p>
      <w:r>
        <w:rPr>
          <w:b/>
        </w:rPr>
        <w:t xml:space="preserve">Sensitivity (swing = the sustainable ROE). </w:t>
      </w:r>
      <w:r>
        <w:rPr>
          <w:b w:val="0"/>
        </w:rPr>
        <w:t xml:space="preserve">At 26%: 1.25× book → 31.1, blend ≈ EGP 39. At 34%: 1.92× → 47.7, blend ≈ EGP 56. A point of COE moves the blend ~EGP 3. Her stated range is </w:t>
      </w:r>
      <w:r>
        <w:rPr>
          <w:b/>
        </w:rPr>
        <w:t>EGP 35–62</w:t>
      </w:r>
      <w:r>
        <w:rPr>
          <w:b w:val="0"/>
        </w:rPr>
        <w:t>.</w:t>
      </w:r>
    </w:p>
    <w:p>
      <w:r>
        <w:rPr>
          <w:b/>
        </w:rPr>
        <w:t xml:space="preserve">Cross-examination. </w:t>
      </w:r>
      <w:r>
        <w:rPr>
          <w:b w:val="0"/>
        </w:rPr>
        <w:t>To Expert 2: “Your stress is honest but you double-count — you cut the earnings for a downturn and then also cut the multiple for the same downturn. Price the through-cycle average once, properly.” To Expert 3: “Your policy worlds are mostly my two numbers wearing costumes — the bull world is a lower cost of equity, the bear world a lower terminal ROE. Name the numbers and we can argue about probabilities honestly.”</w:t>
      </w:r>
    </w:p>
    <w:p>
      <w:r>
        <w:rPr>
          <w:b/>
        </w:rPr>
        <w:t xml:space="preserve">Verdict, falsification, market-implied. Fair EGP 48.0 (range 35–62). </w:t>
      </w:r>
      <w:r>
        <w:rPr>
          <w:b w:val="0"/>
        </w:rPr>
        <w:t>Falsified by a structural break in the return profile: three consecutive years of ROE held above ~35% through the easing cycle without a further capital raise would push her toward the high case; a capital event, a dividend indefinitely deferred past FY28, or ROE through 24% would pull her to the low one. The market price implies almost exactly her framework with one input moved — on a capital-and-returns basis, ADIB-Egypt is the rare stock where the tape is arguing about the input, not the identity.</w:t>
      </w:r>
    </w:p>
    <w:p>
      <w:pPr>
        <w:pStyle w:val="Heading2"/>
      </w:pPr>
      <w:r>
        <w:t>D.2  Expert 2 — the credit cycle: what does this book lose in a downturn?</w:t>
      </w:r>
    </w:p>
    <w:p>
      <w:r>
        <w:rPr>
          <w:b/>
        </w:rPr>
        <w:t xml:space="preserve">Worldview. </w:t>
      </w:r>
      <w:r>
        <w:rPr>
          <w:b w:val="0"/>
        </w:rPr>
        <w:t>A bank's value is dominated by the credit it underwrites — through-cycle losses, not peak-cycle profits, set the floor. Reported book value is only as real as the financing behind it, and the time to ask is precisely when nobody else is asking: at record growth, record profitability, and the top of a nominal boom.</w:t>
      </w:r>
    </w:p>
    <w:p>
      <w:r>
        <w:rPr>
          <w:b/>
        </w:rPr>
        <w:t xml:space="preserve">When it works / when it fails. </w:t>
      </w:r>
      <w:r>
        <w:rPr>
          <w:b w:val="0"/>
        </w:rPr>
        <w:t>The lens earns its keep at cycle turns and in fast-growth books, where today's underwriting is tomorrow's cost of risk — and 52.8% growth in one year, plus 15.6% more in a single quarter, is the fastest-growing large book he has scored in this market. It fails — systematically undervalues — when a benign environment genuinely persists, and it says little about franchise quality; he is a floor-setter, not a franchise-pricer.</w:t>
      </w:r>
    </w:p>
    <w:p>
      <w:r>
        <w:rPr>
          <w:b/>
        </w:rPr>
        <w:t xml:space="preserve">Standard workings. </w:t>
      </w:r>
      <w:r>
        <w:rPr>
          <w:b w:val="0"/>
        </w:rPr>
        <w:t xml:space="preserve">(1) Read the book: net financing EGP 159bn, roughly EGP 55bn of it written in the last twelve months, into a corporate-led revival at post-devaluation collateral values, with SME and micro exposure growing by CBE mandate. (2) Normalize the cost of risk: the bank booked ~147bp of ECL against the average book in FY25 — respectable provisioning — but Egypt's own history (2016 float, 2020, 2022–24) has spent long stretches at or above 200bp. His through-cycle estimate for this mix: </w:t>
      </w:r>
      <w:r>
        <w:rPr>
          <w:b/>
        </w:rPr>
        <w:t>200bp</w:t>
      </w:r>
      <w:r>
        <w:rPr>
          <w:b w:val="0"/>
        </w:rPr>
        <w:t>. (3) Normalize the revenue: the 25%+ sovereign carry is a phase, not a property; his mid-cycle revenue line strips roughly a quarter of it. (4) Value off normalized, not reported, earnings, at a cycle-aware multiple, then stress a genuine downturn year to test the floor.</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4876"/>
        <w:gridCol w:w="4876"/>
      </w:tblGrid>
      <w:tr>
        <w:tc>
          <w:tcPr>
            <w:tcW w:type="dxa" w:w="5443"/>
            <w:shd w:val="clear" w:fill="1B5E5E"/>
          </w:tcPr>
          <w:p>
            <w:r/>
            <w:r>
              <w:rPr>
                <w:b/>
                <w:color w:val="FFFFFF"/>
                <w:sz w:val="18"/>
              </w:rPr>
              <w:t>Expert 2's workings</w:t>
            </w:r>
          </w:p>
        </w:tc>
        <w:tc>
          <w:tcPr>
            <w:tcW w:type="dxa" w:w="3969"/>
            <w:shd w:val="clear" w:fill="1B5E5E"/>
          </w:tcPr>
          <w:p>
            <w:pPr>
              <w:jc w:val="center"/>
            </w:pPr>
            <w:r/>
            <w:r>
              <w:rPr>
                <w:b/>
                <w:color w:val="FFFFFF"/>
                <w:sz w:val="18"/>
              </w:rPr>
              <w:t>Value</w:t>
            </w:r>
          </w:p>
        </w:tc>
      </w:tr>
      <w:tr>
        <w:tc>
          <w:tcPr>
            <w:tcW w:type="dxa" w:w="5443"/>
          </w:tcPr>
          <w:p>
            <w:r>
              <w:rPr>
                <w:sz w:val="18"/>
              </w:rPr>
            </w:r>
            <w:r>
              <w:rPr>
                <w:b w:val="0"/>
                <w:sz w:val="18"/>
              </w:rPr>
              <w:t>Net financing / 12-month growth</w:t>
            </w:r>
          </w:p>
        </w:tc>
        <w:tc>
          <w:tcPr>
            <w:tcW w:type="dxa" w:w="3969"/>
          </w:tcPr>
          <w:p>
            <w:pPr>
              <w:jc w:val="center"/>
            </w:pPr>
            <w:r>
              <w:rPr>
                <w:sz w:val="18"/>
              </w:rPr>
            </w:r>
            <w:r>
              <w:rPr>
                <w:b w:val="0"/>
                <w:sz w:val="18"/>
              </w:rPr>
              <w:t>EGP 159bn / ~+53% (≈ EGP 55bn of new vintages)</w:t>
            </w:r>
          </w:p>
        </w:tc>
      </w:tr>
      <w:tr>
        <w:tc>
          <w:tcPr>
            <w:tcW w:type="dxa" w:w="5443"/>
          </w:tcPr>
          <w:p>
            <w:r>
              <w:rPr>
                <w:sz w:val="18"/>
              </w:rPr>
            </w:r>
            <w:r>
              <w:rPr>
                <w:b w:val="0"/>
                <w:sz w:val="18"/>
              </w:rPr>
              <w:t>Booked FY25 cost of risk (ECL / avg financing)</w:t>
            </w:r>
          </w:p>
        </w:tc>
        <w:tc>
          <w:tcPr>
            <w:tcW w:type="dxa" w:w="3969"/>
          </w:tcPr>
          <w:p>
            <w:pPr>
              <w:jc w:val="center"/>
            </w:pPr>
            <w:r>
              <w:rPr>
                <w:sz w:val="18"/>
              </w:rPr>
            </w:r>
            <w:r>
              <w:rPr>
                <w:b w:val="0"/>
                <w:sz w:val="18"/>
              </w:rPr>
              <w:t>≈ 147bp</w:t>
            </w:r>
          </w:p>
        </w:tc>
      </w:tr>
      <w:tr>
        <w:tc>
          <w:tcPr>
            <w:tcW w:type="dxa" w:w="5443"/>
          </w:tcPr>
          <w:p>
            <w:r>
              <w:rPr>
                <w:sz w:val="18"/>
              </w:rPr>
            </w:r>
            <w:r>
              <w:rPr>
                <w:b w:val="0"/>
                <w:sz w:val="18"/>
              </w:rPr>
              <w:t>Through-cycle cost of risk (his judgment)</w:t>
            </w:r>
          </w:p>
        </w:tc>
        <w:tc>
          <w:tcPr>
            <w:tcW w:type="dxa" w:w="3969"/>
          </w:tcPr>
          <w:p>
            <w:pPr>
              <w:jc w:val="center"/>
            </w:pPr>
            <w:r>
              <w:rPr>
                <w:sz w:val="18"/>
              </w:rPr>
            </w:r>
            <w:r>
              <w:rPr>
                <w:b w:val="0"/>
                <w:sz w:val="18"/>
              </w:rPr>
              <w:t>200bp → extra ~EGP 1.0bn p.a. on the FY26 book</w:t>
            </w:r>
          </w:p>
        </w:tc>
      </w:tr>
      <w:tr>
        <w:tc>
          <w:tcPr>
            <w:tcW w:type="dxa" w:w="5443"/>
          </w:tcPr>
          <w:p>
            <w:r>
              <w:rPr>
                <w:sz w:val="18"/>
              </w:rPr>
            </w:r>
            <w:r>
              <w:rPr>
                <w:b w:val="0"/>
                <w:sz w:val="18"/>
              </w:rPr>
              <w:t>Mid-cycle revenue haircut (carry normalizes)</w:t>
            </w:r>
          </w:p>
        </w:tc>
        <w:tc>
          <w:tcPr>
            <w:tcW w:type="dxa" w:w="3969"/>
          </w:tcPr>
          <w:p>
            <w:pPr>
              <w:jc w:val="center"/>
            </w:pPr>
            <w:r>
              <w:rPr>
                <w:sz w:val="18"/>
              </w:rPr>
            </w:r>
            <w:r>
              <w:rPr>
                <w:b w:val="0"/>
                <w:sz w:val="18"/>
              </w:rPr>
              <w:t>≈ −15% vs the FY26 driver build</w:t>
            </w:r>
          </w:p>
        </w:tc>
      </w:tr>
      <w:tr>
        <w:tc>
          <w:tcPr>
            <w:tcW w:type="dxa" w:w="5443"/>
          </w:tcPr>
          <w:p>
            <w:r>
              <w:rPr>
                <w:sz w:val="18"/>
              </w:rPr>
            </w:r>
            <w:r>
              <w:rPr>
                <w:b w:val="0"/>
                <w:sz w:val="18"/>
              </w:rPr>
              <w:t>Normalized attributable EPS</w:t>
            </w:r>
          </w:p>
        </w:tc>
        <w:tc>
          <w:tcPr>
            <w:tcW w:type="dxa" w:w="3969"/>
          </w:tcPr>
          <w:p>
            <w:pPr>
              <w:jc w:val="center"/>
            </w:pPr>
            <w:r>
              <w:rPr>
                <w:sz w:val="18"/>
              </w:rPr>
            </w:r>
            <w:r>
              <w:rPr>
                <w:b w:val="0"/>
                <w:sz w:val="18"/>
              </w:rPr>
              <w:t>≈ EGP 7.50</w:t>
            </w:r>
          </w:p>
        </w:tc>
      </w:tr>
      <w:tr>
        <w:tc>
          <w:tcPr>
            <w:tcW w:type="dxa" w:w="5443"/>
          </w:tcPr>
          <w:p>
            <w:r>
              <w:rPr>
                <w:sz w:val="18"/>
              </w:rPr>
            </w:r>
            <w:r>
              <w:rPr>
                <w:b w:val="0"/>
                <w:sz w:val="18"/>
              </w:rPr>
              <w:t>Cycle-aware multiple × normalized EPS</w:t>
            </w:r>
          </w:p>
        </w:tc>
        <w:tc>
          <w:tcPr>
            <w:tcW w:type="dxa" w:w="3969"/>
          </w:tcPr>
          <w:p>
            <w:pPr>
              <w:jc w:val="center"/>
            </w:pPr>
            <w:r>
              <w:rPr>
                <w:sz w:val="18"/>
              </w:rPr>
            </w:r>
            <w:r>
              <w:rPr>
                <w:b w:val="0"/>
                <w:sz w:val="18"/>
              </w:rPr>
              <w:t>5.0× → EGP 37.5</w:t>
            </w:r>
          </w:p>
        </w:tc>
      </w:tr>
      <w:tr>
        <w:tc>
          <w:tcPr>
            <w:tcW w:type="dxa" w:w="5443"/>
            <w:shd w:val="clear" w:fill="F3F7F7"/>
          </w:tcPr>
          <w:p>
            <w:r>
              <w:rPr>
                <w:b/>
                <w:sz w:val="18"/>
              </w:rPr>
            </w:r>
            <w:r>
              <w:rPr>
                <w:b/>
                <w:sz w:val="18"/>
              </w:rPr>
              <w:t>Fair value (incl. ~EGP 0.5 franchise premium)</w:t>
            </w:r>
          </w:p>
        </w:tc>
        <w:tc>
          <w:tcPr>
            <w:tcW w:type="dxa" w:w="3969"/>
            <w:shd w:val="clear" w:fill="F3F7F7"/>
          </w:tcPr>
          <w:p>
            <w:pPr>
              <w:jc w:val="center"/>
            </w:pPr>
            <w:r>
              <w:rPr>
                <w:b/>
                <w:sz w:val="18"/>
              </w:rPr>
            </w:r>
            <w:r>
              <w:rPr>
                <w:b/>
                <w:sz w:val="18"/>
              </w:rPr>
              <w:t>EGP 38.0</w:t>
            </w:r>
          </w:p>
        </w:tc>
      </w:tr>
    </w:tbl>
    <w:p/>
    <w:p>
      <w:r>
        <w:rPr>
          <w:b/>
        </w:rPr>
        <w:t xml:space="preserve">Worked example. </w:t>
      </w:r>
      <w:r>
        <w:rPr>
          <w:b w:val="0"/>
        </w:rPr>
        <w:t>Reprice one line and watch the tower sway: move the cost of risk from the booked 147bp to his 200bp on the FY26 average book of ~EGP 183bn and the charge rises from ~EGP 2.0bn to ~EGP 3.7bn; after tax, EPS drops about EGP 0.8 — eight percent of the year's earnings from half a point of credit cost. Now run his genuine downturn: a deval-and-recession year with revenue flat and 300bp of cost of risk cuts attributable EPS toward EGP 6.7 and the market would not hold a 5× multiple against a rising-NPL tape — at 4× the stressed stream the price is EGP 27, which is why his floor sits where it does.</w:t>
      </w:r>
    </w:p>
    <w:p>
      <w:r>
        <w:rPr>
          <w:b/>
        </w:rPr>
        <w:t xml:space="preserve">The vintage ledger. </w:t>
      </w:r>
      <w:r>
        <w:rPr>
          <w:b w:val="0"/>
        </w:rPr>
        <w:t>His deeper worry is composition, not level. A third of today's book has never seen a bad quarter — EGP 55bn written in 2025 and another ~EGP 25bn in Q1-26, and corporate and SME default curves peak in years two to four of a vintage, not year one. Today's benign ratios are quoted against a numerator the new vintages have simply not had time to join. A one-point slippage on the young vintages alone would add ~EGP 0.8bn to Stage 3, and the same quarter would carry the coverage ratio, the cost of risk and the growth narrative into the headlines together — that correlation, not any single number, is what his 5× multiple is pricing.</w:t>
      </w:r>
    </w:p>
    <w:p>
      <w:r>
        <w:rPr>
          <w:b/>
        </w:rPr>
        <w:t xml:space="preserve">Sensitivity (swing = the normalized cost of risk). </w:t>
      </w:r>
      <w:r>
        <w:rPr>
          <w:b w:val="0"/>
        </w:rPr>
        <w:t xml:space="preserve">At 160bp: normalized EPS ~8.2, value ≈ EGP 41.5. At 260bp: ~6.6, value ≈ EGP 33.5. Range </w:t>
      </w:r>
      <w:r>
        <w:rPr>
          <w:b/>
        </w:rPr>
        <w:t>EGP 28–50</w:t>
      </w:r>
      <w:r>
        <w:rPr>
          <w:b w:val="0"/>
        </w:rPr>
        <w:t>.</w:t>
      </w:r>
    </w:p>
    <w:p>
      <w:r>
        <w:rPr>
          <w:b/>
        </w:rPr>
        <w:t xml:space="preserve">Cross-examination. </w:t>
      </w:r>
      <w:r>
        <w:rPr>
          <w:b w:val="0"/>
        </w:rPr>
        <w:t>To Expert 1: “Your justified P/B assumes the B is real. A third of this book is unseasoned — season it before you capitalize it at 1.6 times.” To Expert 3: “The only policy world that matters to a lender is the credit cycle; your rate and pound branches are inputs to my cost-of-risk line, not a separate valuation.”</w:t>
      </w:r>
    </w:p>
    <w:p>
      <w:r>
        <w:rPr>
          <w:b/>
        </w:rPr>
        <w:t xml:space="preserve">Verdict, falsification, market-implied. Fair EGP 38.0 (range 28–50) — the panel floor. </w:t>
      </w:r>
      <w:r>
        <w:rPr>
          <w:b w:val="0"/>
        </w:rPr>
        <w:t>Falsified by evidence, not argument: three more years of sub-150bp cost of risk through the easing cycle *and* the seasoning of the 2025–26 vintages would prove this book is structurally better-underwritten than any Egyptian predecessor, and he would move his normalization toward 150bp and his value toward EGP 45. The market at EGP 46.64 is paying almost exactly his no-downturn case — which is his point: there is no multiple of safety in the price against the one thing banks reliably do.</w:t>
      </w:r>
    </w:p>
    <w:p>
      <w:pPr>
        <w:pStyle w:val="Heading2"/>
      </w:pPr>
      <w:r>
        <w:t>D.3  Expert 3 — macro-policy: pricing the worlds an EGP bank lives in</w:t>
      </w:r>
    </w:p>
    <w:p>
      <w:r>
        <w:rPr>
          <w:b/>
        </w:rPr>
        <w:t xml:space="preserve">Worldview. </w:t>
      </w:r>
      <w:r>
        <w:rPr>
          <w:b w:val="0"/>
        </w:rPr>
        <w:t>In a managed-currency, program-country economy, policy outranks management: the CBE sets ADIB's carry and margin, the pound sets the nominal size of everything, and the IMF program sets the probability distribution over both. He prices the equity as a probability-weighted set of policy worlds, re-running the study's DDM machinery under each so the scenario values are derived, not asserted.</w:t>
      </w:r>
    </w:p>
    <w:p>
      <w:r>
        <w:rPr>
          <w:b/>
        </w:rPr>
        <w:t xml:space="preserve">When it works / when it fails. </w:t>
      </w:r>
      <w:r>
        <w:rPr>
          <w:b w:val="0"/>
        </w:rPr>
        <w:t>Strongest exactly here — a bank whose 44% ROE decomposes into a rate level, an FX regime and a fiscal-rotation story is a bank whose valuation is a policy function. It fails when the worlds are drawn lazily (three shades of the base case) or when idiosyncratic execution, not policy, is the real driver — for ADIB-Egypt he judges policy dominant by a wide margin.</w:t>
      </w:r>
    </w:p>
    <w:p>
      <w:r>
        <w:rPr>
          <w:b/>
        </w:rPr>
        <w:t xml:space="preserve">Standard workings. </w:t>
      </w:r>
      <w:r>
        <w:rPr>
          <w:b w:val="0"/>
        </w:rPr>
        <w:t>(1) Name the levers: the CBE path (corridor 19–20% after the February 2026 cut, from a 27.25% peak); the pound (≈49/USD since the 2024 float); the IMF program and sovereign standing (S&amp;P B/B stable, April 2026); the crowding-out unwind driving private credit; and the sovereign-securities nexus. (2) Define three worlds as configurations of those levers. (3) Re-run the §1 DDM under each — policy lands in a bank valuation through the discount rate and the terminal ROE. (4) Weight, then stress the weights.</w:t>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1928"/>
            <w:shd w:val="clear" w:fill="1B5E5E"/>
          </w:tcPr>
          <w:p>
            <w:r/>
            <w:r>
              <w:rPr>
                <w:b/>
                <w:color w:val="FFFFFF"/>
                <w:sz w:val="18"/>
              </w:rPr>
              <w:t>World (probability)</w:t>
            </w:r>
          </w:p>
        </w:tc>
        <w:tc>
          <w:tcPr>
            <w:tcW w:type="dxa" w:w="4309"/>
            <w:shd w:val="clear" w:fill="1B5E5E"/>
          </w:tcPr>
          <w:p>
            <w:pPr>
              <w:jc w:val="center"/>
            </w:pPr>
            <w:r/>
            <w:r>
              <w:rPr>
                <w:b/>
                <w:color w:val="FFFFFF"/>
                <w:sz w:val="18"/>
              </w:rPr>
              <w:t>Configuration</w:t>
            </w:r>
          </w:p>
        </w:tc>
        <w:tc>
          <w:tcPr>
            <w:tcW w:type="dxa" w:w="1701"/>
            <w:shd w:val="clear" w:fill="1B5E5E"/>
          </w:tcPr>
          <w:p>
            <w:pPr>
              <w:jc w:val="center"/>
            </w:pPr>
            <w:r/>
            <w:r>
              <w:rPr>
                <w:b/>
                <w:color w:val="FFFFFF"/>
                <w:sz w:val="18"/>
              </w:rPr>
              <w:t>COE / terminal ROE</w:t>
            </w:r>
          </w:p>
        </w:tc>
        <w:tc>
          <w:tcPr>
            <w:tcW w:type="dxa" w:w="1474"/>
            <w:shd w:val="clear" w:fill="1B5E5E"/>
          </w:tcPr>
          <w:p>
            <w:pPr>
              <w:jc w:val="center"/>
            </w:pPr>
            <w:r/>
            <w:r>
              <w:rPr>
                <w:b/>
                <w:color w:val="FFFFFF"/>
                <w:sz w:val="18"/>
              </w:rPr>
              <w:t>Value</w:t>
            </w:r>
          </w:p>
        </w:tc>
      </w:tr>
      <w:tr>
        <w:tc>
          <w:tcPr>
            <w:tcW w:type="dxa" w:w="1928"/>
          </w:tcPr>
          <w:p>
            <w:r>
              <w:rPr>
                <w:sz w:val="18"/>
              </w:rPr>
            </w:r>
            <w:r>
              <w:rPr>
                <w:b w:val="0"/>
                <w:sz w:val="18"/>
              </w:rPr>
              <w:t>Bull — 30%</w:t>
            </w:r>
          </w:p>
        </w:tc>
        <w:tc>
          <w:tcPr>
            <w:tcW w:type="dxa" w:w="4309"/>
          </w:tcPr>
          <w:p>
            <w:pPr>
              <w:jc w:val="center"/>
            </w:pPr>
            <w:r>
              <w:rPr>
                <w:sz w:val="18"/>
              </w:rPr>
            </w:r>
            <w:r>
              <w:rPr>
                <w:b w:val="0"/>
                <w:sz w:val="18"/>
              </w:rPr>
              <w:t>Disinflation holds; corridor to low-teens by 2028; EGP stable; program completes; flows return</w:t>
            </w:r>
          </w:p>
        </w:tc>
        <w:tc>
          <w:tcPr>
            <w:tcW w:type="dxa" w:w="1701"/>
          </w:tcPr>
          <w:p>
            <w:pPr>
              <w:jc w:val="center"/>
            </w:pPr>
            <w:r>
              <w:rPr>
                <w:sz w:val="18"/>
              </w:rPr>
            </w:r>
            <w:r>
              <w:rPr>
                <w:b w:val="0"/>
                <w:sz w:val="18"/>
              </w:rPr>
              <w:t>21% / 30%</w:t>
            </w:r>
          </w:p>
        </w:tc>
        <w:tc>
          <w:tcPr>
            <w:tcW w:type="dxa" w:w="1474"/>
          </w:tcPr>
          <w:p>
            <w:pPr>
              <w:jc w:val="center"/>
            </w:pPr>
            <w:r>
              <w:rPr>
                <w:sz w:val="18"/>
              </w:rPr>
            </w:r>
            <w:r>
              <w:rPr>
                <w:b w:val="0"/>
                <w:sz w:val="18"/>
              </w:rPr>
              <w:t>EGP 75</w:t>
            </w:r>
          </w:p>
        </w:tc>
      </w:tr>
      <w:tr>
        <w:tc>
          <w:tcPr>
            <w:tcW w:type="dxa" w:w="1928"/>
          </w:tcPr>
          <w:p>
            <w:r>
              <w:rPr>
                <w:sz w:val="18"/>
              </w:rPr>
            </w:r>
            <w:r>
              <w:rPr>
                <w:b w:val="0"/>
                <w:sz w:val="18"/>
              </w:rPr>
              <w:t>Base — 45%</w:t>
            </w:r>
          </w:p>
        </w:tc>
        <w:tc>
          <w:tcPr>
            <w:tcW w:type="dxa" w:w="4309"/>
          </w:tcPr>
          <w:p>
            <w:pPr>
              <w:jc w:val="center"/>
            </w:pPr>
            <w:r>
              <w:rPr>
                <w:sz w:val="18"/>
              </w:rPr>
            </w:r>
            <w:r>
              <w:rPr>
                <w:b w:val="0"/>
                <w:sz w:val="18"/>
              </w:rPr>
              <w:t>Gradual cuts; EGP drifts, no step move; program muddles through; growth normalizes</w:t>
            </w:r>
          </w:p>
        </w:tc>
        <w:tc>
          <w:tcPr>
            <w:tcW w:type="dxa" w:w="1701"/>
          </w:tcPr>
          <w:p>
            <w:pPr>
              <w:jc w:val="center"/>
            </w:pPr>
            <w:r>
              <w:rPr>
                <w:sz w:val="18"/>
              </w:rPr>
            </w:r>
            <w:r>
              <w:rPr>
                <w:b w:val="0"/>
                <w:sz w:val="18"/>
              </w:rPr>
              <w:t>23% / 28%</w:t>
            </w:r>
          </w:p>
        </w:tc>
        <w:tc>
          <w:tcPr>
            <w:tcW w:type="dxa" w:w="1474"/>
          </w:tcPr>
          <w:p>
            <w:pPr>
              <w:jc w:val="center"/>
            </w:pPr>
            <w:r>
              <w:rPr>
                <w:sz w:val="18"/>
              </w:rPr>
            </w:r>
            <w:r>
              <w:rPr>
                <w:b w:val="0"/>
                <w:sz w:val="18"/>
              </w:rPr>
              <w:t>EGP 53.8</w:t>
            </w:r>
          </w:p>
        </w:tc>
      </w:tr>
      <w:tr>
        <w:tc>
          <w:tcPr>
            <w:tcW w:type="dxa" w:w="1928"/>
          </w:tcPr>
          <w:p>
            <w:r>
              <w:rPr>
                <w:sz w:val="18"/>
              </w:rPr>
            </w:r>
            <w:r>
              <w:rPr>
                <w:b w:val="0"/>
                <w:sz w:val="18"/>
              </w:rPr>
              <w:t>Bear — 25%</w:t>
            </w:r>
          </w:p>
        </w:tc>
        <w:tc>
          <w:tcPr>
            <w:tcW w:type="dxa" w:w="4309"/>
          </w:tcPr>
          <w:p>
            <w:pPr>
              <w:jc w:val="center"/>
            </w:pPr>
            <w:r>
              <w:rPr>
                <w:sz w:val="18"/>
              </w:rPr>
            </w:r>
            <w:r>
              <w:rPr>
                <w:b w:val="0"/>
                <w:sz w:val="18"/>
              </w:rPr>
              <w:t>Step-devaluation round four; inflation rebounds; corridor back up; risk premium blows out</w:t>
            </w:r>
          </w:p>
        </w:tc>
        <w:tc>
          <w:tcPr>
            <w:tcW w:type="dxa" w:w="1701"/>
          </w:tcPr>
          <w:p>
            <w:pPr>
              <w:jc w:val="center"/>
            </w:pPr>
            <w:r>
              <w:rPr>
                <w:sz w:val="18"/>
              </w:rPr>
            </w:r>
            <w:r>
              <w:rPr>
                <w:b w:val="0"/>
                <w:sz w:val="18"/>
              </w:rPr>
              <w:t>27% / 24%</w:t>
            </w:r>
          </w:p>
        </w:tc>
        <w:tc>
          <w:tcPr>
            <w:tcW w:type="dxa" w:w="1474"/>
          </w:tcPr>
          <w:p>
            <w:pPr>
              <w:jc w:val="center"/>
            </w:pPr>
            <w:r>
              <w:rPr>
                <w:sz w:val="18"/>
              </w:rPr>
            </w:r>
            <w:r>
              <w:rPr>
                <w:b w:val="0"/>
                <w:sz w:val="18"/>
              </w:rPr>
              <w:t>EGP 31</w:t>
            </w:r>
          </w:p>
        </w:tc>
      </w:tr>
      <w:tr>
        <w:tc>
          <w:tcPr>
            <w:tcW w:type="dxa" w:w="1928"/>
            <w:shd w:val="clear" w:fill="F3F7F7"/>
          </w:tcPr>
          <w:p>
            <w:r>
              <w:rPr>
                <w:b/>
                <w:sz w:val="18"/>
              </w:rPr>
            </w:r>
            <w:r>
              <w:rPr>
                <w:b/>
                <w:sz w:val="18"/>
              </w:rPr>
              <w:t>Probability-weighted fair value</w:t>
            </w:r>
          </w:p>
        </w:tc>
        <w:tc>
          <w:tcPr>
            <w:tcW w:type="dxa" w:w="4309"/>
            <w:shd w:val="clear" w:fill="F3F7F7"/>
          </w:tcPr>
          <w:p>
            <w:pPr>
              <w:jc w:val="center"/>
            </w:pPr>
            <w:r>
              <w:rPr>
                <w:b/>
                <w:sz w:val="18"/>
              </w:rPr>
            </w:r>
          </w:p>
        </w:tc>
        <w:tc>
          <w:tcPr>
            <w:tcW w:type="dxa" w:w="1701"/>
            <w:shd w:val="clear" w:fill="F3F7F7"/>
          </w:tcPr>
          <w:p>
            <w:pPr>
              <w:jc w:val="center"/>
            </w:pPr>
            <w:r>
              <w:rPr>
                <w:b/>
                <w:sz w:val="18"/>
              </w:rPr>
            </w:r>
          </w:p>
        </w:tc>
        <w:tc>
          <w:tcPr>
            <w:tcW w:type="dxa" w:w="1474"/>
            <w:shd w:val="clear" w:fill="F3F7F7"/>
          </w:tcPr>
          <w:p>
            <w:pPr>
              <w:jc w:val="center"/>
            </w:pPr>
            <w:r>
              <w:rPr>
                <w:b/>
                <w:sz w:val="18"/>
              </w:rPr>
            </w:r>
            <w:r>
              <w:rPr>
                <w:b/>
                <w:sz w:val="18"/>
              </w:rPr>
              <w:t>EGP 54.0</w:t>
            </w:r>
          </w:p>
        </w:tc>
      </w:tr>
    </w:tbl>
    <w:p/>
    <w:p>
      <w:r>
        <w:rPr>
          <w:b/>
        </w:rPr>
        <w:t xml:space="preserve">Worked example. </w:t>
      </w:r>
      <w:r>
        <w:rPr>
          <w:b w:val="0"/>
        </w:rPr>
        <w:t>The bear branch is not exotic — it is 2022–24 replayed: a step move in the pound, a rate spike to defend it, and a de-rating of every EGP asset before the nominal repricing catches up. Marking that world honestly (a 27% discount rate and a 24% terminal as margins and credit are squeezed together) yields EGP 31; the reason his blended value still reaches 54 is that he genuinely weights the benign worlds at 75% — the disinflation data, the February cut and the April hold, and the ratings affirmation are, on his read, the program working.</w:t>
      </w:r>
    </w:p>
    <w:p>
      <w:r>
        <w:rPr>
          <w:b/>
        </w:rPr>
        <w:t xml:space="preserve">The transmission map. </w:t>
      </w:r>
      <w:r>
        <w:rPr>
          <w:b w:val="0"/>
        </w:rPr>
        <w:t>He prices each lever's mechanical pass-through rather than a mood. A 100bp CBE cut reaches the sovereign-carry and financing yield with a two-to-three-quarter repricing lag, worth very roughly EGP 1.5–2/share of DDM value through the terminal-ROE glide — which is why the corridor path is the master input. A step move in the pound cuts the USD value of every share while inflating the EGP book — a mixed event the study's factor stack prices at 25% for the quarter. An IMF milestone or ratings step moves the equity premium inside his COE. And the crowding-out unwind is the volume engine: every point of sovereign-borrowing normalization is private credit the banks — this one fastest — get to write. His worlds are coherent settings of those four dials, which is why he insists the scenario values are derived, not asserted.</w:t>
      </w:r>
    </w:p>
    <w:p>
      <w:r>
        <w:rPr>
          <w:b/>
        </w:rPr>
        <w:t xml:space="preserve">Sensitivity (swing = the weights). </w:t>
      </w:r>
      <w:r>
        <w:rPr>
          <w:b w:val="0"/>
        </w:rPr>
        <w:t xml:space="preserve">Shift ten points from base to bear (25/40/35): EGP 51.6. Shift ten to bull (40/40/20): EGP 57.7. The weights move the answer far less than either colleague's single swing input — his argument for the method. Range </w:t>
      </w:r>
      <w:r>
        <w:rPr>
          <w:b/>
        </w:rPr>
        <w:t>EGP 31–75</w:t>
      </w:r>
      <w:r>
        <w:rPr>
          <w:b w:val="0"/>
        </w:rPr>
        <w:t>.</w:t>
      </w:r>
    </w:p>
    <w:p>
      <w:r>
        <w:rPr>
          <w:b/>
        </w:rPr>
        <w:t xml:space="preserve">Cross-examination. </w:t>
      </w:r>
      <w:r>
        <w:rPr>
          <w:b w:val="0"/>
        </w:rPr>
        <w:t>To Expert 1: “Your 'sustainable ROE' is not a property of the bank — it is the intersection of a rate path and an FX regime. I price the distribution of those; you pick its mode.” To Expert 2: “Your downturn is one of my branches with a probability attached. Capitalizing it as the central case confuses prudence with forecasting.”</w:t>
      </w:r>
    </w:p>
    <w:p>
      <w:r>
        <w:rPr>
          <w:b/>
        </w:rPr>
        <w:t xml:space="preserve">Verdict, falsification, market-implied. Fair EGP 54.0 (range 31–75). </w:t>
      </w:r>
      <w:r>
        <w:rPr>
          <w:b w:val="0"/>
        </w:rPr>
        <w:t>Falsified structurally if either anchor of his framework breaks: an exit from the IMF-anchored disinflation path (his tree re-roots toward the bear world) or a credible move to a genuinely floating, stable pound with single-digit inflation (the whole EGP discount-rate regime — and every number in this study — would need rebuilding at a lower COE). The market price sits between his base and bear worlds: it is paying for disinflation to work, with a haircut for the chance it does not — which he regards as roughly the right shape, a few pounds too cheap.</w:t>
      </w:r>
    </w:p>
    <w:p>
      <w:pPr>
        <w:pStyle w:val="Heading2"/>
      </w:pPr>
      <w:r>
        <w:t>D.5  The three in one room</w:t>
      </w:r>
    </w:p>
    <w:p>
      <w:r>
        <w:rPr>
          <w:b w:val="0"/>
        </w:rPr>
        <w:t>The single asset they most disagree on is the 44% return on equity itself — whether it is a franchise, a position in the cycle, or an artifact of policy.</w:t>
      </w:r>
    </w:p>
    <w:p>
      <w:r>
        <w:rPr>
          <w:b/>
        </w:rPr>
        <w:t xml:space="preserve">Expert 1: </w:t>
      </w:r>
      <w:r>
        <w:rPr>
          <w:b w:val="0"/>
        </w:rPr>
        <w:t>“The cost base is the asset. Seventeen percent cost-to-income and profit-share funding are things competitors cannot copy in a cycle — that is why I grant thirty percent sustainable and 1.6 times book. The carry will fade; the franchise that harvested it stays.”</w:t>
      </w:r>
    </w:p>
    <w:p>
      <w:r>
        <w:rPr>
          <w:b/>
        </w:rPr>
        <w:t xml:space="preserve">Expert 2: </w:t>
      </w:r>
      <w:r>
        <w:rPr>
          <w:b w:val="0"/>
        </w:rPr>
        <w:t>“And a third of the book that franchise wrote has never seen a bad quarter. You are both capitalizing underwriting you cannot yet observe — benign prints at the top of a 53% growth year are the most expensive data in banking.”</w:t>
      </w:r>
    </w:p>
    <w:p>
      <w:r>
        <w:rPr>
          <w:b/>
        </w:rPr>
        <w:t xml:space="preserve">Expert 3: </w:t>
      </w:r>
      <w:r>
        <w:rPr>
          <w:b w:val="0"/>
        </w:rPr>
        <w:t>“You are both describing outputs. The 44 percent is a 27% policy rate meeting a repriced pound; the cost base is a nominal boom flattering a fixed-cost bank. Change the policy configuration and both of your 'properties' reprice within four quarters — which is why I hold three worlds open instead of arguing about one.”</w:t>
      </w:r>
    </w:p>
    <w:p>
      <w:pPr>
        <w:pStyle w:val="Heading2"/>
      </w:pPr>
      <w:r>
        <w:t>D.6  Reading the divergence</w:t>
      </w:r>
    </w:p>
    <w:p>
      <w:r>
        <w:rPr>
          <w:b w:val="0"/>
          <w:i/>
          <w:color w:val="666666"/>
          <w:sz w:val="18"/>
        </w:rPr>
        <w:t>Figure D-1 — The three experts' fair-value ranges. Brass ticks are base cases; the gold band is the study's central zone; the dark line is spot. The spread is a credit-cycle-versus-franchise disagreement; the panel's centre lands almost exactly on the market price.</w:t>
      </w:r>
    </w:p>
    <w:p>
      <w:pPr>
        <w:jc w:val="center"/>
      </w:pPr>
      <w:r>
        <w:drawing>
          <wp:inline xmlns:a="http://schemas.openxmlformats.org/drawingml/2006/main" xmlns:pic="http://schemas.openxmlformats.org/drawingml/2006/picture">
            <wp:extent cx="5616000" cy="239376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8"/>
                    <a:stretch>
                      <a:fillRect/>
                    </a:stretch>
                  </pic:blipFill>
                  <pic:spPr>
                    <a:xfrm>
                      <a:off x="0" y="0"/>
                      <a:ext cx="5616000" cy="2393763"/>
                    </a:xfrm>
                    <a:prstGeom prst="rect"/>
                  </pic:spPr>
                </pic:pic>
              </a:graphicData>
            </a:graphic>
          </wp:inline>
        </w:drawing>
      </w:r>
    </w:p>
    <w:tbl>
      <w:tblPr>
        <w:tblW w:type="auto" w:w="0"/>
        <w:jc w:val="center"/>
        <w:tblLook w:firstColumn="1" w:firstRow="1" w:lastColumn="0" w:lastRow="0" w:noHBand="0" w:noVBand="1" w:val="04A0"/>
        <w:tblBorders>
          <w:top w:val="single" w:sz="4" w:color="C9D6D6"/>
          <w:left w:val="single" w:sz="4" w:color="C9D6D6"/>
          <w:bottom w:val="single" w:sz="4" w:color="C9D6D6"/>
          <w:right w:val="single" w:sz="4" w:color="C9D6D6"/>
          <w:insideH w:val="single" w:sz="4" w:color="C9D6D6"/>
          <w:insideV w:val="single" w:sz="4" w:color="C9D6D6"/>
        </w:tblBorders>
      </w:tblPr>
      <w:tblGrid>
        <w:gridCol w:w="2438"/>
        <w:gridCol w:w="2438"/>
        <w:gridCol w:w="2438"/>
        <w:gridCol w:w="2438"/>
      </w:tblGrid>
      <w:tr>
        <w:tc>
          <w:tcPr>
            <w:tcW w:type="dxa" w:w="1247"/>
            <w:shd w:val="clear" w:fill="1B5E5E"/>
          </w:tcPr>
          <w:p>
            <w:r/>
            <w:r>
              <w:rPr>
                <w:b/>
                <w:color w:val="FFFFFF"/>
                <w:sz w:val="18"/>
              </w:rPr>
              <w:t>Expert</w:t>
            </w:r>
          </w:p>
        </w:tc>
        <w:tc>
          <w:tcPr>
            <w:tcW w:type="dxa" w:w="3742"/>
            <w:shd w:val="clear" w:fill="1B5E5E"/>
          </w:tcPr>
          <w:p>
            <w:pPr>
              <w:jc w:val="center"/>
            </w:pPr>
            <w:r/>
            <w:r>
              <w:rPr>
                <w:b/>
                <w:color w:val="FFFFFF"/>
                <w:sz w:val="18"/>
              </w:rPr>
              <w:t>Method</w:t>
            </w:r>
          </w:p>
        </w:tc>
        <w:tc>
          <w:tcPr>
            <w:tcW w:type="dxa" w:w="2835"/>
            <w:shd w:val="clear" w:fill="1B5E5E"/>
          </w:tcPr>
          <w:p>
            <w:pPr>
              <w:jc w:val="center"/>
            </w:pPr>
            <w:r/>
            <w:r>
              <w:rPr>
                <w:b/>
                <w:color w:val="FFFFFF"/>
                <w:sz w:val="18"/>
              </w:rPr>
              <w:t>Single swing assumption</w:t>
            </w:r>
          </w:p>
        </w:tc>
        <w:tc>
          <w:tcPr>
            <w:tcW w:type="dxa" w:w="1587"/>
            <w:shd w:val="clear" w:fill="1B5E5E"/>
          </w:tcPr>
          <w:p>
            <w:pPr>
              <w:jc w:val="center"/>
            </w:pPr>
            <w:r/>
            <w:r>
              <w:rPr>
                <w:b/>
                <w:color w:val="FFFFFF"/>
                <w:sz w:val="18"/>
              </w:rPr>
              <w:t>Base fair value</w:t>
            </w:r>
          </w:p>
        </w:tc>
      </w:tr>
      <w:tr>
        <w:tc>
          <w:tcPr>
            <w:tcW w:type="dxa" w:w="1247"/>
          </w:tcPr>
          <w:p>
            <w:r>
              <w:rPr>
                <w:sz w:val="18"/>
              </w:rPr>
            </w:r>
            <w:r>
              <w:rPr>
                <w:b w:val="0"/>
                <w:sz w:val="18"/>
              </w:rPr>
              <w:t>Expert 1</w:t>
            </w:r>
          </w:p>
        </w:tc>
        <w:tc>
          <w:tcPr>
            <w:tcW w:type="dxa" w:w="3742"/>
          </w:tcPr>
          <w:p>
            <w:pPr>
              <w:jc w:val="center"/>
            </w:pPr>
            <w:r>
              <w:rPr>
                <w:sz w:val="18"/>
              </w:rPr>
            </w:r>
            <w:r>
              <w:rPr>
                <w:b w:val="0"/>
                <w:sz w:val="18"/>
              </w:rPr>
              <w:t>Justified P/B &amp; excess returns on sustainable ROE</w:t>
            </w:r>
          </w:p>
        </w:tc>
        <w:tc>
          <w:tcPr>
            <w:tcW w:type="dxa" w:w="2835"/>
          </w:tcPr>
          <w:p>
            <w:pPr>
              <w:jc w:val="center"/>
            </w:pPr>
            <w:r>
              <w:rPr>
                <w:sz w:val="18"/>
              </w:rPr>
            </w:r>
            <w:r>
              <w:rPr>
                <w:b w:val="0"/>
                <w:sz w:val="18"/>
              </w:rPr>
              <w:t>Sustainable ROE (30%)</w:t>
            </w:r>
          </w:p>
        </w:tc>
        <w:tc>
          <w:tcPr>
            <w:tcW w:type="dxa" w:w="1587"/>
          </w:tcPr>
          <w:p>
            <w:pPr>
              <w:jc w:val="center"/>
            </w:pPr>
            <w:r>
              <w:rPr>
                <w:sz w:val="18"/>
              </w:rPr>
            </w:r>
            <w:r>
              <w:rPr>
                <w:b w:val="0"/>
                <w:sz w:val="18"/>
              </w:rPr>
              <w:t>EGP 48.0</w:t>
            </w:r>
          </w:p>
        </w:tc>
      </w:tr>
      <w:tr>
        <w:tc>
          <w:tcPr>
            <w:tcW w:type="dxa" w:w="1247"/>
          </w:tcPr>
          <w:p>
            <w:r>
              <w:rPr>
                <w:sz w:val="18"/>
              </w:rPr>
            </w:r>
            <w:r>
              <w:rPr>
                <w:b w:val="0"/>
                <w:sz w:val="18"/>
              </w:rPr>
              <w:t>Expert 2</w:t>
            </w:r>
          </w:p>
        </w:tc>
        <w:tc>
          <w:tcPr>
            <w:tcW w:type="dxa" w:w="3742"/>
          </w:tcPr>
          <w:p>
            <w:pPr>
              <w:jc w:val="center"/>
            </w:pPr>
            <w:r>
              <w:rPr>
                <w:sz w:val="18"/>
              </w:rPr>
            </w:r>
            <w:r>
              <w:rPr>
                <w:b w:val="0"/>
                <w:sz w:val="18"/>
              </w:rPr>
              <w:t>Through-cycle cost of risk / stressed earnings</w:t>
            </w:r>
          </w:p>
        </w:tc>
        <w:tc>
          <w:tcPr>
            <w:tcW w:type="dxa" w:w="2835"/>
          </w:tcPr>
          <w:p>
            <w:pPr>
              <w:jc w:val="center"/>
            </w:pPr>
            <w:r>
              <w:rPr>
                <w:sz w:val="18"/>
              </w:rPr>
            </w:r>
            <w:r>
              <w:rPr>
                <w:b w:val="0"/>
                <w:sz w:val="18"/>
              </w:rPr>
              <w:t>Normalized cost of risk (200bp)</w:t>
            </w:r>
          </w:p>
        </w:tc>
        <w:tc>
          <w:tcPr>
            <w:tcW w:type="dxa" w:w="1587"/>
          </w:tcPr>
          <w:p>
            <w:pPr>
              <w:jc w:val="center"/>
            </w:pPr>
            <w:r>
              <w:rPr>
                <w:sz w:val="18"/>
              </w:rPr>
            </w:r>
            <w:r>
              <w:rPr>
                <w:b w:val="0"/>
                <w:sz w:val="18"/>
              </w:rPr>
              <w:t>EGP 38.0</w:t>
            </w:r>
          </w:p>
        </w:tc>
      </w:tr>
      <w:tr>
        <w:tc>
          <w:tcPr>
            <w:tcW w:type="dxa" w:w="1247"/>
          </w:tcPr>
          <w:p>
            <w:r>
              <w:rPr>
                <w:sz w:val="18"/>
              </w:rPr>
            </w:r>
            <w:r>
              <w:rPr>
                <w:b w:val="0"/>
                <w:sz w:val="18"/>
              </w:rPr>
              <w:t>Expert 3</w:t>
            </w:r>
          </w:p>
        </w:tc>
        <w:tc>
          <w:tcPr>
            <w:tcW w:type="dxa" w:w="3742"/>
          </w:tcPr>
          <w:p>
            <w:pPr>
              <w:jc w:val="center"/>
            </w:pPr>
            <w:r>
              <w:rPr>
                <w:sz w:val="18"/>
              </w:rPr>
            </w:r>
            <w:r>
              <w:rPr>
                <w:b w:val="0"/>
                <w:sz w:val="18"/>
              </w:rPr>
              <w:t>Scenario-weighted policy worlds</w:t>
            </w:r>
          </w:p>
        </w:tc>
        <w:tc>
          <w:tcPr>
            <w:tcW w:type="dxa" w:w="2835"/>
          </w:tcPr>
          <w:p>
            <w:pPr>
              <w:jc w:val="center"/>
            </w:pPr>
            <w:r>
              <w:rPr>
                <w:sz w:val="18"/>
              </w:rPr>
            </w:r>
            <w:r>
              <w:rPr>
                <w:b w:val="0"/>
                <w:sz w:val="18"/>
              </w:rPr>
              <w:t>World weights (30/45/25)</w:t>
            </w:r>
          </w:p>
        </w:tc>
        <w:tc>
          <w:tcPr>
            <w:tcW w:type="dxa" w:w="1587"/>
          </w:tcPr>
          <w:p>
            <w:pPr>
              <w:jc w:val="center"/>
            </w:pPr>
            <w:r>
              <w:rPr>
                <w:sz w:val="18"/>
              </w:rPr>
            </w:r>
            <w:r>
              <w:rPr>
                <w:b w:val="0"/>
                <w:sz w:val="18"/>
              </w:rPr>
              <w:t>EGP 54.0</w:t>
            </w:r>
          </w:p>
        </w:tc>
      </w:tr>
    </w:tbl>
    <w:p/>
    <w:p>
      <w:r>
        <w:rPr>
          <w:b w:val="0"/>
        </w:rPr>
        <w:t>The spread — EGP 38 to 54 at base — measures exactly one uncertainty: how much of a once-a-decade configuration belongs in a permanent valuation. Expert 1 capitalizes the cost-and-funding franchise that will survive the cycle; Expert 2 refuses to capitalize underwriting that has not yet been tested; Expert 3 probability-weights the policy worlds that decide between them. Their simple average sits at EGP 46.7 — the market price to within a tenth of a pound — so the tape, on this evidence, is pricing the panel's argument almost perfectly, while the study's EGP 54.3 central takes the base-case side of it. Resolve the seasoning question and the panel converges in the high-40s to mid-50s; fail it, and Expert 2's floor is where the argument reconvenes.</w:t>
      </w:r>
    </w:p>
    <w:p>
      <w:r>
        <w:rPr>
          <w:b w:val="0"/>
          <w:i/>
        </w:rPr>
        <w:t>*Each expert's point fair value (and bull/base/bear) is logged with the study date (03 Jul 2026) and spot (EGP 46.64) as an internal per-expert track record, kept separate from the core Calibration Ledger.*</w:t>
      </w:r>
    </w:p>
    <w:p>
      <w:pPr>
        <w:pStyle w:val="Heading1"/>
      </w:pPr>
      <w:r>
        <w:t>About this series</w:t>
      </w:r>
    </w:p>
    <w:p>
      <w:r>
        <w:rPr>
          <w:b w:val="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pPr>
      <w:r>
        <w:t>Disclosure &amp; Disclaimer</w:t>
      </w:r>
    </w:p>
    <w:p>
      <w:r>
        <w:rPr>
          <w:b/>
        </w:rPr>
        <w:t xml:space="preserve">*Not investment advice. </w:t>
      </w:r>
      <w:r>
        <w:rPr>
          <w:b w:val="0"/>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r>
        <w:rPr>
          <w:b/>
        </w:rPr>
        <w:t xml:space="preserve">*No licence; no advisory relationship. </w:t>
      </w:r>
      <w:r>
        <w:rPr>
          <w:b w:val="0"/>
        </w:rPr>
        <w:t>*The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r>
        <w:rPr>
          <w:b/>
        </w:rPr>
        <w:t xml:space="preserve">*Holdings disclosure. </w:t>
      </w:r>
      <w:r>
        <w:rPr>
          <w:b w:val="0"/>
        </w:rPr>
        <w:t>*The preparer may hold, and may in the future take or dispose of, a position in the security discussed in this report, and may transact at any time without notice. This is a potential conflict of interest you should weigh.</w:t>
      </w:r>
    </w:p>
    <w:p>
      <w:r>
        <w:rPr>
          <w:b/>
        </w:rPr>
        <w:t xml:space="preserve">*Sources &amp; accuracy. </w:t>
      </w:r>
      <w:r>
        <w:rPr>
          <w:b w:val="0"/>
        </w:rPr>
        <w:t>*Reported financial and operating figures are drawn from the company's public disclosure (FY2025 financial statements, Q1-2026 condensed consolidated statements, FY2023 results) and other public sources believed reliable but not independently verified; they may contain errors or be superseded. Lines marked e are the preparer's estimates made to balance to disclosed totals. Forward-looking inputs — the sustainable ROE, the EGP cost of equity, the growth, payout and margin paths, the multiples and the Monte-Carlo factor probabilities — are the preparer's own judgments and are inherently uncertain.</w:t>
      </w:r>
    </w:p>
    <w:p>
      <w:r>
        <w:rPr>
          <w:b/>
        </w:rPr>
        <w:t xml:space="preserve">*Forward-looking statements. </w:t>
      </w:r>
      <w:r>
        <w:rPr>
          <w:b w:val="0"/>
        </w:rPr>
        <w:t>*Any statements about the future are estimates subject to risks and uncertainties; actual results may differ materially. The Monte Carlo models price, not value, and encodes subjective probabilities for events that have not occurred.</w:t>
      </w:r>
    </w:p>
    <w:p>
      <w:r>
        <w:rPr>
          <w:b/>
        </w:rPr>
        <w:t xml:space="preserve">*No reliance; your responsibility. </w:t>
      </w:r>
      <w:r>
        <w:rPr>
          <w:b w:val="0"/>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r>
        <w:rPr>
          <w:b/>
        </w:rPr>
        <w:t xml:space="preserve">*Currency &amp; figures. </w:t>
      </w:r>
      <w:r>
        <w:rPr>
          <w:b w:val="0"/>
        </w:rPr>
        <w:t>*All figures are in Egyptian pounds (EGP); bn denotes billion and mn million. Per-share figures are pro-forma the approved EGP 12→15bn capital increase (1,500mn shares) unless marked issued. FX reference at the study date: ≈ EGP 49.1 per US dollar. Rounding may cause totals to differ slightly. Spot price and market data are as of 01 July 2026 and change continuously.</w:t>
      </w:r>
    </w:p>
    <w:p>
      <w:r>
        <w:rPr>
          <w:b w:val="0"/>
          <w:i/>
          <w:color w:val="666666"/>
          <w:sz w:val="18"/>
        </w:rPr>
        <w:t>*TESTAHIL · Independent Valuation Study · Educational Analysis · Abu Dhabi Islamic Bank – Egypt S.A.E (EGX: ADIB) · edition 03-07-2026 · reporting currency EGP*</w:t>
      </w:r>
    </w:p>
    <w:sectPr w:rsidR="00FC693F" w:rsidRPr="0006063C" w:rsidSect="00034616">
      <w:headerReference w:type="default" r:id="rId9"/>
      <w:footerReference w:type="default" r:id="rId10"/>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76" w:val="center"/>
        <w:tab w:pos="9751" w:val="right"/>
      </w:tabs>
    </w:pPr>
    <w:r>
      <w:rPr>
        <w:color w:val="666666"/>
        <w:sz w:val="16"/>
      </w:rPr>
      <w:t>testahil.com</w:t>
      <w:tab/>
      <w:t>Educational analysis · Not investment advice</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1" w:val="right"/>
      </w:tabs>
    </w:pPr>
    <w:r>
      <w:rPr>
        <w:b/>
        <w:color w:val="1B5E5E"/>
        <w:sz w:val="16"/>
      </w:rPr>
      <w:t>Testahil · Independent Valuation Study</w:t>
    </w:r>
    <w:r>
      <w:rPr>
        <w:color w:val="666666"/>
        <w:sz w:val="16"/>
      </w:rPr>
      <w:tab/>
      <w:t>Abu Dhabi Islamic Bank – Egypt (EGX: ADIB)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5E5E"/>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5E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