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120"/>
      </w:pPr>
      <w:r>
        <w:rPr>
          <w:b/>
          <w:i w:val="0"/>
          <w:color w:val="1C3A36"/>
          <w:sz w:val="38"/>
        </w:rPr>
        <w:t>Abu Dhabi Islamic Bank PJSC (ADX: ADIB)</w:t>
      </w:r>
    </w:p>
    <w:p>
      <w:pPr>
        <w:spacing w:after="80" w:before="0"/>
      </w:pPr>
      <w:r>
        <w:rPr>
          <w:b w:val="0"/>
          <w:i/>
          <w:color w:val="896F36"/>
          <w:sz w:val="21"/>
        </w:rPr>
        <w:t>Fundamental analysis · Technical analysis · Monte Carlo simulation — one integrated read</w:t>
      </w:r>
    </w:p>
    <w:p>
      <w:pPr>
        <w:spacing w:after="160" w:before="0"/>
      </w:pPr>
      <w:r>
        <w:rPr>
          <w:b w:val="0"/>
          <w:i w:val="0"/>
          <w:color w:val="6E7B77"/>
          <w:sz w:val="19"/>
        </w:rPr>
        <w:t>Independent valuation study · 11 July 2026 · spot AED 21.76 (03-Jul close) · 3,632.0mn shares · market cap ~AED 79.0bn (~US$21.5bn) · the UAE's largest listed Islamic bank by returns, not by size · newest name in Testahil's UAE coverage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an independent, educational valuation study published under the Testahil brand. It is not investment advice, not a recommendation, and contains no rating and no price target. It presents fair-value ranges and probability distributions — distributions, not tips.</w:t>
            </w:r>
          </w:p>
          <w:p>
            <w:pPr>
              <w:spacing w:after="100"/>
            </w:pPr>
            <w:r>
              <w:rPr>
                <w:b/>
                <w:color w:val="1C3A36"/>
                <w:sz w:val="19"/>
              </w:rPr>
              <w:t xml:space="preserve">Who we are not. </w:t>
            </w:r>
            <w:r>
              <w:rPr>
                <w:color w:val="1C3A36"/>
                <w:sz w:val="19"/>
              </w:rPr>
              <w:t>The preparer is not licensed by the FRA, the SCA, or any securities regulator, holds no CFA charter, and this document has not been reviewed by any authority.</w:t>
            </w:r>
          </w:p>
          <w:p>
            <w:pPr>
              <w:spacing w:after="100"/>
            </w:pPr>
            <w:r>
              <w:rPr>
                <w:b/>
                <w:color w:val="1C3A36"/>
                <w:sz w:val="19"/>
              </w:rPr>
              <w:t xml:space="preserve">What the numbers are. </w:t>
            </w:r>
            <w:r>
              <w:rPr>
                <w:color w:val="1C3A36"/>
                <w:sz w:val="19"/>
              </w:rPr>
              <w:t>Model outputs under stated assumptions — every input is disclosed, every unsourced driver is logged in a public ledger, and every published forecast is graded after the fact on the public Calibration Ledger.</w:t>
            </w:r>
          </w:p>
          <w:p>
            <w:pPr>
              <w:spacing w:after="100"/>
            </w:pPr>
            <w:r>
              <w:rPr>
                <w:b/>
                <w:color w:val="1C3A36"/>
                <w:sz w:val="19"/>
              </w:rPr>
              <w:t xml:space="preserve">The two clocks. </w:t>
            </w:r>
            <w:r>
              <w:rPr>
                <w:color w:val="1C3A36"/>
                <w:sz w:val="19"/>
              </w:rPr>
              <w:t>The weighted central (AED 21.23) is a risk-adjusted ~12-month anchor. The only genuinely 3-month figures in this study are the Monte Carlo percentiles in §3. Never read one clock as the other.</w:t>
            </w:r>
          </w:p>
          <w:p>
            <w:pPr>
              <w:spacing w:after="100"/>
            </w:pPr>
            <w:r>
              <w:rPr>
                <w:b/>
                <w:color w:val="1C3A36"/>
                <w:sz w:val="19"/>
              </w:rPr>
              <w:t xml:space="preserve">Calibration tier. </w:t>
            </w:r>
            <w:r>
              <w:rPr>
                <w:color w:val="1C3A36"/>
                <w:sz w:val="19"/>
              </w:rPr>
              <w:t>Backtest verdict for ADIB: PARITY, on a CRPS skill of +0.0093 against a carry-anchored random walk across 14 walk-forward windows. The shape and width parameters are not chosen by us — they are read live from the engine registry, where they are fitted to a 14-name UAE panel. The distribution is honestly calibrated and validated on that panel, but on ADIB's own 14 windows the confidence interval spans zero, so no single-name forecasting edge has been demonstrated. Read §3 as a base rate, not a promise.</w:t>
            </w:r>
          </w:p>
          <w:p>
            <w:pPr>
              <w:spacing w:after="100"/>
            </w:pPr>
            <w:r>
              <w:rPr>
                <w:b/>
                <w:color w:val="1C3A36"/>
                <w:sz w:val="19"/>
              </w:rPr>
              <w:t xml:space="preserve">Provenance. </w:t>
            </w:r>
            <w:r>
              <w:rPr>
                <w:color w:val="1C3A36"/>
                <w:sz w:val="19"/>
              </w:rPr>
              <w:t>Every historical figure here comes from ADIB's own filings — the FY2023, FY2024 and FY2025 Management Discussion &amp; Analysis, the FY2025 earnings presentation, and the Q1-2026 MD&amp;A, all machine-read from adib.ae. No aggregator was used for any financial-statement line. Market prices, yields and sector multiples are market data and are sourced as such.</w:t>
            </w:r>
          </w:p>
          <w:p>
            <w:pPr>
              <w:spacing w:after="100"/>
            </w:pPr>
            <w:r>
              <w:rPr>
                <w:b/>
                <w:color w:val="1C3A36"/>
                <w:sz w:val="19"/>
              </w:rPr>
              <w:t xml:space="preserve">One timing flag. </w:t>
            </w:r>
            <w:r>
              <w:rPr>
                <w:color w:val="1C3A36"/>
                <w:sz w:val="19"/>
              </w:rPr>
              <w:t>The spot price is the 03-July close. Between that date and this publication the regional ceasefire frayed — strikes resumed on 4–6 July, Brent rose from $70.82 to ~$76, and on 10 July the US President described the ceasefire as "effectively over". The spot was set on de-escalation optimism. §1.10 maps what a harder conflict premium does.</w:t>
            </w:r>
          </w:p>
        </w:tc>
      </w:tr>
    </w:tbl>
    <w:p>
      <w:pPr>
        <w:spacing w:after="40"/>
      </w:pPr>
    </w:p>
    <w:p>
      <w:pPr>
        <w:spacing w:after="120" w:before="280"/>
      </w:pPr>
      <w:r>
        <w:rPr>
          <w:b/>
          <w:i w:val="0"/>
          <w:color w:val="1C3A36"/>
          <w:sz w:val="30"/>
        </w:rPr>
        <w:t>The company</w:t>
      </w:r>
    </w:p>
    <w:p>
      <w:pPr>
        <w:spacing w:after="120" w:before="0"/>
      </w:pPr>
      <w:r>
        <w:rPr>
          <w:b w:val="0"/>
          <w:i w:val="0"/>
          <w:color w:val="1C3A36"/>
          <w:sz w:val="21"/>
        </w:rPr>
        <w:t>Abu Dhabi Islamic Bank is the UAE's largest listed Islamic bank and, on the only measure that matters to a shareholder, the most profitable bank in the country: it earned a 28.8% return on equity in 2025 against a sector that managed 18.3%. It makes money the way any bank does, but with a Shari'a-compliant wrapper — it gathers AED 229bn of deposits, two-thirds of them in current and savings accounts that cost almost nothing, deploys AED 186bn into customer financing that is still 55% retail, and keeps the spread. That funding mix is the whole story: it is why ADIB's net profit margin of 4.11% sits 163 basis points above the sector's net interest margin, and why a 100bp cut in the benchmark rate cost it only 24bp of margin last year. The bank has just finished a five-year plan in which it doubled — assets from AED 128bn to AED 281bn, profit from AED 1.6bn to AED 7.1bn, return on equity from 10% to 29% — while cleaning up a legacy bad-loan problem that had left 8.9% of the book non-performing in 2021 and now leaves 2.6%. Roughly half its revenue comes from retail banking — a book whose deposits are 91% current-and-savings, which is the cheapest funding in the market and the single fact behind everything else here — with wholesale at 16%, treasury at 7%, and the rest from associates and a fast-growing Egyptian subsidiary. It is now starting another five-year plan, under a 2035 vision, aiming to be 1.7–1.9 times bigger by 2030 at a still-remarkable 25% return on equity. The market knows all of this, which is precisely the problem this study has to solve.</w:t>
      </w:r>
    </w:p>
    <w:p>
      <w:pPr>
        <w:spacing w:after="80" w:before="200"/>
      </w:pPr>
      <w:r>
        <w:rPr>
          <w:b/>
          <w:i w:val="0"/>
          <w:color w:val="1C3A36"/>
          <w:sz w:val="24"/>
        </w:rPr>
        <w:t>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664"/>
            <w:shd w:val="clear" w:color="auto" w:fill="EAF0EE"/>
          </w:tcPr>
          <w:p>
            <w:pPr>
              <w:spacing w:after="20"/>
            </w:pPr>
            <w:r>
              <w:rPr>
                <w:b/>
                <w:color w:val="1C3A36"/>
                <w:sz w:val="18"/>
              </w:rPr>
            </w:r>
          </w:p>
        </w:tc>
        <w:tc>
          <w:tcPr>
            <w:tcW w:type="dxa" w:w="2376"/>
            <w:shd w:val="clear" w:color="auto" w:fill="EAF0EE"/>
          </w:tcPr>
          <w:p>
            <w:pPr>
              <w:spacing w:after="20"/>
            </w:pPr>
            <w:r>
              <w:rPr>
                <w:b/>
                <w:color w:val="1C3A36"/>
                <w:sz w:val="18"/>
              </w:rPr>
              <w:t>Value</w:t>
            </w:r>
          </w:p>
        </w:tc>
        <w:tc>
          <w:tcPr>
            <w:tcW w:type="dxa" w:w="2520"/>
            <w:shd w:val="clear" w:color="auto" w:fill="EAF0EE"/>
          </w:tcPr>
          <w:p>
            <w:pPr>
              <w:spacing w:after="20"/>
            </w:pPr>
            <w:r>
              <w:rPr>
                <w:b/>
                <w:color w:val="1C3A36"/>
                <w:sz w:val="18"/>
              </w:rPr>
            </w:r>
          </w:p>
        </w:tc>
        <w:tc>
          <w:tcPr>
            <w:tcW w:type="dxa" w:w="2520"/>
            <w:shd w:val="clear" w:color="auto" w:fill="EAF0EE"/>
          </w:tcPr>
          <w:p>
            <w:pPr>
              <w:spacing w:after="20"/>
            </w:pPr>
            <w:r>
              <w:rPr>
                <w:b/>
                <w:color w:val="1C3A36"/>
                <w:sz w:val="18"/>
              </w:rPr>
              <w:t>Value</w:t>
            </w:r>
          </w:p>
        </w:tc>
      </w:tr>
      <w:tr>
        <w:tc>
          <w:tcPr>
            <w:tcW w:type="dxa" w:w="2664"/>
          </w:tcPr>
          <w:p>
            <w:pPr>
              <w:spacing w:after="20"/>
            </w:pPr>
            <w:r>
              <w:rPr>
                <w:b/>
                <w:color w:val="1C3A36"/>
                <w:sz w:val="18"/>
              </w:rPr>
              <w:t>Spot (03-Jul-2026)</w:t>
            </w:r>
          </w:p>
        </w:tc>
        <w:tc>
          <w:tcPr>
            <w:tcW w:type="dxa" w:w="2376"/>
          </w:tcPr>
          <w:p>
            <w:pPr>
              <w:spacing w:after="20"/>
              <w:jc w:val="right"/>
            </w:pPr>
            <w:r>
              <w:rPr>
                <w:color w:val="1C3A36"/>
                <w:sz w:val="18"/>
              </w:rPr>
              <w:t>AED 21.76</w:t>
            </w:r>
          </w:p>
        </w:tc>
        <w:tc>
          <w:tcPr>
            <w:tcW w:type="dxa" w:w="2520"/>
          </w:tcPr>
          <w:p>
            <w:pPr>
              <w:spacing w:after="20"/>
              <w:jc w:val="right"/>
            </w:pPr>
            <w:r>
              <w:rPr>
                <w:color w:val="1C3A36"/>
                <w:sz w:val="18"/>
              </w:rPr>
              <w:t>Weighted central</w:t>
            </w:r>
          </w:p>
        </w:tc>
        <w:tc>
          <w:tcPr>
            <w:tcW w:type="dxa" w:w="2520"/>
          </w:tcPr>
          <w:p>
            <w:pPr>
              <w:spacing w:after="20"/>
              <w:jc w:val="right"/>
            </w:pPr>
            <w:r>
              <w:rPr>
                <w:color w:val="1C3A36"/>
                <w:sz w:val="18"/>
              </w:rPr>
              <w:t>AED 21.23  (-2.4%)</w:t>
            </w:r>
          </w:p>
        </w:tc>
      </w:tr>
      <w:tr>
        <w:tc>
          <w:tcPr>
            <w:tcW w:type="dxa" w:w="2664"/>
          </w:tcPr>
          <w:p>
            <w:pPr>
              <w:spacing w:after="20"/>
            </w:pPr>
            <w:r>
              <w:rPr>
                <w:b/>
                <w:color w:val="1C3A36"/>
                <w:sz w:val="18"/>
              </w:rPr>
              <w:t>Shares outstanding</w:t>
            </w:r>
          </w:p>
        </w:tc>
        <w:tc>
          <w:tcPr>
            <w:tcW w:type="dxa" w:w="2376"/>
          </w:tcPr>
          <w:p>
            <w:pPr>
              <w:spacing w:after="20"/>
              <w:jc w:val="right"/>
            </w:pPr>
            <w:r>
              <w:rPr>
                <w:color w:val="1C3A36"/>
                <w:sz w:val="18"/>
              </w:rPr>
              <w:t>3,632.0mn</w:t>
            </w:r>
          </w:p>
        </w:tc>
        <w:tc>
          <w:tcPr>
            <w:tcW w:type="dxa" w:w="2520"/>
          </w:tcPr>
          <w:p>
            <w:pPr>
              <w:spacing w:after="20"/>
              <w:jc w:val="right"/>
            </w:pPr>
            <w:r>
              <w:rPr>
                <w:color w:val="1C3A36"/>
                <w:sz w:val="18"/>
              </w:rPr>
              <w:t>Range across lenses</w:t>
            </w:r>
          </w:p>
        </w:tc>
        <w:tc>
          <w:tcPr>
            <w:tcW w:type="dxa" w:w="2520"/>
          </w:tcPr>
          <w:p>
            <w:pPr>
              <w:spacing w:after="20"/>
              <w:jc w:val="right"/>
            </w:pPr>
            <w:r>
              <w:rPr>
                <w:color w:val="1C3A36"/>
                <w:sz w:val="18"/>
              </w:rPr>
              <w:t>AED 17.9 – 23.5</w:t>
            </w:r>
          </w:p>
        </w:tc>
      </w:tr>
      <w:tr>
        <w:tc>
          <w:tcPr>
            <w:tcW w:type="dxa" w:w="2664"/>
          </w:tcPr>
          <w:p>
            <w:pPr>
              <w:spacing w:after="20"/>
            </w:pPr>
            <w:r>
              <w:rPr>
                <w:b/>
                <w:color w:val="1C3A36"/>
                <w:sz w:val="18"/>
              </w:rPr>
              <w:t>Market cap</w:t>
            </w:r>
          </w:p>
        </w:tc>
        <w:tc>
          <w:tcPr>
            <w:tcW w:type="dxa" w:w="2376"/>
          </w:tcPr>
          <w:p>
            <w:pPr>
              <w:spacing w:after="20"/>
              <w:jc w:val="right"/>
            </w:pPr>
            <w:r>
              <w:rPr>
                <w:color w:val="1C3A36"/>
                <w:sz w:val="18"/>
              </w:rPr>
              <w:t>AED 79.0bn (~US$21.5bn)</w:t>
            </w:r>
          </w:p>
        </w:tc>
        <w:tc>
          <w:tcPr>
            <w:tcW w:type="dxa" w:w="2520"/>
          </w:tcPr>
          <w:p>
            <w:pPr>
              <w:spacing w:after="20"/>
              <w:jc w:val="right"/>
            </w:pPr>
            <w:r>
              <w:rPr>
                <w:color w:val="1C3A36"/>
                <w:sz w:val="18"/>
              </w:rPr>
              <w:t>Ke (conflict-adjusted)</w:t>
            </w:r>
          </w:p>
        </w:tc>
        <w:tc>
          <w:tcPr>
            <w:tcW w:type="dxa" w:w="2520"/>
          </w:tcPr>
          <w:p>
            <w:pPr>
              <w:spacing w:after="20"/>
              <w:jc w:val="right"/>
            </w:pPr>
            <w:r>
              <w:rPr>
                <w:color w:val="1C3A36"/>
                <w:sz w:val="18"/>
              </w:rPr>
              <w:t>10.57%  (rf 4.70% + β 1.00 × ERP 4.87% + 1.0pt)</w:t>
            </w:r>
          </w:p>
        </w:tc>
      </w:tr>
      <w:tr>
        <w:tc>
          <w:tcPr>
            <w:tcW w:type="dxa" w:w="2664"/>
          </w:tcPr>
          <w:p>
            <w:pPr>
              <w:spacing w:after="20"/>
            </w:pPr>
            <w:r>
              <w:rPr>
                <w:b/>
                <w:color w:val="1C3A36"/>
                <w:sz w:val="18"/>
              </w:rPr>
              <w:t>FY25 net profit</w:t>
            </w:r>
          </w:p>
        </w:tc>
        <w:tc>
          <w:tcPr>
            <w:tcW w:type="dxa" w:w="2376"/>
          </w:tcPr>
          <w:p>
            <w:pPr>
              <w:spacing w:after="20"/>
              <w:jc w:val="right"/>
            </w:pPr>
            <w:r>
              <w:rPr>
                <w:color w:val="1C3A36"/>
                <w:sz w:val="18"/>
              </w:rPr>
              <w:t>AED 7,070mn (+16%)</w:t>
            </w:r>
          </w:p>
        </w:tc>
        <w:tc>
          <w:tcPr>
            <w:tcW w:type="dxa" w:w="2520"/>
          </w:tcPr>
          <w:p>
            <w:pPr>
              <w:spacing w:after="20"/>
              <w:jc w:val="right"/>
            </w:pPr>
            <w:r>
              <w:rPr>
                <w:color w:val="1C3A36"/>
                <w:sz w:val="18"/>
              </w:rPr>
              <w:t>Trailing P/E · P/B</w:t>
            </w:r>
          </w:p>
        </w:tc>
        <w:tc>
          <w:tcPr>
            <w:tcW w:type="dxa" w:w="2520"/>
          </w:tcPr>
          <w:p>
            <w:pPr>
              <w:spacing w:after="20"/>
              <w:jc w:val="right"/>
            </w:pPr>
            <w:r>
              <w:rPr>
                <w:color w:val="1C3A36"/>
                <w:sz w:val="18"/>
              </w:rPr>
              <w:t>12.5x · 3.31x</w:t>
            </w:r>
          </w:p>
        </w:tc>
      </w:tr>
      <w:tr>
        <w:tc>
          <w:tcPr>
            <w:tcW w:type="dxa" w:w="2664"/>
          </w:tcPr>
          <w:p>
            <w:pPr>
              <w:spacing w:after="20"/>
            </w:pPr>
            <w:r>
              <w:rPr>
                <w:b/>
                <w:color w:val="1C3A36"/>
                <w:sz w:val="18"/>
              </w:rPr>
              <w:t>FY25 ROAE / net profit margin</w:t>
            </w:r>
          </w:p>
        </w:tc>
        <w:tc>
          <w:tcPr>
            <w:tcW w:type="dxa" w:w="2376"/>
          </w:tcPr>
          <w:p>
            <w:pPr>
              <w:spacing w:after="20"/>
              <w:jc w:val="right"/>
            </w:pPr>
            <w:r>
              <w:rPr>
                <w:color w:val="1C3A36"/>
                <w:sz w:val="18"/>
              </w:rPr>
              <w:t>28.8% / 4.11%</w:t>
            </w:r>
          </w:p>
        </w:tc>
        <w:tc>
          <w:tcPr>
            <w:tcW w:type="dxa" w:w="2520"/>
          </w:tcPr>
          <w:p>
            <w:pPr>
              <w:spacing w:after="20"/>
              <w:jc w:val="right"/>
            </w:pPr>
            <w:r>
              <w:rPr>
                <w:color w:val="1C3A36"/>
                <w:sz w:val="18"/>
              </w:rPr>
              <w:t>FY25 DPS · yield</w:t>
            </w:r>
          </w:p>
        </w:tc>
        <w:tc>
          <w:tcPr>
            <w:tcW w:type="dxa" w:w="2520"/>
          </w:tcPr>
          <w:p>
            <w:pPr>
              <w:spacing w:after="20"/>
              <w:jc w:val="right"/>
            </w:pPr>
            <w:r>
              <w:rPr>
                <w:color w:val="1C3A36"/>
                <w:sz w:val="18"/>
              </w:rPr>
              <w:t>AED 0.9705 · 4.5%</w:t>
            </w:r>
          </w:p>
        </w:tc>
      </w:tr>
      <w:tr>
        <w:tc>
          <w:tcPr>
            <w:tcW w:type="dxa" w:w="2664"/>
          </w:tcPr>
          <w:p>
            <w:pPr>
              <w:spacing w:after="20"/>
            </w:pPr>
            <w:r>
              <w:rPr>
                <w:b/>
                <w:color w:val="1C3A36"/>
                <w:sz w:val="18"/>
              </w:rPr>
              <w:t>Q1-26 ROAE / CET1</w:t>
            </w:r>
          </w:p>
        </w:tc>
        <w:tc>
          <w:tcPr>
            <w:tcW w:type="dxa" w:w="2376"/>
          </w:tcPr>
          <w:p>
            <w:pPr>
              <w:spacing w:after="20"/>
              <w:jc w:val="right"/>
            </w:pPr>
            <w:r>
              <w:rPr>
                <w:color w:val="1C3A36"/>
                <w:sz w:val="18"/>
              </w:rPr>
              <w:t>27.1% / 12.0%</w:t>
            </w:r>
          </w:p>
        </w:tc>
        <w:tc>
          <w:tcPr>
            <w:tcW w:type="dxa" w:w="2520"/>
          </w:tcPr>
          <w:p>
            <w:pPr>
              <w:spacing w:after="20"/>
              <w:jc w:val="right"/>
            </w:pPr>
            <w:r>
              <w:rPr>
                <w:color w:val="1C3A36"/>
                <w:sz w:val="18"/>
              </w:rPr>
              <w:t>Backtest verdict</w:t>
            </w:r>
          </w:p>
        </w:tc>
        <w:tc>
          <w:tcPr>
            <w:tcW w:type="dxa" w:w="2520"/>
          </w:tcPr>
          <w:p>
            <w:pPr>
              <w:spacing w:after="20"/>
              <w:jc w:val="right"/>
            </w:pPr>
            <w:r>
              <w:rPr>
                <w:color w:val="1C3A36"/>
                <w:sz w:val="18"/>
              </w:rPr>
              <w:t>PARITY (skill +0.009, 14 windows)</w:t>
            </w:r>
          </w:p>
        </w:tc>
      </w:tr>
      <w:tr>
        <w:tc>
          <w:tcPr>
            <w:tcW w:type="dxa" w:w="2664"/>
          </w:tcPr>
          <w:p>
            <w:pPr>
              <w:spacing w:after="20"/>
            </w:pPr>
            <w:r>
              <w:rPr>
                <w:b/>
                <w:color w:val="1C3A36"/>
                <w:sz w:val="18"/>
              </w:rPr>
              <w:t>NPA / coverage (incl. collateral)</w:t>
            </w:r>
          </w:p>
        </w:tc>
        <w:tc>
          <w:tcPr>
            <w:tcW w:type="dxa" w:w="2376"/>
          </w:tcPr>
          <w:p>
            <w:pPr>
              <w:spacing w:after="20"/>
              <w:jc w:val="right"/>
            </w:pPr>
            <w:r>
              <w:rPr>
                <w:color w:val="1C3A36"/>
                <w:sz w:val="18"/>
              </w:rPr>
              <w:t>2.6% / 178.3%</w:t>
            </w:r>
          </w:p>
        </w:tc>
        <w:tc>
          <w:tcPr>
            <w:tcW w:type="dxa" w:w="2520"/>
          </w:tcPr>
          <w:p>
            <w:pPr>
              <w:spacing w:after="20"/>
              <w:jc w:val="right"/>
            </w:pPr>
            <w:r>
              <w:rPr>
                <w:color w:val="1C3A36"/>
                <w:sz w:val="18"/>
              </w:rPr>
              <w:t>MC T+60 median</w:t>
            </w:r>
          </w:p>
        </w:tc>
        <w:tc>
          <w:tcPr>
            <w:tcW w:type="dxa" w:w="2520"/>
          </w:tcPr>
          <w:p>
            <w:pPr>
              <w:spacing w:after="20"/>
              <w:jc w:val="right"/>
            </w:pPr>
            <w:r>
              <w:rPr>
                <w:color w:val="1C3A36"/>
                <w:sz w:val="18"/>
              </w:rPr>
              <w:t>AED 21.73 (-0.1%)</w:t>
            </w:r>
          </w:p>
        </w:tc>
      </w:tr>
    </w:tbl>
    <w:p>
      <w:pPr>
        <w:spacing w:after="40"/>
      </w:pPr>
    </w:p>
    <w:p>
      <w:pPr>
        <w:spacing w:after="200" w:before="0"/>
      </w:pPr>
      <w:r>
        <w:rPr>
          <w:b w:val="0"/>
          <w:i/>
          <w:color w:val="6E7B77"/>
          <w:sz w:val="17"/>
        </w:rPr>
        <w:t>Sources: ADIB FY2025 and Q1-2026 Management Discussion &amp; Analysis and the FY2025 earnings presentation; Testahil model. P/B is on the latest reported (Q1-26) book of AED 6.571 per share; on the last audited FY book (Dec-25, AED 7.177) it is 3.03x. Both framings carry through.</w:t>
      </w:r>
    </w:p>
    <w:p>
      <w:pPr>
        <w:spacing w:after="120" w:before="280"/>
      </w:pPr>
      <w:r>
        <w:rPr>
          <w:b/>
          <w:i w:val="0"/>
          <w:color w:val="1C3A36"/>
          <w:sz w:val="30"/>
        </w:rPr>
        <w:t>Headline</w:t>
      </w:r>
    </w:p>
    <w:p>
      <w:pPr>
        <w:spacing w:after="120" w:before="0"/>
      </w:pPr>
      <w:r>
        <w:rPr>
          <w:b w:val="0"/>
          <w:i w:val="0"/>
          <w:color w:val="1C3A36"/>
          <w:sz w:val="21"/>
        </w:rPr>
        <w:t>Five independent lenses put ADIB's fair value between AED 17.9 — what the sector will pay today for a bank earning what ADIB earns — and AED 23.5, an equity DCF that credits the plan. The weighted central is AED 21.23, which is 2.4% below the 03-July close of AED 21.76. That is the finding, and it is deliberately undramatic: ADIB is a superb bank at a full price. The three cash-flow lenses — the dividend model, the equity DCF and residual income — cluster at AED 22.5–23.5 and say the stock is worth a few percent more than it costs. The two market-anchored lenses say AED 17.9–19.0 and say it is worth rather less. Both are right about something, and the tension between them is the whole study.</w:t>
      </w:r>
    </w:p>
    <w:p>
      <w:pPr>
        <w:spacing w:after="120" w:before="0"/>
      </w:pPr>
      <w:r>
        <w:rPr>
          <w:b w:val="0"/>
          <w:i w:val="0"/>
          <w:color w:val="1C3A36"/>
          <w:sz w:val="21"/>
        </w:rPr>
        <w:t>Here is that tension in one number. ADIB trades at 3.31 times book. The UAE bank sector trades at about 1.55 times. ADIB's 28.8% return on equity genuinely earns most of that premium — on the arithmetic that governs bank multiples, a bank earning 28.8% against a sector earning 18.3% deserves 1.73 times the sector multiple, or 2.69x. But it trades at 3.31x. The market is paying a further 23% on top of what the return already justifies. Put the other way round: at our cost of equity, today's price implies ADIB earns 25.8% on equity forever — better than management's own 2030 target of about 25%, and ten points better than any peer. That is the bet. Everything else in this document is detail.</w:t>
      </w:r>
    </w:p>
    <w:p>
      <w:pPr>
        <w:spacing w:after="120" w:before="280"/>
      </w:pPr>
      <w:r>
        <w:rPr>
          <w:b/>
          <w:i w:val="0"/>
          <w:color w:val="1C3A36"/>
          <w:sz w:val="30"/>
        </w:rPr>
        <w:t>Valuation summary</w:t>
      </w:r>
    </w:p>
    <w:p>
      <w:pPr>
        <w:spacing w:after="120" w:before="0"/>
      </w:pPr>
      <w:r>
        <w:rPr>
          <w:b w:val="0"/>
          <w:i w:val="0"/>
          <w:color w:val="1C3A36"/>
          <w:sz w:val="21"/>
        </w:rPr>
        <w:t>The whole answer in one view. Five independent methods value the bank; the table below shows what each is worth, the weighted central that combines them, and how that sits against today's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The bottom line</w:t>
            </w:r>
          </w:p>
        </w:tc>
        <w:tc>
          <w:tcPr>
            <w:tcW w:type="dxa" w:w="3888"/>
            <w:shd w:val="clear" w:color="auto" w:fill="EAF0EE"/>
          </w:tcPr>
          <w:p>
            <w:pPr>
              <w:spacing w:after="20"/>
            </w:pPr>
            <w:r>
              <w:rPr>
                <w:b/>
                <w:color w:val="1C3A36"/>
                <w:sz w:val="18"/>
              </w:rPr>
            </w:r>
          </w:p>
        </w:tc>
      </w:tr>
      <w:tr>
        <w:tc>
          <w:tcPr>
            <w:tcW w:type="dxa" w:w="6192"/>
          </w:tcPr>
          <w:p>
            <w:pPr>
              <w:spacing w:after="20"/>
            </w:pPr>
            <w:r>
              <w:rPr>
                <w:b/>
                <w:color w:val="1C3A36"/>
                <w:sz w:val="18"/>
              </w:rPr>
              <w:t>Market-anchored family — relative and normalized</w:t>
            </w:r>
          </w:p>
        </w:tc>
        <w:tc>
          <w:tcPr>
            <w:tcW w:type="dxa" w:w="3888"/>
          </w:tcPr>
          <w:p>
            <w:pPr>
              <w:spacing w:after="20"/>
              <w:jc w:val="right"/>
            </w:pPr>
            <w:r>
              <w:rPr>
                <w:color w:val="1C3A36"/>
                <w:sz w:val="18"/>
              </w:rPr>
              <w:t>AED 17.94 – 19.00</w:t>
            </w:r>
          </w:p>
        </w:tc>
      </w:tr>
      <w:tr>
        <w:tc>
          <w:tcPr>
            <w:tcW w:type="dxa" w:w="6192"/>
          </w:tcPr>
          <w:p>
            <w:pPr>
              <w:spacing w:after="20"/>
            </w:pPr>
            <w:r>
              <w:rPr>
                <w:b/>
                <w:color w:val="1C3A36"/>
                <w:sz w:val="18"/>
              </w:rPr>
              <w:t>Cash-flow family — DDM, residual income, FCFE</w:t>
            </w:r>
          </w:p>
        </w:tc>
        <w:tc>
          <w:tcPr>
            <w:tcW w:type="dxa" w:w="3888"/>
          </w:tcPr>
          <w:p>
            <w:pPr>
              <w:spacing w:after="20"/>
              <w:jc w:val="right"/>
            </w:pPr>
            <w:r>
              <w:rPr>
                <w:color w:val="1C3A36"/>
                <w:sz w:val="18"/>
              </w:rPr>
              <w:t>AED 22.54 – 23.48</w:t>
            </w:r>
          </w:p>
        </w:tc>
      </w:tr>
      <w:tr>
        <w:tc>
          <w:tcPr>
            <w:tcW w:type="dxa" w:w="6192"/>
          </w:tcPr>
          <w:p>
            <w:pPr>
              <w:spacing w:after="20"/>
            </w:pPr>
            <w:r>
              <w:rPr>
                <w:b/>
                <w:color w:val="1C3A36"/>
                <w:sz w:val="18"/>
              </w:rPr>
              <w:t>Weighted central — a probability-weighted summary, NOT a target</w:t>
            </w:r>
          </w:p>
        </w:tc>
        <w:tc>
          <w:tcPr>
            <w:tcW w:type="dxa" w:w="3888"/>
          </w:tcPr>
          <w:p>
            <w:pPr>
              <w:spacing w:after="20"/>
              <w:jc w:val="right"/>
            </w:pPr>
            <w:r>
              <w:rPr>
                <w:color w:val="1C3A36"/>
                <w:sz w:val="18"/>
              </w:rPr>
              <w:t>AED 21.23</w:t>
            </w:r>
          </w:p>
        </w:tc>
      </w:tr>
      <w:tr>
        <w:tc>
          <w:tcPr>
            <w:tcW w:type="dxa" w:w="6192"/>
            <w:shd w:val="clear" w:color="auto" w:fill="F6F1E6"/>
          </w:tcPr>
          <w:p>
            <w:pPr>
              <w:spacing w:after="20"/>
            </w:pPr>
            <w:r>
              <w:rPr>
                <w:b/>
                <w:color w:val="1C3A36"/>
                <w:sz w:val="18"/>
              </w:rPr>
              <w:t>Current price (03-Jul-2026 close)</w:t>
            </w:r>
          </w:p>
        </w:tc>
        <w:tc>
          <w:tcPr>
            <w:tcW w:type="dxa" w:w="3888"/>
            <w:shd w:val="clear" w:color="auto" w:fill="F6F1E6"/>
          </w:tcPr>
          <w:p>
            <w:pPr>
              <w:spacing w:after="20"/>
              <w:jc w:val="right"/>
            </w:pPr>
            <w:r>
              <w:rPr>
                <w:b/>
                <w:color w:val="1C3A36"/>
                <w:sz w:val="18"/>
              </w:rPr>
              <w:t>AED 21.76</w:t>
            </w:r>
          </w:p>
        </w:tc>
      </w:tr>
      <w:tr>
        <w:tc>
          <w:tcPr>
            <w:tcW w:type="dxa" w:w="6192"/>
          </w:tcPr>
          <w:p>
            <w:pPr>
              <w:spacing w:after="20"/>
            </w:pPr>
            <w:r>
              <w:rPr>
                <w:b/>
                <w:color w:val="1C3A36"/>
                <w:sz w:val="18"/>
              </w:rPr>
              <w:t>Implied gap to central</w:t>
            </w:r>
          </w:p>
        </w:tc>
        <w:tc>
          <w:tcPr>
            <w:tcW w:type="dxa" w:w="3888"/>
          </w:tcPr>
          <w:p>
            <w:pPr>
              <w:spacing w:after="20"/>
              <w:jc w:val="right"/>
            </w:pPr>
            <w:r>
              <w:rPr>
                <w:color w:val="1C3A36"/>
                <w:sz w:val="18"/>
              </w:rPr>
              <w:t>-2.4%</w:t>
            </w:r>
          </w:p>
        </w:tc>
      </w:tr>
      <w:tr>
        <w:tc>
          <w:tcPr>
            <w:tcW w:type="dxa" w:w="6192"/>
          </w:tcPr>
          <w:p>
            <w:pPr>
              <w:spacing w:after="20"/>
            </w:pPr>
            <w:r>
              <w:rPr>
                <w:b/>
                <w:color w:val="1C3A36"/>
                <w:sz w:val="18"/>
              </w:rPr>
              <w:t>Upper reference — the plan delivered, at a peace-time cost of equity</w:t>
            </w:r>
          </w:p>
        </w:tc>
        <w:tc>
          <w:tcPr>
            <w:tcW w:type="dxa" w:w="3888"/>
          </w:tcPr>
          <w:p>
            <w:pPr>
              <w:spacing w:after="20"/>
              <w:jc w:val="right"/>
            </w:pPr>
            <w:r>
              <w:rPr>
                <w:color w:val="1C3A36"/>
                <w:sz w:val="18"/>
              </w:rPr>
              <w:t>AED 24.63</w:t>
            </w:r>
          </w:p>
        </w:tc>
      </w:tr>
      <w:tr>
        <w:tc>
          <w:tcPr>
            <w:tcW w:type="dxa" w:w="6192"/>
          </w:tcPr>
          <w:p>
            <w:pPr>
              <w:spacing w:after="20"/>
            </w:pPr>
            <w:r>
              <w:rPr>
                <w:b/>
                <w:color w:val="1C3A36"/>
                <w:sz w:val="18"/>
              </w:rPr>
              <w:t>Lower reference — a renewed Hormuz closure (2.5pt conflict adder)</w:t>
            </w:r>
          </w:p>
        </w:tc>
        <w:tc>
          <w:tcPr>
            <w:tcW w:type="dxa" w:w="3888"/>
          </w:tcPr>
          <w:p>
            <w:pPr>
              <w:spacing w:after="20"/>
              <w:jc w:val="right"/>
            </w:pPr>
            <w:r>
              <w:rPr>
                <w:color w:val="1C3A36"/>
                <w:sz w:val="18"/>
              </w:rPr>
              <w:t>AED 17.73</w:t>
            </w:r>
          </w:p>
        </w:tc>
      </w:tr>
      <w:tr>
        <w:tc>
          <w:tcPr>
            <w:tcW w:type="dxa" w:w="6192"/>
          </w:tcPr>
          <w:p>
            <w:pPr>
              <w:spacing w:after="20"/>
            </w:pPr>
            <w:r>
              <w:rPr>
                <w:b/>
                <w:color w:val="1C3A36"/>
                <w:sz w:val="18"/>
              </w:rPr>
              <w:t>Three-month view — probability the price is above today's</w:t>
            </w:r>
          </w:p>
        </w:tc>
        <w:tc>
          <w:tcPr>
            <w:tcW w:type="dxa" w:w="3888"/>
          </w:tcPr>
          <w:p>
            <w:pPr>
              <w:spacing w:after="20"/>
              <w:jc w:val="right"/>
            </w:pPr>
            <w:r>
              <w:rPr>
                <w:color w:val="1C3A36"/>
                <w:sz w:val="18"/>
              </w:rPr>
              <w:t>50%</w:t>
            </w:r>
          </w:p>
        </w:tc>
      </w:tr>
      <w:tr>
        <w:tc>
          <w:tcPr>
            <w:tcW w:type="dxa" w:w="6192"/>
          </w:tcPr>
          <w:p>
            <w:pPr>
              <w:spacing w:after="20"/>
            </w:pPr>
            <w:r>
              <w:rPr>
                <w:b/>
                <w:color w:val="1C3A36"/>
                <w:sz w:val="18"/>
              </w:rPr>
              <w:t>Three-month view — median outcome</w:t>
            </w:r>
          </w:p>
        </w:tc>
        <w:tc>
          <w:tcPr>
            <w:tcW w:type="dxa" w:w="3888"/>
          </w:tcPr>
          <w:p>
            <w:pPr>
              <w:spacing w:after="20"/>
              <w:jc w:val="right"/>
            </w:pPr>
            <w:r>
              <w:rPr>
                <w:color w:val="1C3A36"/>
                <w:sz w:val="18"/>
              </w:rPr>
              <w:t>AED 21.73  (-0.1%)</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312"/>
            <w:shd w:val="clear" w:color="auto" w:fill="EAF0EE"/>
          </w:tcPr>
          <w:p>
            <w:pPr>
              <w:spacing w:after="20"/>
            </w:pPr>
            <w:r>
              <w:rPr>
                <w:b/>
                <w:color w:val="1C3A36"/>
                <w:sz w:val="18"/>
              </w:rPr>
              <w:t>Lens</w:t>
            </w:r>
          </w:p>
        </w:tc>
        <w:tc>
          <w:tcPr>
            <w:tcW w:type="dxa" w:w="1656"/>
            <w:shd w:val="clear" w:color="auto" w:fill="EAF0EE"/>
          </w:tcPr>
          <w:p>
            <w:pPr>
              <w:spacing w:after="20"/>
            </w:pPr>
            <w:r>
              <w:rPr>
                <w:b/>
                <w:color w:val="1C3A36"/>
                <w:sz w:val="18"/>
              </w:rPr>
              <w:t>Value (AED)</w:t>
            </w:r>
          </w:p>
        </w:tc>
        <w:tc>
          <w:tcPr>
            <w:tcW w:type="dxa" w:w="5112"/>
            <w:shd w:val="clear" w:color="auto" w:fill="EAF0EE"/>
          </w:tcPr>
          <w:p>
            <w:pPr>
              <w:spacing w:after="20"/>
            </w:pPr>
            <w:r>
              <w:rPr>
                <w:b/>
                <w:color w:val="1C3A36"/>
                <w:sz w:val="18"/>
              </w:rPr>
              <w:t>What it prices</w:t>
            </w:r>
          </w:p>
        </w:tc>
      </w:tr>
      <w:tr>
        <w:tc>
          <w:tcPr>
            <w:tcW w:type="dxa" w:w="3312"/>
          </w:tcPr>
          <w:p>
            <w:pPr>
              <w:spacing w:after="20"/>
            </w:pPr>
            <w:r>
              <w:rPr>
                <w:b/>
                <w:color w:val="1C3A36"/>
                <w:sz w:val="18"/>
              </w:rPr>
              <w:t>Equity DCF (FCFE)</w:t>
            </w:r>
          </w:p>
        </w:tc>
        <w:tc>
          <w:tcPr>
            <w:tcW w:type="dxa" w:w="1656"/>
          </w:tcPr>
          <w:p>
            <w:pPr>
              <w:spacing w:after="20"/>
              <w:jc w:val="right"/>
            </w:pPr>
            <w:r>
              <w:rPr>
                <w:color w:val="1C3A36"/>
                <w:sz w:val="18"/>
              </w:rPr>
              <w:t>23.48</w:t>
            </w:r>
          </w:p>
        </w:tc>
        <w:tc>
          <w:tcPr>
            <w:tcW w:type="dxa" w:w="5112"/>
          </w:tcPr>
          <w:p>
            <w:pPr>
              <w:spacing w:after="20"/>
              <w:jc w:val="right"/>
            </w:pPr>
            <w:r>
              <w:rPr>
                <w:color w:val="1C3A36"/>
                <w:sz w:val="18"/>
              </w:rPr>
              <w:t>The cash the bank could distribute after funding its own growth</w:t>
            </w:r>
          </w:p>
        </w:tc>
      </w:tr>
      <w:tr>
        <w:tc>
          <w:tcPr>
            <w:tcW w:type="dxa" w:w="3312"/>
          </w:tcPr>
          <w:p>
            <w:pPr>
              <w:spacing w:after="20"/>
            </w:pPr>
            <w:r>
              <w:rPr>
                <w:b/>
                <w:color w:val="1C3A36"/>
                <w:sz w:val="18"/>
              </w:rPr>
              <w:t>Dividend discount model</w:t>
            </w:r>
          </w:p>
        </w:tc>
        <w:tc>
          <w:tcPr>
            <w:tcW w:type="dxa" w:w="1656"/>
          </w:tcPr>
          <w:p>
            <w:pPr>
              <w:spacing w:after="20"/>
              <w:jc w:val="right"/>
            </w:pPr>
            <w:r>
              <w:rPr>
                <w:color w:val="1C3A36"/>
                <w:sz w:val="18"/>
              </w:rPr>
              <w:t>22.54</w:t>
            </w:r>
          </w:p>
        </w:tc>
        <w:tc>
          <w:tcPr>
            <w:tcW w:type="dxa" w:w="5112"/>
          </w:tcPr>
          <w:p>
            <w:pPr>
              <w:spacing w:after="20"/>
              <w:jc w:val="right"/>
            </w:pPr>
            <w:r>
              <w:rPr>
                <w:color w:val="1C3A36"/>
                <w:sz w:val="18"/>
              </w:rPr>
              <w:t>A payout policy that has not moved in five years</w:t>
            </w:r>
          </w:p>
        </w:tc>
      </w:tr>
      <w:tr>
        <w:tc>
          <w:tcPr>
            <w:tcW w:type="dxa" w:w="3312"/>
          </w:tcPr>
          <w:p>
            <w:pPr>
              <w:spacing w:after="20"/>
            </w:pPr>
            <w:r>
              <w:rPr>
                <w:b/>
                <w:color w:val="1C3A36"/>
                <w:sz w:val="18"/>
              </w:rPr>
              <w:t>Residual income</w:t>
            </w:r>
          </w:p>
        </w:tc>
        <w:tc>
          <w:tcPr>
            <w:tcW w:type="dxa" w:w="1656"/>
          </w:tcPr>
          <w:p>
            <w:pPr>
              <w:spacing w:after="20"/>
              <w:jc w:val="right"/>
            </w:pPr>
            <w:r>
              <w:rPr>
                <w:color w:val="1C3A36"/>
                <w:sz w:val="18"/>
              </w:rPr>
              <w:t>22.54</w:t>
            </w:r>
          </w:p>
        </w:tc>
        <w:tc>
          <w:tcPr>
            <w:tcW w:type="dxa" w:w="5112"/>
          </w:tcPr>
          <w:p>
            <w:pPr>
              <w:spacing w:after="20"/>
              <w:jc w:val="right"/>
            </w:pPr>
            <w:r>
              <w:rPr>
                <w:color w:val="1C3A36"/>
                <w:sz w:val="18"/>
              </w:rPr>
              <w:t>Today's book plus the value of returns above the cost of equity</w:t>
            </w:r>
          </w:p>
        </w:tc>
      </w:tr>
      <w:tr>
        <w:tc>
          <w:tcPr>
            <w:tcW w:type="dxa" w:w="3312"/>
          </w:tcPr>
          <w:p>
            <w:pPr>
              <w:spacing w:after="20"/>
            </w:pPr>
            <w:r>
              <w:rPr>
                <w:b/>
                <w:color w:val="1C3A36"/>
                <w:sz w:val="18"/>
              </w:rPr>
              <w:t>Normalized (through-cycle)</w:t>
            </w:r>
          </w:p>
        </w:tc>
        <w:tc>
          <w:tcPr>
            <w:tcW w:type="dxa" w:w="1656"/>
          </w:tcPr>
          <w:p>
            <w:pPr>
              <w:spacing w:after="20"/>
              <w:jc w:val="right"/>
            </w:pPr>
            <w:r>
              <w:rPr>
                <w:color w:val="1C3A36"/>
                <w:sz w:val="18"/>
              </w:rPr>
              <w:t>19.00</w:t>
            </w:r>
          </w:p>
        </w:tc>
        <w:tc>
          <w:tcPr>
            <w:tcW w:type="dxa" w:w="5112"/>
          </w:tcPr>
          <w:p>
            <w:pPr>
              <w:spacing w:after="20"/>
              <w:jc w:val="right"/>
            </w:pPr>
            <w:r>
              <w:rPr>
                <w:color w:val="1C3A36"/>
                <w:sz w:val="18"/>
              </w:rPr>
              <w:t>Mid-cycle earnings at the multiple their return warrants</w:t>
            </w:r>
          </w:p>
        </w:tc>
      </w:tr>
      <w:tr>
        <w:tc>
          <w:tcPr>
            <w:tcW w:type="dxa" w:w="3312"/>
          </w:tcPr>
          <w:p>
            <w:pPr>
              <w:spacing w:after="20"/>
            </w:pPr>
            <w:r>
              <w:rPr>
                <w:b/>
                <w:color w:val="1C3A36"/>
                <w:sz w:val="18"/>
              </w:rPr>
              <w:t>Relative multiples (ROE-adjusted)</w:t>
            </w:r>
          </w:p>
        </w:tc>
        <w:tc>
          <w:tcPr>
            <w:tcW w:type="dxa" w:w="1656"/>
          </w:tcPr>
          <w:p>
            <w:pPr>
              <w:spacing w:after="20"/>
              <w:jc w:val="right"/>
            </w:pPr>
            <w:r>
              <w:rPr>
                <w:color w:val="1C3A36"/>
                <w:sz w:val="18"/>
              </w:rPr>
              <w:t>17.94</w:t>
            </w:r>
          </w:p>
        </w:tc>
        <w:tc>
          <w:tcPr>
            <w:tcW w:type="dxa" w:w="5112"/>
          </w:tcPr>
          <w:p>
            <w:pPr>
              <w:spacing w:after="20"/>
              <w:jc w:val="right"/>
            </w:pPr>
            <w:r>
              <w:rPr>
                <w:color w:val="1C3A36"/>
                <w:sz w:val="18"/>
              </w:rPr>
              <w:t>What the UAE sector pays today for a bank earning what ADIB earns</w:t>
            </w:r>
          </w:p>
        </w:tc>
      </w:tr>
    </w:tbl>
    <w:p>
      <w:pPr>
        <w:spacing w:after="40"/>
      </w:pPr>
    </w:p>
    <w:p>
      <w:pPr>
        <w:spacing w:after="120" w:before="0"/>
      </w:pPr>
      <w:r>
        <w:rPr>
          <w:b w:val="0"/>
          <w:i w:val="0"/>
          <w:color w:val="1C3A36"/>
          <w:sz w:val="21"/>
        </w:rPr>
        <w:t>Read the two families, not the single number. They do not overlap, and that non-overlap is the finding. The cash-flow family (AED 22.5–23.5) prices a bank that keeps out-earning its cost of equity for a very long time. The market-anchored family (AED 17.9–19.0) prices what a buyer will actually pay for that today. The weighted central of AED 21.23 is a probability-weighted summary ACROSS those two regimes. It is not a claim that the truth sits politely in the middle, it is not a price we expect the stock to trade at, and it is emphatically not a target — this document contains no rating and no price target, and the range above, together with the distribution in §3, is what we are actually publishing. The three-month figures come from §3 and nowhere else. The remainder of §1 builds each lens in full.</w:t>
      </w:r>
    </w:p>
    <w:p>
      <w:pPr>
        <w:spacing w:after="120" w:before="280"/>
      </w:pPr>
      <w:r>
        <w:rPr>
          <w:b/>
          <w:i w:val="0"/>
          <w:color w:val="1C3A36"/>
          <w:sz w:val="30"/>
        </w:rPr>
        <w:t>1. Valuation</w:t>
      </w:r>
    </w:p>
    <w:p>
      <w:pPr>
        <w:spacing w:after="80" w:before="200"/>
      </w:pPr>
      <w:r>
        <w:rPr>
          <w:b/>
          <w:i w:val="0"/>
          <w:color w:val="1C3A36"/>
          <w:sz w:val="24"/>
        </w:rPr>
        <w:t>1.1  Dividend discount model — the primary lens</w:t>
      </w:r>
    </w:p>
    <w:p>
      <w:pPr>
        <w:spacing w:after="120" w:before="0"/>
      </w:pPr>
      <w:r>
        <w:rPr>
          <w:b w:val="0"/>
          <w:i w:val="0"/>
          <w:color w:val="1C3A36"/>
          <w:sz w:val="21"/>
        </w:rPr>
        <w:t>For a bank, deposits are an operating input rather than a financing choice, so enterprise-value arithmetic is meaningless: everything discounts at the cost of equity. The dividend model is primary here for a reason that is unusually strong. ADIB's payout ratio over the last five declared years was 48.5%, 49.2%, 49.4%, 49.7% and 49.9%. That is not a coincidence and it is not a range — it is a policy, executed to within 140 basis points across a period in which profit tripled. A board that has held its payout that steady while its earnings ran away from it is telling you what it intends to do with the next five years of cash. The dividend per share rose from 31.1 fils to 97.05 over those five years; the payout barely moved.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664"/>
            <w:shd w:val="clear" w:color="auto" w:fill="EAF0EE"/>
          </w:tcPr>
          <w:p>
            <w:pPr>
              <w:spacing w:after="20"/>
            </w:pPr>
            <w:r>
              <w:rPr>
                <w:b/>
                <w:color w:val="1C3A36"/>
                <w:sz w:val="18"/>
              </w:rPr>
              <w:t>AED / share</w:t>
            </w:r>
          </w:p>
        </w:tc>
        <w:tc>
          <w:tcPr>
            <w:tcW w:type="dxa" w:w="1483"/>
            <w:shd w:val="clear" w:color="auto" w:fill="EAF0EE"/>
          </w:tcPr>
          <w:p>
            <w:pPr>
              <w:spacing w:after="20"/>
            </w:pPr>
            <w:r>
              <w:rPr>
                <w:b/>
                <w:color w:val="1C3A36"/>
                <w:sz w:val="18"/>
              </w:rPr>
              <w:t>FY26E</w:t>
            </w:r>
          </w:p>
        </w:tc>
        <w:tc>
          <w:tcPr>
            <w:tcW w:type="dxa" w:w="1483"/>
            <w:shd w:val="clear" w:color="auto" w:fill="EAF0EE"/>
          </w:tcPr>
          <w:p>
            <w:pPr>
              <w:spacing w:after="20"/>
            </w:pPr>
            <w:r>
              <w:rPr>
                <w:b/>
                <w:color w:val="1C3A36"/>
                <w:sz w:val="18"/>
              </w:rPr>
              <w:t>FY27E</w:t>
            </w:r>
          </w:p>
        </w:tc>
        <w:tc>
          <w:tcPr>
            <w:tcW w:type="dxa" w:w="1483"/>
            <w:shd w:val="clear" w:color="auto" w:fill="EAF0EE"/>
          </w:tcPr>
          <w:p>
            <w:pPr>
              <w:spacing w:after="20"/>
            </w:pPr>
            <w:r>
              <w:rPr>
                <w:b/>
                <w:color w:val="1C3A36"/>
                <w:sz w:val="18"/>
              </w:rPr>
              <w:t>FY28E</w:t>
            </w:r>
          </w:p>
        </w:tc>
        <w:tc>
          <w:tcPr>
            <w:tcW w:type="dxa" w:w="1483"/>
            <w:shd w:val="clear" w:color="auto" w:fill="EAF0EE"/>
          </w:tcPr>
          <w:p>
            <w:pPr>
              <w:spacing w:after="20"/>
            </w:pPr>
            <w:r>
              <w:rPr>
                <w:b/>
                <w:color w:val="1C3A36"/>
                <w:sz w:val="18"/>
              </w:rPr>
              <w:t>FY29E</w:t>
            </w:r>
          </w:p>
        </w:tc>
        <w:tc>
          <w:tcPr>
            <w:tcW w:type="dxa" w:w="1483"/>
            <w:shd w:val="clear" w:color="auto" w:fill="EAF0EE"/>
          </w:tcPr>
          <w:p>
            <w:pPr>
              <w:spacing w:after="20"/>
            </w:pPr>
            <w:r>
              <w:rPr>
                <w:b/>
                <w:color w:val="1C3A36"/>
                <w:sz w:val="18"/>
              </w:rPr>
              <w:t>FY30E</w:t>
            </w:r>
          </w:p>
        </w:tc>
      </w:tr>
      <w:tr>
        <w:tc>
          <w:tcPr>
            <w:tcW w:type="dxa" w:w="2664"/>
          </w:tcPr>
          <w:p>
            <w:pPr>
              <w:spacing w:after="20"/>
            </w:pPr>
            <w:r>
              <w:rPr>
                <w:b/>
                <w:color w:val="1C3A36"/>
                <w:sz w:val="18"/>
              </w:rPr>
              <w:t>EPS</w:t>
            </w:r>
          </w:p>
        </w:tc>
        <w:tc>
          <w:tcPr>
            <w:tcW w:type="dxa" w:w="1483"/>
          </w:tcPr>
          <w:p>
            <w:pPr>
              <w:spacing w:after="20"/>
              <w:jc w:val="right"/>
            </w:pPr>
            <w:r>
              <w:rPr>
                <w:color w:val="1C3A36"/>
                <w:sz w:val="18"/>
              </w:rPr>
              <w:t>1.836</w:t>
            </w:r>
          </w:p>
        </w:tc>
        <w:tc>
          <w:tcPr>
            <w:tcW w:type="dxa" w:w="1483"/>
          </w:tcPr>
          <w:p>
            <w:pPr>
              <w:spacing w:after="20"/>
              <w:jc w:val="right"/>
            </w:pPr>
            <w:r>
              <w:rPr>
                <w:color w:val="1C3A36"/>
                <w:sz w:val="18"/>
              </w:rPr>
              <w:t>1.949</w:t>
            </w:r>
          </w:p>
        </w:tc>
        <w:tc>
          <w:tcPr>
            <w:tcW w:type="dxa" w:w="1483"/>
          </w:tcPr>
          <w:p>
            <w:pPr>
              <w:spacing w:after="20"/>
              <w:jc w:val="right"/>
            </w:pPr>
            <w:r>
              <w:rPr>
                <w:color w:val="1C3A36"/>
                <w:sz w:val="18"/>
              </w:rPr>
              <w:t>2.161</w:t>
            </w:r>
          </w:p>
        </w:tc>
        <w:tc>
          <w:tcPr>
            <w:tcW w:type="dxa" w:w="1483"/>
          </w:tcPr>
          <w:p>
            <w:pPr>
              <w:spacing w:after="20"/>
              <w:jc w:val="right"/>
            </w:pPr>
            <w:r>
              <w:rPr>
                <w:color w:val="1C3A36"/>
                <w:sz w:val="18"/>
              </w:rPr>
              <w:t>2.384</w:t>
            </w:r>
          </w:p>
        </w:tc>
        <w:tc>
          <w:tcPr>
            <w:tcW w:type="dxa" w:w="1483"/>
          </w:tcPr>
          <w:p>
            <w:pPr>
              <w:spacing w:after="20"/>
              <w:jc w:val="right"/>
            </w:pPr>
            <w:r>
              <w:rPr>
                <w:color w:val="1C3A36"/>
                <w:sz w:val="18"/>
              </w:rPr>
              <w:t>2.623</w:t>
            </w:r>
          </w:p>
        </w:tc>
      </w:tr>
      <w:tr>
        <w:tc>
          <w:tcPr>
            <w:tcW w:type="dxa" w:w="2664"/>
          </w:tcPr>
          <w:p>
            <w:pPr>
              <w:spacing w:after="20"/>
            </w:pPr>
            <w:r>
              <w:rPr>
                <w:b/>
                <w:color w:val="1C3A36"/>
                <w:sz w:val="18"/>
              </w:rPr>
              <w:t>Payout</w:t>
            </w:r>
          </w:p>
        </w:tc>
        <w:tc>
          <w:tcPr>
            <w:tcW w:type="dxa" w:w="1483"/>
          </w:tcPr>
          <w:p>
            <w:pPr>
              <w:spacing w:after="20"/>
              <w:jc w:val="right"/>
            </w:pPr>
            <w:r>
              <w:rPr>
                <w:color w:val="1C3A36"/>
                <w:sz w:val="18"/>
              </w:rPr>
              <w:t>50%</w:t>
            </w:r>
          </w:p>
        </w:tc>
        <w:tc>
          <w:tcPr>
            <w:tcW w:type="dxa" w:w="1483"/>
          </w:tcPr>
          <w:p>
            <w:pPr>
              <w:spacing w:after="20"/>
              <w:jc w:val="right"/>
            </w:pPr>
            <w:r>
              <w:rPr>
                <w:color w:val="1C3A36"/>
                <w:sz w:val="18"/>
              </w:rPr>
              <w:t>50%</w:t>
            </w:r>
          </w:p>
        </w:tc>
        <w:tc>
          <w:tcPr>
            <w:tcW w:type="dxa" w:w="1483"/>
          </w:tcPr>
          <w:p>
            <w:pPr>
              <w:spacing w:after="20"/>
              <w:jc w:val="right"/>
            </w:pPr>
            <w:r>
              <w:rPr>
                <w:color w:val="1C3A36"/>
                <w:sz w:val="18"/>
              </w:rPr>
              <w:t>51%</w:t>
            </w:r>
          </w:p>
        </w:tc>
        <w:tc>
          <w:tcPr>
            <w:tcW w:type="dxa" w:w="1483"/>
          </w:tcPr>
          <w:p>
            <w:pPr>
              <w:spacing w:after="20"/>
              <w:jc w:val="right"/>
            </w:pPr>
            <w:r>
              <w:rPr>
                <w:color w:val="1C3A36"/>
                <w:sz w:val="18"/>
              </w:rPr>
              <w:t>52%</w:t>
            </w:r>
          </w:p>
        </w:tc>
        <w:tc>
          <w:tcPr>
            <w:tcW w:type="dxa" w:w="1483"/>
          </w:tcPr>
          <w:p>
            <w:pPr>
              <w:spacing w:after="20"/>
              <w:jc w:val="right"/>
            </w:pPr>
            <w:r>
              <w:rPr>
                <w:color w:val="1C3A36"/>
                <w:sz w:val="18"/>
              </w:rPr>
              <w:t>53%</w:t>
            </w:r>
          </w:p>
        </w:tc>
      </w:tr>
      <w:tr>
        <w:tc>
          <w:tcPr>
            <w:tcW w:type="dxa" w:w="2664"/>
          </w:tcPr>
          <w:p>
            <w:pPr>
              <w:spacing w:after="20"/>
            </w:pPr>
            <w:r>
              <w:rPr>
                <w:b/>
                <w:color w:val="1C3A36"/>
                <w:sz w:val="18"/>
              </w:rPr>
              <w:t>DPS</w:t>
            </w:r>
          </w:p>
        </w:tc>
        <w:tc>
          <w:tcPr>
            <w:tcW w:type="dxa" w:w="1483"/>
          </w:tcPr>
          <w:p>
            <w:pPr>
              <w:spacing w:after="20"/>
              <w:jc w:val="right"/>
            </w:pPr>
            <w:r>
              <w:rPr>
                <w:color w:val="1C3A36"/>
                <w:sz w:val="18"/>
              </w:rPr>
              <w:t>0.918</w:t>
            </w:r>
          </w:p>
        </w:tc>
        <w:tc>
          <w:tcPr>
            <w:tcW w:type="dxa" w:w="1483"/>
          </w:tcPr>
          <w:p>
            <w:pPr>
              <w:spacing w:after="20"/>
              <w:jc w:val="right"/>
            </w:pPr>
            <w:r>
              <w:rPr>
                <w:color w:val="1C3A36"/>
                <w:sz w:val="18"/>
              </w:rPr>
              <w:t>0.975</w:t>
            </w:r>
          </w:p>
        </w:tc>
        <w:tc>
          <w:tcPr>
            <w:tcW w:type="dxa" w:w="1483"/>
          </w:tcPr>
          <w:p>
            <w:pPr>
              <w:spacing w:after="20"/>
              <w:jc w:val="right"/>
            </w:pPr>
            <w:r>
              <w:rPr>
                <w:color w:val="1C3A36"/>
                <w:sz w:val="18"/>
              </w:rPr>
              <w:t>1.102</w:t>
            </w:r>
          </w:p>
        </w:tc>
        <w:tc>
          <w:tcPr>
            <w:tcW w:type="dxa" w:w="1483"/>
          </w:tcPr>
          <w:p>
            <w:pPr>
              <w:spacing w:after="20"/>
              <w:jc w:val="right"/>
            </w:pPr>
            <w:r>
              <w:rPr>
                <w:color w:val="1C3A36"/>
                <w:sz w:val="18"/>
              </w:rPr>
              <w:t>1.240</w:t>
            </w:r>
          </w:p>
        </w:tc>
        <w:tc>
          <w:tcPr>
            <w:tcW w:type="dxa" w:w="1483"/>
          </w:tcPr>
          <w:p>
            <w:pPr>
              <w:spacing w:after="20"/>
              <w:jc w:val="right"/>
            </w:pPr>
            <w:r>
              <w:rPr>
                <w:color w:val="1C3A36"/>
                <w:sz w:val="18"/>
              </w:rPr>
              <w:t>1.390</w:t>
            </w:r>
          </w:p>
        </w:tc>
      </w:tr>
      <w:tr>
        <w:tc>
          <w:tcPr>
            <w:tcW w:type="dxa" w:w="2664"/>
          </w:tcPr>
          <w:p>
            <w:pPr>
              <w:spacing w:after="20"/>
            </w:pPr>
            <w:r>
              <w:rPr>
                <w:b/>
                <w:color w:val="1C3A36"/>
                <w:sz w:val="18"/>
              </w:rPr>
              <w:t>Discount factor @ Ke 10.57%</w:t>
            </w:r>
          </w:p>
        </w:tc>
        <w:tc>
          <w:tcPr>
            <w:tcW w:type="dxa" w:w="1483"/>
          </w:tcPr>
          <w:p>
            <w:pPr>
              <w:spacing w:after="20"/>
              <w:jc w:val="right"/>
            </w:pPr>
            <w:r>
              <w:rPr>
                <w:color w:val="1C3A36"/>
                <w:sz w:val="18"/>
              </w:rPr>
              <w:t>0.904</w:t>
            </w:r>
          </w:p>
        </w:tc>
        <w:tc>
          <w:tcPr>
            <w:tcW w:type="dxa" w:w="1483"/>
          </w:tcPr>
          <w:p>
            <w:pPr>
              <w:spacing w:after="20"/>
              <w:jc w:val="right"/>
            </w:pPr>
            <w:r>
              <w:rPr>
                <w:color w:val="1C3A36"/>
                <w:sz w:val="18"/>
              </w:rPr>
              <w:t>0.818</w:t>
            </w:r>
          </w:p>
        </w:tc>
        <w:tc>
          <w:tcPr>
            <w:tcW w:type="dxa" w:w="1483"/>
          </w:tcPr>
          <w:p>
            <w:pPr>
              <w:spacing w:after="20"/>
              <w:jc w:val="right"/>
            </w:pPr>
            <w:r>
              <w:rPr>
                <w:color w:val="1C3A36"/>
                <w:sz w:val="18"/>
              </w:rPr>
              <w:t>0.740</w:t>
            </w:r>
          </w:p>
        </w:tc>
        <w:tc>
          <w:tcPr>
            <w:tcW w:type="dxa" w:w="1483"/>
          </w:tcPr>
          <w:p>
            <w:pPr>
              <w:spacing w:after="20"/>
              <w:jc w:val="right"/>
            </w:pPr>
            <w:r>
              <w:rPr>
                <w:color w:val="1C3A36"/>
                <w:sz w:val="18"/>
              </w:rPr>
              <w:t>0.669</w:t>
            </w:r>
          </w:p>
        </w:tc>
        <w:tc>
          <w:tcPr>
            <w:tcW w:type="dxa" w:w="1483"/>
          </w:tcPr>
          <w:p>
            <w:pPr>
              <w:spacing w:after="20"/>
              <w:jc w:val="right"/>
            </w:pPr>
            <w:r>
              <w:rPr>
                <w:color w:val="1C3A36"/>
                <w:sz w:val="18"/>
              </w:rPr>
              <w:t>0.605</w:t>
            </w:r>
          </w:p>
        </w:tc>
      </w:tr>
      <w:tr>
        <w:tc>
          <w:tcPr>
            <w:tcW w:type="dxa" w:w="2664"/>
          </w:tcPr>
          <w:p>
            <w:pPr>
              <w:spacing w:after="20"/>
            </w:pPr>
            <w:r>
              <w:rPr>
                <w:b/>
                <w:color w:val="1C3A36"/>
                <w:sz w:val="18"/>
              </w:rPr>
              <w:t>PV of dividend</w:t>
            </w:r>
          </w:p>
        </w:tc>
        <w:tc>
          <w:tcPr>
            <w:tcW w:type="dxa" w:w="1483"/>
          </w:tcPr>
          <w:p>
            <w:pPr>
              <w:spacing w:after="20"/>
              <w:jc w:val="right"/>
            </w:pPr>
            <w:r>
              <w:rPr>
                <w:color w:val="1C3A36"/>
                <w:sz w:val="18"/>
              </w:rPr>
              <w:t>0.830</w:t>
            </w:r>
          </w:p>
        </w:tc>
        <w:tc>
          <w:tcPr>
            <w:tcW w:type="dxa" w:w="1483"/>
          </w:tcPr>
          <w:p>
            <w:pPr>
              <w:spacing w:after="20"/>
              <w:jc w:val="right"/>
            </w:pPr>
            <w:r>
              <w:rPr>
                <w:color w:val="1C3A36"/>
                <w:sz w:val="18"/>
              </w:rPr>
              <w:t>0.797</w:t>
            </w:r>
          </w:p>
        </w:tc>
        <w:tc>
          <w:tcPr>
            <w:tcW w:type="dxa" w:w="1483"/>
          </w:tcPr>
          <w:p>
            <w:pPr>
              <w:spacing w:after="20"/>
              <w:jc w:val="right"/>
            </w:pPr>
            <w:r>
              <w:rPr>
                <w:color w:val="1C3A36"/>
                <w:sz w:val="18"/>
              </w:rPr>
              <w:t>0.815</w:t>
            </w:r>
          </w:p>
        </w:tc>
        <w:tc>
          <w:tcPr>
            <w:tcW w:type="dxa" w:w="1483"/>
          </w:tcPr>
          <w:p>
            <w:pPr>
              <w:spacing w:after="20"/>
              <w:jc w:val="right"/>
            </w:pPr>
            <w:r>
              <w:rPr>
                <w:color w:val="1C3A36"/>
                <w:sz w:val="18"/>
              </w:rPr>
              <w:t>0.829</w:t>
            </w:r>
          </w:p>
        </w:tc>
        <w:tc>
          <w:tcPr>
            <w:tcW w:type="dxa" w:w="1483"/>
          </w:tcPr>
          <w:p>
            <w:pPr>
              <w:spacing w:after="20"/>
              <w:jc w:val="right"/>
            </w:pPr>
            <w:r>
              <w:rPr>
                <w:color w:val="1C3A36"/>
                <w:sz w:val="18"/>
              </w:rPr>
              <w:t>0.841</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Terminal block</w:t>
            </w:r>
          </w:p>
        </w:tc>
        <w:tc>
          <w:tcPr>
            <w:tcW w:type="dxa" w:w="3888"/>
            <w:shd w:val="clear" w:color="auto" w:fill="EAF0EE"/>
          </w:tcPr>
          <w:p>
            <w:pPr>
              <w:spacing w:after="20"/>
            </w:pPr>
            <w:r>
              <w:rPr>
                <w:b/>
                <w:color w:val="1C3A36"/>
                <w:sz w:val="18"/>
              </w:rPr>
              <w:t>Value</w:t>
            </w:r>
          </w:p>
        </w:tc>
      </w:tr>
      <w:tr>
        <w:tc>
          <w:tcPr>
            <w:tcW w:type="dxa" w:w="6192"/>
          </w:tcPr>
          <w:p>
            <w:pPr>
              <w:spacing w:after="20"/>
            </w:pPr>
            <w:r>
              <w:rPr>
                <w:b/>
                <w:color w:val="1C3A36"/>
                <w:sz w:val="18"/>
              </w:rPr>
              <w:t>Closing common equity FY30 (AED mn)</w:t>
            </w:r>
          </w:p>
        </w:tc>
        <w:tc>
          <w:tcPr>
            <w:tcW w:type="dxa" w:w="3888"/>
          </w:tcPr>
          <w:p>
            <w:pPr>
              <w:spacing w:after="20"/>
              <w:jc w:val="right"/>
            </w:pPr>
            <w:r>
              <w:rPr>
                <w:color w:val="1C3A36"/>
                <w:sz w:val="18"/>
              </w:rPr>
              <w:t>45,422</w:t>
            </w:r>
          </w:p>
        </w:tc>
      </w:tr>
      <w:tr>
        <w:tc>
          <w:tcPr>
            <w:tcW w:type="dxa" w:w="6192"/>
          </w:tcPr>
          <w:p>
            <w:pPr>
              <w:spacing w:after="20"/>
            </w:pPr>
            <w:r>
              <w:rPr>
                <w:b/>
                <w:color w:val="1C3A36"/>
                <w:sz w:val="18"/>
              </w:rPr>
              <w:t>Terminal ROE (the crux — see §1.8)</w:t>
            </w:r>
          </w:p>
        </w:tc>
        <w:tc>
          <w:tcPr>
            <w:tcW w:type="dxa" w:w="3888"/>
          </w:tcPr>
          <w:p>
            <w:pPr>
              <w:spacing w:after="20"/>
              <w:jc w:val="right"/>
            </w:pPr>
            <w:r>
              <w:rPr>
                <w:color w:val="1C3A36"/>
                <w:sz w:val="18"/>
              </w:rPr>
              <w:t>20%</w:t>
            </w:r>
          </w:p>
        </w:tc>
      </w:tr>
      <w:tr>
        <w:tc>
          <w:tcPr>
            <w:tcW w:type="dxa" w:w="6192"/>
          </w:tcPr>
          <w:p>
            <w:pPr>
              <w:spacing w:after="20"/>
            </w:pPr>
            <w:r>
              <w:rPr>
                <w:b/>
                <w:color w:val="1C3A36"/>
                <w:sz w:val="18"/>
              </w:rPr>
              <w:t>Terminal payout = 1 − g / ROE = 1 − 4%/20%</w:t>
            </w:r>
          </w:p>
        </w:tc>
        <w:tc>
          <w:tcPr>
            <w:tcW w:type="dxa" w:w="3888"/>
          </w:tcPr>
          <w:p>
            <w:pPr>
              <w:spacing w:after="20"/>
              <w:jc w:val="right"/>
            </w:pPr>
            <w:r>
              <w:rPr>
                <w:color w:val="1C3A36"/>
                <w:sz w:val="18"/>
              </w:rPr>
              <w:t>80%</w:t>
            </w:r>
          </w:p>
        </w:tc>
      </w:tr>
      <w:tr>
        <w:tc>
          <w:tcPr>
            <w:tcW w:type="dxa" w:w="6192"/>
          </w:tcPr>
          <w:p>
            <w:pPr>
              <w:spacing w:after="20"/>
            </w:pPr>
            <w:r>
              <w:rPr>
                <w:b/>
                <w:color w:val="1C3A36"/>
                <w:sz w:val="18"/>
              </w:rPr>
              <w:t>Terminal earnings (FY31) = terminal ROE × FY30 book</w:t>
            </w:r>
          </w:p>
        </w:tc>
        <w:tc>
          <w:tcPr>
            <w:tcW w:type="dxa" w:w="3888"/>
          </w:tcPr>
          <w:p>
            <w:pPr>
              <w:spacing w:after="20"/>
              <w:jc w:val="right"/>
            </w:pPr>
            <w:r>
              <w:rPr>
                <w:color w:val="1C3A36"/>
                <w:sz w:val="18"/>
              </w:rPr>
              <w:t>AED 2.50 / share</w:t>
            </w:r>
          </w:p>
        </w:tc>
      </w:tr>
      <w:tr>
        <w:tc>
          <w:tcPr>
            <w:tcW w:type="dxa" w:w="6192"/>
          </w:tcPr>
          <w:p>
            <w:pPr>
              <w:spacing w:after="20"/>
            </w:pPr>
            <w:r>
              <w:rPr>
                <w:b/>
                <w:color w:val="1C3A36"/>
                <w:sz w:val="18"/>
              </w:rPr>
              <w:t>Terminal dividend (FY31)</w:t>
            </w:r>
          </w:p>
        </w:tc>
        <w:tc>
          <w:tcPr>
            <w:tcW w:type="dxa" w:w="3888"/>
          </w:tcPr>
          <w:p>
            <w:pPr>
              <w:spacing w:after="20"/>
              <w:jc w:val="right"/>
            </w:pPr>
            <w:r>
              <w:rPr>
                <w:color w:val="1C3A36"/>
                <w:sz w:val="18"/>
              </w:rPr>
              <w:t>AED 2.00 / share</w:t>
            </w:r>
          </w:p>
        </w:tc>
      </w:tr>
      <w:tr>
        <w:tc>
          <w:tcPr>
            <w:tcW w:type="dxa" w:w="6192"/>
          </w:tcPr>
          <w:p>
            <w:pPr>
              <w:spacing w:after="20"/>
            </w:pPr>
            <w:r>
              <w:rPr>
                <w:b/>
                <w:color w:val="1C3A36"/>
                <w:sz w:val="18"/>
              </w:rPr>
              <w:t>Terminal value at (Ke − g)</w:t>
            </w:r>
          </w:p>
        </w:tc>
        <w:tc>
          <w:tcPr>
            <w:tcW w:type="dxa" w:w="3888"/>
          </w:tcPr>
          <w:p>
            <w:pPr>
              <w:spacing w:after="20"/>
              <w:jc w:val="right"/>
            </w:pPr>
            <w:r>
              <w:rPr>
                <w:color w:val="1C3A36"/>
                <w:sz w:val="18"/>
              </w:rPr>
              <w:t>AED 30.46</w:t>
            </w:r>
          </w:p>
        </w:tc>
      </w:tr>
      <w:tr>
        <w:tc>
          <w:tcPr>
            <w:tcW w:type="dxa" w:w="6192"/>
          </w:tcPr>
          <w:p>
            <w:pPr>
              <w:spacing w:after="20"/>
            </w:pPr>
            <w:r>
              <w:rPr>
                <w:b/>
                <w:color w:val="1C3A36"/>
                <w:sz w:val="18"/>
              </w:rPr>
              <w:t>PV of terminal value</w:t>
            </w:r>
          </w:p>
        </w:tc>
        <w:tc>
          <w:tcPr>
            <w:tcW w:type="dxa" w:w="3888"/>
          </w:tcPr>
          <w:p>
            <w:pPr>
              <w:spacing w:after="20"/>
              <w:jc w:val="right"/>
            </w:pPr>
            <w:r>
              <w:rPr>
                <w:color w:val="1C3A36"/>
                <w:sz w:val="18"/>
              </w:rPr>
              <w:t>AED 18.43</w:t>
            </w:r>
          </w:p>
        </w:tc>
      </w:tr>
      <w:tr>
        <w:tc>
          <w:tcPr>
            <w:tcW w:type="dxa" w:w="6192"/>
          </w:tcPr>
          <w:p>
            <w:pPr>
              <w:spacing w:after="20"/>
            </w:pPr>
            <w:r>
              <w:rPr>
                <w:b/>
                <w:color w:val="1C3A36"/>
                <w:sz w:val="18"/>
              </w:rPr>
              <w:t>Σ PV of explicit dividends (FY26–30)</w:t>
            </w:r>
          </w:p>
        </w:tc>
        <w:tc>
          <w:tcPr>
            <w:tcW w:type="dxa" w:w="3888"/>
          </w:tcPr>
          <w:p>
            <w:pPr>
              <w:spacing w:after="20"/>
              <w:jc w:val="right"/>
            </w:pPr>
            <w:r>
              <w:rPr>
                <w:color w:val="1C3A36"/>
                <w:sz w:val="18"/>
              </w:rPr>
              <w:t>AED 4.11</w:t>
            </w:r>
          </w:p>
        </w:tc>
      </w:tr>
      <w:tr>
        <w:tc>
          <w:tcPr>
            <w:tcW w:type="dxa" w:w="6192"/>
            <w:shd w:val="clear" w:color="auto" w:fill="F6F1E6"/>
          </w:tcPr>
          <w:p>
            <w:pPr>
              <w:spacing w:after="20"/>
            </w:pPr>
            <w:r>
              <w:rPr>
                <w:b/>
                <w:color w:val="1C3A36"/>
                <w:sz w:val="18"/>
              </w:rPr>
              <w:t>DDM fair value</w:t>
            </w:r>
          </w:p>
        </w:tc>
        <w:tc>
          <w:tcPr>
            <w:tcW w:type="dxa" w:w="3888"/>
            <w:shd w:val="clear" w:color="auto" w:fill="F6F1E6"/>
          </w:tcPr>
          <w:p>
            <w:pPr>
              <w:spacing w:after="20"/>
              <w:jc w:val="right"/>
            </w:pPr>
            <w:r>
              <w:rPr>
                <w:b/>
                <w:color w:val="1C3A36"/>
                <w:sz w:val="18"/>
              </w:rPr>
              <w:t>AED 22.54</w:t>
            </w:r>
          </w:p>
        </w:tc>
      </w:tr>
      <w:tr>
        <w:tc>
          <w:tcPr>
            <w:tcW w:type="dxa" w:w="6192"/>
          </w:tcPr>
          <w:p>
            <w:pPr>
              <w:spacing w:after="20"/>
            </w:pPr>
            <w:r>
              <w:rPr>
                <w:b/>
                <w:color w:val="1C3A36"/>
                <w:sz w:val="18"/>
              </w:rPr>
              <w:t>Terminal value as % of total  (dependency disclosure)</w:t>
            </w:r>
          </w:p>
        </w:tc>
        <w:tc>
          <w:tcPr>
            <w:tcW w:type="dxa" w:w="3888"/>
          </w:tcPr>
          <w:p>
            <w:pPr>
              <w:spacing w:after="20"/>
              <w:jc w:val="right"/>
            </w:pPr>
            <w:r>
              <w:rPr>
                <w:color w:val="1C3A36"/>
                <w:sz w:val="18"/>
              </w:rPr>
              <w:t>82%</w:t>
            </w:r>
          </w:p>
        </w:tc>
      </w:tr>
    </w:tbl>
    <w:p>
      <w:pPr>
        <w:spacing w:after="40"/>
      </w:pPr>
    </w:p>
    <w:p>
      <w:pPr>
        <w:spacing w:after="120" w:before="0"/>
      </w:pPr>
      <w:r>
        <w:rPr>
          <w:b w:val="0"/>
          <w:i w:val="0"/>
          <w:color w:val="1C3A36"/>
          <w:sz w:val="21"/>
        </w:rPr>
        <w:t>Terminal-value dependency, stated plainly: 82% of this number sits in the terminal block. That is normal for a bank growing financing at 13% on a 50% payout — the explicit dividends are small precisely because the bank is reinvesting — but it means the DDM is a claim about ADIB's steady state, not about the next five dividends. The steady state in question is a 20% return on equity, forever. §1.8 is about nothing else, and §1.10 stresses exactly that claim.</w:t>
      </w:r>
    </w:p>
    <w:p>
      <w:pPr>
        <w:spacing w:after="80" w:before="200"/>
      </w:pPr>
      <w:r>
        <w:rPr>
          <w:b/>
          <w:i w:val="0"/>
          <w:color w:val="1C3A36"/>
          <w:sz w:val="24"/>
        </w:rPr>
        <w:t>1.2  Equity DCF (FCFE) — the full build, from revenue to cash</w:t>
      </w:r>
    </w:p>
    <w:p>
      <w:pPr>
        <w:spacing w:after="120" w:before="0"/>
      </w:pPr>
      <w:r>
        <w:rPr>
          <w:b w:val="0"/>
          <w:i w:val="0"/>
          <w:color w:val="1C3A36"/>
          <w:sz w:val="21"/>
        </w:rPr>
        <w:t>The equity DCF asks not what the board chooses to pay but what the business could pay after funding its own growth. It is built from the top line down. For an Islamic bank the top line is total operating income: funded income (the return on financing assets, net of what is distributed to depositors) plus non-funded income (fees, FX, investment income). From there the waterfall runs through costs, impairments and tax to profit — and then subtracts the one item a bank cannot avoid: the fresh equity it must retain each year to keep its capital ratio intact as its balance sheet grows. What is left is genuinely distributable, whether or not it is actually paid.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7"/>
              </w:rPr>
              <w:t>AED mn</w:t>
            </w:r>
          </w:p>
        </w:tc>
        <w:tc>
          <w:tcPr>
            <w:tcW w:type="dxa" w:w="1397"/>
            <w:shd w:val="clear" w:color="auto" w:fill="EAF0EE"/>
          </w:tcPr>
          <w:p>
            <w:pPr>
              <w:spacing w:after="20"/>
            </w:pPr>
            <w:r>
              <w:rPr>
                <w:b/>
                <w:color w:val="1C3A36"/>
                <w:sz w:val="17"/>
              </w:rPr>
              <w:t>FY26E</w:t>
            </w:r>
          </w:p>
        </w:tc>
        <w:tc>
          <w:tcPr>
            <w:tcW w:type="dxa" w:w="1397"/>
            <w:shd w:val="clear" w:color="auto" w:fill="EAF0EE"/>
          </w:tcPr>
          <w:p>
            <w:pPr>
              <w:spacing w:after="20"/>
            </w:pPr>
            <w:r>
              <w:rPr>
                <w:b/>
                <w:color w:val="1C3A36"/>
                <w:sz w:val="17"/>
              </w:rPr>
              <w:t>FY27E</w:t>
            </w:r>
          </w:p>
        </w:tc>
        <w:tc>
          <w:tcPr>
            <w:tcW w:type="dxa" w:w="1397"/>
            <w:shd w:val="clear" w:color="auto" w:fill="EAF0EE"/>
          </w:tcPr>
          <w:p>
            <w:pPr>
              <w:spacing w:after="20"/>
            </w:pPr>
            <w:r>
              <w:rPr>
                <w:b/>
                <w:color w:val="1C3A36"/>
                <w:sz w:val="17"/>
              </w:rPr>
              <w:t>FY28E</w:t>
            </w:r>
          </w:p>
        </w:tc>
        <w:tc>
          <w:tcPr>
            <w:tcW w:type="dxa" w:w="1397"/>
            <w:shd w:val="clear" w:color="auto" w:fill="EAF0EE"/>
          </w:tcPr>
          <w:p>
            <w:pPr>
              <w:spacing w:after="20"/>
            </w:pPr>
            <w:r>
              <w:rPr>
                <w:b/>
                <w:color w:val="1C3A36"/>
                <w:sz w:val="17"/>
              </w:rPr>
              <w:t>FY29E</w:t>
            </w:r>
          </w:p>
        </w:tc>
        <w:tc>
          <w:tcPr>
            <w:tcW w:type="dxa" w:w="1397"/>
            <w:shd w:val="clear" w:color="auto" w:fill="EAF0EE"/>
          </w:tcPr>
          <w:p>
            <w:pPr>
              <w:spacing w:after="20"/>
            </w:pPr>
            <w:r>
              <w:rPr>
                <w:b/>
                <w:color w:val="1C3A36"/>
                <w:sz w:val="17"/>
              </w:rPr>
              <w:t>FY30E</w:t>
            </w:r>
          </w:p>
        </w:tc>
      </w:tr>
      <w:tr>
        <w:tc>
          <w:tcPr>
            <w:tcW w:type="dxa" w:w="3096"/>
          </w:tcPr>
          <w:p>
            <w:pPr>
              <w:spacing w:after="20"/>
            </w:pPr>
            <w:r>
              <w:rPr>
                <w:b/>
                <w:color w:val="1C3A36"/>
                <w:sz w:val="17"/>
              </w:rPr>
              <w:t>Funded income</w:t>
            </w:r>
          </w:p>
        </w:tc>
        <w:tc>
          <w:tcPr>
            <w:tcW w:type="dxa" w:w="1397"/>
          </w:tcPr>
          <w:p>
            <w:pPr>
              <w:spacing w:after="20"/>
              <w:jc w:val="right"/>
            </w:pPr>
            <w:r>
              <w:rPr>
                <w:color w:val="1C3A36"/>
                <w:sz w:val="17"/>
              </w:rPr>
              <w:t>8,441</w:t>
            </w:r>
          </w:p>
        </w:tc>
        <w:tc>
          <w:tcPr>
            <w:tcW w:type="dxa" w:w="1397"/>
          </w:tcPr>
          <w:p>
            <w:pPr>
              <w:spacing w:after="20"/>
              <w:jc w:val="right"/>
            </w:pPr>
            <w:r>
              <w:rPr>
                <w:color w:val="1C3A36"/>
                <w:sz w:val="17"/>
              </w:rPr>
              <w:t>9,302</w:t>
            </w:r>
          </w:p>
        </w:tc>
        <w:tc>
          <w:tcPr>
            <w:tcW w:type="dxa" w:w="1397"/>
          </w:tcPr>
          <w:p>
            <w:pPr>
              <w:spacing w:after="20"/>
              <w:jc w:val="right"/>
            </w:pPr>
            <w:r>
              <w:rPr>
                <w:color w:val="1C3A36"/>
                <w:sz w:val="17"/>
              </w:rPr>
              <w:t>10,206</w:t>
            </w:r>
          </w:p>
        </w:tc>
        <w:tc>
          <w:tcPr>
            <w:tcW w:type="dxa" w:w="1397"/>
          </w:tcPr>
          <w:p>
            <w:pPr>
              <w:spacing w:after="20"/>
              <w:jc w:val="right"/>
            </w:pPr>
            <w:r>
              <w:rPr>
                <w:color w:val="1C3A36"/>
                <w:sz w:val="17"/>
              </w:rPr>
              <w:t>11,155</w:t>
            </w:r>
          </w:p>
        </w:tc>
        <w:tc>
          <w:tcPr>
            <w:tcW w:type="dxa" w:w="1397"/>
          </w:tcPr>
          <w:p>
            <w:pPr>
              <w:spacing w:after="20"/>
              <w:jc w:val="right"/>
            </w:pPr>
            <w:r>
              <w:rPr>
                <w:color w:val="1C3A36"/>
                <w:sz w:val="17"/>
              </w:rPr>
              <w:t>12,147</w:t>
            </w:r>
          </w:p>
        </w:tc>
      </w:tr>
      <w:tr>
        <w:tc>
          <w:tcPr>
            <w:tcW w:type="dxa" w:w="3096"/>
          </w:tcPr>
          <w:p>
            <w:pPr>
              <w:spacing w:after="20"/>
            </w:pPr>
            <w:r>
              <w:rPr>
                <w:b/>
                <w:color w:val="1C3A36"/>
                <w:sz w:val="17"/>
              </w:rPr>
              <w:t>Non-funded income</w:t>
            </w:r>
          </w:p>
        </w:tc>
        <w:tc>
          <w:tcPr>
            <w:tcW w:type="dxa" w:w="1397"/>
          </w:tcPr>
          <w:p>
            <w:pPr>
              <w:spacing w:after="20"/>
              <w:jc w:val="right"/>
            </w:pPr>
            <w:r>
              <w:rPr>
                <w:color w:val="1C3A36"/>
                <w:sz w:val="17"/>
              </w:rPr>
              <w:t>4,941</w:t>
            </w:r>
          </w:p>
        </w:tc>
        <w:tc>
          <w:tcPr>
            <w:tcW w:type="dxa" w:w="1397"/>
          </w:tcPr>
          <w:p>
            <w:pPr>
              <w:spacing w:after="20"/>
              <w:jc w:val="right"/>
            </w:pPr>
            <w:r>
              <w:rPr>
                <w:color w:val="1C3A36"/>
                <w:sz w:val="17"/>
              </w:rPr>
              <w:t>5,336</w:t>
            </w:r>
          </w:p>
        </w:tc>
        <w:tc>
          <w:tcPr>
            <w:tcW w:type="dxa" w:w="1397"/>
          </w:tcPr>
          <w:p>
            <w:pPr>
              <w:spacing w:after="20"/>
              <w:jc w:val="right"/>
            </w:pPr>
            <w:r>
              <w:rPr>
                <w:color w:val="1C3A36"/>
                <w:sz w:val="17"/>
              </w:rPr>
              <w:t>5,763</w:t>
            </w:r>
          </w:p>
        </w:tc>
        <w:tc>
          <w:tcPr>
            <w:tcW w:type="dxa" w:w="1397"/>
          </w:tcPr>
          <w:p>
            <w:pPr>
              <w:spacing w:after="20"/>
              <w:jc w:val="right"/>
            </w:pPr>
            <w:r>
              <w:rPr>
                <w:color w:val="1C3A36"/>
                <w:sz w:val="17"/>
              </w:rPr>
              <w:t>6,224</w:t>
            </w:r>
          </w:p>
        </w:tc>
        <w:tc>
          <w:tcPr>
            <w:tcW w:type="dxa" w:w="1397"/>
          </w:tcPr>
          <w:p>
            <w:pPr>
              <w:spacing w:after="20"/>
              <w:jc w:val="right"/>
            </w:pPr>
            <w:r>
              <w:rPr>
                <w:color w:val="1C3A36"/>
                <w:sz w:val="17"/>
              </w:rPr>
              <w:t>6,722</w:t>
            </w:r>
          </w:p>
        </w:tc>
      </w:tr>
      <w:tr>
        <w:tc>
          <w:tcPr>
            <w:tcW w:type="dxa" w:w="3096"/>
          </w:tcPr>
          <w:p>
            <w:pPr>
              <w:spacing w:after="20"/>
            </w:pPr>
            <w:r>
              <w:rPr>
                <w:b/>
                <w:color w:val="1C3A36"/>
                <w:sz w:val="17"/>
              </w:rPr>
              <w:t>Total operating income</w:t>
            </w:r>
          </w:p>
        </w:tc>
        <w:tc>
          <w:tcPr>
            <w:tcW w:type="dxa" w:w="1397"/>
          </w:tcPr>
          <w:p>
            <w:pPr>
              <w:spacing w:after="20"/>
              <w:jc w:val="right"/>
            </w:pPr>
            <w:r>
              <w:rPr>
                <w:color w:val="1C3A36"/>
                <w:sz w:val="17"/>
              </w:rPr>
              <w:t>13,382</w:t>
            </w:r>
          </w:p>
        </w:tc>
        <w:tc>
          <w:tcPr>
            <w:tcW w:type="dxa" w:w="1397"/>
          </w:tcPr>
          <w:p>
            <w:pPr>
              <w:spacing w:after="20"/>
              <w:jc w:val="right"/>
            </w:pPr>
            <w:r>
              <w:rPr>
                <w:color w:val="1C3A36"/>
                <w:sz w:val="17"/>
              </w:rPr>
              <w:t>14,638</w:t>
            </w:r>
          </w:p>
        </w:tc>
        <w:tc>
          <w:tcPr>
            <w:tcW w:type="dxa" w:w="1397"/>
          </w:tcPr>
          <w:p>
            <w:pPr>
              <w:spacing w:after="20"/>
              <w:jc w:val="right"/>
            </w:pPr>
            <w:r>
              <w:rPr>
                <w:color w:val="1C3A36"/>
                <w:sz w:val="17"/>
              </w:rPr>
              <w:t>15,970</w:t>
            </w:r>
          </w:p>
        </w:tc>
        <w:tc>
          <w:tcPr>
            <w:tcW w:type="dxa" w:w="1397"/>
          </w:tcPr>
          <w:p>
            <w:pPr>
              <w:spacing w:after="20"/>
              <w:jc w:val="right"/>
            </w:pPr>
            <w:r>
              <w:rPr>
                <w:color w:val="1C3A36"/>
                <w:sz w:val="17"/>
              </w:rPr>
              <w:t>17,380</w:t>
            </w:r>
          </w:p>
        </w:tc>
        <w:tc>
          <w:tcPr>
            <w:tcW w:type="dxa" w:w="1397"/>
          </w:tcPr>
          <w:p>
            <w:pPr>
              <w:spacing w:after="20"/>
              <w:jc w:val="right"/>
            </w:pPr>
            <w:r>
              <w:rPr>
                <w:color w:val="1C3A36"/>
                <w:sz w:val="17"/>
              </w:rPr>
              <w:t>18,869</w:t>
            </w:r>
          </w:p>
        </w:tc>
      </w:tr>
      <w:tr>
        <w:tc>
          <w:tcPr>
            <w:tcW w:type="dxa" w:w="3096"/>
          </w:tcPr>
          <w:p>
            <w:pPr>
              <w:spacing w:after="20"/>
            </w:pPr>
            <w:r>
              <w:rPr>
                <w:b/>
                <w:color w:val="1C3A36"/>
                <w:sz w:val="17"/>
              </w:rPr>
              <w:t>Operating expenses</w:t>
            </w:r>
          </w:p>
        </w:tc>
        <w:tc>
          <w:tcPr>
            <w:tcW w:type="dxa" w:w="1397"/>
          </w:tcPr>
          <w:p>
            <w:pPr>
              <w:spacing w:after="20"/>
              <w:jc w:val="right"/>
            </w:pPr>
            <w:r>
              <w:rPr>
                <w:color w:val="1C3A36"/>
                <w:sz w:val="17"/>
              </w:rPr>
              <w:t>-3,934</w:t>
            </w:r>
          </w:p>
        </w:tc>
        <w:tc>
          <w:tcPr>
            <w:tcW w:type="dxa" w:w="1397"/>
          </w:tcPr>
          <w:p>
            <w:pPr>
              <w:spacing w:after="20"/>
              <w:jc w:val="right"/>
            </w:pPr>
            <w:r>
              <w:rPr>
                <w:color w:val="1C3A36"/>
                <w:sz w:val="17"/>
              </w:rPr>
              <w:t>-4,245</w:t>
            </w:r>
          </w:p>
        </w:tc>
        <w:tc>
          <w:tcPr>
            <w:tcW w:type="dxa" w:w="1397"/>
          </w:tcPr>
          <w:p>
            <w:pPr>
              <w:spacing w:after="20"/>
              <w:jc w:val="right"/>
            </w:pPr>
            <w:r>
              <w:rPr>
                <w:color w:val="1C3A36"/>
                <w:sz w:val="17"/>
              </w:rPr>
              <w:t>-4,551</w:t>
            </w:r>
          </w:p>
        </w:tc>
        <w:tc>
          <w:tcPr>
            <w:tcW w:type="dxa" w:w="1397"/>
          </w:tcPr>
          <w:p>
            <w:pPr>
              <w:spacing w:after="20"/>
              <w:jc w:val="right"/>
            </w:pPr>
            <w:r>
              <w:rPr>
                <w:color w:val="1C3A36"/>
                <w:sz w:val="17"/>
              </w:rPr>
              <w:t>-4,866</w:t>
            </w:r>
          </w:p>
        </w:tc>
        <w:tc>
          <w:tcPr>
            <w:tcW w:type="dxa" w:w="1397"/>
          </w:tcPr>
          <w:p>
            <w:pPr>
              <w:spacing w:after="20"/>
              <w:jc w:val="right"/>
            </w:pPr>
            <w:r>
              <w:rPr>
                <w:color w:val="1C3A36"/>
                <w:sz w:val="17"/>
              </w:rPr>
              <w:t>-5,189</w:t>
            </w:r>
          </w:p>
        </w:tc>
      </w:tr>
      <w:tr>
        <w:tc>
          <w:tcPr>
            <w:tcW w:type="dxa" w:w="3096"/>
          </w:tcPr>
          <w:p>
            <w:pPr>
              <w:spacing w:after="20"/>
            </w:pPr>
            <w:r>
              <w:rPr>
                <w:b/>
                <w:color w:val="1C3A36"/>
                <w:sz w:val="17"/>
              </w:rPr>
              <w:t>Pre-provision operating profit</w:t>
            </w:r>
          </w:p>
        </w:tc>
        <w:tc>
          <w:tcPr>
            <w:tcW w:type="dxa" w:w="1397"/>
          </w:tcPr>
          <w:p>
            <w:pPr>
              <w:spacing w:after="20"/>
              <w:jc w:val="right"/>
            </w:pPr>
            <w:r>
              <w:rPr>
                <w:color w:val="1C3A36"/>
                <w:sz w:val="17"/>
              </w:rPr>
              <w:t>9,448</w:t>
            </w:r>
          </w:p>
        </w:tc>
        <w:tc>
          <w:tcPr>
            <w:tcW w:type="dxa" w:w="1397"/>
          </w:tcPr>
          <w:p>
            <w:pPr>
              <w:spacing w:after="20"/>
              <w:jc w:val="right"/>
            </w:pPr>
            <w:r>
              <w:rPr>
                <w:color w:val="1C3A36"/>
                <w:sz w:val="17"/>
              </w:rPr>
              <w:t>10,393</w:t>
            </w:r>
          </w:p>
        </w:tc>
        <w:tc>
          <w:tcPr>
            <w:tcW w:type="dxa" w:w="1397"/>
          </w:tcPr>
          <w:p>
            <w:pPr>
              <w:spacing w:after="20"/>
              <w:jc w:val="right"/>
            </w:pPr>
            <w:r>
              <w:rPr>
                <w:color w:val="1C3A36"/>
                <w:sz w:val="17"/>
              </w:rPr>
              <w:t>11,418</w:t>
            </w:r>
          </w:p>
        </w:tc>
        <w:tc>
          <w:tcPr>
            <w:tcW w:type="dxa" w:w="1397"/>
          </w:tcPr>
          <w:p>
            <w:pPr>
              <w:spacing w:after="20"/>
              <w:jc w:val="right"/>
            </w:pPr>
            <w:r>
              <w:rPr>
                <w:color w:val="1C3A36"/>
                <w:sz w:val="17"/>
              </w:rPr>
              <w:t>12,513</w:t>
            </w:r>
          </w:p>
        </w:tc>
        <w:tc>
          <w:tcPr>
            <w:tcW w:type="dxa" w:w="1397"/>
          </w:tcPr>
          <w:p>
            <w:pPr>
              <w:spacing w:after="20"/>
              <w:jc w:val="right"/>
            </w:pPr>
            <w:r>
              <w:rPr>
                <w:color w:val="1C3A36"/>
                <w:sz w:val="17"/>
              </w:rPr>
              <w:t>13,680</w:t>
            </w:r>
          </w:p>
        </w:tc>
      </w:tr>
      <w:tr>
        <w:tc>
          <w:tcPr>
            <w:tcW w:type="dxa" w:w="3096"/>
          </w:tcPr>
          <w:p>
            <w:pPr>
              <w:spacing w:after="20"/>
            </w:pPr>
            <w:r>
              <w:rPr>
                <w:b/>
                <w:color w:val="1C3A36"/>
                <w:sz w:val="17"/>
              </w:rPr>
              <w:t>Impairment charge</w:t>
            </w:r>
          </w:p>
        </w:tc>
        <w:tc>
          <w:tcPr>
            <w:tcW w:type="dxa" w:w="1397"/>
          </w:tcPr>
          <w:p>
            <w:pPr>
              <w:spacing w:after="20"/>
              <w:jc w:val="right"/>
            </w:pPr>
            <w:r>
              <w:rPr>
                <w:color w:val="1C3A36"/>
                <w:sz w:val="17"/>
              </w:rPr>
              <w:t>-909</w:t>
            </w:r>
          </w:p>
        </w:tc>
        <w:tc>
          <w:tcPr>
            <w:tcW w:type="dxa" w:w="1397"/>
          </w:tcPr>
          <w:p>
            <w:pPr>
              <w:spacing w:after="20"/>
              <w:jc w:val="right"/>
            </w:pPr>
            <w:r>
              <w:rPr>
                <w:color w:val="1C3A36"/>
                <w:sz w:val="17"/>
              </w:rPr>
              <w:t>-1,023</w:t>
            </w:r>
          </w:p>
        </w:tc>
        <w:tc>
          <w:tcPr>
            <w:tcW w:type="dxa" w:w="1397"/>
          </w:tcPr>
          <w:p>
            <w:pPr>
              <w:spacing w:after="20"/>
              <w:jc w:val="right"/>
            </w:pPr>
            <w:r>
              <w:rPr>
                <w:color w:val="1C3A36"/>
                <w:sz w:val="17"/>
              </w:rPr>
              <w:t>-1,090</w:t>
            </w:r>
          </w:p>
        </w:tc>
        <w:tc>
          <w:tcPr>
            <w:tcW w:type="dxa" w:w="1397"/>
          </w:tcPr>
          <w:p>
            <w:pPr>
              <w:spacing w:after="20"/>
              <w:jc w:val="right"/>
            </w:pPr>
            <w:r>
              <w:rPr>
                <w:color w:val="1C3A36"/>
                <w:sz w:val="17"/>
              </w:rPr>
              <w:t>-1,177</w:t>
            </w:r>
          </w:p>
        </w:tc>
        <w:tc>
          <w:tcPr>
            <w:tcW w:type="dxa" w:w="1397"/>
          </w:tcPr>
          <w:p>
            <w:pPr>
              <w:spacing w:after="20"/>
              <w:jc w:val="right"/>
            </w:pPr>
            <w:r>
              <w:rPr>
                <w:color w:val="1C3A36"/>
                <w:sz w:val="17"/>
              </w:rPr>
              <w:t>-1,259</w:t>
            </w:r>
          </w:p>
        </w:tc>
      </w:tr>
      <w:tr>
        <w:tc>
          <w:tcPr>
            <w:tcW w:type="dxa" w:w="3096"/>
          </w:tcPr>
          <w:p>
            <w:pPr>
              <w:spacing w:after="20"/>
            </w:pPr>
            <w:r>
              <w:rPr>
                <w:b/>
                <w:color w:val="1C3A36"/>
                <w:sz w:val="17"/>
              </w:rPr>
              <w:t>Profit before tax</w:t>
            </w:r>
          </w:p>
        </w:tc>
        <w:tc>
          <w:tcPr>
            <w:tcW w:type="dxa" w:w="1397"/>
          </w:tcPr>
          <w:p>
            <w:pPr>
              <w:spacing w:after="20"/>
              <w:jc w:val="right"/>
            </w:pPr>
            <w:r>
              <w:rPr>
                <w:color w:val="1C3A36"/>
                <w:sz w:val="17"/>
              </w:rPr>
              <w:t>8,538</w:t>
            </w:r>
          </w:p>
        </w:tc>
        <w:tc>
          <w:tcPr>
            <w:tcW w:type="dxa" w:w="1397"/>
          </w:tcPr>
          <w:p>
            <w:pPr>
              <w:spacing w:after="20"/>
              <w:jc w:val="right"/>
            </w:pPr>
            <w:r>
              <w:rPr>
                <w:color w:val="1C3A36"/>
                <w:sz w:val="17"/>
              </w:rPr>
              <w:t>9,371</w:t>
            </w:r>
          </w:p>
        </w:tc>
        <w:tc>
          <w:tcPr>
            <w:tcW w:type="dxa" w:w="1397"/>
          </w:tcPr>
          <w:p>
            <w:pPr>
              <w:spacing w:after="20"/>
              <w:jc w:val="right"/>
            </w:pPr>
            <w:r>
              <w:rPr>
                <w:color w:val="1C3A36"/>
                <w:sz w:val="17"/>
              </w:rPr>
              <w:t>10,328</w:t>
            </w:r>
          </w:p>
        </w:tc>
        <w:tc>
          <w:tcPr>
            <w:tcW w:type="dxa" w:w="1397"/>
          </w:tcPr>
          <w:p>
            <w:pPr>
              <w:spacing w:after="20"/>
              <w:jc w:val="right"/>
            </w:pPr>
            <w:r>
              <w:rPr>
                <w:color w:val="1C3A36"/>
                <w:sz w:val="17"/>
              </w:rPr>
              <w:t>11,336</w:t>
            </w:r>
          </w:p>
        </w:tc>
        <w:tc>
          <w:tcPr>
            <w:tcW w:type="dxa" w:w="1397"/>
          </w:tcPr>
          <w:p>
            <w:pPr>
              <w:spacing w:after="20"/>
              <w:jc w:val="right"/>
            </w:pPr>
            <w:r>
              <w:rPr>
                <w:color w:val="1C3A36"/>
                <w:sz w:val="17"/>
              </w:rPr>
              <w:t>12,421</w:t>
            </w:r>
          </w:p>
        </w:tc>
      </w:tr>
      <w:tr>
        <w:tc>
          <w:tcPr>
            <w:tcW w:type="dxa" w:w="3096"/>
          </w:tcPr>
          <w:p>
            <w:pPr>
              <w:spacing w:after="20"/>
            </w:pPr>
            <w:r>
              <w:rPr>
                <w:b/>
                <w:color w:val="1C3A36"/>
                <w:sz w:val="17"/>
              </w:rPr>
              <w:t>Tax</w:t>
            </w:r>
          </w:p>
        </w:tc>
        <w:tc>
          <w:tcPr>
            <w:tcW w:type="dxa" w:w="1397"/>
          </w:tcPr>
          <w:p>
            <w:pPr>
              <w:spacing w:after="20"/>
              <w:jc w:val="right"/>
            </w:pPr>
            <w:r>
              <w:rPr>
                <w:color w:val="1C3A36"/>
                <w:sz w:val="17"/>
              </w:rPr>
              <w:t>-1,110</w:t>
            </w:r>
          </w:p>
        </w:tc>
        <w:tc>
          <w:tcPr>
            <w:tcW w:type="dxa" w:w="1397"/>
          </w:tcPr>
          <w:p>
            <w:pPr>
              <w:spacing w:after="20"/>
              <w:jc w:val="right"/>
            </w:pPr>
            <w:r>
              <w:rPr>
                <w:color w:val="1C3A36"/>
                <w:sz w:val="17"/>
              </w:rPr>
              <w:t>-1,499</w:t>
            </w:r>
          </w:p>
        </w:tc>
        <w:tc>
          <w:tcPr>
            <w:tcW w:type="dxa" w:w="1397"/>
          </w:tcPr>
          <w:p>
            <w:pPr>
              <w:spacing w:after="20"/>
              <w:jc w:val="right"/>
            </w:pPr>
            <w:r>
              <w:rPr>
                <w:color w:val="1C3A36"/>
                <w:sz w:val="17"/>
              </w:rPr>
              <w:t>-1,652</w:t>
            </w:r>
          </w:p>
        </w:tc>
        <w:tc>
          <w:tcPr>
            <w:tcW w:type="dxa" w:w="1397"/>
          </w:tcPr>
          <w:p>
            <w:pPr>
              <w:spacing w:after="20"/>
              <w:jc w:val="right"/>
            </w:pPr>
            <w:r>
              <w:rPr>
                <w:color w:val="1C3A36"/>
                <w:sz w:val="17"/>
              </w:rPr>
              <w:t>-1,814</w:t>
            </w:r>
          </w:p>
        </w:tc>
        <w:tc>
          <w:tcPr>
            <w:tcW w:type="dxa" w:w="1397"/>
          </w:tcPr>
          <w:p>
            <w:pPr>
              <w:spacing w:after="20"/>
              <w:jc w:val="right"/>
            </w:pPr>
            <w:r>
              <w:rPr>
                <w:color w:val="1C3A36"/>
                <w:sz w:val="17"/>
              </w:rPr>
              <w:t>-1,987</w:t>
            </w:r>
          </w:p>
        </w:tc>
      </w:tr>
      <w:tr>
        <w:tc>
          <w:tcPr>
            <w:tcW w:type="dxa" w:w="3096"/>
          </w:tcPr>
          <w:p>
            <w:pPr>
              <w:spacing w:after="20"/>
            </w:pPr>
            <w:r>
              <w:rPr>
                <w:b/>
                <w:color w:val="1C3A36"/>
                <w:sz w:val="17"/>
              </w:rPr>
              <w:t>Profit after tax</w:t>
            </w:r>
          </w:p>
        </w:tc>
        <w:tc>
          <w:tcPr>
            <w:tcW w:type="dxa" w:w="1397"/>
          </w:tcPr>
          <w:p>
            <w:pPr>
              <w:spacing w:after="20"/>
              <w:jc w:val="right"/>
            </w:pPr>
            <w:r>
              <w:rPr>
                <w:color w:val="1C3A36"/>
                <w:sz w:val="17"/>
              </w:rPr>
              <w:t>7,428</w:t>
            </w:r>
          </w:p>
        </w:tc>
        <w:tc>
          <w:tcPr>
            <w:tcW w:type="dxa" w:w="1397"/>
          </w:tcPr>
          <w:p>
            <w:pPr>
              <w:spacing w:after="20"/>
              <w:jc w:val="right"/>
            </w:pPr>
            <w:r>
              <w:rPr>
                <w:color w:val="1C3A36"/>
                <w:sz w:val="17"/>
              </w:rPr>
              <w:t>7,871</w:t>
            </w:r>
          </w:p>
        </w:tc>
        <w:tc>
          <w:tcPr>
            <w:tcW w:type="dxa" w:w="1397"/>
          </w:tcPr>
          <w:p>
            <w:pPr>
              <w:spacing w:after="20"/>
              <w:jc w:val="right"/>
            </w:pPr>
            <w:r>
              <w:rPr>
                <w:color w:val="1C3A36"/>
                <w:sz w:val="17"/>
              </w:rPr>
              <w:t>8,675</w:t>
            </w:r>
          </w:p>
        </w:tc>
        <w:tc>
          <w:tcPr>
            <w:tcW w:type="dxa" w:w="1397"/>
          </w:tcPr>
          <w:p>
            <w:pPr>
              <w:spacing w:after="20"/>
              <w:jc w:val="right"/>
            </w:pPr>
            <w:r>
              <w:rPr>
                <w:color w:val="1C3A36"/>
                <w:sz w:val="17"/>
              </w:rPr>
              <w:t>9,522</w:t>
            </w:r>
          </w:p>
        </w:tc>
        <w:tc>
          <w:tcPr>
            <w:tcW w:type="dxa" w:w="1397"/>
          </w:tcPr>
          <w:p>
            <w:pPr>
              <w:spacing w:after="20"/>
              <w:jc w:val="right"/>
            </w:pPr>
            <w:r>
              <w:rPr>
                <w:color w:val="1C3A36"/>
                <w:sz w:val="17"/>
              </w:rPr>
              <w:t>10,434</w:t>
            </w:r>
          </w:p>
        </w:tc>
      </w:tr>
      <w:tr>
        <w:tc>
          <w:tcPr>
            <w:tcW w:type="dxa" w:w="3096"/>
          </w:tcPr>
          <w:p>
            <w:pPr>
              <w:spacing w:after="20"/>
            </w:pPr>
            <w:r>
              <w:rPr>
                <w:b/>
                <w:color w:val="1C3A36"/>
                <w:sz w:val="17"/>
              </w:rPr>
              <w:t>less: AT1 sukuk coupon</w:t>
            </w:r>
          </w:p>
        </w:tc>
        <w:tc>
          <w:tcPr>
            <w:tcW w:type="dxa" w:w="1397"/>
          </w:tcPr>
          <w:p>
            <w:pPr>
              <w:spacing w:after="20"/>
              <w:jc w:val="right"/>
            </w:pPr>
            <w:r>
              <w:rPr>
                <w:color w:val="1C3A36"/>
                <w:sz w:val="17"/>
              </w:rPr>
              <w:t>-353</w:t>
            </w:r>
          </w:p>
        </w:tc>
        <w:tc>
          <w:tcPr>
            <w:tcW w:type="dxa" w:w="1397"/>
          </w:tcPr>
          <w:p>
            <w:pPr>
              <w:spacing w:after="20"/>
              <w:jc w:val="right"/>
            </w:pPr>
            <w:r>
              <w:rPr>
                <w:color w:val="1C3A36"/>
                <w:sz w:val="17"/>
              </w:rPr>
              <w:t>-353</w:t>
            </w:r>
          </w:p>
        </w:tc>
        <w:tc>
          <w:tcPr>
            <w:tcW w:type="dxa" w:w="1397"/>
          </w:tcPr>
          <w:p>
            <w:pPr>
              <w:spacing w:after="20"/>
              <w:jc w:val="right"/>
            </w:pPr>
            <w:r>
              <w:rPr>
                <w:color w:val="1C3A36"/>
                <w:sz w:val="17"/>
              </w:rPr>
              <w:t>-353</w:t>
            </w:r>
          </w:p>
        </w:tc>
        <w:tc>
          <w:tcPr>
            <w:tcW w:type="dxa" w:w="1397"/>
          </w:tcPr>
          <w:p>
            <w:pPr>
              <w:spacing w:after="20"/>
              <w:jc w:val="right"/>
            </w:pPr>
            <w:r>
              <w:rPr>
                <w:color w:val="1C3A36"/>
                <w:sz w:val="17"/>
              </w:rPr>
              <w:t>-353</w:t>
            </w:r>
          </w:p>
        </w:tc>
        <w:tc>
          <w:tcPr>
            <w:tcW w:type="dxa" w:w="1397"/>
          </w:tcPr>
          <w:p>
            <w:pPr>
              <w:spacing w:after="20"/>
              <w:jc w:val="right"/>
            </w:pPr>
            <w:r>
              <w:rPr>
                <w:color w:val="1C3A36"/>
                <w:sz w:val="17"/>
              </w:rPr>
              <w:t>-353</w:t>
            </w:r>
          </w:p>
        </w:tc>
      </w:tr>
      <w:tr>
        <w:tc>
          <w:tcPr>
            <w:tcW w:type="dxa" w:w="3096"/>
          </w:tcPr>
          <w:p>
            <w:pPr>
              <w:spacing w:after="20"/>
            </w:pPr>
            <w:r>
              <w:rPr>
                <w:b/>
                <w:color w:val="1C3A36"/>
                <w:sz w:val="17"/>
              </w:rPr>
              <w:t>less: non-controlling interests</w:t>
            </w:r>
          </w:p>
        </w:tc>
        <w:tc>
          <w:tcPr>
            <w:tcW w:type="dxa" w:w="1397"/>
          </w:tcPr>
          <w:p>
            <w:pPr>
              <w:spacing w:after="20"/>
              <w:jc w:val="right"/>
            </w:pPr>
            <w:r>
              <w:rPr>
                <w:color w:val="1C3A36"/>
                <w:sz w:val="17"/>
              </w:rPr>
              <w:t>-406</w:t>
            </w:r>
          </w:p>
        </w:tc>
        <w:tc>
          <w:tcPr>
            <w:tcW w:type="dxa" w:w="1397"/>
          </w:tcPr>
          <w:p>
            <w:pPr>
              <w:spacing w:after="20"/>
              <w:jc w:val="right"/>
            </w:pPr>
            <w:r>
              <w:rPr>
                <w:color w:val="1C3A36"/>
                <w:sz w:val="17"/>
              </w:rPr>
              <w:t>-439</w:t>
            </w:r>
          </w:p>
        </w:tc>
        <w:tc>
          <w:tcPr>
            <w:tcW w:type="dxa" w:w="1397"/>
          </w:tcPr>
          <w:p>
            <w:pPr>
              <w:spacing w:after="20"/>
              <w:jc w:val="right"/>
            </w:pPr>
            <w:r>
              <w:rPr>
                <w:color w:val="1C3A36"/>
                <w:sz w:val="17"/>
              </w:rPr>
              <w:t>-474</w:t>
            </w:r>
          </w:p>
        </w:tc>
        <w:tc>
          <w:tcPr>
            <w:tcW w:type="dxa" w:w="1397"/>
          </w:tcPr>
          <w:p>
            <w:pPr>
              <w:spacing w:after="20"/>
              <w:jc w:val="right"/>
            </w:pPr>
            <w:r>
              <w:rPr>
                <w:color w:val="1C3A36"/>
                <w:sz w:val="17"/>
              </w:rPr>
              <w:t>-512</w:t>
            </w:r>
          </w:p>
        </w:tc>
        <w:tc>
          <w:tcPr>
            <w:tcW w:type="dxa" w:w="1397"/>
          </w:tcPr>
          <w:p>
            <w:pPr>
              <w:spacing w:after="20"/>
              <w:jc w:val="right"/>
            </w:pPr>
            <w:r>
              <w:rPr>
                <w:color w:val="1C3A36"/>
                <w:sz w:val="17"/>
              </w:rPr>
              <w:t>-552</w:t>
            </w:r>
          </w:p>
        </w:tc>
      </w:tr>
      <w:tr>
        <w:tc>
          <w:tcPr>
            <w:tcW w:type="dxa" w:w="3096"/>
            <w:shd w:val="clear" w:color="auto" w:fill="F6F1E6"/>
          </w:tcPr>
          <w:p>
            <w:pPr>
              <w:spacing w:after="20"/>
            </w:pPr>
            <w:r>
              <w:rPr>
                <w:b/>
                <w:color w:val="1C3A36"/>
                <w:sz w:val="17"/>
              </w:rPr>
              <w:t>Attributable to ordinary shareholders</w:t>
            </w:r>
          </w:p>
        </w:tc>
        <w:tc>
          <w:tcPr>
            <w:tcW w:type="dxa" w:w="1397"/>
            <w:shd w:val="clear" w:color="auto" w:fill="F6F1E6"/>
          </w:tcPr>
          <w:p>
            <w:pPr>
              <w:spacing w:after="20"/>
              <w:jc w:val="right"/>
            </w:pPr>
            <w:r>
              <w:rPr>
                <w:b/>
                <w:color w:val="1C3A36"/>
                <w:sz w:val="17"/>
              </w:rPr>
              <w:t>6,669</w:t>
            </w:r>
          </w:p>
        </w:tc>
        <w:tc>
          <w:tcPr>
            <w:tcW w:type="dxa" w:w="1397"/>
            <w:shd w:val="clear" w:color="auto" w:fill="F6F1E6"/>
          </w:tcPr>
          <w:p>
            <w:pPr>
              <w:spacing w:after="20"/>
              <w:jc w:val="right"/>
            </w:pPr>
            <w:r>
              <w:rPr>
                <w:b/>
                <w:color w:val="1C3A36"/>
                <w:sz w:val="17"/>
              </w:rPr>
              <w:t>7,080</w:t>
            </w:r>
          </w:p>
        </w:tc>
        <w:tc>
          <w:tcPr>
            <w:tcW w:type="dxa" w:w="1397"/>
            <w:shd w:val="clear" w:color="auto" w:fill="F6F1E6"/>
          </w:tcPr>
          <w:p>
            <w:pPr>
              <w:spacing w:after="20"/>
              <w:jc w:val="right"/>
            </w:pPr>
            <w:r>
              <w:rPr>
                <w:b/>
                <w:color w:val="1C3A36"/>
                <w:sz w:val="17"/>
              </w:rPr>
              <w:t>7,849</w:t>
            </w:r>
          </w:p>
        </w:tc>
        <w:tc>
          <w:tcPr>
            <w:tcW w:type="dxa" w:w="1397"/>
            <w:shd w:val="clear" w:color="auto" w:fill="F6F1E6"/>
          </w:tcPr>
          <w:p>
            <w:pPr>
              <w:spacing w:after="20"/>
              <w:jc w:val="right"/>
            </w:pPr>
            <w:r>
              <w:rPr>
                <w:b/>
                <w:color w:val="1C3A36"/>
                <w:sz w:val="17"/>
              </w:rPr>
              <w:t>8,658</w:t>
            </w:r>
          </w:p>
        </w:tc>
        <w:tc>
          <w:tcPr>
            <w:tcW w:type="dxa" w:w="1397"/>
            <w:shd w:val="clear" w:color="auto" w:fill="F6F1E6"/>
          </w:tcPr>
          <w:p>
            <w:pPr>
              <w:spacing w:after="20"/>
              <w:jc w:val="right"/>
            </w:pPr>
            <w:r>
              <w:rPr>
                <w:b/>
                <w:color w:val="1C3A36"/>
                <w:sz w:val="17"/>
              </w:rPr>
              <w:t>9,528</w:t>
            </w:r>
          </w:p>
        </w:tc>
      </w:tr>
      <w:tr>
        <w:tc>
          <w:tcPr>
            <w:tcW w:type="dxa" w:w="3096"/>
          </w:tcPr>
          <w:p>
            <w:pPr>
              <w:spacing w:after="20"/>
            </w:pPr>
            <w:r>
              <w:rPr>
                <w:b/>
                <w:color w:val="1C3A36"/>
                <w:sz w:val="17"/>
              </w:rPr>
              <w:t>less: equity retained for RWA growth</w:t>
            </w:r>
          </w:p>
        </w:tc>
        <w:tc>
          <w:tcPr>
            <w:tcW w:type="dxa" w:w="1397"/>
          </w:tcPr>
          <w:p>
            <w:pPr>
              <w:spacing w:after="20"/>
              <w:jc w:val="right"/>
            </w:pPr>
            <w:r>
              <w:rPr>
                <w:color w:val="1C3A36"/>
                <w:sz w:val="17"/>
              </w:rPr>
              <w:t>-2,726</w:t>
            </w:r>
          </w:p>
        </w:tc>
        <w:tc>
          <w:tcPr>
            <w:tcW w:type="dxa" w:w="1397"/>
          </w:tcPr>
          <w:p>
            <w:pPr>
              <w:spacing w:after="20"/>
              <w:jc w:val="right"/>
            </w:pPr>
            <w:r>
              <w:rPr>
                <w:color w:val="1C3A36"/>
                <w:sz w:val="17"/>
              </w:rPr>
              <w:t>-2,881</w:t>
            </w:r>
          </w:p>
        </w:tc>
        <w:tc>
          <w:tcPr>
            <w:tcW w:type="dxa" w:w="1397"/>
          </w:tcPr>
          <w:p>
            <w:pPr>
              <w:spacing w:after="20"/>
              <w:jc w:val="right"/>
            </w:pPr>
            <w:r>
              <w:rPr>
                <w:color w:val="1C3A36"/>
                <w:sz w:val="17"/>
              </w:rPr>
              <w:t>-2,965</w:t>
            </w:r>
          </w:p>
        </w:tc>
        <w:tc>
          <w:tcPr>
            <w:tcW w:type="dxa" w:w="1397"/>
          </w:tcPr>
          <w:p>
            <w:pPr>
              <w:spacing w:after="20"/>
              <w:jc w:val="right"/>
            </w:pPr>
            <w:r>
              <w:rPr>
                <w:color w:val="1C3A36"/>
                <w:sz w:val="17"/>
              </w:rPr>
              <w:t>-3,004</w:t>
            </w:r>
          </w:p>
        </w:tc>
        <w:tc>
          <w:tcPr>
            <w:tcW w:type="dxa" w:w="1397"/>
          </w:tcPr>
          <w:p>
            <w:pPr>
              <w:spacing w:after="20"/>
              <w:jc w:val="right"/>
            </w:pPr>
            <w:r>
              <w:rPr>
                <w:color w:val="1C3A36"/>
                <w:sz w:val="17"/>
              </w:rPr>
              <w:t>-2,990</w:t>
            </w:r>
          </w:p>
        </w:tc>
      </w:tr>
      <w:tr>
        <w:tc>
          <w:tcPr>
            <w:tcW w:type="dxa" w:w="3096"/>
            <w:shd w:val="clear" w:color="auto" w:fill="F6F1E6"/>
          </w:tcPr>
          <w:p>
            <w:pPr>
              <w:spacing w:after="20"/>
            </w:pPr>
            <w:r>
              <w:rPr>
                <w:b/>
                <w:color w:val="1C3A36"/>
                <w:sz w:val="17"/>
              </w:rPr>
              <w:t>Free cash flow to equity (FCFE)</w:t>
            </w:r>
          </w:p>
        </w:tc>
        <w:tc>
          <w:tcPr>
            <w:tcW w:type="dxa" w:w="1397"/>
            <w:shd w:val="clear" w:color="auto" w:fill="F6F1E6"/>
          </w:tcPr>
          <w:p>
            <w:pPr>
              <w:spacing w:after="20"/>
              <w:jc w:val="right"/>
            </w:pPr>
            <w:r>
              <w:rPr>
                <w:b/>
                <w:color w:val="1C3A36"/>
                <w:sz w:val="17"/>
              </w:rPr>
              <w:t>3,943</w:t>
            </w:r>
          </w:p>
        </w:tc>
        <w:tc>
          <w:tcPr>
            <w:tcW w:type="dxa" w:w="1397"/>
            <w:shd w:val="clear" w:color="auto" w:fill="F6F1E6"/>
          </w:tcPr>
          <w:p>
            <w:pPr>
              <w:spacing w:after="20"/>
              <w:jc w:val="right"/>
            </w:pPr>
            <w:r>
              <w:rPr>
                <w:b/>
                <w:color w:val="1C3A36"/>
                <w:sz w:val="17"/>
              </w:rPr>
              <w:t>4,199</w:t>
            </w:r>
          </w:p>
        </w:tc>
        <w:tc>
          <w:tcPr>
            <w:tcW w:type="dxa" w:w="1397"/>
            <w:shd w:val="clear" w:color="auto" w:fill="F6F1E6"/>
          </w:tcPr>
          <w:p>
            <w:pPr>
              <w:spacing w:after="20"/>
              <w:jc w:val="right"/>
            </w:pPr>
            <w:r>
              <w:rPr>
                <w:b/>
                <w:color w:val="1C3A36"/>
                <w:sz w:val="17"/>
              </w:rPr>
              <w:t>4,884</w:t>
            </w:r>
          </w:p>
        </w:tc>
        <w:tc>
          <w:tcPr>
            <w:tcW w:type="dxa" w:w="1397"/>
            <w:shd w:val="clear" w:color="auto" w:fill="F6F1E6"/>
          </w:tcPr>
          <w:p>
            <w:pPr>
              <w:spacing w:after="20"/>
              <w:jc w:val="right"/>
            </w:pPr>
            <w:r>
              <w:rPr>
                <w:b/>
                <w:color w:val="1C3A36"/>
                <w:sz w:val="17"/>
              </w:rPr>
              <w:t>5,654</w:t>
            </w:r>
          </w:p>
        </w:tc>
        <w:tc>
          <w:tcPr>
            <w:tcW w:type="dxa" w:w="1397"/>
            <w:shd w:val="clear" w:color="auto" w:fill="F6F1E6"/>
          </w:tcPr>
          <w:p>
            <w:pPr>
              <w:spacing w:after="20"/>
              <w:jc w:val="right"/>
            </w:pPr>
            <w:r>
              <w:rPr>
                <w:b/>
                <w:color w:val="1C3A36"/>
                <w:sz w:val="17"/>
              </w:rPr>
              <w:t>6,538</w:t>
            </w:r>
          </w:p>
        </w:tc>
      </w:tr>
      <w:tr>
        <w:tc>
          <w:tcPr>
            <w:tcW w:type="dxa" w:w="3096"/>
          </w:tcPr>
          <w:p>
            <w:pPr>
              <w:spacing w:after="20"/>
            </w:pPr>
            <w:r>
              <w:rPr>
                <w:b/>
                <w:color w:val="1C3A36"/>
                <w:sz w:val="17"/>
              </w:rPr>
              <w:t>Discount factor at Ke 10.57%</w:t>
            </w:r>
          </w:p>
        </w:tc>
        <w:tc>
          <w:tcPr>
            <w:tcW w:type="dxa" w:w="1397"/>
          </w:tcPr>
          <w:p>
            <w:pPr>
              <w:spacing w:after="20"/>
              <w:jc w:val="right"/>
            </w:pPr>
            <w:r>
              <w:rPr>
                <w:color w:val="1C3A36"/>
                <w:sz w:val="17"/>
              </w:rPr>
              <w:t>0.904</w:t>
            </w:r>
          </w:p>
        </w:tc>
        <w:tc>
          <w:tcPr>
            <w:tcW w:type="dxa" w:w="1397"/>
          </w:tcPr>
          <w:p>
            <w:pPr>
              <w:spacing w:after="20"/>
              <w:jc w:val="right"/>
            </w:pPr>
            <w:r>
              <w:rPr>
                <w:color w:val="1C3A36"/>
                <w:sz w:val="17"/>
              </w:rPr>
              <w:t>0.818</w:t>
            </w:r>
          </w:p>
        </w:tc>
        <w:tc>
          <w:tcPr>
            <w:tcW w:type="dxa" w:w="1397"/>
          </w:tcPr>
          <w:p>
            <w:pPr>
              <w:spacing w:after="20"/>
              <w:jc w:val="right"/>
            </w:pPr>
            <w:r>
              <w:rPr>
                <w:color w:val="1C3A36"/>
                <w:sz w:val="17"/>
              </w:rPr>
              <w:t>0.740</w:t>
            </w:r>
          </w:p>
        </w:tc>
        <w:tc>
          <w:tcPr>
            <w:tcW w:type="dxa" w:w="1397"/>
          </w:tcPr>
          <w:p>
            <w:pPr>
              <w:spacing w:after="20"/>
              <w:jc w:val="right"/>
            </w:pPr>
            <w:r>
              <w:rPr>
                <w:color w:val="1C3A36"/>
                <w:sz w:val="17"/>
              </w:rPr>
              <w:t>0.669</w:t>
            </w:r>
          </w:p>
        </w:tc>
        <w:tc>
          <w:tcPr>
            <w:tcW w:type="dxa" w:w="1397"/>
          </w:tcPr>
          <w:p>
            <w:pPr>
              <w:spacing w:after="20"/>
              <w:jc w:val="right"/>
            </w:pPr>
            <w:r>
              <w:rPr>
                <w:color w:val="1C3A36"/>
                <w:sz w:val="17"/>
              </w:rPr>
              <w:t>0.605</w:t>
            </w:r>
          </w:p>
        </w:tc>
      </w:tr>
      <w:tr>
        <w:tc>
          <w:tcPr>
            <w:tcW w:type="dxa" w:w="3096"/>
            <w:shd w:val="clear" w:color="auto" w:fill="F6F1E6"/>
          </w:tcPr>
          <w:p>
            <w:pPr>
              <w:spacing w:after="20"/>
            </w:pPr>
            <w:r>
              <w:rPr>
                <w:b/>
                <w:color w:val="1C3A36"/>
                <w:sz w:val="17"/>
              </w:rPr>
              <w:t>PV of FCFE</w:t>
            </w:r>
          </w:p>
        </w:tc>
        <w:tc>
          <w:tcPr>
            <w:tcW w:type="dxa" w:w="1397"/>
            <w:shd w:val="clear" w:color="auto" w:fill="F6F1E6"/>
          </w:tcPr>
          <w:p>
            <w:pPr>
              <w:spacing w:after="20"/>
              <w:jc w:val="right"/>
            </w:pPr>
            <w:r>
              <w:rPr>
                <w:b/>
                <w:color w:val="1C3A36"/>
                <w:sz w:val="17"/>
              </w:rPr>
              <w:t>3,566</w:t>
            </w:r>
          </w:p>
        </w:tc>
        <w:tc>
          <w:tcPr>
            <w:tcW w:type="dxa" w:w="1397"/>
            <w:shd w:val="clear" w:color="auto" w:fill="F6F1E6"/>
          </w:tcPr>
          <w:p>
            <w:pPr>
              <w:spacing w:after="20"/>
              <w:jc w:val="right"/>
            </w:pPr>
            <w:r>
              <w:rPr>
                <w:b/>
                <w:color w:val="1C3A36"/>
                <w:sz w:val="17"/>
              </w:rPr>
              <w:t>3,435</w:t>
            </w:r>
          </w:p>
        </w:tc>
        <w:tc>
          <w:tcPr>
            <w:tcW w:type="dxa" w:w="1397"/>
            <w:shd w:val="clear" w:color="auto" w:fill="F6F1E6"/>
          </w:tcPr>
          <w:p>
            <w:pPr>
              <w:spacing w:after="20"/>
              <w:jc w:val="right"/>
            </w:pPr>
            <w:r>
              <w:rPr>
                <w:b/>
                <w:color w:val="1C3A36"/>
                <w:sz w:val="17"/>
              </w:rPr>
              <w:t>3,613</w:t>
            </w:r>
          </w:p>
        </w:tc>
        <w:tc>
          <w:tcPr>
            <w:tcW w:type="dxa" w:w="1397"/>
            <w:shd w:val="clear" w:color="auto" w:fill="F6F1E6"/>
          </w:tcPr>
          <w:p>
            <w:pPr>
              <w:spacing w:after="20"/>
              <w:jc w:val="right"/>
            </w:pPr>
            <w:r>
              <w:rPr>
                <w:b/>
                <w:color w:val="1C3A36"/>
                <w:sz w:val="17"/>
              </w:rPr>
              <w:t>3,783</w:t>
            </w:r>
          </w:p>
        </w:tc>
        <w:tc>
          <w:tcPr>
            <w:tcW w:type="dxa" w:w="1397"/>
            <w:shd w:val="clear" w:color="auto" w:fill="F6F1E6"/>
          </w:tcPr>
          <w:p>
            <w:pPr>
              <w:spacing w:after="20"/>
              <w:jc w:val="right"/>
            </w:pPr>
            <w:r>
              <w:rPr>
                <w:b/>
                <w:color w:val="1C3A36"/>
                <w:sz w:val="17"/>
              </w:rPr>
              <w:t>3,956</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Terminal value &amp; the bridge to per-share</w:t>
            </w:r>
          </w:p>
        </w:tc>
        <w:tc>
          <w:tcPr>
            <w:tcW w:type="dxa" w:w="3888"/>
            <w:shd w:val="clear" w:color="auto" w:fill="EAF0EE"/>
          </w:tcPr>
          <w:p>
            <w:pPr>
              <w:spacing w:after="20"/>
            </w:pPr>
            <w:r>
              <w:rPr>
                <w:b/>
                <w:color w:val="1C3A36"/>
                <w:sz w:val="18"/>
              </w:rPr>
              <w:t>AED mn</w:t>
            </w:r>
          </w:p>
        </w:tc>
      </w:tr>
      <w:tr>
        <w:tc>
          <w:tcPr>
            <w:tcW w:type="dxa" w:w="6192"/>
          </w:tcPr>
          <w:p>
            <w:pPr>
              <w:spacing w:after="20"/>
            </w:pPr>
            <w:r>
              <w:rPr>
                <w:b/>
                <w:color w:val="1C3A36"/>
                <w:sz w:val="18"/>
              </w:rPr>
              <w:t>Σ PV of explicit FCFE (FY26–30)</w:t>
            </w:r>
          </w:p>
        </w:tc>
        <w:tc>
          <w:tcPr>
            <w:tcW w:type="dxa" w:w="3888"/>
          </w:tcPr>
          <w:p>
            <w:pPr>
              <w:spacing w:after="20"/>
              <w:jc w:val="right"/>
            </w:pPr>
            <w:r>
              <w:rPr>
                <w:color w:val="1C3A36"/>
                <w:sz w:val="18"/>
              </w:rPr>
              <w:t>18,353</w:t>
            </w:r>
          </w:p>
        </w:tc>
      </w:tr>
      <w:tr>
        <w:tc>
          <w:tcPr>
            <w:tcW w:type="dxa" w:w="6192"/>
          </w:tcPr>
          <w:p>
            <w:pPr>
              <w:spacing w:after="20"/>
            </w:pPr>
            <w:r>
              <w:rPr>
                <w:b/>
                <w:color w:val="1C3A36"/>
                <w:sz w:val="18"/>
              </w:rPr>
              <w:t>Terminal FCFE (FY31) = steady-state payout × terminal earnings</w:t>
            </w:r>
          </w:p>
        </w:tc>
        <w:tc>
          <w:tcPr>
            <w:tcW w:type="dxa" w:w="3888"/>
          </w:tcPr>
          <w:p>
            <w:pPr>
              <w:spacing w:after="20"/>
              <w:jc w:val="right"/>
            </w:pPr>
            <w:r>
              <w:rPr>
                <w:color w:val="1C3A36"/>
                <w:sz w:val="18"/>
              </w:rPr>
              <w:t>7,267</w:t>
            </w:r>
          </w:p>
        </w:tc>
      </w:tr>
      <w:tr>
        <w:tc>
          <w:tcPr>
            <w:tcW w:type="dxa" w:w="6192"/>
          </w:tcPr>
          <w:p>
            <w:pPr>
              <w:spacing w:after="20"/>
            </w:pPr>
            <w:r>
              <w:rPr>
                <w:b/>
                <w:color w:val="1C3A36"/>
                <w:sz w:val="18"/>
              </w:rPr>
              <w:t>Terminal value = terminal FCFE ÷ (Ke − g)</w:t>
            </w:r>
          </w:p>
        </w:tc>
        <w:tc>
          <w:tcPr>
            <w:tcW w:type="dxa" w:w="3888"/>
          </w:tcPr>
          <w:p>
            <w:pPr>
              <w:spacing w:after="20"/>
              <w:jc w:val="right"/>
            </w:pPr>
            <w:r>
              <w:rPr>
                <w:color w:val="1C3A36"/>
                <w:sz w:val="18"/>
              </w:rPr>
              <w:t>110,616</w:t>
            </w:r>
          </w:p>
        </w:tc>
      </w:tr>
      <w:tr>
        <w:tc>
          <w:tcPr>
            <w:tcW w:type="dxa" w:w="6192"/>
          </w:tcPr>
          <w:p>
            <w:pPr>
              <w:spacing w:after="20"/>
            </w:pPr>
            <w:r>
              <w:rPr>
                <w:b/>
                <w:color w:val="1C3A36"/>
                <w:sz w:val="18"/>
              </w:rPr>
              <w:t>PV of terminal value</w:t>
            </w:r>
          </w:p>
        </w:tc>
        <w:tc>
          <w:tcPr>
            <w:tcW w:type="dxa" w:w="3888"/>
          </w:tcPr>
          <w:p>
            <w:pPr>
              <w:spacing w:after="20"/>
              <w:jc w:val="right"/>
            </w:pPr>
            <w:r>
              <w:rPr>
                <w:color w:val="1C3A36"/>
                <w:sz w:val="18"/>
              </w:rPr>
              <w:t>66,931</w:t>
            </w:r>
          </w:p>
        </w:tc>
      </w:tr>
      <w:tr>
        <w:tc>
          <w:tcPr>
            <w:tcW w:type="dxa" w:w="6192"/>
          </w:tcPr>
          <w:p>
            <w:pPr>
              <w:spacing w:after="20"/>
            </w:pPr>
            <w:r>
              <w:rPr>
                <w:b/>
                <w:color w:val="1C3A36"/>
                <w:sz w:val="18"/>
              </w:rPr>
              <w:t>Equity value = Σ PV explicit + PV terminal</w:t>
            </w:r>
          </w:p>
        </w:tc>
        <w:tc>
          <w:tcPr>
            <w:tcW w:type="dxa" w:w="3888"/>
          </w:tcPr>
          <w:p>
            <w:pPr>
              <w:spacing w:after="20"/>
              <w:jc w:val="right"/>
            </w:pPr>
            <w:r>
              <w:rPr>
                <w:color w:val="1C3A36"/>
                <w:sz w:val="18"/>
              </w:rPr>
              <w:t>85,284</w:t>
            </w:r>
          </w:p>
        </w:tc>
      </w:tr>
      <w:tr>
        <w:tc>
          <w:tcPr>
            <w:tcW w:type="dxa" w:w="6192"/>
          </w:tcPr>
          <w:p>
            <w:pPr>
              <w:spacing w:after="20"/>
            </w:pPr>
            <w:r>
              <w:rPr>
                <w:b/>
                <w:color w:val="1C3A36"/>
                <w:sz w:val="18"/>
              </w:rPr>
              <w:t>÷ shares outstanding (mn)</w:t>
            </w:r>
          </w:p>
        </w:tc>
        <w:tc>
          <w:tcPr>
            <w:tcW w:type="dxa" w:w="3888"/>
          </w:tcPr>
          <w:p>
            <w:pPr>
              <w:spacing w:after="20"/>
              <w:jc w:val="right"/>
            </w:pPr>
            <w:r>
              <w:rPr>
                <w:color w:val="1C3A36"/>
                <w:sz w:val="18"/>
              </w:rPr>
              <w:t>3,632</w:t>
            </w:r>
          </w:p>
        </w:tc>
      </w:tr>
      <w:tr>
        <w:tc>
          <w:tcPr>
            <w:tcW w:type="dxa" w:w="6192"/>
            <w:shd w:val="clear" w:color="auto" w:fill="F6F1E6"/>
          </w:tcPr>
          <w:p>
            <w:pPr>
              <w:spacing w:after="20"/>
            </w:pPr>
            <w:r>
              <w:rPr>
                <w:b/>
                <w:color w:val="1C3A36"/>
                <w:sz w:val="18"/>
              </w:rPr>
              <w:t>FCFE value per share</w:t>
            </w:r>
          </w:p>
        </w:tc>
        <w:tc>
          <w:tcPr>
            <w:tcW w:type="dxa" w:w="3888"/>
            <w:shd w:val="clear" w:color="auto" w:fill="F6F1E6"/>
          </w:tcPr>
          <w:p>
            <w:pPr>
              <w:spacing w:after="20"/>
              <w:jc w:val="right"/>
            </w:pPr>
            <w:r>
              <w:rPr>
                <w:b/>
                <w:color w:val="1C3A36"/>
                <w:sz w:val="18"/>
              </w:rPr>
              <w:t>AED 23.48</w:t>
            </w:r>
          </w:p>
        </w:tc>
      </w:tr>
      <w:tr>
        <w:tc>
          <w:tcPr>
            <w:tcW w:type="dxa" w:w="6192"/>
          </w:tcPr>
          <w:p>
            <w:pPr>
              <w:spacing w:after="20"/>
            </w:pPr>
            <w:r>
              <w:rPr>
                <w:b/>
                <w:color w:val="1C3A36"/>
                <w:sz w:val="18"/>
              </w:rPr>
              <w:t>Memo: terminal value as % of equity value</w:t>
            </w:r>
          </w:p>
        </w:tc>
        <w:tc>
          <w:tcPr>
            <w:tcW w:type="dxa" w:w="3888"/>
          </w:tcPr>
          <w:p>
            <w:pPr>
              <w:spacing w:after="20"/>
              <w:jc w:val="right"/>
            </w:pPr>
            <w:r>
              <w:rPr>
                <w:color w:val="1C3A36"/>
                <w:sz w:val="18"/>
              </w:rPr>
              <w:t>78%</w:t>
            </w:r>
          </w:p>
        </w:tc>
      </w:tr>
    </w:tbl>
    <w:p>
      <w:pPr>
        <w:spacing w:after="40"/>
      </w:pPr>
    </w:p>
    <w:p>
      <w:pPr>
        <w:spacing w:after="120" w:before="0"/>
      </w:pPr>
      <w:r>
        <w:rPr>
          <w:b w:val="0"/>
          <w:i w:val="0"/>
          <w:color w:val="1C3A36"/>
          <w:sz w:val="21"/>
        </w:rPr>
        <w:t>The equity DCF lands at AED 23.48, AED 0.94 above the dividend model — and the reason is precise rather than decorative. The two lenses share one terminal steady state, so they can differ only inside the explicit window. Inside that window, ADIB generates more capital than a 50% payout distributes: as financing growth glides from 13% to 9%, the retained half of a rising profit stream starts to exceed what risk-weighted-asset growth consumes. The surplus runs from AED 608mn in FY26 to AED 1,488mn in FY30, and its present value is exactly AED 0.94 per share. That is the whole of the gap between the two numbers — not a modelling artefact, but the value of cash the board has not yet promised.</w:t>
      </w:r>
    </w:p>
    <w:p>
      <w:pPr>
        <w:spacing w:after="80" w:before="200"/>
      </w:pPr>
      <w:r>
        <w:rPr>
          <w:b/>
          <w:i w:val="0"/>
          <w:color w:val="1C3A36"/>
          <w:sz w:val="24"/>
        </w:rPr>
        <w:t>1.3  Residual income — book value plus the value of excess returns</w:t>
      </w:r>
    </w:p>
    <w:p>
      <w:pPr>
        <w:spacing w:after="120" w:before="0"/>
      </w:pPr>
      <w:r>
        <w:rPr>
          <w:b w:val="0"/>
          <w:i w:val="0"/>
          <w:color w:val="1C3A36"/>
          <w:sz w:val="21"/>
        </w:rPr>
        <w:t>Residual income starts from what shareholders already own — AED 26,067mn of common equity at December 2025, after separating out the AED 4,754mn of Tier-1 sukuk and AED 1,548mn of minority interests, both of which ADIB discloses on the face of its balance sheet — and adds only the present value of returns earned above the cost of equity. It is the lens least dependent on a terminal assumption, and under clean-surplus accounting it must reconcile exactly to the dividend model. It does: both give AED 22.54. That agreement is not a coincidence to be admired; it is an arithmetic identity, and its purpose is to prove the model has no leak in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808"/>
            <w:shd w:val="clear" w:color="auto" w:fill="EAF0EE"/>
          </w:tcPr>
          <w:p>
            <w:pPr>
              <w:spacing w:after="20"/>
            </w:pPr>
            <w:r>
              <w:rPr>
                <w:b/>
                <w:color w:val="1C3A36"/>
                <w:sz w:val="18"/>
              </w:rPr>
              <w:t>AED mn</w:t>
            </w:r>
          </w:p>
        </w:tc>
        <w:tc>
          <w:tcPr>
            <w:tcW w:type="dxa" w:w="1454"/>
            <w:shd w:val="clear" w:color="auto" w:fill="EAF0EE"/>
          </w:tcPr>
          <w:p>
            <w:pPr>
              <w:spacing w:after="20"/>
            </w:pPr>
            <w:r>
              <w:rPr>
                <w:b/>
                <w:color w:val="1C3A36"/>
                <w:sz w:val="18"/>
              </w:rPr>
              <w:t>FY26E</w:t>
            </w:r>
          </w:p>
        </w:tc>
        <w:tc>
          <w:tcPr>
            <w:tcW w:type="dxa" w:w="1454"/>
            <w:shd w:val="clear" w:color="auto" w:fill="EAF0EE"/>
          </w:tcPr>
          <w:p>
            <w:pPr>
              <w:spacing w:after="20"/>
            </w:pPr>
            <w:r>
              <w:rPr>
                <w:b/>
                <w:color w:val="1C3A36"/>
                <w:sz w:val="18"/>
              </w:rPr>
              <w:t>FY27E</w:t>
            </w:r>
          </w:p>
        </w:tc>
        <w:tc>
          <w:tcPr>
            <w:tcW w:type="dxa" w:w="1454"/>
            <w:shd w:val="clear" w:color="auto" w:fill="EAF0EE"/>
          </w:tcPr>
          <w:p>
            <w:pPr>
              <w:spacing w:after="20"/>
            </w:pPr>
            <w:r>
              <w:rPr>
                <w:b/>
                <w:color w:val="1C3A36"/>
                <w:sz w:val="18"/>
              </w:rPr>
              <w:t>FY28E</w:t>
            </w:r>
          </w:p>
        </w:tc>
        <w:tc>
          <w:tcPr>
            <w:tcW w:type="dxa" w:w="1454"/>
            <w:shd w:val="clear" w:color="auto" w:fill="EAF0EE"/>
          </w:tcPr>
          <w:p>
            <w:pPr>
              <w:spacing w:after="20"/>
            </w:pPr>
            <w:r>
              <w:rPr>
                <w:b/>
                <w:color w:val="1C3A36"/>
                <w:sz w:val="18"/>
              </w:rPr>
              <w:t>FY29E</w:t>
            </w:r>
          </w:p>
        </w:tc>
        <w:tc>
          <w:tcPr>
            <w:tcW w:type="dxa" w:w="1454"/>
            <w:shd w:val="clear" w:color="auto" w:fill="EAF0EE"/>
          </w:tcPr>
          <w:p>
            <w:pPr>
              <w:spacing w:after="20"/>
            </w:pPr>
            <w:r>
              <w:rPr>
                <w:b/>
                <w:color w:val="1C3A36"/>
                <w:sz w:val="18"/>
              </w:rPr>
              <w:t>FY30E</w:t>
            </w:r>
          </w:p>
        </w:tc>
      </w:tr>
      <w:tr>
        <w:tc>
          <w:tcPr>
            <w:tcW w:type="dxa" w:w="2808"/>
          </w:tcPr>
          <w:p>
            <w:pPr>
              <w:spacing w:after="20"/>
            </w:pPr>
            <w:r>
              <w:rPr>
                <w:b/>
                <w:color w:val="1C3A36"/>
                <w:sz w:val="18"/>
              </w:rPr>
              <w:t>Opening common equity</w:t>
            </w:r>
          </w:p>
        </w:tc>
        <w:tc>
          <w:tcPr>
            <w:tcW w:type="dxa" w:w="1454"/>
          </w:tcPr>
          <w:p>
            <w:pPr>
              <w:spacing w:after="20"/>
              <w:jc w:val="right"/>
            </w:pPr>
            <w:r>
              <w:rPr>
                <w:color w:val="1C3A36"/>
                <w:sz w:val="18"/>
              </w:rPr>
              <w:t>26,067</w:t>
            </w:r>
          </w:p>
        </w:tc>
        <w:tc>
          <w:tcPr>
            <w:tcW w:type="dxa" w:w="1454"/>
          </w:tcPr>
          <w:p>
            <w:pPr>
              <w:spacing w:after="20"/>
              <w:jc w:val="right"/>
            </w:pPr>
            <w:r>
              <w:rPr>
                <w:color w:val="1C3A36"/>
                <w:sz w:val="18"/>
              </w:rPr>
              <w:t>29,402</w:t>
            </w:r>
          </w:p>
        </w:tc>
        <w:tc>
          <w:tcPr>
            <w:tcW w:type="dxa" w:w="1454"/>
          </w:tcPr>
          <w:p>
            <w:pPr>
              <w:spacing w:after="20"/>
              <w:jc w:val="right"/>
            </w:pPr>
            <w:r>
              <w:rPr>
                <w:color w:val="1C3A36"/>
                <w:sz w:val="18"/>
              </w:rPr>
              <w:t>32,942</w:t>
            </w:r>
          </w:p>
        </w:tc>
        <w:tc>
          <w:tcPr>
            <w:tcW w:type="dxa" w:w="1454"/>
          </w:tcPr>
          <w:p>
            <w:pPr>
              <w:spacing w:after="20"/>
              <w:jc w:val="right"/>
            </w:pPr>
            <w:r>
              <w:rPr>
                <w:color w:val="1C3A36"/>
                <w:sz w:val="18"/>
              </w:rPr>
              <w:t>36,787</w:t>
            </w:r>
          </w:p>
        </w:tc>
        <w:tc>
          <w:tcPr>
            <w:tcW w:type="dxa" w:w="1454"/>
          </w:tcPr>
          <w:p>
            <w:pPr>
              <w:spacing w:after="20"/>
              <w:jc w:val="right"/>
            </w:pPr>
            <w:r>
              <w:rPr>
                <w:color w:val="1C3A36"/>
                <w:sz w:val="18"/>
              </w:rPr>
              <w:t>40,943</w:t>
            </w:r>
          </w:p>
        </w:tc>
      </w:tr>
      <w:tr>
        <w:tc>
          <w:tcPr>
            <w:tcW w:type="dxa" w:w="2808"/>
          </w:tcPr>
          <w:p>
            <w:pPr>
              <w:spacing w:after="20"/>
            </w:pPr>
            <w:r>
              <w:rPr>
                <w:b/>
                <w:color w:val="1C3A36"/>
                <w:sz w:val="18"/>
              </w:rPr>
              <w:t>Equity charge (Ke 10.57% × opening)</w:t>
            </w:r>
          </w:p>
        </w:tc>
        <w:tc>
          <w:tcPr>
            <w:tcW w:type="dxa" w:w="1454"/>
          </w:tcPr>
          <w:p>
            <w:pPr>
              <w:spacing w:after="20"/>
              <w:jc w:val="right"/>
            </w:pPr>
            <w:r>
              <w:rPr>
                <w:color w:val="1C3A36"/>
                <w:sz w:val="18"/>
              </w:rPr>
              <w:t>-2,755</w:t>
            </w:r>
          </w:p>
        </w:tc>
        <w:tc>
          <w:tcPr>
            <w:tcW w:type="dxa" w:w="1454"/>
          </w:tcPr>
          <w:p>
            <w:pPr>
              <w:spacing w:after="20"/>
              <w:jc w:val="right"/>
            </w:pPr>
            <w:r>
              <w:rPr>
                <w:color w:val="1C3A36"/>
                <w:sz w:val="18"/>
              </w:rPr>
              <w:t>-3,108</w:t>
            </w:r>
          </w:p>
        </w:tc>
        <w:tc>
          <w:tcPr>
            <w:tcW w:type="dxa" w:w="1454"/>
          </w:tcPr>
          <w:p>
            <w:pPr>
              <w:spacing w:after="20"/>
              <w:jc w:val="right"/>
            </w:pPr>
            <w:r>
              <w:rPr>
                <w:color w:val="1C3A36"/>
                <w:sz w:val="18"/>
              </w:rPr>
              <w:t>-3,482</w:t>
            </w:r>
          </w:p>
        </w:tc>
        <w:tc>
          <w:tcPr>
            <w:tcW w:type="dxa" w:w="1454"/>
          </w:tcPr>
          <w:p>
            <w:pPr>
              <w:spacing w:after="20"/>
              <w:jc w:val="right"/>
            </w:pPr>
            <w:r>
              <w:rPr>
                <w:color w:val="1C3A36"/>
                <w:sz w:val="18"/>
              </w:rPr>
              <w:t>-3,888</w:t>
            </w:r>
          </w:p>
        </w:tc>
        <w:tc>
          <w:tcPr>
            <w:tcW w:type="dxa" w:w="1454"/>
          </w:tcPr>
          <w:p>
            <w:pPr>
              <w:spacing w:after="20"/>
              <w:jc w:val="right"/>
            </w:pPr>
            <w:r>
              <w:rPr>
                <w:color w:val="1C3A36"/>
                <w:sz w:val="18"/>
              </w:rPr>
              <w:t>-4,328</w:t>
            </w:r>
          </w:p>
        </w:tc>
      </w:tr>
      <w:tr>
        <w:tc>
          <w:tcPr>
            <w:tcW w:type="dxa" w:w="2808"/>
          </w:tcPr>
          <w:p>
            <w:pPr>
              <w:spacing w:after="20"/>
            </w:pPr>
            <w:r>
              <w:rPr>
                <w:b/>
                <w:color w:val="1C3A36"/>
                <w:sz w:val="18"/>
              </w:rPr>
              <w:t>Attributable profit</w:t>
            </w:r>
          </w:p>
        </w:tc>
        <w:tc>
          <w:tcPr>
            <w:tcW w:type="dxa" w:w="1454"/>
          </w:tcPr>
          <w:p>
            <w:pPr>
              <w:spacing w:after="20"/>
              <w:jc w:val="right"/>
            </w:pPr>
            <w:r>
              <w:rPr>
                <w:color w:val="1C3A36"/>
                <w:sz w:val="18"/>
              </w:rPr>
              <w:t>6,669</w:t>
            </w:r>
          </w:p>
        </w:tc>
        <w:tc>
          <w:tcPr>
            <w:tcW w:type="dxa" w:w="1454"/>
          </w:tcPr>
          <w:p>
            <w:pPr>
              <w:spacing w:after="20"/>
              <w:jc w:val="right"/>
            </w:pPr>
            <w:r>
              <w:rPr>
                <w:color w:val="1C3A36"/>
                <w:sz w:val="18"/>
              </w:rPr>
              <w:t>7,080</w:t>
            </w:r>
          </w:p>
        </w:tc>
        <w:tc>
          <w:tcPr>
            <w:tcW w:type="dxa" w:w="1454"/>
          </w:tcPr>
          <w:p>
            <w:pPr>
              <w:spacing w:after="20"/>
              <w:jc w:val="right"/>
            </w:pPr>
            <w:r>
              <w:rPr>
                <w:color w:val="1C3A36"/>
                <w:sz w:val="18"/>
              </w:rPr>
              <w:t>7,849</w:t>
            </w:r>
          </w:p>
        </w:tc>
        <w:tc>
          <w:tcPr>
            <w:tcW w:type="dxa" w:w="1454"/>
          </w:tcPr>
          <w:p>
            <w:pPr>
              <w:spacing w:after="20"/>
              <w:jc w:val="right"/>
            </w:pPr>
            <w:r>
              <w:rPr>
                <w:color w:val="1C3A36"/>
                <w:sz w:val="18"/>
              </w:rPr>
              <w:t>8,658</w:t>
            </w:r>
          </w:p>
        </w:tc>
        <w:tc>
          <w:tcPr>
            <w:tcW w:type="dxa" w:w="1454"/>
          </w:tcPr>
          <w:p>
            <w:pPr>
              <w:spacing w:after="20"/>
              <w:jc w:val="right"/>
            </w:pPr>
            <w:r>
              <w:rPr>
                <w:color w:val="1C3A36"/>
                <w:sz w:val="18"/>
              </w:rPr>
              <w:t>9,528</w:t>
            </w:r>
          </w:p>
        </w:tc>
      </w:tr>
      <w:tr>
        <w:tc>
          <w:tcPr>
            <w:tcW w:type="dxa" w:w="2808"/>
            <w:shd w:val="clear" w:color="auto" w:fill="F6F1E6"/>
          </w:tcPr>
          <w:p>
            <w:pPr>
              <w:spacing w:after="20"/>
            </w:pPr>
            <w:r>
              <w:rPr>
                <w:b/>
                <w:color w:val="1C3A36"/>
                <w:sz w:val="18"/>
              </w:rPr>
              <w:t>Residual income</w:t>
            </w:r>
          </w:p>
        </w:tc>
        <w:tc>
          <w:tcPr>
            <w:tcW w:type="dxa" w:w="1454"/>
            <w:shd w:val="clear" w:color="auto" w:fill="F6F1E6"/>
          </w:tcPr>
          <w:p>
            <w:pPr>
              <w:spacing w:after="20"/>
              <w:jc w:val="right"/>
            </w:pPr>
            <w:r>
              <w:rPr>
                <w:b/>
                <w:color w:val="1C3A36"/>
                <w:sz w:val="18"/>
              </w:rPr>
              <w:t>3,914</w:t>
            </w:r>
          </w:p>
        </w:tc>
        <w:tc>
          <w:tcPr>
            <w:tcW w:type="dxa" w:w="1454"/>
            <w:shd w:val="clear" w:color="auto" w:fill="F6F1E6"/>
          </w:tcPr>
          <w:p>
            <w:pPr>
              <w:spacing w:after="20"/>
              <w:jc w:val="right"/>
            </w:pPr>
            <w:r>
              <w:rPr>
                <w:b/>
                <w:color w:val="1C3A36"/>
                <w:sz w:val="18"/>
              </w:rPr>
              <w:t>3,972</w:t>
            </w:r>
          </w:p>
        </w:tc>
        <w:tc>
          <w:tcPr>
            <w:tcW w:type="dxa" w:w="1454"/>
            <w:shd w:val="clear" w:color="auto" w:fill="F6F1E6"/>
          </w:tcPr>
          <w:p>
            <w:pPr>
              <w:spacing w:after="20"/>
              <w:jc w:val="right"/>
            </w:pPr>
            <w:r>
              <w:rPr>
                <w:b/>
                <w:color w:val="1C3A36"/>
                <w:sz w:val="18"/>
              </w:rPr>
              <w:t>4,367</w:t>
            </w:r>
          </w:p>
        </w:tc>
        <w:tc>
          <w:tcPr>
            <w:tcW w:type="dxa" w:w="1454"/>
            <w:shd w:val="clear" w:color="auto" w:fill="F6F1E6"/>
          </w:tcPr>
          <w:p>
            <w:pPr>
              <w:spacing w:after="20"/>
              <w:jc w:val="right"/>
            </w:pPr>
            <w:r>
              <w:rPr>
                <w:b/>
                <w:color w:val="1C3A36"/>
                <w:sz w:val="18"/>
              </w:rPr>
              <w:t>4,769</w:t>
            </w:r>
          </w:p>
        </w:tc>
        <w:tc>
          <w:tcPr>
            <w:tcW w:type="dxa" w:w="1454"/>
            <w:shd w:val="clear" w:color="auto" w:fill="F6F1E6"/>
          </w:tcPr>
          <w:p>
            <w:pPr>
              <w:spacing w:after="20"/>
              <w:jc w:val="right"/>
            </w:pPr>
            <w:r>
              <w:rPr>
                <w:b/>
                <w:color w:val="1C3A36"/>
                <w:sz w:val="18"/>
              </w:rPr>
              <w:t>5,201</w:t>
            </w:r>
          </w:p>
        </w:tc>
      </w:tr>
    </w:tbl>
    <w:p>
      <w:pPr>
        <w:spacing w:after="40"/>
      </w:pPr>
    </w:p>
    <w:p>
      <w:pPr>
        <w:spacing w:after="120" w:before="0"/>
      </w:pPr>
      <w:r>
        <w:rPr>
          <w:b w:val="0"/>
          <w:i w:val="0"/>
          <w:color w:val="1C3A36"/>
          <w:sz w:val="21"/>
        </w:rPr>
        <w:t>Book AED 26,067mn + PV of explicit residual income AED 16,357mn + PV of terminal residual income AED 39,448mn = AED 81,872mn, or AED 22.54 per share — an implied 3.14× on current common book. Because ADIB earns 22–24% against a 10.6% cost of equity across the forecast, the excess-return engine is doing almost all the work: the starting book is only 32% of the answer. That is the honest reading of a bank trading above three times book — you are not buying assets, you are buying a spread.</w:t>
      </w:r>
    </w:p>
    <w:p>
      <w:pPr>
        <w:spacing w:after="80" w:before="200"/>
      </w:pPr>
      <w:r>
        <w:rPr>
          <w:b/>
          <w:i w:val="0"/>
          <w:color w:val="1C3A36"/>
          <w:sz w:val="24"/>
        </w:rPr>
        <w:t>1.4  Relative multiples — what the sector pays for a bank that earns this much</w:t>
      </w:r>
    </w:p>
    <w:p>
      <w:pPr>
        <w:spacing w:after="120" w:before="0"/>
      </w:pPr>
      <w:r>
        <w:rPr>
          <w:b w:val="0"/>
          <w:i w:val="0"/>
          <w:color w:val="1C3A36"/>
          <w:sz w:val="21"/>
        </w:rPr>
        <w:t>This is the disciplining lens, and it needs to be built carefully, because the naive version of it is wrong. Applying the sector's 1.55× price-to-book to ADIB's book would value a bank earning 28.8% as though it earned 18.3%, which is not a valuation but a category error. The arithmetic that governs bank multiples says a justified price-to-book is linear in (ROE − g), not proportional to ROE. So the sector's own mark tells us what one point of return on equity is worth in this market today — and ADIB's premium has to be earned on that scale.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The ROE-justified line</w:t>
            </w:r>
          </w:p>
        </w:tc>
        <w:tc>
          <w:tcPr>
            <w:tcW w:type="dxa" w:w="3888"/>
            <w:shd w:val="clear" w:color="auto" w:fill="EAF0EE"/>
          </w:tcPr>
          <w:p>
            <w:pPr>
              <w:spacing w:after="20"/>
            </w:pPr>
            <w:r>
              <w:rPr>
                <w:b/>
                <w:color w:val="1C3A36"/>
                <w:sz w:val="18"/>
              </w:rPr>
              <w:t>Value</w:t>
            </w:r>
          </w:p>
        </w:tc>
      </w:tr>
      <w:tr>
        <w:tc>
          <w:tcPr>
            <w:tcW w:type="dxa" w:w="6192"/>
          </w:tcPr>
          <w:p>
            <w:pPr>
              <w:spacing w:after="20"/>
            </w:pPr>
            <w:r>
              <w:rPr>
                <w:b/>
                <w:color w:val="1C3A36"/>
                <w:sz w:val="18"/>
              </w:rPr>
              <w:t>UAE bank sector P/B (large-cap band)</w:t>
            </w:r>
          </w:p>
        </w:tc>
        <w:tc>
          <w:tcPr>
            <w:tcW w:type="dxa" w:w="3888"/>
          </w:tcPr>
          <w:p>
            <w:pPr>
              <w:spacing w:after="20"/>
              <w:jc w:val="right"/>
            </w:pPr>
            <w:r>
              <w:rPr>
                <w:color w:val="1C3A36"/>
                <w:sz w:val="18"/>
              </w:rPr>
              <w:t>1.55x</w:t>
            </w:r>
          </w:p>
        </w:tc>
      </w:tr>
      <w:tr>
        <w:tc>
          <w:tcPr>
            <w:tcW w:type="dxa" w:w="6192"/>
          </w:tcPr>
          <w:p>
            <w:pPr>
              <w:spacing w:after="20"/>
            </w:pPr>
            <w:r>
              <w:rPr>
                <w:b/>
                <w:color w:val="1C3A36"/>
                <w:sz w:val="18"/>
              </w:rPr>
              <w:t>UAE bank sector ROE</w:t>
            </w:r>
          </w:p>
        </w:tc>
        <w:tc>
          <w:tcPr>
            <w:tcW w:type="dxa" w:w="3888"/>
          </w:tcPr>
          <w:p>
            <w:pPr>
              <w:spacing w:after="20"/>
              <w:jc w:val="right"/>
            </w:pPr>
            <w:r>
              <w:rPr>
                <w:color w:val="1C3A36"/>
                <w:sz w:val="18"/>
              </w:rPr>
              <w:t>18.3%</w:t>
            </w:r>
          </w:p>
        </w:tc>
      </w:tr>
      <w:tr>
        <w:tc>
          <w:tcPr>
            <w:tcW w:type="dxa" w:w="6192"/>
          </w:tcPr>
          <w:p>
            <w:pPr>
              <w:spacing w:after="20"/>
            </w:pPr>
            <w:r>
              <w:rPr>
                <w:b/>
                <w:color w:val="1C3A36"/>
                <w:sz w:val="18"/>
              </w:rPr>
              <w:t>ADIB ROE (FY25 reported — like-for-like with the sector mark)</w:t>
            </w:r>
          </w:p>
        </w:tc>
        <w:tc>
          <w:tcPr>
            <w:tcW w:type="dxa" w:w="3888"/>
          </w:tcPr>
          <w:p>
            <w:pPr>
              <w:spacing w:after="20"/>
              <w:jc w:val="right"/>
            </w:pPr>
            <w:r>
              <w:rPr>
                <w:color w:val="1C3A36"/>
                <w:sz w:val="18"/>
              </w:rPr>
              <w:t>28.8%</w:t>
            </w:r>
          </w:p>
        </w:tc>
      </w:tr>
      <w:tr>
        <w:tc>
          <w:tcPr>
            <w:tcW w:type="dxa" w:w="6192"/>
          </w:tcPr>
          <w:p>
            <w:pPr>
              <w:spacing w:after="20"/>
            </w:pPr>
            <w:r>
              <w:rPr>
                <w:b/>
                <w:color w:val="1C3A36"/>
                <w:sz w:val="18"/>
              </w:rPr>
              <w:t>ROE-justified premium = (28.8% − 4%) / (18.3% − 4%)</w:t>
            </w:r>
          </w:p>
        </w:tc>
        <w:tc>
          <w:tcPr>
            <w:tcW w:type="dxa" w:w="3888"/>
          </w:tcPr>
          <w:p>
            <w:pPr>
              <w:spacing w:after="20"/>
              <w:jc w:val="right"/>
            </w:pPr>
            <w:r>
              <w:rPr>
                <w:color w:val="1C3A36"/>
                <w:sz w:val="18"/>
              </w:rPr>
              <w:t>1.73x</w:t>
            </w:r>
          </w:p>
        </w:tc>
      </w:tr>
      <w:tr>
        <w:tc>
          <w:tcPr>
            <w:tcW w:type="dxa" w:w="6192"/>
          </w:tcPr>
          <w:p>
            <w:pPr>
              <w:spacing w:after="20"/>
            </w:pPr>
            <w:r>
              <w:rPr>
                <w:b/>
                <w:color w:val="1C3A36"/>
                <w:sz w:val="18"/>
              </w:rPr>
              <w:t>Justified P/B = sector P/B × premium</w:t>
            </w:r>
          </w:p>
        </w:tc>
        <w:tc>
          <w:tcPr>
            <w:tcW w:type="dxa" w:w="3888"/>
          </w:tcPr>
          <w:p>
            <w:pPr>
              <w:spacing w:after="20"/>
              <w:jc w:val="right"/>
            </w:pPr>
            <w:r>
              <w:rPr>
                <w:color w:val="1C3A36"/>
                <w:sz w:val="18"/>
              </w:rPr>
              <w:t>2.69x</w:t>
            </w:r>
          </w:p>
        </w:tc>
      </w:tr>
      <w:tr>
        <w:tc>
          <w:tcPr>
            <w:tcW w:type="dxa" w:w="6192"/>
          </w:tcPr>
          <w:p>
            <w:pPr>
              <w:spacing w:after="20"/>
            </w:pPr>
            <w:r>
              <w:rPr>
                <w:b/>
                <w:color w:val="1C3A36"/>
                <w:sz w:val="18"/>
              </w:rPr>
              <w:t>× BVPS (latest reported, Q1-26)</w:t>
            </w:r>
          </w:p>
        </w:tc>
        <w:tc>
          <w:tcPr>
            <w:tcW w:type="dxa" w:w="3888"/>
          </w:tcPr>
          <w:p>
            <w:pPr>
              <w:spacing w:after="20"/>
              <w:jc w:val="right"/>
            </w:pPr>
            <w:r>
              <w:rPr>
                <w:color w:val="1C3A36"/>
                <w:sz w:val="18"/>
              </w:rPr>
              <w:t>AED 6.571</w:t>
            </w:r>
          </w:p>
        </w:tc>
      </w:tr>
      <w:tr>
        <w:tc>
          <w:tcPr>
            <w:tcW w:type="dxa" w:w="6192"/>
          </w:tcPr>
          <w:p>
            <w:pPr>
              <w:spacing w:after="20"/>
            </w:pPr>
            <w:r>
              <w:rPr>
                <w:b/>
                <w:color w:val="1C3A36"/>
                <w:sz w:val="18"/>
              </w:rPr>
              <w:t>Value on the P/B route</w:t>
            </w:r>
          </w:p>
        </w:tc>
        <w:tc>
          <w:tcPr>
            <w:tcW w:type="dxa" w:w="3888"/>
          </w:tcPr>
          <w:p>
            <w:pPr>
              <w:spacing w:after="20"/>
              <w:jc w:val="right"/>
            </w:pPr>
            <w:r>
              <w:rPr>
                <w:color w:val="1C3A36"/>
                <w:sz w:val="18"/>
              </w:rPr>
              <w:t>AED 17.66</w:t>
            </w:r>
          </w:p>
        </w:tc>
      </w:tr>
      <w:tr>
        <w:tc>
          <w:tcPr>
            <w:tcW w:type="dxa" w:w="6192"/>
          </w:tcPr>
          <w:p>
            <w:pPr>
              <w:spacing w:after="20"/>
            </w:pPr>
            <w:r>
              <w:rPr>
                <w:b/>
                <w:color w:val="1C3A36"/>
                <w:sz w:val="18"/>
              </w:rPr>
              <w:t>Value on the P/E route (justified fwd P/E 9.9x × FY26E EPS)</w:t>
            </w:r>
          </w:p>
        </w:tc>
        <w:tc>
          <w:tcPr>
            <w:tcW w:type="dxa" w:w="3888"/>
          </w:tcPr>
          <w:p>
            <w:pPr>
              <w:spacing w:after="20"/>
              <w:jc w:val="right"/>
            </w:pPr>
            <w:r>
              <w:rPr>
                <w:color w:val="1C3A36"/>
                <w:sz w:val="18"/>
              </w:rPr>
              <w:t>AED 18.21</w:t>
            </w:r>
          </w:p>
        </w:tc>
      </w:tr>
      <w:tr>
        <w:tc>
          <w:tcPr>
            <w:tcW w:type="dxa" w:w="6192"/>
            <w:shd w:val="clear" w:color="auto" w:fill="F6F1E6"/>
          </w:tcPr>
          <w:p>
            <w:pPr>
              <w:spacing w:after="20"/>
            </w:pPr>
            <w:r>
              <w:rPr>
                <w:b/>
                <w:color w:val="1C3A36"/>
                <w:sz w:val="18"/>
              </w:rPr>
              <w:t>RELATIVE FAIR VALUE (average of the two routes)</w:t>
            </w:r>
          </w:p>
        </w:tc>
        <w:tc>
          <w:tcPr>
            <w:tcW w:type="dxa" w:w="3888"/>
            <w:shd w:val="clear" w:color="auto" w:fill="F6F1E6"/>
          </w:tcPr>
          <w:p>
            <w:pPr>
              <w:spacing w:after="20"/>
              <w:jc w:val="right"/>
            </w:pPr>
            <w:r>
              <w:rPr>
                <w:b/>
                <w:color w:val="1C3A36"/>
                <w:sz w:val="18"/>
              </w:rPr>
              <w:t>AED 17.94</w:t>
            </w:r>
          </w:p>
        </w:tc>
      </w:tr>
      <w:tr>
        <w:tc>
          <w:tcPr>
            <w:tcW w:type="dxa" w:w="6192"/>
          </w:tcPr>
          <w:p>
            <w:pPr>
              <w:spacing w:after="20"/>
            </w:pPr>
            <w:r>
              <w:rPr>
                <w:b/>
                <w:color w:val="1C3A36"/>
                <w:sz w:val="18"/>
              </w:rPr>
              <w:t>Dual frame — the same lens on A&amp;M's 1.64x P/TBV mark instead</w:t>
            </w:r>
          </w:p>
        </w:tc>
        <w:tc>
          <w:tcPr>
            <w:tcW w:type="dxa" w:w="3888"/>
          </w:tcPr>
          <w:p>
            <w:pPr>
              <w:spacing w:after="20"/>
              <w:jc w:val="right"/>
            </w:pPr>
            <w:r>
              <w:rPr>
                <w:color w:val="1C3A36"/>
                <w:sz w:val="18"/>
              </w:rPr>
              <w:t>2.84x → AED 18.45</w:t>
            </w:r>
          </w:p>
        </w:tc>
      </w:tr>
      <w:tr>
        <w:tc>
          <w:tcPr>
            <w:tcW w:type="dxa" w:w="6192"/>
          </w:tcPr>
          <w:p>
            <w:pPr>
              <w:spacing w:after="20"/>
            </w:pPr>
            <w:r>
              <w:rPr>
                <w:b/>
                <w:color w:val="1C3A36"/>
                <w:sz w:val="18"/>
              </w:rPr>
              <w:t>— where ADIB actually trades</w:t>
            </w:r>
          </w:p>
        </w:tc>
        <w:tc>
          <w:tcPr>
            <w:tcW w:type="dxa" w:w="3888"/>
          </w:tcPr>
          <w:p>
            <w:pPr>
              <w:spacing w:after="20"/>
              <w:jc w:val="right"/>
            </w:pPr>
            <w:r>
              <w:rPr>
                <w:color w:val="1C3A36"/>
                <w:sz w:val="18"/>
              </w:rPr>
              <w:t>3.31x = AED 21.76</w:t>
            </w:r>
          </w:p>
        </w:tc>
      </w:tr>
      <w:tr>
        <w:tc>
          <w:tcPr>
            <w:tcW w:type="dxa" w:w="6192"/>
            <w:shd w:val="clear" w:color="auto" w:fill="F6F1E6"/>
          </w:tcPr>
          <w:p>
            <w:pPr>
              <w:spacing w:after="20"/>
            </w:pPr>
            <w:r>
              <w:rPr>
                <w:b/>
                <w:color w:val="1C3A36"/>
                <w:sz w:val="18"/>
              </w:rPr>
              <w:t>— premium over its own ROE-justified value</w:t>
            </w:r>
          </w:p>
        </w:tc>
        <w:tc>
          <w:tcPr>
            <w:tcW w:type="dxa" w:w="3888"/>
            <w:shd w:val="clear" w:color="auto" w:fill="F6F1E6"/>
          </w:tcPr>
          <w:p>
            <w:pPr>
              <w:spacing w:after="20"/>
              <w:jc w:val="right"/>
            </w:pPr>
            <w:r>
              <w:rPr>
                <w:b/>
                <w:color w:val="1C3A36"/>
                <w:sz w:val="18"/>
              </w:rPr>
              <w:t>+23%  (on the 1.64x mark: +16%)</w:t>
            </w:r>
          </w:p>
        </w:tc>
      </w:tr>
    </w:tbl>
    <w:p>
      <w:pPr>
        <w:spacing w:after="40"/>
      </w:pPr>
    </w:p>
    <w:p>
      <w:pPr>
        <w:spacing w:after="120" w:before="0"/>
      </w:pPr>
      <w:r>
        <w:rPr>
          <w:b/>
          <w:i w:val="0"/>
          <w:color w:val="1C3A36"/>
          <w:sz w:val="21"/>
        </w:rPr>
        <w:t xml:space="preserve">Which sector mark, and why it barely matters. </w:t>
      </w:r>
      <w:r>
        <w:rPr>
          <w:b w:val="0"/>
          <w:i w:val="0"/>
          <w:color w:val="1C3A36"/>
          <w:sz w:val="21"/>
        </w:rPr>
        <w:t>Two legitimate marks exist and both are carried here to a value rather than to a footnote. The 1.55x price-to-book is the UAE large-cap band as at 10 July 2026 — measured at CURRENT prices, after the war de-rating, and therefore apples-to-apples with ADIB's own current price. Alvarez &amp; Marsal's 1.64x price-to-tangible-book is the FY2025 pulse, measured at FY2025 prices. Since ADIB carries negligible intangibles, the gap between the two is a PRICE-DATE difference, not a tangibility one. We use 1.55x as primary because it is the more current — but the choice hardly signifies: the relative lens moves from AED 17.94 to AED 18.45, and the weighted central from AED 21.23 to AED 21.33. About ten fils. Anyone who suspects the sector mark was chosen to engineer an answer can check that in one line.</w:t>
      </w:r>
    </w:p>
    <w:p>
      <w:pPr>
        <w:spacing w:after="120" w:before="0"/>
      </w:pPr>
      <w:r>
        <w:rPr>
          <w:b w:val="0"/>
          <w:i w:val="0"/>
          <w:color w:val="1C3A36"/>
          <w:sz w:val="21"/>
        </w:rPr>
        <w:t>One observation the dual frame surfaces. ADIB's own annual report puts its FY2025 price-to-book at 2.9x against a sector at 1.64x — a 1.77x premium at December prices. At today's price and today's 1.55x sector mark, that premium has widened to 1.96x. The stock has re-rated UP while its own sector de-rated. That is not an argument against ADIB; it is a precise statement of what has to keep going right.</w:t>
      </w:r>
    </w:p>
    <w:p>
      <w:pPr>
        <w:spacing w:after="40"/>
        <w:jc w:val="center"/>
      </w:pPr>
      <w:r>
        <w:drawing>
          <wp:inline xmlns:a="http://schemas.openxmlformats.org/drawingml/2006/main" xmlns:pic="http://schemas.openxmlformats.org/drawingml/2006/picture">
            <wp:extent cx="6309360" cy="2843054"/>
            <wp:docPr id="1" name="Picture 1"/>
            <wp:cNvGraphicFramePr>
              <a:graphicFrameLocks noChangeAspect="1"/>
            </wp:cNvGraphicFramePr>
            <a:graphic>
              <a:graphicData uri="http://schemas.openxmlformats.org/drawingml/2006/picture">
                <pic:pic>
                  <pic:nvPicPr>
                    <pic:cNvPr id="0" name="fig11_crux.png"/>
                    <pic:cNvPicPr/>
                  </pic:nvPicPr>
                  <pic:blipFill>
                    <a:blip r:embed="rId9"/>
                    <a:stretch>
                      <a:fillRect/>
                    </a:stretch>
                  </pic:blipFill>
                  <pic:spPr>
                    <a:xfrm>
                      <a:off x="0" y="0"/>
                      <a:ext cx="6309360" cy="2843054"/>
                    </a:xfrm>
                    <a:prstGeom prst="rect"/>
                  </pic:spPr>
                </pic:pic>
              </a:graphicData>
            </a:graphic>
          </wp:inline>
        </w:drawing>
      </w:r>
    </w:p>
    <w:p>
      <w:pPr>
        <w:spacing w:after="200" w:before="0"/>
      </w:pPr>
      <w:r>
        <w:rPr>
          <w:b w:val="0"/>
          <w:i/>
          <w:color w:val="6E7B77"/>
          <w:sz w:val="17"/>
        </w:rPr>
        <w:t>Figure 1 — The relative lens in one chart. The line is what the UAE sector pays for a point of return on equity. ADCB, the conventional Abu Dhabi comparator, sits almost exactly on it. ADIB's 28.8% ROE justifies 2.69× book — a large premium, honestly earned. It trades at 3.31×. The red arrow is the 23% the market is paying on top of what the return justifies, and it is the single most important gap in this document.</w:t>
      </w:r>
    </w:p>
    <w:p>
      <w:pPr>
        <w:spacing w:after="120" w:before="0"/>
      </w:pPr>
      <w:r>
        <w:rPr>
          <w:b w:val="0"/>
          <w:i w:val="0"/>
          <w:color w:val="1C3A36"/>
          <w:sz w:val="21"/>
        </w:rPr>
        <w:t>The message is clean and it is not the one a promotional note would write. ADIB is not cheap against its peers; it is expensive against them, even after giving it full credit for a return on equity ten points above the sector. The relative lens can only converge upward on the cash-flow lenses if one of two things happens: the whole UAE complex re-rates (de-escalation, a lower risk premium), or ADIB's ROE proves durable enough that a 25%-plus perpetual return stops looking heroic. Neither is impossible. Neither should be assumed.</w:t>
      </w:r>
    </w:p>
    <w:p>
      <w:pPr>
        <w:spacing w:after="80" w:before="200"/>
      </w:pPr>
      <w:r>
        <w:rPr>
          <w:b/>
          <w:i w:val="0"/>
          <w:color w:val="1C3A36"/>
          <w:sz w:val="24"/>
        </w:rPr>
        <w:t>1.5  Normalized-earnings value — the conservative, through-cycle case</w:t>
      </w:r>
    </w:p>
    <w:p>
      <w:pPr>
        <w:spacing w:after="120" w:before="0"/>
      </w:pPr>
      <w:r>
        <w:rPr>
          <w:b w:val="0"/>
          <w:i w:val="0"/>
          <w:color w:val="1C3A36"/>
          <w:sz w:val="21"/>
        </w:rPr>
        <w:t>This lens sets aside the current profitability surge and asks what ADIB is worth on mid-cycle earnings — but values those earnings at the multiple they actually warrant, rather than at an arbitrarily low one. A through-cycle return on equity of 23% is our normalized figure: below management's 25% 2030 target, and set against a five-year average of 23.8% that is itself depressed by the 2021–22 prints, when 8.9% of the book was non-performing and the cost of risk was 99 basis points. That legacy problem has been fixed; a flat five-year average would therefore understate the bank ADIB is now. A bank that sustainably earns 23% and grows at 4% is worth a price-to-book of (23% − 4%) ÷ (10.57% − 4%) = 2.89×, which on a book of AED 6.571 is AED 19.00 — an implied 12.6× on normalized earnings of AED 1.511, and about 13% below today's price. Valuing the earnings at the price-to-book their return justifies keeps this lens internally consistent with the other four, which all discount at the same cost of equity. The reading is deliberately sober: cut the run-rate back to mid-cycle and price it fairly, and ADIB is worth about a fifth less than it costs. This value sits close to the lower quartile of the three-month distribution in §3 (25th percentile AED 19.81) — a reminder that the conservative case is a modestly lower fair value, not a crash.</w:t>
      </w:r>
    </w:p>
    <w:p>
      <w:pPr>
        <w:spacing w:after="80" w:before="200"/>
      </w:pPr>
      <w:r>
        <w:rPr>
          <w:b/>
          <w:i w:val="0"/>
          <w:color w:val="1C3A36"/>
          <w:sz w:val="24"/>
        </w:rPr>
        <w:t>1.6  The driver build — how each assumption was set, then the machinery</w:t>
      </w:r>
    </w:p>
    <w:p>
      <w:pPr>
        <w:spacing w:after="120" w:before="0"/>
      </w:pPr>
      <w:r>
        <w:rPr>
          <w:b w:val="0"/>
          <w:i w:val="0"/>
          <w:color w:val="1C3A36"/>
          <w:sz w:val="21"/>
        </w:rPr>
        <w:t>Every forward driver below is tagged by how it was derived. Where ADIB discloses the underlying components, the driver is built up from them; where it does not, it is set top-down from the outcomes the bank does report and the guidance it has given. All of ADIB's drivers are top-down, for a specific and checkable reason: the bank reports blended results — net profit margin, cost-to-income, cost of risk — rather than the deposit-repricing betas, fee volumes or product unit economics a bottom-up build would need. We looked for each of those and recorded the searches that came back empty; they are in the register in Appendix B. Every row below names the evidence it rests 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232"/>
            <w:shd w:val="clear" w:color="auto" w:fill="EAF0EE"/>
          </w:tcPr>
          <w:p>
            <w:pPr>
              <w:spacing w:after="20"/>
            </w:pPr>
            <w:r>
              <w:rPr>
                <w:b/>
                <w:color w:val="1C3A36"/>
                <w:sz w:val="16"/>
              </w:rPr>
              <w:t>Driver</w:t>
            </w:r>
          </w:p>
        </w:tc>
        <w:tc>
          <w:tcPr>
            <w:tcW w:type="dxa" w:w="1368"/>
            <w:shd w:val="clear" w:color="auto" w:fill="EAF0EE"/>
          </w:tcPr>
          <w:p>
            <w:pPr>
              <w:spacing w:after="20"/>
            </w:pPr>
            <w:r>
              <w:rPr>
                <w:b/>
                <w:color w:val="1C3A36"/>
                <w:sz w:val="16"/>
              </w:rPr>
              <w:t>Mode</w:t>
            </w:r>
          </w:p>
        </w:tc>
        <w:tc>
          <w:tcPr>
            <w:tcW w:type="dxa" w:w="6480"/>
            <w:shd w:val="clear" w:color="auto" w:fill="EAF0EE"/>
          </w:tcPr>
          <w:p>
            <w:pPr>
              <w:spacing w:after="20"/>
            </w:pPr>
            <w:r>
              <w:rPr>
                <w:b/>
                <w:color w:val="1C3A36"/>
                <w:sz w:val="16"/>
              </w:rPr>
              <w:t>Justification, and the evidence it rests on</w:t>
            </w:r>
          </w:p>
        </w:tc>
      </w:tr>
      <w:tr>
        <w:tc>
          <w:tcPr>
            <w:tcW w:type="dxa" w:w="2232"/>
          </w:tcPr>
          <w:p>
            <w:pPr>
              <w:spacing w:after="20"/>
            </w:pPr>
            <w:r>
              <w:rPr>
                <w:b/>
                <w:color w:val="1C3A36"/>
                <w:sz w:val="16"/>
              </w:rPr>
              <w:t>Gross financing growth</w:t>
              <w:br/>
              <w:t>13% → 9%</w:t>
            </w:r>
          </w:p>
        </w:tc>
        <w:tc>
          <w:tcPr>
            <w:tcW w:type="dxa" w:w="1368"/>
          </w:tcPr>
          <w:p>
            <w:pPr>
              <w:spacing w:after="20"/>
            </w:pPr>
            <w:r>
              <w:rPr>
                <w:color w:val="1C3A36"/>
                <w:sz w:val="16"/>
              </w:rPr>
              <w:t>Top-down</w:t>
            </w:r>
          </w:p>
        </w:tc>
        <w:tc>
          <w:tcPr>
            <w:tcW w:type="dxa" w:w="6480"/>
          </w:tcPr>
          <w:p>
            <w:pPr>
              <w:spacing w:after="20"/>
            </w:pPr>
            <w:r>
              <w:rPr>
                <w:color w:val="1C3A36"/>
                <w:sz w:val="16"/>
              </w:rPr>
              <w:t>Portfolio mix disclosed (retail 55%, GRE 26%, corporate 14%) but no unit-level pipeline. Anchored to FY26 guidance of 12–14% and the 1.7–1.9× 2030 asset target; our path lands at 1.68× — at or below the bottom of management's own range.  (F16, F21, F17)</w:t>
            </w:r>
          </w:p>
        </w:tc>
      </w:tr>
      <w:tr>
        <w:tc>
          <w:tcPr>
            <w:tcW w:type="dxa" w:w="2232"/>
          </w:tcPr>
          <w:p>
            <w:pPr>
              <w:spacing w:after="20"/>
            </w:pPr>
            <w:r>
              <w:rPr>
                <w:b/>
                <w:color w:val="1C3A36"/>
                <w:sz w:val="16"/>
              </w:rPr>
              <w:t>Net profit margin</w:t>
              <w:br/>
              <w:t>3.90% → 3.70%</w:t>
            </w:r>
          </w:p>
        </w:tc>
        <w:tc>
          <w:tcPr>
            <w:tcW w:type="dxa" w:w="1368"/>
          </w:tcPr>
          <w:p>
            <w:pPr>
              <w:spacing w:after="20"/>
            </w:pPr>
            <w:r>
              <w:rPr>
                <w:color w:val="1C3A36"/>
                <w:sz w:val="16"/>
              </w:rPr>
              <w:t>Top-down</w:t>
            </w:r>
          </w:p>
        </w:tc>
        <w:tc>
          <w:tcPr>
            <w:tcW w:type="dxa" w:w="6480"/>
          </w:tcPr>
          <w:p>
            <w:pPr>
              <w:spacing w:after="20"/>
            </w:pPr>
            <w:r>
              <w:rPr>
                <w:color w:val="1C3A36"/>
                <w:sz w:val="16"/>
              </w:rPr>
              <w:t>FY26 guidance 3.8–4.0%; Q1-26 printed 3.91%. Per-book repricing betas are not disclosed (negative search, F22). The grind down is MIX — retail 56→55%, GRE 24→26% — not a rate call; the Fed is now expected to hold or hike, which is a margin tailwind.  (F16, F14, F21, F22, F01)</w:t>
            </w:r>
          </w:p>
        </w:tc>
      </w:tr>
      <w:tr>
        <w:tc>
          <w:tcPr>
            <w:tcW w:type="dxa" w:w="2232"/>
          </w:tcPr>
          <w:p>
            <w:pPr>
              <w:spacing w:after="20"/>
            </w:pPr>
            <w:r>
              <w:rPr>
                <w:b/>
                <w:color w:val="1C3A36"/>
                <w:sz w:val="16"/>
              </w:rPr>
              <w:t>Non-funded income</w:t>
              <w:br/>
              <w:t>+4%, then +8%/yr</w:t>
            </w:r>
          </w:p>
        </w:tc>
        <w:tc>
          <w:tcPr>
            <w:tcW w:type="dxa" w:w="1368"/>
          </w:tcPr>
          <w:p>
            <w:pPr>
              <w:spacing w:after="20"/>
            </w:pPr>
            <w:r>
              <w:rPr>
                <w:color w:val="1C3A36"/>
                <w:sz w:val="16"/>
              </w:rPr>
              <w:t>Top-down</w:t>
            </w:r>
          </w:p>
        </w:tc>
        <w:tc>
          <w:tcPr>
            <w:tcW w:type="dxa" w:w="6480"/>
          </w:tcPr>
          <w:p>
            <w:pPr>
              <w:spacing w:after="20"/>
            </w:pPr>
            <w:r>
              <w:rPr>
                <w:color w:val="1C3A36"/>
                <w:sz w:val="16"/>
              </w:rPr>
              <w:t>Fee, FX and investment lines disclosed; their volume drivers are not (F23). Q1-26 grew only +4% year-on-year on management's own "softer transaction activity", so FY26 holds that run-rate rather than assuming the +17% of FY25 repeats.  (F15, F14, F23)</w:t>
            </w:r>
          </w:p>
        </w:tc>
      </w:tr>
      <w:tr>
        <w:tc>
          <w:tcPr>
            <w:tcW w:type="dxa" w:w="2232"/>
          </w:tcPr>
          <w:p>
            <w:pPr>
              <w:spacing w:after="20"/>
            </w:pPr>
            <w:r>
              <w:rPr>
                <w:b/>
                <w:color w:val="1C3A36"/>
                <w:sz w:val="16"/>
              </w:rPr>
              <w:t>Cost-to-income</w:t>
              <w:br/>
              <w:t>29.4% → 27.5%</w:t>
            </w:r>
          </w:p>
        </w:tc>
        <w:tc>
          <w:tcPr>
            <w:tcW w:type="dxa" w:w="1368"/>
          </w:tcPr>
          <w:p>
            <w:pPr>
              <w:spacing w:after="20"/>
            </w:pPr>
            <w:r>
              <w:rPr>
                <w:color w:val="1C3A36"/>
                <w:sz w:val="16"/>
              </w:rPr>
              <w:t>Top-down</w:t>
            </w:r>
          </w:p>
        </w:tc>
        <w:tc>
          <w:tcPr>
            <w:tcW w:type="dxa" w:w="6480"/>
          </w:tcPr>
          <w:p>
            <w:pPr>
              <w:spacing w:after="20"/>
            </w:pPr>
            <w:r>
              <w:rPr>
                <w:color w:val="1C3A36"/>
                <w:sz w:val="16"/>
              </w:rPr>
              <w:t>Guidance "&lt;30%" for FY26 and 26–28% by 2030. Q1-26 printed 29.6%. The AI and digital cost programme is described but never quantified (negative search, F24), so the glide is deliberately slow and lands at the TOP of the 2030 target band.  (F16, F14, F11, F24)</w:t>
            </w:r>
          </w:p>
        </w:tc>
      </w:tr>
      <w:tr>
        <w:tc>
          <w:tcPr>
            <w:tcW w:type="dxa" w:w="2232"/>
          </w:tcPr>
          <w:p>
            <w:pPr>
              <w:spacing w:after="20"/>
            </w:pPr>
            <w:r>
              <w:rPr>
                <w:b/>
                <w:color w:val="1C3A36"/>
                <w:sz w:val="16"/>
              </w:rPr>
              <w:t>Cost of risk</w:t>
              <w:br/>
              <w:t>46bp → 42bp (our basis)</w:t>
            </w:r>
          </w:p>
        </w:tc>
        <w:tc>
          <w:tcPr>
            <w:tcW w:type="dxa" w:w="1368"/>
          </w:tcPr>
          <w:p>
            <w:pPr>
              <w:spacing w:after="20"/>
            </w:pPr>
            <w:r>
              <w:rPr>
                <w:color w:val="1C3A36"/>
                <w:sz w:val="16"/>
              </w:rPr>
              <w:t>Top-down</w:t>
            </w:r>
          </w:p>
        </w:tc>
        <w:tc>
          <w:tcPr>
            <w:tcW w:type="dxa" w:w="6480"/>
          </w:tcPr>
          <w:p>
            <w:pPr>
              <w:spacing w:after="20"/>
            </w:pPr>
            <w:r>
              <w:rPr>
                <w:color w:val="1C3A36"/>
                <w:sz w:val="16"/>
              </w:rPr>
              <w:t>Guidance 40–60bp; FY25 printed 44bp on ADIB's stated basis, Q1-26 48bp. DUAL-FRAMED: our impairment is cost of risk × average GROSS financing, on which FY25 was 41bp; our path maps to roughly 50/50/48/46/45bp on ADIB's own basis — mid-guidance, and ABOVE the FY25 print, because relief programmes defer losses rather than delete them.  (F16, F14, F19)</w:t>
            </w:r>
          </w:p>
        </w:tc>
      </w:tr>
      <w:tr>
        <w:tc>
          <w:tcPr>
            <w:tcW w:type="dxa" w:w="2232"/>
          </w:tcPr>
          <w:p>
            <w:pPr>
              <w:spacing w:after="20"/>
            </w:pPr>
            <w:r>
              <w:rPr>
                <w:b/>
                <w:color w:val="1C3A36"/>
                <w:sz w:val="16"/>
              </w:rPr>
              <w:t>Effective tax rate</w:t>
              <w:br/>
              <w:t>13% → 16%</w:t>
            </w:r>
          </w:p>
        </w:tc>
        <w:tc>
          <w:tcPr>
            <w:tcW w:type="dxa" w:w="1368"/>
          </w:tcPr>
          <w:p>
            <w:pPr>
              <w:spacing w:after="20"/>
            </w:pPr>
            <w:r>
              <w:rPr>
                <w:color w:val="1C3A36"/>
                <w:sz w:val="16"/>
              </w:rPr>
              <w:t>Top-down — CRUX</w:t>
            </w:r>
          </w:p>
        </w:tc>
        <w:tc>
          <w:tcPr>
            <w:tcW w:type="dxa" w:w="6480"/>
          </w:tcPr>
          <w:p>
            <w:pPr>
              <w:spacing w:after="20"/>
            </w:pPr>
            <w:r>
              <w:rPr>
                <w:color w:val="1C3A36"/>
                <w:sz w:val="16"/>
              </w:rPr>
              <w:t>The most contested line — and no longer a bare judgement. ADIB's effective rate: 4.0% (FY23) → 11.2% (FY24) → 12.7% (FY25) → 12.9% (Q1-26): two reporting periods under the UAE's 15% minimum tax with no step-up, and no Pillar Two disclosure anywhere we could find (F25). Two things nevertheless PLACE the step. First, the mechanism has a date: Pillar Two's transitional safe harbour needs a simplified tax rate clearing 15% / 16% / 17% for FY24 / FY25 / FY26, and it is available only for years beginning on or before 31 December 2026 — so the full computation applies from FY2027 (F28). Second, the peer is already paying: Dubai Islamic Bank told its FY25 call its tax rate went from 9% to 15% (F29). ADIB is the outlier, not the rule.  (F06, F28, F29, F14, F25)</w:t>
            </w:r>
          </w:p>
        </w:tc>
      </w:tr>
      <w:tr>
        <w:tc>
          <w:tcPr>
            <w:tcW w:type="dxa" w:w="2232"/>
          </w:tcPr>
          <w:p>
            <w:pPr>
              <w:spacing w:after="20"/>
            </w:pPr>
            <w:r>
              <w:rPr>
                <w:b/>
                <w:color w:val="1C3A36"/>
                <w:sz w:val="16"/>
              </w:rPr>
              <w:t>Dividend payout</w:t>
              <w:br/>
              <w:t>50% → 53%</w:t>
            </w:r>
          </w:p>
        </w:tc>
        <w:tc>
          <w:tcPr>
            <w:tcW w:type="dxa" w:w="1368"/>
          </w:tcPr>
          <w:p>
            <w:pPr>
              <w:spacing w:after="20"/>
            </w:pPr>
            <w:r>
              <w:rPr>
                <w:color w:val="1C3A36"/>
                <w:sz w:val="16"/>
              </w:rPr>
              <w:t>Top-down — but barely</w:t>
            </w:r>
          </w:p>
        </w:tc>
        <w:tc>
          <w:tcPr>
            <w:tcW w:type="dxa" w:w="6480"/>
          </w:tcPr>
          <w:p>
            <w:pPr>
              <w:spacing w:after="20"/>
            </w:pPr>
            <w:r>
              <w:rPr>
                <w:color w:val="1C3A36"/>
                <w:sz w:val="16"/>
              </w:rPr>
              <w:t>The most sourced driver here. Payout: 48.5 / 49.2 / 49.4 / 49.7 / 49.9% across FY21–25. That is a policy. It drifts up only because growth slows and the capital equation frees cash.  (F13)</w:t>
            </w:r>
          </w:p>
        </w:tc>
      </w:tr>
      <w:tr>
        <w:tc>
          <w:tcPr>
            <w:tcW w:type="dxa" w:w="2232"/>
          </w:tcPr>
          <w:p>
            <w:pPr>
              <w:spacing w:after="20"/>
            </w:pPr>
            <w:r>
              <w:rPr>
                <w:b/>
                <w:color w:val="1C3A36"/>
                <w:sz w:val="16"/>
              </w:rPr>
              <w:t>Terminal ROE 20%</w:t>
            </w:r>
          </w:p>
        </w:tc>
        <w:tc>
          <w:tcPr>
            <w:tcW w:type="dxa" w:w="1368"/>
          </w:tcPr>
          <w:p>
            <w:pPr>
              <w:spacing w:after="20"/>
            </w:pPr>
            <w:r>
              <w:rPr>
                <w:color w:val="1C3A36"/>
                <w:sz w:val="16"/>
              </w:rPr>
              <w:t>House judgement</w:t>
              <w:br/>
              <w:t>— LEDGER ROW</w:t>
            </w:r>
          </w:p>
        </w:tc>
        <w:tc>
          <w:tcPr>
            <w:tcW w:type="dxa" w:w="6480"/>
          </w:tcPr>
          <w:p>
            <w:pPr>
              <w:spacing w:after="20"/>
            </w:pPr>
            <w:r>
              <w:rPr>
                <w:color w:val="1C3A36"/>
                <w:sz w:val="16"/>
              </w:rPr>
              <w:t>THE crux. Management targets ~25% by 2030; FY25 actual was 28.8%; the sector earns 18.3%. We fade to 20% — still 170bp above the sector, in perpetuity. This is less a forecast than a statement about how long a moat lasts.  (F16, F09, F17)</w:t>
            </w:r>
          </w:p>
        </w:tc>
      </w:tr>
      <w:tr>
        <w:tc>
          <w:tcPr>
            <w:tcW w:type="dxa" w:w="2232"/>
          </w:tcPr>
          <w:p>
            <w:pPr>
              <w:spacing w:after="20"/>
            </w:pPr>
            <w:r>
              <w:rPr>
                <w:b/>
                <w:color w:val="1C3A36"/>
                <w:sz w:val="16"/>
              </w:rPr>
              <w:t>Beta 1.00</w:t>
            </w:r>
          </w:p>
        </w:tc>
        <w:tc>
          <w:tcPr>
            <w:tcW w:type="dxa" w:w="1368"/>
          </w:tcPr>
          <w:p>
            <w:pPr>
              <w:spacing w:after="20"/>
            </w:pPr>
            <w:r>
              <w:rPr>
                <w:color w:val="1C3A36"/>
                <w:sz w:val="16"/>
              </w:rPr>
              <w:t>Assumed</w:t>
              <w:br/>
              <w:t>— LEDGER ROW</w:t>
            </w:r>
          </w:p>
        </w:tc>
        <w:tc>
          <w:tcPr>
            <w:tcW w:type="dxa" w:w="6480"/>
          </w:tcPr>
          <w:p>
            <w:pPr>
              <w:spacing w:after="20"/>
            </w:pPr>
            <w:r>
              <w:rPr>
                <w:color w:val="1C3A36"/>
                <w:sz w:val="16"/>
              </w:rPr>
              <w:t>A regression against the FTSE ADX General Index was genuinely attempted. The only daily series obtainable was a single stale 21-observation window; the index download endpoints returned 404 or were script-walled. n = 21 fails the usability gate (n ≥ 24), so the house fallback applies. Never a foreign sector-peer beta. Sensitized 0.8–1.3 in §1.10.</w:t>
            </w:r>
          </w:p>
        </w:tc>
      </w:tr>
    </w:tbl>
    <w:p>
      <w:pPr>
        <w:spacing w:after="40"/>
      </w:pPr>
    </w:p>
    <w:p>
      <w:pPr>
        <w:spacing w:after="120" w:before="0"/>
      </w:pPr>
      <w:r>
        <w:rPr>
          <w:b w:val="0"/>
          <w:i w:val="0"/>
          <w:color w:val="1C3A36"/>
          <w:sz w:val="21"/>
        </w:rPr>
        <w:t>The build itself — every line of it live in the companion Excel's Driver Build sheet:</w:t>
      </w:r>
    </w:p>
    <w:p>
      <w:pPr>
        <w:spacing w:after="120" w:before="0"/>
      </w:pPr>
      <w:r>
        <w:rPr>
          <w:b/>
          <w:i w:val="0"/>
          <w:color w:val="1C3A36"/>
          <w:sz w:val="21"/>
        </w:rPr>
        <w:t xml:space="preserve">Financing and the balance sheet — </w:t>
      </w:r>
      <w:r>
        <w:rPr>
          <w:b w:val="0"/>
          <w:i w:val="0"/>
          <w:color w:val="1C3A36"/>
          <w:sz w:val="21"/>
        </w:rPr>
        <w:t>gross financing grows 13% in FY26 (guidance: 12–14%), fading to 9% by FY30 as the base compounds. Average earning assets are held at 1.12× average net financing — one notch below the 1.134× ADIB disclosed for FY25, continuing a visible three-year trend (1.221 → 1.172 → 1.134) in which financing outgrows the rest of the earning-asset base.</w:t>
      </w:r>
    </w:p>
    <w:p>
      <w:pPr>
        <w:spacing w:after="120" w:before="0"/>
      </w:pPr>
      <w:r>
        <w:rPr>
          <w:b/>
          <w:i w:val="0"/>
          <w:color w:val="1C3A36"/>
          <w:sz w:val="21"/>
        </w:rPr>
        <w:t xml:space="preserve">The margin — </w:t>
      </w:r>
      <w:r>
        <w:rPr>
          <w:b w:val="0"/>
          <w:i w:val="0"/>
          <w:color w:val="1C3A36"/>
          <w:sz w:val="21"/>
        </w:rPr>
        <w:t>3.90% in FY26, easing to 3.70% by FY30. This is a mix statement, not a rate call. ADIB's financing book has swung toward government-related entities (24% → 26% in a single quarter) and away from retail (56% → 55%), and GRE assets simply yield less. Working the other way is the fact that explains ADIB: its retail deposits are 91% current-and-savings, and group CASA is 65% of all deposits, rising to 67% by Q1-26. That is why a 100bp benchmark cut cost ADIB only 24bp of margin in 2025 — and it is why the comparison with Dubai Islamic Bank, whose margin is 151bp lower on the identical metric, is a comparison of funding structures rather than of lending skill.</w:t>
      </w:r>
    </w:p>
    <w:p>
      <w:pPr>
        <w:spacing w:after="120" w:before="0"/>
      </w:pPr>
      <w:r>
        <w:rPr>
          <w:b/>
          <w:i w:val="0"/>
          <w:color w:val="1C3A36"/>
          <w:sz w:val="21"/>
        </w:rPr>
        <w:t xml:space="preserve">Costs — </w:t>
      </w:r>
      <w:r>
        <w:rPr>
          <w:b w:val="0"/>
          <w:i w:val="0"/>
          <w:color w:val="1C3A36"/>
          <w:sz w:val="21"/>
        </w:rPr>
        <w:t>cost-to-income from 29.4% to 27.5%, slower than management's trajectory implies, because the AI-led saves that would justify a faster glide are described but never quantified.</w:t>
      </w:r>
    </w:p>
    <w:p>
      <w:pPr>
        <w:spacing w:after="120" w:before="0"/>
      </w:pPr>
      <w:r>
        <w:rPr>
          <w:b/>
          <w:i w:val="0"/>
          <w:color w:val="1C3A36"/>
          <w:sz w:val="21"/>
        </w:rPr>
        <w:t xml:space="preserve">Credit — </w:t>
      </w:r>
      <w:r>
        <w:rPr>
          <w:b w:val="0"/>
          <w:i w:val="0"/>
          <w:color w:val="1C3A36"/>
          <w:sz w:val="21"/>
        </w:rPr>
        <w:t>cost of risk set at mid-guidance and ABOVE the FY25 print. The non-performing ratio is at a record low (2.6%) and coverage at a record high (178% including collateral) — but Q1-26 impairments were already up 50% year-on-year, and the CBUAE relief measures and ADIB's own "Sanadna" support scheme defer credit losses rather than remove them.</w:t>
      </w:r>
    </w:p>
    <w:p>
      <w:pPr>
        <w:spacing w:after="120" w:before="0"/>
      </w:pPr>
      <w:r>
        <w:rPr>
          <w:b/>
          <w:i w:val="0"/>
          <w:color w:val="1C3A36"/>
          <w:sz w:val="21"/>
        </w:rPr>
        <w:t xml:space="preserve">Capital — </w:t>
      </w:r>
      <w:r>
        <w:rPr>
          <w:b w:val="0"/>
          <w:i w:val="0"/>
          <w:color w:val="1C3A36"/>
          <w:sz w:val="21"/>
        </w:rPr>
        <w:t>CET1 held at the 12.0% level management has actually run for four straight years. Risk-weighted assets are built as credit RWA (88% of gross financing, the FY25 disclosed density) plus market and operational RWA — a construction that reproduces FY25's reported AED 183,637mn to within 0.06%. This is the machinery that decides how much profit is distributable rather than retained.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7"/>
              </w:rPr>
              <w:t>Driver build (AED mn)</w:t>
            </w:r>
          </w:p>
        </w:tc>
        <w:tc>
          <w:tcPr>
            <w:tcW w:type="dxa" w:w="1397"/>
            <w:shd w:val="clear" w:color="auto" w:fill="EAF0EE"/>
          </w:tcPr>
          <w:p>
            <w:pPr>
              <w:spacing w:after="20"/>
            </w:pPr>
            <w:r>
              <w:rPr>
                <w:b/>
                <w:color w:val="1C3A36"/>
                <w:sz w:val="17"/>
              </w:rPr>
              <w:t>FY26E</w:t>
            </w:r>
          </w:p>
        </w:tc>
        <w:tc>
          <w:tcPr>
            <w:tcW w:type="dxa" w:w="1397"/>
            <w:shd w:val="clear" w:color="auto" w:fill="EAF0EE"/>
          </w:tcPr>
          <w:p>
            <w:pPr>
              <w:spacing w:after="20"/>
            </w:pPr>
            <w:r>
              <w:rPr>
                <w:b/>
                <w:color w:val="1C3A36"/>
                <w:sz w:val="17"/>
              </w:rPr>
              <w:t>FY27E</w:t>
            </w:r>
          </w:p>
        </w:tc>
        <w:tc>
          <w:tcPr>
            <w:tcW w:type="dxa" w:w="1397"/>
            <w:shd w:val="clear" w:color="auto" w:fill="EAF0EE"/>
          </w:tcPr>
          <w:p>
            <w:pPr>
              <w:spacing w:after="20"/>
            </w:pPr>
            <w:r>
              <w:rPr>
                <w:b/>
                <w:color w:val="1C3A36"/>
                <w:sz w:val="17"/>
              </w:rPr>
              <w:t>FY28E</w:t>
            </w:r>
          </w:p>
        </w:tc>
        <w:tc>
          <w:tcPr>
            <w:tcW w:type="dxa" w:w="1397"/>
            <w:shd w:val="clear" w:color="auto" w:fill="EAF0EE"/>
          </w:tcPr>
          <w:p>
            <w:pPr>
              <w:spacing w:after="20"/>
            </w:pPr>
            <w:r>
              <w:rPr>
                <w:b/>
                <w:color w:val="1C3A36"/>
                <w:sz w:val="17"/>
              </w:rPr>
              <w:t>FY29E</w:t>
            </w:r>
          </w:p>
        </w:tc>
        <w:tc>
          <w:tcPr>
            <w:tcW w:type="dxa" w:w="1397"/>
            <w:shd w:val="clear" w:color="auto" w:fill="EAF0EE"/>
          </w:tcPr>
          <w:p>
            <w:pPr>
              <w:spacing w:after="20"/>
            </w:pPr>
            <w:r>
              <w:rPr>
                <w:b/>
                <w:color w:val="1C3A36"/>
                <w:sz w:val="17"/>
              </w:rPr>
              <w:t>FY30E</w:t>
            </w:r>
          </w:p>
        </w:tc>
      </w:tr>
      <w:tr>
        <w:tc>
          <w:tcPr>
            <w:tcW w:type="dxa" w:w="3096"/>
          </w:tcPr>
          <w:p>
            <w:pPr>
              <w:spacing w:after="20"/>
            </w:pPr>
            <w:r>
              <w:rPr>
                <w:b/>
                <w:color w:val="1C3A36"/>
                <w:sz w:val="17"/>
              </w:rPr>
              <w:t>Gross customer financing</w:t>
            </w:r>
          </w:p>
        </w:tc>
        <w:tc>
          <w:tcPr>
            <w:tcW w:type="dxa" w:w="1397"/>
          </w:tcPr>
          <w:p>
            <w:pPr>
              <w:spacing w:after="20"/>
              <w:jc w:val="right"/>
            </w:pPr>
            <w:r>
              <w:rPr>
                <w:color w:val="1C3A36"/>
                <w:sz w:val="17"/>
              </w:rPr>
              <w:t>209,728</w:t>
            </w:r>
          </w:p>
        </w:tc>
        <w:tc>
          <w:tcPr>
            <w:tcW w:type="dxa" w:w="1397"/>
          </w:tcPr>
          <w:p>
            <w:pPr>
              <w:spacing w:after="20"/>
              <w:jc w:val="right"/>
            </w:pPr>
            <w:r>
              <w:rPr>
                <w:color w:val="1C3A36"/>
                <w:sz w:val="17"/>
              </w:rPr>
              <w:t>234,895</w:t>
            </w:r>
          </w:p>
        </w:tc>
        <w:tc>
          <w:tcPr>
            <w:tcW w:type="dxa" w:w="1397"/>
          </w:tcPr>
          <w:p>
            <w:pPr>
              <w:spacing w:after="20"/>
              <w:jc w:val="right"/>
            </w:pPr>
            <w:r>
              <w:rPr>
                <w:color w:val="1C3A36"/>
                <w:sz w:val="17"/>
              </w:rPr>
              <w:t>260,734</w:t>
            </w:r>
          </w:p>
        </w:tc>
        <w:tc>
          <w:tcPr>
            <w:tcW w:type="dxa" w:w="1397"/>
          </w:tcPr>
          <w:p>
            <w:pPr>
              <w:spacing w:after="20"/>
              <w:jc w:val="right"/>
            </w:pPr>
            <w:r>
              <w:rPr>
                <w:color w:val="1C3A36"/>
                <w:sz w:val="17"/>
              </w:rPr>
              <w:t>286,807</w:t>
            </w:r>
          </w:p>
        </w:tc>
        <w:tc>
          <w:tcPr>
            <w:tcW w:type="dxa" w:w="1397"/>
          </w:tcPr>
          <w:p>
            <w:pPr>
              <w:spacing w:after="20"/>
              <w:jc w:val="right"/>
            </w:pPr>
            <w:r>
              <w:rPr>
                <w:color w:val="1C3A36"/>
                <w:sz w:val="17"/>
              </w:rPr>
              <w:t>312,620</w:t>
            </w:r>
          </w:p>
        </w:tc>
      </w:tr>
      <w:tr>
        <w:tc>
          <w:tcPr>
            <w:tcW w:type="dxa" w:w="3096"/>
          </w:tcPr>
          <w:p>
            <w:pPr>
              <w:spacing w:after="20"/>
            </w:pPr>
            <w:r>
              <w:rPr>
                <w:b/>
                <w:color w:val="1C3A36"/>
                <w:sz w:val="17"/>
              </w:rPr>
              <w:t>Total operating income</w:t>
            </w:r>
          </w:p>
        </w:tc>
        <w:tc>
          <w:tcPr>
            <w:tcW w:type="dxa" w:w="1397"/>
          </w:tcPr>
          <w:p>
            <w:pPr>
              <w:spacing w:after="20"/>
              <w:jc w:val="right"/>
            </w:pPr>
            <w:r>
              <w:rPr>
                <w:color w:val="1C3A36"/>
                <w:sz w:val="17"/>
              </w:rPr>
              <w:t>13,382</w:t>
            </w:r>
          </w:p>
        </w:tc>
        <w:tc>
          <w:tcPr>
            <w:tcW w:type="dxa" w:w="1397"/>
          </w:tcPr>
          <w:p>
            <w:pPr>
              <w:spacing w:after="20"/>
              <w:jc w:val="right"/>
            </w:pPr>
            <w:r>
              <w:rPr>
                <w:color w:val="1C3A36"/>
                <w:sz w:val="17"/>
              </w:rPr>
              <w:t>14,638</w:t>
            </w:r>
          </w:p>
        </w:tc>
        <w:tc>
          <w:tcPr>
            <w:tcW w:type="dxa" w:w="1397"/>
          </w:tcPr>
          <w:p>
            <w:pPr>
              <w:spacing w:after="20"/>
              <w:jc w:val="right"/>
            </w:pPr>
            <w:r>
              <w:rPr>
                <w:color w:val="1C3A36"/>
                <w:sz w:val="17"/>
              </w:rPr>
              <w:t>15,970</w:t>
            </w:r>
          </w:p>
        </w:tc>
        <w:tc>
          <w:tcPr>
            <w:tcW w:type="dxa" w:w="1397"/>
          </w:tcPr>
          <w:p>
            <w:pPr>
              <w:spacing w:after="20"/>
              <w:jc w:val="right"/>
            </w:pPr>
            <w:r>
              <w:rPr>
                <w:color w:val="1C3A36"/>
                <w:sz w:val="17"/>
              </w:rPr>
              <w:t>17,380</w:t>
            </w:r>
          </w:p>
        </w:tc>
        <w:tc>
          <w:tcPr>
            <w:tcW w:type="dxa" w:w="1397"/>
          </w:tcPr>
          <w:p>
            <w:pPr>
              <w:spacing w:after="20"/>
              <w:jc w:val="right"/>
            </w:pPr>
            <w:r>
              <w:rPr>
                <w:color w:val="1C3A36"/>
                <w:sz w:val="17"/>
              </w:rPr>
              <w:t>18,869</w:t>
            </w:r>
          </w:p>
        </w:tc>
      </w:tr>
      <w:tr>
        <w:tc>
          <w:tcPr>
            <w:tcW w:type="dxa" w:w="3096"/>
          </w:tcPr>
          <w:p>
            <w:pPr>
              <w:spacing w:after="20"/>
            </w:pPr>
            <w:r>
              <w:rPr>
                <w:b/>
                <w:color w:val="1C3A36"/>
                <w:sz w:val="17"/>
              </w:rPr>
              <w:t>Profit before tax</w:t>
            </w:r>
          </w:p>
        </w:tc>
        <w:tc>
          <w:tcPr>
            <w:tcW w:type="dxa" w:w="1397"/>
          </w:tcPr>
          <w:p>
            <w:pPr>
              <w:spacing w:after="20"/>
              <w:jc w:val="right"/>
            </w:pPr>
            <w:r>
              <w:rPr>
                <w:color w:val="1C3A36"/>
                <w:sz w:val="17"/>
              </w:rPr>
              <w:t>8,538</w:t>
            </w:r>
          </w:p>
        </w:tc>
        <w:tc>
          <w:tcPr>
            <w:tcW w:type="dxa" w:w="1397"/>
          </w:tcPr>
          <w:p>
            <w:pPr>
              <w:spacing w:after="20"/>
              <w:jc w:val="right"/>
            </w:pPr>
            <w:r>
              <w:rPr>
                <w:color w:val="1C3A36"/>
                <w:sz w:val="17"/>
              </w:rPr>
              <w:t>9,371</w:t>
            </w:r>
          </w:p>
        </w:tc>
        <w:tc>
          <w:tcPr>
            <w:tcW w:type="dxa" w:w="1397"/>
          </w:tcPr>
          <w:p>
            <w:pPr>
              <w:spacing w:after="20"/>
              <w:jc w:val="right"/>
            </w:pPr>
            <w:r>
              <w:rPr>
                <w:color w:val="1C3A36"/>
                <w:sz w:val="17"/>
              </w:rPr>
              <w:t>10,328</w:t>
            </w:r>
          </w:p>
        </w:tc>
        <w:tc>
          <w:tcPr>
            <w:tcW w:type="dxa" w:w="1397"/>
          </w:tcPr>
          <w:p>
            <w:pPr>
              <w:spacing w:after="20"/>
              <w:jc w:val="right"/>
            </w:pPr>
            <w:r>
              <w:rPr>
                <w:color w:val="1C3A36"/>
                <w:sz w:val="17"/>
              </w:rPr>
              <w:t>11,336</w:t>
            </w:r>
          </w:p>
        </w:tc>
        <w:tc>
          <w:tcPr>
            <w:tcW w:type="dxa" w:w="1397"/>
          </w:tcPr>
          <w:p>
            <w:pPr>
              <w:spacing w:after="20"/>
              <w:jc w:val="right"/>
            </w:pPr>
            <w:r>
              <w:rPr>
                <w:color w:val="1C3A36"/>
                <w:sz w:val="17"/>
              </w:rPr>
              <w:t>12,421</w:t>
            </w:r>
          </w:p>
        </w:tc>
      </w:tr>
      <w:tr>
        <w:tc>
          <w:tcPr>
            <w:tcW w:type="dxa" w:w="3096"/>
          </w:tcPr>
          <w:p>
            <w:pPr>
              <w:spacing w:after="20"/>
            </w:pPr>
            <w:r>
              <w:rPr>
                <w:b/>
                <w:color w:val="1C3A36"/>
                <w:sz w:val="17"/>
              </w:rPr>
              <w:t>Profit after tax</w:t>
            </w:r>
          </w:p>
        </w:tc>
        <w:tc>
          <w:tcPr>
            <w:tcW w:type="dxa" w:w="1397"/>
          </w:tcPr>
          <w:p>
            <w:pPr>
              <w:spacing w:after="20"/>
              <w:jc w:val="right"/>
            </w:pPr>
            <w:r>
              <w:rPr>
                <w:color w:val="1C3A36"/>
                <w:sz w:val="17"/>
              </w:rPr>
              <w:t>7,428</w:t>
            </w:r>
          </w:p>
        </w:tc>
        <w:tc>
          <w:tcPr>
            <w:tcW w:type="dxa" w:w="1397"/>
          </w:tcPr>
          <w:p>
            <w:pPr>
              <w:spacing w:after="20"/>
              <w:jc w:val="right"/>
            </w:pPr>
            <w:r>
              <w:rPr>
                <w:color w:val="1C3A36"/>
                <w:sz w:val="17"/>
              </w:rPr>
              <w:t>7,871</w:t>
            </w:r>
          </w:p>
        </w:tc>
        <w:tc>
          <w:tcPr>
            <w:tcW w:type="dxa" w:w="1397"/>
          </w:tcPr>
          <w:p>
            <w:pPr>
              <w:spacing w:after="20"/>
              <w:jc w:val="right"/>
            </w:pPr>
            <w:r>
              <w:rPr>
                <w:color w:val="1C3A36"/>
                <w:sz w:val="17"/>
              </w:rPr>
              <w:t>8,675</w:t>
            </w:r>
          </w:p>
        </w:tc>
        <w:tc>
          <w:tcPr>
            <w:tcW w:type="dxa" w:w="1397"/>
          </w:tcPr>
          <w:p>
            <w:pPr>
              <w:spacing w:after="20"/>
              <w:jc w:val="right"/>
            </w:pPr>
            <w:r>
              <w:rPr>
                <w:color w:val="1C3A36"/>
                <w:sz w:val="17"/>
              </w:rPr>
              <w:t>9,522</w:t>
            </w:r>
          </w:p>
        </w:tc>
        <w:tc>
          <w:tcPr>
            <w:tcW w:type="dxa" w:w="1397"/>
          </w:tcPr>
          <w:p>
            <w:pPr>
              <w:spacing w:after="20"/>
              <w:jc w:val="right"/>
            </w:pPr>
            <w:r>
              <w:rPr>
                <w:color w:val="1C3A36"/>
                <w:sz w:val="17"/>
              </w:rPr>
              <w:t>10,434</w:t>
            </w:r>
          </w:p>
        </w:tc>
      </w:tr>
      <w:tr>
        <w:tc>
          <w:tcPr>
            <w:tcW w:type="dxa" w:w="3096"/>
            <w:shd w:val="clear" w:color="auto" w:fill="F6F1E6"/>
          </w:tcPr>
          <w:p>
            <w:pPr>
              <w:spacing w:after="20"/>
            </w:pPr>
            <w:r>
              <w:rPr>
                <w:b/>
                <w:color w:val="1C3A36"/>
                <w:sz w:val="17"/>
              </w:rPr>
              <w:t>Attributable to ordinary shareholders</w:t>
            </w:r>
          </w:p>
        </w:tc>
        <w:tc>
          <w:tcPr>
            <w:tcW w:type="dxa" w:w="1397"/>
            <w:shd w:val="clear" w:color="auto" w:fill="F6F1E6"/>
          </w:tcPr>
          <w:p>
            <w:pPr>
              <w:spacing w:after="20"/>
              <w:jc w:val="right"/>
            </w:pPr>
            <w:r>
              <w:rPr>
                <w:b/>
                <w:color w:val="1C3A36"/>
                <w:sz w:val="17"/>
              </w:rPr>
              <w:t>6,669</w:t>
            </w:r>
          </w:p>
        </w:tc>
        <w:tc>
          <w:tcPr>
            <w:tcW w:type="dxa" w:w="1397"/>
            <w:shd w:val="clear" w:color="auto" w:fill="F6F1E6"/>
          </w:tcPr>
          <w:p>
            <w:pPr>
              <w:spacing w:after="20"/>
              <w:jc w:val="right"/>
            </w:pPr>
            <w:r>
              <w:rPr>
                <w:b/>
                <w:color w:val="1C3A36"/>
                <w:sz w:val="17"/>
              </w:rPr>
              <w:t>7,080</w:t>
            </w:r>
          </w:p>
        </w:tc>
        <w:tc>
          <w:tcPr>
            <w:tcW w:type="dxa" w:w="1397"/>
            <w:shd w:val="clear" w:color="auto" w:fill="F6F1E6"/>
          </w:tcPr>
          <w:p>
            <w:pPr>
              <w:spacing w:after="20"/>
              <w:jc w:val="right"/>
            </w:pPr>
            <w:r>
              <w:rPr>
                <w:b/>
                <w:color w:val="1C3A36"/>
                <w:sz w:val="17"/>
              </w:rPr>
              <w:t>7,849</w:t>
            </w:r>
          </w:p>
        </w:tc>
        <w:tc>
          <w:tcPr>
            <w:tcW w:type="dxa" w:w="1397"/>
            <w:shd w:val="clear" w:color="auto" w:fill="F6F1E6"/>
          </w:tcPr>
          <w:p>
            <w:pPr>
              <w:spacing w:after="20"/>
              <w:jc w:val="right"/>
            </w:pPr>
            <w:r>
              <w:rPr>
                <w:b/>
                <w:color w:val="1C3A36"/>
                <w:sz w:val="17"/>
              </w:rPr>
              <w:t>8,658</w:t>
            </w:r>
          </w:p>
        </w:tc>
        <w:tc>
          <w:tcPr>
            <w:tcW w:type="dxa" w:w="1397"/>
            <w:shd w:val="clear" w:color="auto" w:fill="F6F1E6"/>
          </w:tcPr>
          <w:p>
            <w:pPr>
              <w:spacing w:after="20"/>
              <w:jc w:val="right"/>
            </w:pPr>
            <w:r>
              <w:rPr>
                <w:b/>
                <w:color w:val="1C3A36"/>
                <w:sz w:val="17"/>
              </w:rPr>
              <w:t>9,528</w:t>
            </w:r>
          </w:p>
        </w:tc>
      </w:tr>
      <w:tr>
        <w:tc>
          <w:tcPr>
            <w:tcW w:type="dxa" w:w="3096"/>
          </w:tcPr>
          <w:p>
            <w:pPr>
              <w:spacing w:after="20"/>
            </w:pPr>
            <w:r>
              <w:rPr>
                <w:b/>
                <w:color w:val="1C3A36"/>
                <w:sz w:val="17"/>
              </w:rPr>
              <w:t>Risk-weighted assets</w:t>
            </w:r>
          </w:p>
        </w:tc>
        <w:tc>
          <w:tcPr>
            <w:tcW w:type="dxa" w:w="1397"/>
          </w:tcPr>
          <w:p>
            <w:pPr>
              <w:spacing w:after="20"/>
              <w:jc w:val="right"/>
            </w:pPr>
            <w:r>
              <w:rPr>
                <w:color w:val="1C3A36"/>
                <w:sz w:val="17"/>
              </w:rPr>
              <w:t>206,355</w:t>
            </w:r>
          </w:p>
        </w:tc>
        <w:tc>
          <w:tcPr>
            <w:tcW w:type="dxa" w:w="1397"/>
          </w:tcPr>
          <w:p>
            <w:pPr>
              <w:spacing w:after="20"/>
              <w:jc w:val="right"/>
            </w:pPr>
            <w:r>
              <w:rPr>
                <w:color w:val="1C3A36"/>
                <w:sz w:val="17"/>
              </w:rPr>
              <w:t>230,361</w:t>
            </w:r>
          </w:p>
        </w:tc>
        <w:tc>
          <w:tcPr>
            <w:tcW w:type="dxa" w:w="1397"/>
          </w:tcPr>
          <w:p>
            <w:pPr>
              <w:spacing w:after="20"/>
              <w:jc w:val="right"/>
            </w:pPr>
            <w:r>
              <w:rPr>
                <w:color w:val="1C3A36"/>
                <w:sz w:val="17"/>
              </w:rPr>
              <w:t>255,068</w:t>
            </w:r>
          </w:p>
        </w:tc>
        <w:tc>
          <w:tcPr>
            <w:tcW w:type="dxa" w:w="1397"/>
          </w:tcPr>
          <w:p>
            <w:pPr>
              <w:spacing w:after="20"/>
              <w:jc w:val="right"/>
            </w:pPr>
            <w:r>
              <w:rPr>
                <w:color w:val="1C3A36"/>
                <w:sz w:val="17"/>
              </w:rPr>
              <w:t>280,098</w:t>
            </w:r>
          </w:p>
        </w:tc>
        <w:tc>
          <w:tcPr>
            <w:tcW w:type="dxa" w:w="1397"/>
          </w:tcPr>
          <w:p>
            <w:pPr>
              <w:spacing w:after="20"/>
              <w:jc w:val="right"/>
            </w:pPr>
            <w:r>
              <w:rPr>
                <w:color w:val="1C3A36"/>
                <w:sz w:val="17"/>
              </w:rPr>
              <w:t>305,017</w:t>
            </w:r>
          </w:p>
        </w:tc>
      </w:tr>
      <w:tr>
        <w:tc>
          <w:tcPr>
            <w:tcW w:type="dxa" w:w="3096"/>
          </w:tcPr>
          <w:p>
            <w:pPr>
              <w:spacing w:after="20"/>
            </w:pPr>
            <w:r>
              <w:rPr>
                <w:b/>
                <w:color w:val="1C3A36"/>
                <w:sz w:val="17"/>
              </w:rPr>
              <w:t>ROE %</w:t>
            </w:r>
          </w:p>
        </w:tc>
        <w:tc>
          <w:tcPr>
            <w:tcW w:type="dxa" w:w="1397"/>
          </w:tcPr>
          <w:p>
            <w:pPr>
              <w:spacing w:after="20"/>
              <w:jc w:val="right"/>
            </w:pPr>
            <w:r>
              <w:rPr>
                <w:color w:val="1C3A36"/>
                <w:sz w:val="17"/>
              </w:rPr>
              <w:t>24.0%</w:t>
            </w:r>
          </w:p>
        </w:tc>
        <w:tc>
          <w:tcPr>
            <w:tcW w:type="dxa" w:w="1397"/>
          </w:tcPr>
          <w:p>
            <w:pPr>
              <w:spacing w:after="20"/>
              <w:jc w:val="right"/>
            </w:pPr>
            <w:r>
              <w:rPr>
                <w:color w:val="1C3A36"/>
                <w:sz w:val="17"/>
              </w:rPr>
              <w:t>22.7%</w:t>
            </w:r>
          </w:p>
        </w:tc>
        <w:tc>
          <w:tcPr>
            <w:tcW w:type="dxa" w:w="1397"/>
          </w:tcPr>
          <w:p>
            <w:pPr>
              <w:spacing w:after="20"/>
              <w:jc w:val="right"/>
            </w:pPr>
            <w:r>
              <w:rPr>
                <w:color w:val="1C3A36"/>
                <w:sz w:val="17"/>
              </w:rPr>
              <w:t>22.5%</w:t>
            </w:r>
          </w:p>
        </w:tc>
        <w:tc>
          <w:tcPr>
            <w:tcW w:type="dxa" w:w="1397"/>
          </w:tcPr>
          <w:p>
            <w:pPr>
              <w:spacing w:after="20"/>
              <w:jc w:val="right"/>
            </w:pPr>
            <w:r>
              <w:rPr>
                <w:color w:val="1C3A36"/>
                <w:sz w:val="17"/>
              </w:rPr>
              <w:t>22.3%</w:t>
            </w:r>
          </w:p>
        </w:tc>
        <w:tc>
          <w:tcPr>
            <w:tcW w:type="dxa" w:w="1397"/>
          </w:tcPr>
          <w:p>
            <w:pPr>
              <w:spacing w:after="20"/>
              <w:jc w:val="right"/>
            </w:pPr>
            <w:r>
              <w:rPr>
                <w:color w:val="1C3A36"/>
                <w:sz w:val="17"/>
              </w:rPr>
              <w:t>22.1%</w:t>
            </w:r>
          </w:p>
        </w:tc>
      </w:tr>
      <w:tr>
        <w:tc>
          <w:tcPr>
            <w:tcW w:type="dxa" w:w="3096"/>
          </w:tcPr>
          <w:p>
            <w:pPr>
              <w:spacing w:after="20"/>
            </w:pPr>
            <w:r>
              <w:rPr>
                <w:b/>
                <w:color w:val="1C3A36"/>
                <w:sz w:val="17"/>
              </w:rPr>
              <w:t>CET1 %</w:t>
            </w:r>
          </w:p>
        </w:tc>
        <w:tc>
          <w:tcPr>
            <w:tcW w:type="dxa" w:w="1397"/>
          </w:tcPr>
          <w:p>
            <w:pPr>
              <w:spacing w:after="20"/>
              <w:jc w:val="right"/>
            </w:pPr>
            <w:r>
              <w:rPr>
                <w:color w:val="1C3A36"/>
                <w:sz w:val="17"/>
              </w:rPr>
              <w:t>12.33%</w:t>
            </w:r>
          </w:p>
        </w:tc>
        <w:tc>
          <w:tcPr>
            <w:tcW w:type="dxa" w:w="1397"/>
          </w:tcPr>
          <w:p>
            <w:pPr>
              <w:spacing w:after="20"/>
              <w:jc w:val="right"/>
            </w:pPr>
            <w:r>
              <w:rPr>
                <w:color w:val="1C3A36"/>
                <w:sz w:val="17"/>
              </w:rPr>
              <w:t>12.58%</w:t>
            </w:r>
          </w:p>
        </w:tc>
        <w:tc>
          <w:tcPr>
            <w:tcW w:type="dxa" w:w="1397"/>
          </w:tcPr>
          <w:p>
            <w:pPr>
              <w:spacing w:after="20"/>
              <w:jc w:val="right"/>
            </w:pPr>
            <w:r>
              <w:rPr>
                <w:color w:val="1C3A36"/>
                <w:sz w:val="17"/>
              </w:rPr>
              <w:t>12.87%</w:t>
            </w:r>
          </w:p>
        </w:tc>
        <w:tc>
          <w:tcPr>
            <w:tcW w:type="dxa" w:w="1397"/>
          </w:tcPr>
          <w:p>
            <w:pPr>
              <w:spacing w:after="20"/>
              <w:jc w:val="right"/>
            </w:pPr>
            <w:r>
              <w:rPr>
                <w:color w:val="1C3A36"/>
                <w:sz w:val="17"/>
              </w:rPr>
              <w:t>13.20%</w:t>
            </w:r>
          </w:p>
        </w:tc>
        <w:tc>
          <w:tcPr>
            <w:tcW w:type="dxa" w:w="1397"/>
          </w:tcPr>
          <w:p>
            <w:pPr>
              <w:spacing w:after="20"/>
              <w:jc w:val="right"/>
            </w:pPr>
            <w:r>
              <w:rPr>
                <w:color w:val="1C3A36"/>
                <w:sz w:val="17"/>
              </w:rPr>
              <w:t>13.59%</w:t>
            </w:r>
          </w:p>
        </w:tc>
      </w:tr>
    </w:tbl>
    <w:p>
      <w:pPr>
        <w:spacing w:after="40"/>
      </w:pPr>
    </w:p>
    <w:p>
      <w:pPr>
        <w:spacing w:after="40"/>
        <w:jc w:val="center"/>
      </w:pPr>
      <w:r>
        <w:drawing>
          <wp:inline xmlns:a="http://schemas.openxmlformats.org/drawingml/2006/main" xmlns:pic="http://schemas.openxmlformats.org/drawingml/2006/picture">
            <wp:extent cx="6126480" cy="2537999"/>
            <wp:docPr id="2" name="Picture 2"/>
            <wp:cNvGraphicFramePr>
              <a:graphicFrameLocks noChangeAspect="1"/>
            </wp:cNvGraphicFramePr>
            <a:graphic>
              <a:graphicData uri="http://schemas.openxmlformats.org/drawingml/2006/picture">
                <pic:pic>
                  <pic:nvPicPr>
                    <pic:cNvPr id="0" name="fig6_income.png"/>
                    <pic:cNvPicPr/>
                  </pic:nvPicPr>
                  <pic:blipFill>
                    <a:blip r:embed="rId10"/>
                    <a:stretch>
                      <a:fillRect/>
                    </a:stretch>
                  </pic:blipFill>
                  <pic:spPr>
                    <a:xfrm>
                      <a:off x="0" y="0"/>
                      <a:ext cx="6126480" cy="2537999"/>
                    </a:xfrm>
                    <a:prstGeom prst="rect"/>
                  </pic:spPr>
                </pic:pic>
              </a:graphicData>
            </a:graphic>
          </wp:inline>
        </w:drawing>
      </w:r>
    </w:p>
    <w:p>
      <w:pPr>
        <w:spacing w:after="200" w:before="0"/>
      </w:pPr>
      <w:r>
        <w:rPr>
          <w:b w:val="0"/>
          <w:i/>
          <w:color w:val="6E7B77"/>
          <w:sz w:val="17"/>
        </w:rPr>
        <w:t>Figure 2 — The operating income build and the margin path. The net profit margin (right axis) grinds from 4.11% to 3.70% — but the driver is the mix shift toward government-related lending, not the rate cycle. The Fed is now expected to hold or hike, which cuts the other way.</w:t>
      </w:r>
    </w:p>
    <w:p>
      <w:pPr>
        <w:spacing w:after="40"/>
        <w:jc w:val="center"/>
      </w:pPr>
      <w:r>
        <w:drawing>
          <wp:inline xmlns:a="http://schemas.openxmlformats.org/drawingml/2006/main" xmlns:pic="http://schemas.openxmlformats.org/drawingml/2006/picture">
            <wp:extent cx="6126480" cy="2572186"/>
            <wp:docPr id="3" name="Picture 3"/>
            <wp:cNvGraphicFramePr>
              <a:graphicFrameLocks noChangeAspect="1"/>
            </wp:cNvGraphicFramePr>
            <a:graphic>
              <a:graphicData uri="http://schemas.openxmlformats.org/drawingml/2006/picture">
                <pic:pic>
                  <pic:nvPicPr>
                    <pic:cNvPr id="0" name="fig7_profit.png"/>
                    <pic:cNvPicPr/>
                  </pic:nvPicPr>
                  <pic:blipFill>
                    <a:blip r:embed="rId11"/>
                    <a:stretch>
                      <a:fillRect/>
                    </a:stretch>
                  </pic:blipFill>
                  <pic:spPr>
                    <a:xfrm>
                      <a:off x="0" y="0"/>
                      <a:ext cx="6126480" cy="2572186"/>
                    </a:xfrm>
                    <a:prstGeom prst="rect"/>
                  </pic:spPr>
                </pic:pic>
              </a:graphicData>
            </a:graphic>
          </wp:inline>
        </w:drawing>
      </w:r>
    </w:p>
    <w:p>
      <w:pPr>
        <w:spacing w:after="200" w:before="0"/>
      </w:pPr>
      <w:r>
        <w:rPr>
          <w:b w:val="0"/>
          <w:i/>
          <w:color w:val="6E7B77"/>
          <w:sz w:val="17"/>
        </w:rPr>
        <w:t>Figure 3 — Net profit, reported and modelled. ADIB reaches AED 10.4bn by FY30 — 1.48× the FY25 print — without the model ever assuming management's slogan. Compounding does the work.</w:t>
      </w:r>
    </w:p>
    <w:p>
      <w:pPr>
        <w:spacing w:after="40"/>
        <w:jc w:val="center"/>
      </w:pPr>
      <w:r>
        <w:drawing>
          <wp:inline xmlns:a="http://schemas.openxmlformats.org/drawingml/2006/main" xmlns:pic="http://schemas.openxmlformats.org/drawingml/2006/picture">
            <wp:extent cx="6126480" cy="2425733"/>
            <wp:docPr id="4" name="Picture 4"/>
            <wp:cNvGraphicFramePr>
              <a:graphicFrameLocks noChangeAspect="1"/>
            </wp:cNvGraphicFramePr>
            <a:graphic>
              <a:graphicData uri="http://schemas.openxmlformats.org/drawingml/2006/picture">
                <pic:pic>
                  <pic:nvPicPr>
                    <pic:cNvPr id="0" name="fig8_capital.png"/>
                    <pic:cNvPicPr/>
                  </pic:nvPicPr>
                  <pic:blipFill>
                    <a:blip r:embed="rId12"/>
                    <a:stretch>
                      <a:fillRect/>
                    </a:stretch>
                  </pic:blipFill>
                  <pic:spPr>
                    <a:xfrm>
                      <a:off x="0" y="0"/>
                      <a:ext cx="6126480" cy="2425733"/>
                    </a:xfrm>
                    <a:prstGeom prst="rect"/>
                  </pic:spPr>
                </pic:pic>
              </a:graphicData>
            </a:graphic>
          </wp:inline>
        </w:drawing>
      </w:r>
    </w:p>
    <w:p>
      <w:pPr>
        <w:spacing w:after="200" w:before="0"/>
      </w:pPr>
      <w:r>
        <w:rPr>
          <w:b w:val="0"/>
          <w:i/>
          <w:color w:val="6E7B77"/>
          <w:sz w:val="17"/>
        </w:rPr>
        <w:t>Figure 4 — The capital equation. In FY25 a ~50% payout EXACTLY funded 15% risk-weighted-asset growth at a flat 12% CET1: AED 2,816mn retained against AED 2,838mn consumed. As financing growth glides down, that equality breaks in the shareholder's favour and surplus capital appears — which is precisely why the equity DCF is worth more than the dividend model.</w:t>
      </w:r>
    </w:p>
    <w:p>
      <w:pPr>
        <w:spacing w:after="80" w:before="200"/>
      </w:pPr>
      <w:r>
        <w:rPr>
          <w:b/>
          <w:i w:val="0"/>
          <w:color w:val="1C3A36"/>
          <w:sz w:val="24"/>
        </w:rPr>
        <w:t>1.7  Synthesis — weights and the football field</w:t>
      </w:r>
    </w:p>
    <w:p>
      <w:pPr>
        <w:spacing w:after="120" w:before="0"/>
      </w:pPr>
      <w:r>
        <w:rPr>
          <w:b w:val="0"/>
          <w:i w:val="0"/>
          <w:color w:val="1C3A36"/>
          <w:sz w:val="21"/>
        </w:rPr>
        <w:t>Weights reflect how far each lens can be trusted for a bank of this kind. The dividend model leads because ADIB's payout is not a forecast but an observed five-year policy. Residual income earns real weight because it is the least terminal-dependent construction and reconciles to the DDM as an identity. The equity DCF is weighted lower not because it is wrong but because its extra value comes from surplus capital the board has not yet promised to distribute. The relative lens earns a full fifth because it is the only one anchored to prices the market is actually setting. And the normalized value keeps the whole set honest against a cyclical-earnings reading of a bank that has just had five extraordinary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960"/>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(AED)</w:t>
            </w:r>
          </w:p>
        </w:tc>
        <w:tc>
          <w:tcPr>
            <w:tcW w:type="dxa" w:w="1944"/>
            <w:shd w:val="clear" w:color="auto" w:fill="EAF0EE"/>
          </w:tcPr>
          <w:p>
            <w:pPr>
              <w:spacing w:after="20"/>
            </w:pPr>
            <w:r>
              <w:rPr>
                <w:b/>
                <w:color w:val="1C3A36"/>
                <w:sz w:val="18"/>
              </w:rPr>
              <w:t>Weight</w:t>
            </w:r>
          </w:p>
        </w:tc>
        <w:tc>
          <w:tcPr>
            <w:tcW w:type="dxa" w:w="2232"/>
            <w:shd w:val="clear" w:color="auto" w:fill="EAF0EE"/>
          </w:tcPr>
          <w:p>
            <w:pPr>
              <w:spacing w:after="20"/>
            </w:pPr>
            <w:r>
              <w:rPr>
                <w:b/>
                <w:color w:val="1C3A36"/>
                <w:sz w:val="18"/>
              </w:rPr>
              <w:t>Contribution</w:t>
            </w:r>
          </w:p>
        </w:tc>
      </w:tr>
      <w:tr>
        <w:tc>
          <w:tcPr>
            <w:tcW w:type="dxa" w:w="3960"/>
          </w:tcPr>
          <w:p>
            <w:pPr>
              <w:spacing w:after="20"/>
            </w:pPr>
            <w:r>
              <w:rPr>
                <w:b/>
                <w:color w:val="1C3A36"/>
                <w:sz w:val="18"/>
              </w:rPr>
              <w:t>Dividend discount model (primary)</w:t>
            </w:r>
          </w:p>
        </w:tc>
        <w:tc>
          <w:tcPr>
            <w:tcW w:type="dxa" w:w="1944"/>
          </w:tcPr>
          <w:p>
            <w:pPr>
              <w:spacing w:after="20"/>
              <w:jc w:val="right"/>
            </w:pPr>
            <w:r>
              <w:rPr>
                <w:color w:val="1C3A36"/>
                <w:sz w:val="18"/>
              </w:rPr>
              <w:t>22.54</w:t>
            </w:r>
          </w:p>
        </w:tc>
        <w:tc>
          <w:tcPr>
            <w:tcW w:type="dxa" w:w="1944"/>
          </w:tcPr>
          <w:p>
            <w:pPr>
              <w:spacing w:after="20"/>
              <w:jc w:val="right"/>
            </w:pPr>
            <w:r>
              <w:rPr>
                <w:color w:val="1C3A36"/>
                <w:sz w:val="18"/>
              </w:rPr>
              <w:t>30%</w:t>
            </w:r>
          </w:p>
        </w:tc>
        <w:tc>
          <w:tcPr>
            <w:tcW w:type="dxa" w:w="2232"/>
          </w:tcPr>
          <w:p>
            <w:pPr>
              <w:spacing w:after="20"/>
              <w:jc w:val="right"/>
            </w:pPr>
            <w:r>
              <w:rPr>
                <w:color w:val="1C3A36"/>
                <w:sz w:val="18"/>
              </w:rPr>
              <w:t>6.76</w:t>
            </w:r>
          </w:p>
        </w:tc>
      </w:tr>
      <w:tr>
        <w:tc>
          <w:tcPr>
            <w:tcW w:type="dxa" w:w="3960"/>
          </w:tcPr>
          <w:p>
            <w:pPr>
              <w:spacing w:after="20"/>
            </w:pPr>
            <w:r>
              <w:rPr>
                <w:b/>
                <w:color w:val="1C3A36"/>
                <w:sz w:val="18"/>
              </w:rPr>
              <w:t>Residual income</w:t>
            </w:r>
          </w:p>
        </w:tc>
        <w:tc>
          <w:tcPr>
            <w:tcW w:type="dxa" w:w="1944"/>
          </w:tcPr>
          <w:p>
            <w:pPr>
              <w:spacing w:after="20"/>
              <w:jc w:val="right"/>
            </w:pPr>
            <w:r>
              <w:rPr>
                <w:color w:val="1C3A36"/>
                <w:sz w:val="18"/>
              </w:rPr>
              <w:t>22.54</w:t>
            </w:r>
          </w:p>
        </w:tc>
        <w:tc>
          <w:tcPr>
            <w:tcW w:type="dxa" w:w="1944"/>
          </w:tcPr>
          <w:p>
            <w:pPr>
              <w:spacing w:after="20"/>
              <w:jc w:val="right"/>
            </w:pPr>
            <w:r>
              <w:rPr>
                <w:color w:val="1C3A36"/>
                <w:sz w:val="18"/>
              </w:rPr>
              <w:t>20%</w:t>
            </w:r>
          </w:p>
        </w:tc>
        <w:tc>
          <w:tcPr>
            <w:tcW w:type="dxa" w:w="2232"/>
          </w:tcPr>
          <w:p>
            <w:pPr>
              <w:spacing w:after="20"/>
              <w:jc w:val="right"/>
            </w:pPr>
            <w:r>
              <w:rPr>
                <w:color w:val="1C3A36"/>
                <w:sz w:val="18"/>
              </w:rPr>
              <w:t>4.51</w:t>
            </w:r>
          </w:p>
        </w:tc>
      </w:tr>
      <w:tr>
        <w:tc>
          <w:tcPr>
            <w:tcW w:type="dxa" w:w="3960"/>
          </w:tcPr>
          <w:p>
            <w:pPr>
              <w:spacing w:after="20"/>
            </w:pPr>
            <w:r>
              <w:rPr>
                <w:b/>
                <w:color w:val="1C3A36"/>
                <w:sz w:val="18"/>
              </w:rPr>
              <w:t>FCFE (equity DCF)</w:t>
            </w:r>
          </w:p>
        </w:tc>
        <w:tc>
          <w:tcPr>
            <w:tcW w:type="dxa" w:w="1944"/>
          </w:tcPr>
          <w:p>
            <w:pPr>
              <w:spacing w:after="20"/>
              <w:jc w:val="right"/>
            </w:pPr>
            <w:r>
              <w:rPr>
                <w:color w:val="1C3A36"/>
                <w:sz w:val="18"/>
              </w:rPr>
              <w:t>23.48</w:t>
            </w:r>
          </w:p>
        </w:tc>
        <w:tc>
          <w:tcPr>
            <w:tcW w:type="dxa" w:w="1944"/>
          </w:tcPr>
          <w:p>
            <w:pPr>
              <w:spacing w:after="20"/>
              <w:jc w:val="right"/>
            </w:pPr>
            <w:r>
              <w:rPr>
                <w:color w:val="1C3A36"/>
                <w:sz w:val="18"/>
              </w:rPr>
              <w:t>15%</w:t>
            </w:r>
          </w:p>
        </w:tc>
        <w:tc>
          <w:tcPr>
            <w:tcW w:type="dxa" w:w="2232"/>
          </w:tcPr>
          <w:p>
            <w:pPr>
              <w:spacing w:after="20"/>
              <w:jc w:val="right"/>
            </w:pPr>
            <w:r>
              <w:rPr>
                <w:color w:val="1C3A36"/>
                <w:sz w:val="18"/>
              </w:rPr>
              <w:t>3.52</w:t>
            </w:r>
          </w:p>
        </w:tc>
      </w:tr>
      <w:tr>
        <w:tc>
          <w:tcPr>
            <w:tcW w:type="dxa" w:w="3960"/>
          </w:tcPr>
          <w:p>
            <w:pPr>
              <w:spacing w:after="20"/>
            </w:pPr>
            <w:r>
              <w:rPr>
                <w:b/>
                <w:color w:val="1C3A36"/>
                <w:sz w:val="18"/>
              </w:rPr>
              <w:t>Relative multiples (ROE-adjusted)</w:t>
            </w:r>
          </w:p>
        </w:tc>
        <w:tc>
          <w:tcPr>
            <w:tcW w:type="dxa" w:w="1944"/>
          </w:tcPr>
          <w:p>
            <w:pPr>
              <w:spacing w:after="20"/>
              <w:jc w:val="right"/>
            </w:pPr>
            <w:r>
              <w:rPr>
                <w:color w:val="1C3A36"/>
                <w:sz w:val="18"/>
              </w:rPr>
              <w:t>17.94</w:t>
            </w:r>
          </w:p>
        </w:tc>
        <w:tc>
          <w:tcPr>
            <w:tcW w:type="dxa" w:w="1944"/>
          </w:tcPr>
          <w:p>
            <w:pPr>
              <w:spacing w:after="20"/>
              <w:jc w:val="right"/>
            </w:pPr>
            <w:r>
              <w:rPr>
                <w:color w:val="1C3A36"/>
                <w:sz w:val="18"/>
              </w:rPr>
              <w:t>20%</w:t>
            </w:r>
          </w:p>
        </w:tc>
        <w:tc>
          <w:tcPr>
            <w:tcW w:type="dxa" w:w="2232"/>
          </w:tcPr>
          <w:p>
            <w:pPr>
              <w:spacing w:after="20"/>
              <w:jc w:val="right"/>
            </w:pPr>
            <w:r>
              <w:rPr>
                <w:color w:val="1C3A36"/>
                <w:sz w:val="18"/>
              </w:rPr>
              <w:t>3.59</w:t>
            </w:r>
          </w:p>
        </w:tc>
      </w:tr>
      <w:tr>
        <w:tc>
          <w:tcPr>
            <w:tcW w:type="dxa" w:w="3960"/>
          </w:tcPr>
          <w:p>
            <w:pPr>
              <w:spacing w:after="20"/>
            </w:pPr>
            <w:r>
              <w:rPr>
                <w:b/>
                <w:color w:val="1C3A36"/>
                <w:sz w:val="18"/>
              </w:rPr>
              <w:t>Normalized (through-cycle)</w:t>
            </w:r>
          </w:p>
        </w:tc>
        <w:tc>
          <w:tcPr>
            <w:tcW w:type="dxa" w:w="1944"/>
          </w:tcPr>
          <w:p>
            <w:pPr>
              <w:spacing w:after="20"/>
              <w:jc w:val="right"/>
            </w:pPr>
            <w:r>
              <w:rPr>
                <w:color w:val="1C3A36"/>
                <w:sz w:val="18"/>
              </w:rPr>
              <w:t>19.00</w:t>
            </w:r>
          </w:p>
        </w:tc>
        <w:tc>
          <w:tcPr>
            <w:tcW w:type="dxa" w:w="1944"/>
          </w:tcPr>
          <w:p>
            <w:pPr>
              <w:spacing w:after="20"/>
              <w:jc w:val="right"/>
            </w:pPr>
            <w:r>
              <w:rPr>
                <w:color w:val="1C3A36"/>
                <w:sz w:val="18"/>
              </w:rPr>
              <w:t>15%</w:t>
            </w:r>
          </w:p>
        </w:tc>
        <w:tc>
          <w:tcPr>
            <w:tcW w:type="dxa" w:w="2232"/>
          </w:tcPr>
          <w:p>
            <w:pPr>
              <w:spacing w:after="20"/>
              <w:jc w:val="right"/>
            </w:pPr>
            <w:r>
              <w:rPr>
                <w:color w:val="1C3A36"/>
                <w:sz w:val="18"/>
              </w:rPr>
              <w:t>2.85</w:t>
            </w:r>
          </w:p>
        </w:tc>
      </w:tr>
      <w:tr>
        <w:tc>
          <w:tcPr>
            <w:tcW w:type="dxa" w:w="3960"/>
            <w:shd w:val="clear" w:color="auto" w:fill="F6F1E6"/>
          </w:tcPr>
          <w:p>
            <w:pPr>
              <w:spacing w:after="20"/>
            </w:pPr>
            <w:r>
              <w:rPr>
                <w:b/>
                <w:color w:val="1C3A36"/>
                <w:sz w:val="18"/>
              </w:rPr>
              <w:t>Weighted central</w:t>
            </w:r>
          </w:p>
        </w:tc>
        <w:tc>
          <w:tcPr>
            <w:tcW w:type="dxa" w:w="1944"/>
            <w:shd w:val="clear" w:color="auto" w:fill="F6F1E6"/>
          </w:tcPr>
          <w:p>
            <w:pPr>
              <w:spacing w:after="20"/>
              <w:jc w:val="right"/>
            </w:pPr>
            <w:r>
              <w:rPr>
                <w:b/>
                <w:color w:val="1C3A36"/>
                <w:sz w:val="18"/>
              </w:rPr>
            </w:r>
          </w:p>
        </w:tc>
        <w:tc>
          <w:tcPr>
            <w:tcW w:type="dxa" w:w="1944"/>
            <w:shd w:val="clear" w:color="auto" w:fill="F6F1E6"/>
          </w:tcPr>
          <w:p>
            <w:pPr>
              <w:spacing w:after="20"/>
              <w:jc w:val="right"/>
            </w:pPr>
            <w:r>
              <w:rPr>
                <w:b/>
                <w:color w:val="1C3A36"/>
                <w:sz w:val="18"/>
              </w:rPr>
            </w:r>
          </w:p>
        </w:tc>
        <w:tc>
          <w:tcPr>
            <w:tcW w:type="dxa" w:w="2232"/>
            <w:shd w:val="clear" w:color="auto" w:fill="F6F1E6"/>
          </w:tcPr>
          <w:p>
            <w:pPr>
              <w:spacing w:after="20"/>
              <w:jc w:val="right"/>
            </w:pPr>
            <w:r>
              <w:rPr>
                <w:b/>
                <w:color w:val="1C3A36"/>
                <w:sz w:val="18"/>
              </w:rPr>
              <w:t>21.23</w:t>
            </w:r>
          </w:p>
        </w:tc>
      </w:tr>
      <w:tr>
        <w:tc>
          <w:tcPr>
            <w:tcW w:type="dxa" w:w="3960"/>
          </w:tcPr>
          <w:p>
            <w:pPr>
              <w:spacing w:after="20"/>
            </w:pPr>
            <w:r>
              <w:rPr>
                <w:b/>
                <w:color w:val="1C3A36"/>
                <w:sz w:val="18"/>
              </w:rPr>
              <w:t>Spot (03-Jul-2026)</w:t>
            </w:r>
          </w:p>
        </w:tc>
        <w:tc>
          <w:tcPr>
            <w:tcW w:type="dxa" w:w="1944"/>
          </w:tcPr>
          <w:p>
            <w:pPr>
              <w:spacing w:after="20"/>
              <w:jc w:val="right"/>
            </w:pPr>
            <w:r>
              <w:rPr>
                <w:color w:val="1C3A36"/>
                <w:sz w:val="18"/>
              </w:rPr>
            </w:r>
          </w:p>
        </w:tc>
        <w:tc>
          <w:tcPr>
            <w:tcW w:type="dxa" w:w="1944"/>
          </w:tcPr>
          <w:p>
            <w:pPr>
              <w:spacing w:after="20"/>
              <w:jc w:val="right"/>
            </w:pPr>
            <w:r>
              <w:rPr>
                <w:color w:val="1C3A36"/>
                <w:sz w:val="18"/>
              </w:rPr>
            </w:r>
          </w:p>
        </w:tc>
        <w:tc>
          <w:tcPr>
            <w:tcW w:type="dxa" w:w="2232"/>
          </w:tcPr>
          <w:p>
            <w:pPr>
              <w:spacing w:after="20"/>
              <w:jc w:val="right"/>
            </w:pPr>
            <w:r>
              <w:rPr>
                <w:color w:val="1C3A36"/>
                <w:sz w:val="18"/>
              </w:rPr>
              <w:t>21.76</w:t>
            </w:r>
          </w:p>
        </w:tc>
      </w:tr>
    </w:tbl>
    <w:p>
      <w:pPr>
        <w:spacing w:after="40"/>
      </w:pPr>
    </w:p>
    <w:p>
      <w:pPr>
        <w:spacing w:after="40"/>
        <w:jc w:val="center"/>
      </w:pPr>
      <w:r>
        <w:drawing>
          <wp:inline xmlns:a="http://schemas.openxmlformats.org/drawingml/2006/main" xmlns:pic="http://schemas.openxmlformats.org/drawingml/2006/picture">
            <wp:extent cx="6126480" cy="2431854"/>
            <wp:docPr id="5" name="Picture 5"/>
            <wp:cNvGraphicFramePr>
              <a:graphicFrameLocks noChangeAspect="1"/>
            </wp:cNvGraphicFramePr>
            <a:graphic>
              <a:graphicData uri="http://schemas.openxmlformats.org/drawingml/2006/picture">
                <pic:pic>
                  <pic:nvPicPr>
                    <pic:cNvPr id="0" name="fig9_football.png"/>
                    <pic:cNvPicPr/>
                  </pic:nvPicPr>
                  <pic:blipFill>
                    <a:blip r:embed="rId13"/>
                    <a:stretch>
                      <a:fillRect/>
                    </a:stretch>
                  </pic:blipFill>
                  <pic:spPr>
                    <a:xfrm>
                      <a:off x="0" y="0"/>
                      <a:ext cx="6126480" cy="2431854"/>
                    </a:xfrm>
                    <a:prstGeom prst="rect"/>
                  </pic:spPr>
                </pic:pic>
              </a:graphicData>
            </a:graphic>
          </wp:inline>
        </w:drawing>
      </w:r>
    </w:p>
    <w:p>
      <w:pPr>
        <w:spacing w:after="200" w:before="0"/>
      </w:pPr>
      <w:r>
        <w:rPr>
          <w:b w:val="0"/>
          <w:i/>
          <w:color w:val="6E7B77"/>
          <w:sz w:val="17"/>
        </w:rPr>
        <w:t>Figure 5 — Five lenses versus spot. The gold span is the full lens range; the dashed line is the weighted central (AED 21.23); the red line is the price. The price sits inside the range and just above the central — a bank that is neither mispriced nor a bargain.</w:t>
      </w:r>
    </w:p>
    <w:p>
      <w:pPr>
        <w:spacing w:after="120" w:before="0"/>
      </w:pPr>
      <w:r>
        <w:rPr>
          <w:b w:val="0"/>
          <w:i w:val="0"/>
          <w:color w:val="1C3A36"/>
          <w:sz w:val="21"/>
        </w:rPr>
        <w:t>A word about what the central is and is not, because it is the easiest number in this document to misuse. The two families do not overlap. The cash-flow family (AED 22.5–23.5) prices a bank that keeps earning a large spread over its cost of equity for a very long time. The market family (AED 17.9–19.0) prices what a buyer will actually pay for that spread today. Those are two different views of the world, not two estimates of one quantity, and averaging them does not produce a truth that sits between them. The RANGE is therefore the primary object of this section, and the football field above is how it should be read.</w:t>
      </w:r>
    </w:p>
    <w:p>
      <w:pPr>
        <w:spacing w:after="120" w:before="0"/>
      </w:pPr>
      <w:r>
        <w:rPr>
          <w:b w:val="0"/>
          <w:i w:val="0"/>
          <w:color w:val="1C3A36"/>
          <w:sz w:val="21"/>
        </w:rPr>
        <w:t>The weighted central of AED 21.23 is a probability-weighted summary across those regimes — a way of saying that both worlds are live and roughly how much weight each deserves. It is not a price target, it is not a rating, and it is not a price at which we expect ADIB to trade; this house publishes neither. Its only real job here is to be compared with the market price, and the comparison is deliberately undramatic: the central lands within 2.4% of spot, which is itself the finding. Two sanity checks on how little it depends on our choices. Swap the sector price-to-book mark for Alvarez &amp; Marsal's 1.64× and the central moves to AED 21.33 — ten fils. And the three independent experts in Appendix C, running three different methods, land at AED 20.00, 18.03 and 20.71 — all of them BELOW it. If the central is engineering anything, it is engineering against itself.</w:t>
      </w:r>
    </w:p>
    <w:p>
      <w:pPr>
        <w:spacing w:after="80" w:before="200"/>
      </w:pPr>
      <w:r>
        <w:rPr>
          <w:b/>
          <w:i w:val="0"/>
          <w:color w:val="1C3A36"/>
          <w:sz w:val="24"/>
        </w:rPr>
        <w:t>1.8  The crux — how long does a 25% return on equity last?</w:t>
      </w:r>
    </w:p>
    <w:p>
      <w:pPr>
        <w:spacing w:after="120" w:before="0"/>
      </w:pPr>
      <w:r>
        <w:rPr>
          <w:b w:val="0"/>
          <w:i w:val="0"/>
          <w:color w:val="1C3A36"/>
          <w:sz w:val="21"/>
        </w:rPr>
        <w:t>Every bank study has one load-bearing tension. ADIB's is not credit, not capital and not the margin. It is durability. This is a bank earning 28.8% on equity in a market where the average is 18.3%, and the entire question is whether that gap is a moat or a moment.</w:t>
      </w:r>
    </w:p>
    <w:p>
      <w:pPr>
        <w:spacing w:after="120" w:before="0"/>
      </w:pPr>
      <w:r>
        <w:rPr>
          <w:b w:val="0"/>
          <w:i w:val="0"/>
          <w:color w:val="1C3A36"/>
          <w:sz w:val="21"/>
        </w:rPr>
        <w:t>The case that it is a moat is real and it is structural, not clever. Two-thirds of ADIB's deposits sit in current and savings accounts, which is the cheapest funding a bank can have and the hardest to replicate; that is why a 100bp benchmark cut cost it only 24bp of margin. Its book is still 55% retail, which is higher-yielding and stickier than wholesale. Its cost-to-income ratio has fallen from 40.7% to 28.6% in four years. And its legacy asset-quality problem — 8.9% non-performing in 2021 — is genuinely fixed, at 2.6% with 178% coverage.</w:t>
      </w:r>
    </w:p>
    <w:p>
      <w:pPr>
        <w:spacing w:after="120" w:before="0"/>
      </w:pPr>
      <w:r>
        <w:rPr>
          <w:b w:val="0"/>
          <w:i w:val="0"/>
          <w:color w:val="1C3A36"/>
          <w:sz w:val="21"/>
        </w:rPr>
        <w:t>The case that it is a moment is equally real. Return on equity is a ratio, and its denominator is compounding. ADIB retains half its earnings every year; on a 25%-plus return, that equity base grows at 12–13% a year, and the return must fall unless the bank can keep deploying at the same spread — which is exactly what the mix shift toward government-related lending suggests it cannot. Management's own 2030 target is about 25%, four points below where it is now. They are telling you the fade is coming.</w:t>
      </w:r>
    </w:p>
    <w:p>
      <w:pPr>
        <w:spacing w:after="120" w:before="0"/>
      </w:pPr>
      <w:r>
        <w:rPr>
          <w:b w:val="0"/>
          <w:i w:val="0"/>
          <w:color w:val="1C3A36"/>
          <w:sz w:val="21"/>
        </w:rPr>
        <w:t>Here is what the market is paying for it. The table below is the study in miniature.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What the price implies</w:t>
            </w:r>
          </w:p>
        </w:tc>
        <w:tc>
          <w:tcPr>
            <w:tcW w:type="dxa" w:w="3888"/>
            <w:shd w:val="clear" w:color="auto" w:fill="EAF0EE"/>
          </w:tcPr>
          <w:p>
            <w:pPr>
              <w:spacing w:after="20"/>
            </w:pPr>
            <w:r>
              <w:rPr>
                <w:b/>
                <w:color w:val="1C3A36"/>
                <w:sz w:val="18"/>
              </w:rPr>
              <w:t>Value</w:t>
            </w:r>
          </w:p>
        </w:tc>
      </w:tr>
      <w:tr>
        <w:tc>
          <w:tcPr>
            <w:tcW w:type="dxa" w:w="6192"/>
          </w:tcPr>
          <w:p>
            <w:pPr>
              <w:spacing w:after="20"/>
            </w:pPr>
            <w:r>
              <w:rPr>
                <w:b/>
                <w:color w:val="1C3A36"/>
                <w:sz w:val="18"/>
              </w:rPr>
              <w:t>P/B on the latest reported book (Q1-26, AED 6.571)</w:t>
            </w:r>
          </w:p>
        </w:tc>
        <w:tc>
          <w:tcPr>
            <w:tcW w:type="dxa" w:w="3888"/>
          </w:tcPr>
          <w:p>
            <w:pPr>
              <w:spacing w:after="20"/>
              <w:jc w:val="right"/>
            </w:pPr>
            <w:r>
              <w:rPr>
                <w:color w:val="1C3A36"/>
                <w:sz w:val="18"/>
              </w:rPr>
              <w:t>3.31x</w:t>
            </w:r>
          </w:p>
        </w:tc>
      </w:tr>
      <w:tr>
        <w:tc>
          <w:tcPr>
            <w:tcW w:type="dxa" w:w="6192"/>
          </w:tcPr>
          <w:p>
            <w:pPr>
              <w:spacing w:after="20"/>
            </w:pPr>
            <w:r>
              <w:rPr>
                <w:b/>
                <w:color w:val="1C3A36"/>
                <w:sz w:val="18"/>
              </w:rPr>
              <w:t>P/B on the last audited FY book (Dec-25, AED 7.177)</w:t>
            </w:r>
          </w:p>
        </w:tc>
        <w:tc>
          <w:tcPr>
            <w:tcW w:type="dxa" w:w="3888"/>
          </w:tcPr>
          <w:p>
            <w:pPr>
              <w:spacing w:after="20"/>
              <w:jc w:val="right"/>
            </w:pPr>
            <w:r>
              <w:rPr>
                <w:color w:val="1C3A36"/>
                <w:sz w:val="18"/>
              </w:rPr>
              <w:t>3.03x</w:t>
            </w:r>
          </w:p>
        </w:tc>
      </w:tr>
      <w:tr>
        <w:tc>
          <w:tcPr>
            <w:tcW w:type="dxa" w:w="6192"/>
            <w:shd w:val="clear" w:color="auto" w:fill="F6F1E6"/>
          </w:tcPr>
          <w:p>
            <w:pPr>
              <w:spacing w:after="20"/>
            </w:pPr>
            <w:r>
              <w:rPr>
                <w:b/>
                <w:color w:val="1C3A36"/>
                <w:sz w:val="18"/>
              </w:rPr>
              <w:t>Perpetual ROE the price implies at our Ke of 10.57%</w:t>
            </w:r>
          </w:p>
        </w:tc>
        <w:tc>
          <w:tcPr>
            <w:tcW w:type="dxa" w:w="3888"/>
            <w:shd w:val="clear" w:color="auto" w:fill="F6F1E6"/>
          </w:tcPr>
          <w:p>
            <w:pPr>
              <w:spacing w:after="20"/>
              <w:jc w:val="right"/>
            </w:pPr>
            <w:r>
              <w:rPr>
                <w:b/>
                <w:color w:val="1C3A36"/>
                <w:sz w:val="18"/>
              </w:rPr>
              <w:t>25.8%</w:t>
            </w:r>
          </w:p>
        </w:tc>
      </w:tr>
      <w:tr>
        <w:tc>
          <w:tcPr>
            <w:tcW w:type="dxa" w:w="6192"/>
          </w:tcPr>
          <w:p>
            <w:pPr>
              <w:spacing w:after="20"/>
            </w:pPr>
            <w:r>
              <w:rPr>
                <w:b/>
                <w:color w:val="1C3A36"/>
                <w:sz w:val="18"/>
              </w:rPr>
              <w:t>Terminal ROE at which the DDM alone equals spot</w:t>
            </w:r>
          </w:p>
        </w:tc>
        <w:tc>
          <w:tcPr>
            <w:tcW w:type="dxa" w:w="3888"/>
          </w:tcPr>
          <w:p>
            <w:pPr>
              <w:spacing w:after="20"/>
              <w:jc w:val="right"/>
            </w:pPr>
            <w:r>
              <w:rPr>
                <w:color w:val="1C3A36"/>
                <w:sz w:val="18"/>
              </w:rPr>
              <w:t>19.3%</w:t>
            </w:r>
          </w:p>
        </w:tc>
      </w:tr>
      <w:tr>
        <w:tc>
          <w:tcPr>
            <w:tcW w:type="dxa" w:w="6192"/>
          </w:tcPr>
          <w:p>
            <w:pPr>
              <w:spacing w:after="20"/>
            </w:pPr>
            <w:r>
              <w:rPr>
                <w:b/>
                <w:color w:val="1C3A36"/>
                <w:sz w:val="18"/>
              </w:rPr>
              <w:t>Terminal ROE at which the five-lens central equals spot</w:t>
            </w:r>
          </w:p>
        </w:tc>
        <w:tc>
          <w:tcPr>
            <w:tcW w:type="dxa" w:w="3888"/>
          </w:tcPr>
          <w:p>
            <w:pPr>
              <w:spacing w:after="20"/>
              <w:jc w:val="right"/>
            </w:pPr>
            <w:r>
              <w:rPr>
                <w:color w:val="1C3A36"/>
                <w:sz w:val="18"/>
              </w:rPr>
              <w:t>20.7%</w:t>
            </w:r>
          </w:p>
        </w:tc>
      </w:tr>
      <w:tr>
        <w:tc>
          <w:tcPr>
            <w:tcW w:type="dxa" w:w="6192"/>
          </w:tcPr>
          <w:p>
            <w:pPr>
              <w:spacing w:after="20"/>
            </w:pPr>
            <w:r>
              <w:rPr>
                <w:b/>
                <w:color w:val="1C3A36"/>
                <w:sz w:val="18"/>
              </w:rPr>
              <w:t>ADIB FY25 actual ROE</w:t>
            </w:r>
          </w:p>
        </w:tc>
        <w:tc>
          <w:tcPr>
            <w:tcW w:type="dxa" w:w="3888"/>
          </w:tcPr>
          <w:p>
            <w:pPr>
              <w:spacing w:after="20"/>
              <w:jc w:val="right"/>
            </w:pPr>
            <w:r>
              <w:rPr>
                <w:color w:val="1C3A36"/>
                <w:sz w:val="18"/>
              </w:rPr>
              <w:t>28.8%</w:t>
            </w:r>
          </w:p>
        </w:tc>
      </w:tr>
      <w:tr>
        <w:tc>
          <w:tcPr>
            <w:tcW w:type="dxa" w:w="6192"/>
          </w:tcPr>
          <w:p>
            <w:pPr>
              <w:spacing w:after="20"/>
            </w:pPr>
            <w:r>
              <w:rPr>
                <w:b/>
                <w:color w:val="1C3A36"/>
                <w:sz w:val="18"/>
              </w:rPr>
              <w:t>ADIB management 2030 target</w:t>
            </w:r>
          </w:p>
        </w:tc>
        <w:tc>
          <w:tcPr>
            <w:tcW w:type="dxa" w:w="3888"/>
          </w:tcPr>
          <w:p>
            <w:pPr>
              <w:spacing w:after="20"/>
              <w:jc w:val="right"/>
            </w:pPr>
            <w:r>
              <w:rPr>
                <w:color w:val="1C3A36"/>
                <w:sz w:val="18"/>
              </w:rPr>
              <w:t>~25%</w:t>
            </w:r>
          </w:p>
        </w:tc>
      </w:tr>
      <w:tr>
        <w:tc>
          <w:tcPr>
            <w:tcW w:type="dxa" w:w="6192"/>
          </w:tcPr>
          <w:p>
            <w:pPr>
              <w:spacing w:after="20"/>
            </w:pPr>
            <w:r>
              <w:rPr>
                <w:b/>
                <w:color w:val="1C3A36"/>
                <w:sz w:val="18"/>
              </w:rPr>
              <w:t>UAE bank sector ROE</w:t>
            </w:r>
          </w:p>
        </w:tc>
        <w:tc>
          <w:tcPr>
            <w:tcW w:type="dxa" w:w="3888"/>
          </w:tcPr>
          <w:p>
            <w:pPr>
              <w:spacing w:after="20"/>
              <w:jc w:val="right"/>
            </w:pPr>
            <w:r>
              <w:rPr>
                <w:color w:val="1C3A36"/>
                <w:sz w:val="18"/>
              </w:rPr>
              <w:t>18.3%</w:t>
            </w:r>
          </w:p>
        </w:tc>
      </w:tr>
    </w:tbl>
    <w:p>
      <w:pPr>
        <w:spacing w:after="40"/>
      </w:pPr>
    </w:p>
    <w:p>
      <w:pPr>
        <w:spacing w:after="120" w:before="0"/>
      </w:pPr>
      <w:r>
        <w:rPr>
          <w:b w:val="0"/>
          <w:i w:val="0"/>
          <w:color w:val="1C3A36"/>
          <w:sz w:val="21"/>
        </w:rPr>
        <w:t>Read that carefully, because the two framings say different things and both are honest. On the simple steady-state arithmetic — the one-line justified price-to-book applied to today's book — the price implies ADIB earns 25.8% on equity forever, which is above management's own target and above anything any UAE peer earns. On the full two-stage model, which gives ADIB credit for the 22–24% it earns during the transition before fading, the price is matched at a terminal return of 19.3%. The difference between those two numbers — 25.8% versus 19.3% — is the value of the fade path, and it is worth several dirhams a share. Anyone who tells you a bank's value is "just" its justified P/B has not priced the transition.</w:t>
      </w:r>
    </w:p>
    <w:p>
      <w:pPr>
        <w:spacing w:after="40"/>
        <w:jc w:val="center"/>
      </w:pPr>
      <w:r>
        <w:drawing>
          <wp:inline xmlns:a="http://schemas.openxmlformats.org/drawingml/2006/main" xmlns:pic="http://schemas.openxmlformats.org/drawingml/2006/picture">
            <wp:extent cx="5852160" cy="3120869"/>
            <wp:docPr id="6" name="Picture 6"/>
            <wp:cNvGraphicFramePr>
              <a:graphicFrameLocks noChangeAspect="1"/>
            </wp:cNvGraphicFramePr>
            <a:graphic>
              <a:graphicData uri="http://schemas.openxmlformats.org/drawingml/2006/picture">
                <pic:pic>
                  <pic:nvPicPr>
                    <pic:cNvPr id="0" name="fig12_heatmap.png"/>
                    <pic:cNvPicPr/>
                  </pic:nvPicPr>
                  <pic:blipFill>
                    <a:blip r:embed="rId14"/>
                    <a:stretch>
                      <a:fillRect/>
                    </a:stretch>
                  </pic:blipFill>
                  <pic:spPr>
                    <a:xfrm>
                      <a:off x="0" y="0"/>
                      <a:ext cx="5852160" cy="3120869"/>
                    </a:xfrm>
                    <a:prstGeom prst="rect"/>
                  </pic:spPr>
                </pic:pic>
              </a:graphicData>
            </a:graphic>
          </wp:inline>
        </w:drawing>
      </w:r>
    </w:p>
    <w:p>
      <w:pPr>
        <w:spacing w:after="200" w:before="0"/>
      </w:pPr>
      <w:r>
        <w:rPr>
          <w:b w:val="0"/>
          <w:i/>
          <w:color w:val="6E7B77"/>
          <w:sz w:val="17"/>
        </w:rPr>
        <w:t>Figure 6 — The crux, mapped. The weighted central across cost of equity (rows) and terminal return on equity (columns). The red box is the base case. The dashed cells are the combinations that reproduce today's AED 21.76 price — and note how many of them there are. This is a stock whose price is consistent with a wide range of honest views, which is exactly why the distribution in §3 matters more than the point estimate here.</w:t>
      </w:r>
    </w:p>
    <w:p>
      <w:pPr>
        <w:spacing w:after="120" w:before="0"/>
      </w:pPr>
      <w:r>
        <w:rPr>
          <w:b w:val="0"/>
          <w:i w:val="0"/>
          <w:color w:val="1C3A36"/>
          <w:sz w:val="21"/>
        </w:rPr>
        <w:t>The second crux is the war premium, and it is worth almost as much. Strip the 1.0-point conflict adder from the cost of equity and the central rises to AED 24.63; harden it to 2.5 points — a renewed Hormuz closure — and it falls to AED 17.73. About AED 7 of value per share, a third of the price, is a pure geopolitics bet that neither management nor this model controls. And as §1.9 sets out, that bet moved against the holder in the week between the spot date and this publication.</w:t>
      </w:r>
    </w:p>
    <w:p>
      <w:pPr>
        <w:spacing w:after="80" w:before="200"/>
      </w:pPr>
      <w:r>
        <w:rPr>
          <w:b/>
          <w:i w:val="0"/>
          <w:color w:val="1C3A36"/>
          <w:sz w:val="24"/>
        </w:rPr>
        <w:t>1.9  Macro and regime — a strong economy inside a bad neighbourhood</w:t>
      </w:r>
    </w:p>
    <w:p>
      <w:pPr>
        <w:spacing w:after="120" w:before="0"/>
      </w:pPr>
      <w:r>
        <w:rPr>
          <w:b w:val="0"/>
          <w:i w:val="0"/>
          <w:color w:val="1C3A36"/>
          <w:sz w:val="21"/>
        </w:rPr>
        <w:t>The operating backdrop is a peculiar combination of excellent micro and dangerous macro. On ADIB's own numbers, the UAE grew 4.9% in real terms in 2025 and is expected to grow 5.3% in 2026, with inflation at 1.5–1.8% and government spending steady at about 26.5% of GDP. The central bank puts system credit growth at 17.9% and total banking assets at AED 5.34tn. Nothing in the domestic economy is broken; ADIB's 26% financing growth in 2025 was not an act of aggression, it was the market growing.</w:t>
      </w:r>
    </w:p>
    <w:p>
      <w:pPr>
        <w:spacing w:after="120" w:before="0"/>
      </w:pPr>
      <w:r>
        <w:rPr>
          <w:b w:val="0"/>
          <w:i w:val="0"/>
          <w:color w:val="1C3A36"/>
          <w:sz w:val="21"/>
        </w:rPr>
        <w:t>The neighbourhood is another matter. The 2026 Iran conflict closed the Strait of Hormuz for most of March to June — the largest oil supply disruption on record — and Brent traded above $126 at the end of April. A US–Iran memorandum of understanding on 17 June reopened the strait; Brent fell to $70.82 by 2 July. ADIB's own Q1 commentary is unusually candid about it: management describes "a more volatile backdrop", credits the central bank's "timely relief measures", and launched a support programme called Sanadna for front-line businesses. Impairments rose 50% year-on-year in that quarter.</w:t>
      </w:r>
    </w:p>
    <w:p>
      <w:pPr>
        <w:spacing w:after="120" w:before="0"/>
      </w:pPr>
      <w:r>
        <w:rPr>
          <w:b w:val="0"/>
          <w:i w:val="0"/>
          <w:color w:val="1C3A36"/>
          <w:sz w:val="21"/>
        </w:rPr>
        <w:t>And then, in the week between this study's spot date and its publication, the ceasefire frayed. Strikes resumed around 4–6 July; Brent has moved back to roughly $76; on 10 July the US President described the ceasefire as "effectively over", while saying negotiations remain open. The 60-day window under the June memorandum closes on 21 August. This matters for a specific, unglamorous reason: the AED 21.76 spot that anchors this entire study was set on 3 July, at the very bottom of the oil market's de-escalation optimism. The price may already have moved. We do not adjust the spot — the study is anchored where the data is anchored — but the reader should know that the 1.0-point conflict adder in our cost of equity is the low end of a live range, and that the 2.5-point row in §1.10 is a scenario, not a footnote.</w:t>
      </w:r>
    </w:p>
    <w:p>
      <w:pPr>
        <w:spacing w:after="120" w:before="0"/>
      </w:pPr>
      <w:r>
        <w:rPr>
          <w:b w:val="0"/>
          <w:i w:val="0"/>
          <w:color w:val="1C3A36"/>
          <w:sz w:val="21"/>
        </w:rPr>
        <w:t>The rate cycle cuts the other way, and in ADIB's favour. The Federal Reserve held at 3.50–3.75% for a fourth consecutive meeting in June, and its own projections now show nine of nineteen officials expecting at least one HIKE in 2026 — the cutting cycle that compressed UAE bank margins through 2025 appears to be over. Because the dirham is pegged, the CBUAE follows: the base rate is 3.65% and three-month EIBOR is around 3.90%. A bank with 67% of its deposits in current and savings accounts is the single biggest beneficiary of rates that stop falling. This is why the margin compression in our model is attributed to the financing mix and not to rates — and it is a genuine, if modest, upside risk to the FY27–30 path.</w:t>
      </w:r>
    </w:p>
    <w:p>
      <w:pPr>
        <w:spacing w:after="120" w:before="0"/>
      </w:pPr>
      <w:r>
        <w:rPr>
          <w:b w:val="0"/>
          <w:i w:val="0"/>
          <w:color w:val="1C3A36"/>
          <w:sz w:val="21"/>
        </w:rPr>
        <w:t>Finally, the sovereign. Abu Dhabi is rated Aa2 by Moody's with a 46bp credit-default swap spread — one of the strongest sovereigns in the world. That is what sets the equity risk premium at 4.87% on the rating basis and 4.93% on the CDS basis (both published; the central uses the rating basis). The risk-free rate of 4.70% is a constructed AED ten-year, built as the US Treasury yield plus the dirham-bond spread from the Ministry of Finance's May-2026 auctions, and it is flagged as an estimate: no live AED long curve is quotable. The house rule that a currency peg does NOT make the local and dollar curves equivalent is observed here, even though observing it costs us precision.</w:t>
      </w:r>
    </w:p>
    <w:p>
      <w:pPr>
        <w:spacing w:after="80" w:before="200"/>
      </w:pPr>
      <w:r>
        <w:rPr>
          <w:b/>
          <w:i w:val="0"/>
          <w:color w:val="1C3A36"/>
          <w:sz w:val="24"/>
        </w:rPr>
        <w:t>1.10  Sensitivity — the crux in the units that actually move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664"/>
            <w:shd w:val="clear" w:color="auto" w:fill="EAF0EE"/>
          </w:tcPr>
          <w:p>
            <w:pPr>
              <w:spacing w:after="20"/>
            </w:pPr>
            <w:r>
              <w:rPr>
                <w:b/>
                <w:color w:val="1C3A36"/>
                <w:sz w:val="18"/>
              </w:rPr>
              <w:t>Weighted central (AED)</w:t>
            </w:r>
          </w:p>
        </w:tc>
        <w:tc>
          <w:tcPr>
            <w:tcW w:type="dxa" w:w="1843"/>
            <w:shd w:val="clear" w:color="auto" w:fill="EAF0EE"/>
          </w:tcPr>
          <w:p>
            <w:pPr>
              <w:spacing w:after="20"/>
            </w:pPr>
            <w:r>
              <w:rPr>
                <w:b/>
                <w:color w:val="1C3A36"/>
                <w:sz w:val="18"/>
              </w:rPr>
              <w:t>g 3.0%</w:t>
            </w:r>
          </w:p>
        </w:tc>
        <w:tc>
          <w:tcPr>
            <w:tcW w:type="dxa" w:w="1843"/>
            <w:shd w:val="clear" w:color="auto" w:fill="EAF0EE"/>
          </w:tcPr>
          <w:p>
            <w:pPr>
              <w:spacing w:after="20"/>
            </w:pPr>
            <w:r>
              <w:rPr>
                <w:b/>
                <w:color w:val="1C3A36"/>
                <w:sz w:val="18"/>
              </w:rPr>
              <w:t>g 3.5%</w:t>
            </w:r>
          </w:p>
        </w:tc>
        <w:tc>
          <w:tcPr>
            <w:tcW w:type="dxa" w:w="1843"/>
            <w:shd w:val="clear" w:color="auto" w:fill="EAF0EE"/>
          </w:tcPr>
          <w:p>
            <w:pPr>
              <w:spacing w:after="20"/>
            </w:pPr>
            <w:r>
              <w:rPr>
                <w:b/>
                <w:color w:val="1C3A36"/>
                <w:sz w:val="18"/>
              </w:rPr>
              <w:t>g 4.0%</w:t>
            </w:r>
          </w:p>
        </w:tc>
        <w:tc>
          <w:tcPr>
            <w:tcW w:type="dxa" w:w="1843"/>
            <w:shd w:val="clear" w:color="auto" w:fill="EAF0EE"/>
          </w:tcPr>
          <w:p>
            <w:pPr>
              <w:spacing w:after="20"/>
            </w:pPr>
            <w:r>
              <w:rPr>
                <w:b/>
                <w:color w:val="1C3A36"/>
                <w:sz w:val="18"/>
              </w:rPr>
              <w:t>g 4.5%</w:t>
            </w:r>
          </w:p>
        </w:tc>
      </w:tr>
      <w:tr>
        <w:tc>
          <w:tcPr>
            <w:tcW w:type="dxa" w:w="2664"/>
          </w:tcPr>
          <w:p>
            <w:pPr>
              <w:spacing w:after="20"/>
            </w:pPr>
            <w:r>
              <w:rPr>
                <w:b/>
                <w:color w:val="1C3A36"/>
                <w:sz w:val="18"/>
              </w:rPr>
              <w:t>Ke 9.57%</w:t>
            </w:r>
          </w:p>
        </w:tc>
        <w:tc>
          <w:tcPr>
            <w:tcW w:type="dxa" w:w="1843"/>
          </w:tcPr>
          <w:p>
            <w:pPr>
              <w:spacing w:after="20"/>
              <w:jc w:val="right"/>
            </w:pPr>
            <w:r>
              <w:rPr>
                <w:color w:val="1C3A36"/>
                <w:sz w:val="18"/>
              </w:rPr>
              <w:t>22.70</w:t>
            </w:r>
          </w:p>
        </w:tc>
        <w:tc>
          <w:tcPr>
            <w:tcW w:type="dxa" w:w="1843"/>
          </w:tcPr>
          <w:p>
            <w:pPr>
              <w:spacing w:after="20"/>
              <w:jc w:val="right"/>
            </w:pPr>
            <w:r>
              <w:rPr>
                <w:color w:val="1C3A36"/>
                <w:sz w:val="18"/>
              </w:rPr>
              <w:t>23.59</w:t>
            </w:r>
          </w:p>
        </w:tc>
        <w:tc>
          <w:tcPr>
            <w:tcW w:type="dxa" w:w="1843"/>
          </w:tcPr>
          <w:p>
            <w:pPr>
              <w:spacing w:after="20"/>
              <w:jc w:val="right"/>
            </w:pPr>
            <w:r>
              <w:rPr>
                <w:color w:val="1C3A36"/>
                <w:sz w:val="18"/>
              </w:rPr>
              <w:t>24.63</w:t>
            </w:r>
          </w:p>
        </w:tc>
        <w:tc>
          <w:tcPr>
            <w:tcW w:type="dxa" w:w="1843"/>
          </w:tcPr>
          <w:p>
            <w:pPr>
              <w:spacing w:after="20"/>
              <w:jc w:val="right"/>
            </w:pPr>
            <w:r>
              <w:rPr>
                <w:color w:val="1C3A36"/>
                <w:sz w:val="18"/>
              </w:rPr>
              <w:t>25.87</w:t>
            </w:r>
          </w:p>
        </w:tc>
      </w:tr>
      <w:tr>
        <w:tc>
          <w:tcPr>
            <w:tcW w:type="dxa" w:w="2664"/>
          </w:tcPr>
          <w:p>
            <w:pPr>
              <w:spacing w:after="20"/>
            </w:pPr>
            <w:r>
              <w:rPr>
                <w:b/>
                <w:color w:val="1C3A36"/>
                <w:sz w:val="18"/>
              </w:rPr>
              <w:t>Ke 10.07%</w:t>
            </w:r>
          </w:p>
        </w:tc>
        <w:tc>
          <w:tcPr>
            <w:tcW w:type="dxa" w:w="1843"/>
          </w:tcPr>
          <w:p>
            <w:pPr>
              <w:spacing w:after="20"/>
              <w:jc w:val="right"/>
            </w:pPr>
            <w:r>
              <w:rPr>
                <w:color w:val="1C3A36"/>
                <w:sz w:val="18"/>
              </w:rPr>
              <w:t>21.23</w:t>
            </w:r>
          </w:p>
        </w:tc>
        <w:tc>
          <w:tcPr>
            <w:tcW w:type="dxa" w:w="1843"/>
          </w:tcPr>
          <w:p>
            <w:pPr>
              <w:spacing w:after="20"/>
              <w:jc w:val="right"/>
            </w:pPr>
            <w:r>
              <w:rPr>
                <w:color w:val="1C3A36"/>
                <w:sz w:val="18"/>
              </w:rPr>
              <w:t>21.95</w:t>
            </w:r>
          </w:p>
        </w:tc>
        <w:tc>
          <w:tcPr>
            <w:tcW w:type="dxa" w:w="1843"/>
          </w:tcPr>
          <w:p>
            <w:pPr>
              <w:spacing w:after="20"/>
              <w:jc w:val="right"/>
            </w:pPr>
            <w:r>
              <w:rPr>
                <w:color w:val="1C3A36"/>
                <w:sz w:val="18"/>
              </w:rPr>
              <w:t>22.79</w:t>
            </w:r>
          </w:p>
        </w:tc>
        <w:tc>
          <w:tcPr>
            <w:tcW w:type="dxa" w:w="1843"/>
          </w:tcPr>
          <w:p>
            <w:pPr>
              <w:spacing w:after="20"/>
              <w:jc w:val="right"/>
            </w:pPr>
            <w:r>
              <w:rPr>
                <w:color w:val="1C3A36"/>
                <w:sz w:val="18"/>
              </w:rPr>
              <w:t>23.77</w:t>
            </w:r>
          </w:p>
        </w:tc>
      </w:tr>
      <w:tr>
        <w:tc>
          <w:tcPr>
            <w:tcW w:type="dxa" w:w="2664"/>
            <w:shd w:val="clear" w:color="auto" w:fill="F6F1E6"/>
          </w:tcPr>
          <w:p>
            <w:pPr>
              <w:spacing w:after="20"/>
            </w:pPr>
            <w:r>
              <w:rPr>
                <w:b/>
                <w:color w:val="1C3A36"/>
                <w:sz w:val="18"/>
              </w:rPr>
              <w:t>Ke 10.57%</w:t>
            </w:r>
          </w:p>
        </w:tc>
        <w:tc>
          <w:tcPr>
            <w:tcW w:type="dxa" w:w="1843"/>
            <w:shd w:val="clear" w:color="auto" w:fill="F6F1E6"/>
          </w:tcPr>
          <w:p>
            <w:pPr>
              <w:spacing w:after="20"/>
              <w:jc w:val="right"/>
            </w:pPr>
            <w:r>
              <w:rPr>
                <w:b/>
                <w:color w:val="1C3A36"/>
                <w:sz w:val="18"/>
              </w:rPr>
              <w:t>19.95</w:t>
            </w:r>
          </w:p>
        </w:tc>
        <w:tc>
          <w:tcPr>
            <w:tcW w:type="dxa" w:w="1843"/>
            <w:shd w:val="clear" w:color="auto" w:fill="F6F1E6"/>
          </w:tcPr>
          <w:p>
            <w:pPr>
              <w:spacing w:after="20"/>
              <w:jc w:val="right"/>
            </w:pPr>
            <w:r>
              <w:rPr>
                <w:b/>
                <w:color w:val="1C3A36"/>
                <w:sz w:val="18"/>
              </w:rPr>
              <w:t>20.55</w:t>
            </w:r>
          </w:p>
        </w:tc>
        <w:tc>
          <w:tcPr>
            <w:tcW w:type="dxa" w:w="1843"/>
            <w:shd w:val="clear" w:color="auto" w:fill="F6F1E6"/>
          </w:tcPr>
          <w:p>
            <w:pPr>
              <w:spacing w:after="20"/>
              <w:jc w:val="right"/>
            </w:pPr>
            <w:r>
              <w:rPr>
                <w:b/>
                <w:color w:val="1C3A36"/>
                <w:sz w:val="18"/>
              </w:rPr>
              <w:t>21.23</w:t>
            </w:r>
          </w:p>
        </w:tc>
        <w:tc>
          <w:tcPr>
            <w:tcW w:type="dxa" w:w="1843"/>
            <w:shd w:val="clear" w:color="auto" w:fill="F6F1E6"/>
          </w:tcPr>
          <w:p>
            <w:pPr>
              <w:spacing w:after="20"/>
              <w:jc w:val="right"/>
            </w:pPr>
            <w:r>
              <w:rPr>
                <w:b/>
                <w:color w:val="1C3A36"/>
                <w:sz w:val="18"/>
              </w:rPr>
              <w:t>22.02</w:t>
            </w:r>
          </w:p>
        </w:tc>
      </w:tr>
      <w:tr>
        <w:tc>
          <w:tcPr>
            <w:tcW w:type="dxa" w:w="2664"/>
          </w:tcPr>
          <w:p>
            <w:pPr>
              <w:spacing w:after="20"/>
            </w:pPr>
            <w:r>
              <w:rPr>
                <w:b/>
                <w:color w:val="1C3A36"/>
                <w:sz w:val="18"/>
              </w:rPr>
              <w:t>Ke 11.07%</w:t>
            </w:r>
          </w:p>
        </w:tc>
        <w:tc>
          <w:tcPr>
            <w:tcW w:type="dxa" w:w="1843"/>
          </w:tcPr>
          <w:p>
            <w:pPr>
              <w:spacing w:after="20"/>
              <w:jc w:val="right"/>
            </w:pPr>
            <w:r>
              <w:rPr>
                <w:color w:val="1C3A36"/>
                <w:sz w:val="18"/>
              </w:rPr>
              <w:t>18.84</w:t>
            </w:r>
          </w:p>
        </w:tc>
        <w:tc>
          <w:tcPr>
            <w:tcW w:type="dxa" w:w="1843"/>
          </w:tcPr>
          <w:p>
            <w:pPr>
              <w:spacing w:after="20"/>
              <w:jc w:val="right"/>
            </w:pPr>
            <w:r>
              <w:rPr>
                <w:color w:val="1C3A36"/>
                <w:sz w:val="18"/>
              </w:rPr>
              <w:t>19.33</w:t>
            </w:r>
          </w:p>
        </w:tc>
        <w:tc>
          <w:tcPr>
            <w:tcW w:type="dxa" w:w="1843"/>
          </w:tcPr>
          <w:p>
            <w:pPr>
              <w:spacing w:after="20"/>
              <w:jc w:val="right"/>
            </w:pPr>
            <w:r>
              <w:rPr>
                <w:color w:val="1C3A36"/>
                <w:sz w:val="18"/>
              </w:rPr>
              <w:t>19.90</w:t>
            </w:r>
          </w:p>
        </w:tc>
        <w:tc>
          <w:tcPr>
            <w:tcW w:type="dxa" w:w="1843"/>
          </w:tcPr>
          <w:p>
            <w:pPr>
              <w:spacing w:after="20"/>
              <w:jc w:val="right"/>
            </w:pPr>
            <w:r>
              <w:rPr>
                <w:color w:val="1C3A36"/>
                <w:sz w:val="18"/>
              </w:rPr>
              <w:t>20.54</w:t>
            </w:r>
          </w:p>
        </w:tc>
      </w:tr>
      <w:tr>
        <w:tc>
          <w:tcPr>
            <w:tcW w:type="dxa" w:w="2664"/>
          </w:tcPr>
          <w:p>
            <w:pPr>
              <w:spacing w:after="20"/>
            </w:pPr>
            <w:r>
              <w:rPr>
                <w:b/>
                <w:color w:val="1C3A36"/>
                <w:sz w:val="18"/>
              </w:rPr>
              <w:t>Ke 11.57%</w:t>
            </w:r>
          </w:p>
        </w:tc>
        <w:tc>
          <w:tcPr>
            <w:tcW w:type="dxa" w:w="1843"/>
          </w:tcPr>
          <w:p>
            <w:pPr>
              <w:spacing w:after="20"/>
              <w:jc w:val="right"/>
            </w:pPr>
            <w:r>
              <w:rPr>
                <w:color w:val="1C3A36"/>
                <w:sz w:val="18"/>
              </w:rPr>
              <w:t>17.86</w:t>
            </w:r>
          </w:p>
        </w:tc>
        <w:tc>
          <w:tcPr>
            <w:tcW w:type="dxa" w:w="1843"/>
          </w:tcPr>
          <w:p>
            <w:pPr>
              <w:spacing w:after="20"/>
              <w:jc w:val="right"/>
            </w:pPr>
            <w:r>
              <w:rPr>
                <w:color w:val="1C3A36"/>
                <w:sz w:val="18"/>
              </w:rPr>
              <w:t>18.27</w:t>
            </w:r>
          </w:p>
        </w:tc>
        <w:tc>
          <w:tcPr>
            <w:tcW w:type="dxa" w:w="1843"/>
          </w:tcPr>
          <w:p>
            <w:pPr>
              <w:spacing w:after="20"/>
              <w:jc w:val="right"/>
            </w:pPr>
            <w:r>
              <w:rPr>
                <w:color w:val="1C3A36"/>
                <w:sz w:val="18"/>
              </w:rPr>
              <w:t>18.74</w:t>
            </w:r>
          </w:p>
        </w:tc>
        <w:tc>
          <w:tcPr>
            <w:tcW w:type="dxa" w:w="1843"/>
          </w:tcPr>
          <w:p>
            <w:pPr>
              <w:spacing w:after="20"/>
              <w:jc w:val="right"/>
            </w:pPr>
            <w:r>
              <w:rPr>
                <w:color w:val="1C3A36"/>
                <w:sz w:val="18"/>
              </w:rPr>
              <w:t>19.27</w:t>
            </w:r>
          </w:p>
        </w:tc>
      </w:tr>
      <w:tr>
        <w:tc>
          <w:tcPr>
            <w:tcW w:type="dxa" w:w="2664"/>
          </w:tcPr>
          <w:p>
            <w:pPr>
              <w:spacing w:after="20"/>
            </w:pPr>
            <w:r>
              <w:rPr>
                <w:b/>
                <w:color w:val="1C3A36"/>
                <w:sz w:val="18"/>
              </w:rPr>
              <w:t>Ke 12.07%</w:t>
            </w:r>
          </w:p>
        </w:tc>
        <w:tc>
          <w:tcPr>
            <w:tcW w:type="dxa" w:w="1843"/>
          </w:tcPr>
          <w:p>
            <w:pPr>
              <w:spacing w:after="20"/>
              <w:jc w:val="right"/>
            </w:pPr>
            <w:r>
              <w:rPr>
                <w:color w:val="1C3A36"/>
                <w:sz w:val="18"/>
              </w:rPr>
              <w:t>16.98</w:t>
            </w:r>
          </w:p>
        </w:tc>
        <w:tc>
          <w:tcPr>
            <w:tcW w:type="dxa" w:w="1843"/>
          </w:tcPr>
          <w:p>
            <w:pPr>
              <w:spacing w:after="20"/>
              <w:jc w:val="right"/>
            </w:pPr>
            <w:r>
              <w:rPr>
                <w:color w:val="1C3A36"/>
                <w:sz w:val="18"/>
              </w:rPr>
              <w:t>17.33</w:t>
            </w:r>
          </w:p>
        </w:tc>
        <w:tc>
          <w:tcPr>
            <w:tcW w:type="dxa" w:w="1843"/>
          </w:tcPr>
          <w:p>
            <w:pPr>
              <w:spacing w:after="20"/>
              <w:jc w:val="right"/>
            </w:pPr>
            <w:r>
              <w:rPr>
                <w:color w:val="1C3A36"/>
                <w:sz w:val="18"/>
              </w:rPr>
              <w:t>17.73</w:t>
            </w:r>
          </w:p>
        </w:tc>
        <w:tc>
          <w:tcPr>
            <w:tcW w:type="dxa" w:w="1843"/>
          </w:tcPr>
          <w:p>
            <w:pPr>
              <w:spacing w:after="20"/>
              <w:jc w:val="right"/>
            </w:pPr>
            <w:r>
              <w:rPr>
                <w:color w:val="1C3A36"/>
                <w:sz w:val="18"/>
              </w:rPr>
              <w:t>18.17</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304"/>
            <w:shd w:val="clear" w:color="auto" w:fill="EAF0EE"/>
          </w:tcPr>
          <w:p>
            <w:pPr>
              <w:spacing w:after="20"/>
            </w:pPr>
            <w:r>
              <w:rPr>
                <w:b/>
                <w:color w:val="1C3A36"/>
                <w:sz w:val="18"/>
              </w:rPr>
              <w:t>Weighted central (AED)</w:t>
            </w:r>
          </w:p>
        </w:tc>
        <w:tc>
          <w:tcPr>
            <w:tcW w:type="dxa" w:w="1555"/>
            <w:shd w:val="clear" w:color="auto" w:fill="EAF0EE"/>
          </w:tcPr>
          <w:p>
            <w:pPr>
              <w:spacing w:after="20"/>
            </w:pPr>
            <w:r>
              <w:rPr>
                <w:b/>
                <w:color w:val="1C3A36"/>
                <w:sz w:val="18"/>
              </w:rPr>
              <w:t>Terminal ROE 18%</w:t>
            </w:r>
          </w:p>
        </w:tc>
        <w:tc>
          <w:tcPr>
            <w:tcW w:type="dxa" w:w="1555"/>
            <w:shd w:val="clear" w:color="auto" w:fill="EAF0EE"/>
          </w:tcPr>
          <w:p>
            <w:pPr>
              <w:spacing w:after="20"/>
            </w:pPr>
            <w:r>
              <w:rPr>
                <w:b/>
                <w:color w:val="1C3A36"/>
                <w:sz w:val="18"/>
              </w:rPr>
              <w:t>Terminal ROE 20%</w:t>
            </w:r>
          </w:p>
        </w:tc>
        <w:tc>
          <w:tcPr>
            <w:tcW w:type="dxa" w:w="1555"/>
            <w:shd w:val="clear" w:color="auto" w:fill="EAF0EE"/>
          </w:tcPr>
          <w:p>
            <w:pPr>
              <w:spacing w:after="20"/>
            </w:pPr>
            <w:r>
              <w:rPr>
                <w:b/>
                <w:color w:val="1C3A36"/>
                <w:sz w:val="18"/>
              </w:rPr>
              <w:t>Terminal ROE 22%</w:t>
            </w:r>
          </w:p>
        </w:tc>
        <w:tc>
          <w:tcPr>
            <w:tcW w:type="dxa" w:w="1555"/>
            <w:shd w:val="clear" w:color="auto" w:fill="EAF0EE"/>
          </w:tcPr>
          <w:p>
            <w:pPr>
              <w:spacing w:after="20"/>
            </w:pPr>
            <w:r>
              <w:rPr>
                <w:b/>
                <w:color w:val="1C3A36"/>
                <w:sz w:val="18"/>
              </w:rPr>
              <w:t>Terminal ROE 25%</w:t>
            </w:r>
          </w:p>
        </w:tc>
        <w:tc>
          <w:tcPr>
            <w:tcW w:type="dxa" w:w="1555"/>
            <w:shd w:val="clear" w:color="auto" w:fill="EAF0EE"/>
          </w:tcPr>
          <w:p>
            <w:pPr>
              <w:spacing w:after="20"/>
            </w:pPr>
            <w:r>
              <w:rPr>
                <w:b/>
                <w:color w:val="1C3A36"/>
                <w:sz w:val="18"/>
              </w:rPr>
              <w:t>Terminal ROE 28%</w:t>
            </w:r>
          </w:p>
        </w:tc>
      </w:tr>
      <w:tr>
        <w:tc>
          <w:tcPr>
            <w:tcW w:type="dxa" w:w="2304"/>
          </w:tcPr>
          <w:p>
            <w:pPr>
              <w:spacing w:after="20"/>
            </w:pPr>
            <w:r>
              <w:rPr>
                <w:b/>
                <w:color w:val="1C3A36"/>
                <w:sz w:val="18"/>
              </w:rPr>
              <w:t>Ke 9.57%</w:t>
            </w:r>
          </w:p>
        </w:tc>
        <w:tc>
          <w:tcPr>
            <w:tcW w:type="dxa" w:w="1555"/>
          </w:tcPr>
          <w:p>
            <w:pPr>
              <w:spacing w:after="20"/>
              <w:jc w:val="right"/>
            </w:pPr>
            <w:r>
              <w:rPr>
                <w:color w:val="1C3A36"/>
                <w:sz w:val="18"/>
              </w:rPr>
              <w:t>22.78</w:t>
            </w:r>
          </w:p>
        </w:tc>
        <w:tc>
          <w:tcPr>
            <w:tcW w:type="dxa" w:w="1555"/>
          </w:tcPr>
          <w:p>
            <w:pPr>
              <w:spacing w:after="20"/>
              <w:jc w:val="right"/>
            </w:pPr>
            <w:r>
              <w:rPr>
                <w:color w:val="1C3A36"/>
                <w:sz w:val="18"/>
              </w:rPr>
              <w:t>24.63</w:t>
            </w:r>
          </w:p>
        </w:tc>
        <w:tc>
          <w:tcPr>
            <w:tcW w:type="dxa" w:w="1555"/>
          </w:tcPr>
          <w:p>
            <w:pPr>
              <w:spacing w:after="20"/>
              <w:jc w:val="right"/>
            </w:pPr>
            <w:r>
              <w:rPr>
                <w:color w:val="1C3A36"/>
                <w:sz w:val="18"/>
              </w:rPr>
              <w:t>26.48</w:t>
            </w:r>
          </w:p>
        </w:tc>
        <w:tc>
          <w:tcPr>
            <w:tcW w:type="dxa" w:w="1555"/>
          </w:tcPr>
          <w:p>
            <w:pPr>
              <w:spacing w:after="20"/>
              <w:jc w:val="right"/>
            </w:pPr>
            <w:r>
              <w:rPr>
                <w:color w:val="1C3A36"/>
                <w:sz w:val="18"/>
              </w:rPr>
              <w:t>29.25</w:t>
            </w:r>
          </w:p>
        </w:tc>
        <w:tc>
          <w:tcPr>
            <w:tcW w:type="dxa" w:w="1555"/>
          </w:tcPr>
          <w:p>
            <w:pPr>
              <w:spacing w:after="20"/>
              <w:jc w:val="right"/>
            </w:pPr>
            <w:r>
              <w:rPr>
                <w:color w:val="1C3A36"/>
                <w:sz w:val="18"/>
              </w:rPr>
              <w:t>32.02</w:t>
            </w:r>
          </w:p>
        </w:tc>
      </w:tr>
      <w:tr>
        <w:tc>
          <w:tcPr>
            <w:tcW w:type="dxa" w:w="2304"/>
          </w:tcPr>
          <w:p>
            <w:pPr>
              <w:spacing w:after="20"/>
            </w:pPr>
            <w:r>
              <w:rPr>
                <w:b/>
                <w:color w:val="1C3A36"/>
                <w:sz w:val="18"/>
              </w:rPr>
              <w:t>Ke 10.07%</w:t>
            </w:r>
          </w:p>
        </w:tc>
        <w:tc>
          <w:tcPr>
            <w:tcW w:type="dxa" w:w="1555"/>
          </w:tcPr>
          <w:p>
            <w:pPr>
              <w:spacing w:after="20"/>
              <w:jc w:val="right"/>
            </w:pPr>
            <w:r>
              <w:rPr>
                <w:color w:val="1C3A36"/>
                <w:sz w:val="18"/>
              </w:rPr>
              <w:t>21.13</w:t>
            </w:r>
          </w:p>
        </w:tc>
        <w:tc>
          <w:tcPr>
            <w:tcW w:type="dxa" w:w="1555"/>
          </w:tcPr>
          <w:p>
            <w:pPr>
              <w:spacing w:after="20"/>
              <w:jc w:val="right"/>
            </w:pPr>
            <w:r>
              <w:rPr>
                <w:color w:val="1C3A36"/>
                <w:sz w:val="18"/>
              </w:rPr>
              <w:t>22.79</w:t>
            </w:r>
          </w:p>
        </w:tc>
        <w:tc>
          <w:tcPr>
            <w:tcW w:type="dxa" w:w="1555"/>
          </w:tcPr>
          <w:p>
            <w:pPr>
              <w:spacing w:after="20"/>
              <w:jc w:val="right"/>
            </w:pPr>
            <w:r>
              <w:rPr>
                <w:color w:val="1C3A36"/>
                <w:sz w:val="18"/>
              </w:rPr>
              <w:t>24.45</w:t>
            </w:r>
          </w:p>
        </w:tc>
        <w:tc>
          <w:tcPr>
            <w:tcW w:type="dxa" w:w="1555"/>
          </w:tcPr>
          <w:p>
            <w:pPr>
              <w:spacing w:after="20"/>
              <w:jc w:val="right"/>
            </w:pPr>
            <w:r>
              <w:rPr>
                <w:color w:val="1C3A36"/>
                <w:sz w:val="18"/>
              </w:rPr>
              <w:t>26.93</w:t>
            </w:r>
          </w:p>
        </w:tc>
        <w:tc>
          <w:tcPr>
            <w:tcW w:type="dxa" w:w="1555"/>
          </w:tcPr>
          <w:p>
            <w:pPr>
              <w:spacing w:after="20"/>
              <w:jc w:val="right"/>
            </w:pPr>
            <w:r>
              <w:rPr>
                <w:color w:val="1C3A36"/>
                <w:sz w:val="18"/>
              </w:rPr>
              <w:t>29.42</w:t>
            </w:r>
          </w:p>
        </w:tc>
      </w:tr>
      <w:tr>
        <w:tc>
          <w:tcPr>
            <w:tcW w:type="dxa" w:w="2304"/>
            <w:shd w:val="clear" w:color="auto" w:fill="F6F1E6"/>
          </w:tcPr>
          <w:p>
            <w:pPr>
              <w:spacing w:after="20"/>
            </w:pPr>
            <w:r>
              <w:rPr>
                <w:b/>
                <w:color w:val="1C3A36"/>
                <w:sz w:val="18"/>
              </w:rPr>
              <w:t>Ke 10.57%</w:t>
            </w:r>
          </w:p>
        </w:tc>
        <w:tc>
          <w:tcPr>
            <w:tcW w:type="dxa" w:w="1555"/>
            <w:shd w:val="clear" w:color="auto" w:fill="F6F1E6"/>
          </w:tcPr>
          <w:p>
            <w:pPr>
              <w:spacing w:after="20"/>
              <w:jc w:val="right"/>
            </w:pPr>
            <w:r>
              <w:rPr>
                <w:b/>
                <w:color w:val="1C3A36"/>
                <w:sz w:val="18"/>
              </w:rPr>
              <w:t>19.73</w:t>
            </w:r>
          </w:p>
        </w:tc>
        <w:tc>
          <w:tcPr>
            <w:tcW w:type="dxa" w:w="1555"/>
            <w:shd w:val="clear" w:color="auto" w:fill="F6F1E6"/>
          </w:tcPr>
          <w:p>
            <w:pPr>
              <w:spacing w:after="20"/>
              <w:jc w:val="right"/>
            </w:pPr>
            <w:r>
              <w:rPr>
                <w:b/>
                <w:color w:val="1C3A36"/>
                <w:sz w:val="18"/>
              </w:rPr>
              <w:t>21.23</w:t>
            </w:r>
          </w:p>
        </w:tc>
        <w:tc>
          <w:tcPr>
            <w:tcW w:type="dxa" w:w="1555"/>
            <w:shd w:val="clear" w:color="auto" w:fill="F6F1E6"/>
          </w:tcPr>
          <w:p>
            <w:pPr>
              <w:spacing w:after="20"/>
              <w:jc w:val="right"/>
            </w:pPr>
            <w:r>
              <w:rPr>
                <w:b/>
                <w:color w:val="1C3A36"/>
                <w:sz w:val="18"/>
              </w:rPr>
              <w:t>22.73</w:t>
            </w:r>
          </w:p>
        </w:tc>
        <w:tc>
          <w:tcPr>
            <w:tcW w:type="dxa" w:w="1555"/>
            <w:shd w:val="clear" w:color="auto" w:fill="F6F1E6"/>
          </w:tcPr>
          <w:p>
            <w:pPr>
              <w:spacing w:after="20"/>
              <w:jc w:val="right"/>
            </w:pPr>
            <w:r>
              <w:rPr>
                <w:b/>
                <w:color w:val="1C3A36"/>
                <w:sz w:val="18"/>
              </w:rPr>
              <w:t>24.97</w:t>
            </w:r>
          </w:p>
        </w:tc>
        <w:tc>
          <w:tcPr>
            <w:tcW w:type="dxa" w:w="1555"/>
            <w:shd w:val="clear" w:color="auto" w:fill="F6F1E6"/>
          </w:tcPr>
          <w:p>
            <w:pPr>
              <w:spacing w:after="20"/>
              <w:jc w:val="right"/>
            </w:pPr>
            <w:r>
              <w:rPr>
                <w:b/>
                <w:color w:val="1C3A36"/>
                <w:sz w:val="18"/>
              </w:rPr>
              <w:t>27.22</w:t>
            </w:r>
          </w:p>
        </w:tc>
      </w:tr>
      <w:tr>
        <w:tc>
          <w:tcPr>
            <w:tcW w:type="dxa" w:w="2304"/>
          </w:tcPr>
          <w:p>
            <w:pPr>
              <w:spacing w:after="20"/>
            </w:pPr>
            <w:r>
              <w:rPr>
                <w:b/>
                <w:color w:val="1C3A36"/>
                <w:sz w:val="18"/>
              </w:rPr>
              <w:t>Ke 11.07%</w:t>
            </w:r>
          </w:p>
        </w:tc>
        <w:tc>
          <w:tcPr>
            <w:tcW w:type="dxa" w:w="1555"/>
          </w:tcPr>
          <w:p>
            <w:pPr>
              <w:spacing w:after="20"/>
              <w:jc w:val="right"/>
            </w:pPr>
            <w:r>
              <w:rPr>
                <w:color w:val="1C3A36"/>
                <w:sz w:val="18"/>
              </w:rPr>
              <w:t>18.54</w:t>
            </w:r>
          </w:p>
        </w:tc>
        <w:tc>
          <w:tcPr>
            <w:tcW w:type="dxa" w:w="1555"/>
          </w:tcPr>
          <w:p>
            <w:pPr>
              <w:spacing w:after="20"/>
              <w:jc w:val="right"/>
            </w:pPr>
            <w:r>
              <w:rPr>
                <w:color w:val="1C3A36"/>
                <w:sz w:val="18"/>
              </w:rPr>
              <w:t>19.90</w:t>
            </w:r>
          </w:p>
        </w:tc>
        <w:tc>
          <w:tcPr>
            <w:tcW w:type="dxa" w:w="1555"/>
          </w:tcPr>
          <w:p>
            <w:pPr>
              <w:spacing w:after="20"/>
              <w:jc w:val="right"/>
            </w:pPr>
            <w:r>
              <w:rPr>
                <w:color w:val="1C3A36"/>
                <w:sz w:val="18"/>
              </w:rPr>
              <w:t>21.26</w:t>
            </w:r>
          </w:p>
        </w:tc>
        <w:tc>
          <w:tcPr>
            <w:tcW w:type="dxa" w:w="1555"/>
          </w:tcPr>
          <w:p>
            <w:pPr>
              <w:spacing w:after="20"/>
              <w:jc w:val="right"/>
            </w:pPr>
            <w:r>
              <w:rPr>
                <w:color w:val="1C3A36"/>
                <w:sz w:val="18"/>
              </w:rPr>
              <w:t>23.30</w:t>
            </w:r>
          </w:p>
        </w:tc>
        <w:tc>
          <w:tcPr>
            <w:tcW w:type="dxa" w:w="1555"/>
          </w:tcPr>
          <w:p>
            <w:pPr>
              <w:spacing w:after="20"/>
              <w:jc w:val="right"/>
            </w:pPr>
            <w:r>
              <w:rPr>
                <w:color w:val="1C3A36"/>
                <w:sz w:val="18"/>
              </w:rPr>
              <w:t>25.34</w:t>
            </w:r>
          </w:p>
        </w:tc>
      </w:tr>
      <w:tr>
        <w:tc>
          <w:tcPr>
            <w:tcW w:type="dxa" w:w="2304"/>
          </w:tcPr>
          <w:p>
            <w:pPr>
              <w:spacing w:after="20"/>
            </w:pPr>
            <w:r>
              <w:rPr>
                <w:b/>
                <w:color w:val="1C3A36"/>
                <w:sz w:val="18"/>
              </w:rPr>
              <w:t>Ke 11.57%</w:t>
            </w:r>
          </w:p>
        </w:tc>
        <w:tc>
          <w:tcPr>
            <w:tcW w:type="dxa" w:w="1555"/>
          </w:tcPr>
          <w:p>
            <w:pPr>
              <w:spacing w:after="20"/>
              <w:jc w:val="right"/>
            </w:pPr>
            <w:r>
              <w:rPr>
                <w:color w:val="1C3A36"/>
                <w:sz w:val="18"/>
              </w:rPr>
              <w:t>17.50</w:t>
            </w:r>
          </w:p>
        </w:tc>
        <w:tc>
          <w:tcPr>
            <w:tcW w:type="dxa" w:w="1555"/>
          </w:tcPr>
          <w:p>
            <w:pPr>
              <w:spacing w:after="20"/>
              <w:jc w:val="right"/>
            </w:pPr>
            <w:r>
              <w:rPr>
                <w:color w:val="1C3A36"/>
                <w:sz w:val="18"/>
              </w:rPr>
              <w:t>18.74</w:t>
            </w:r>
          </w:p>
        </w:tc>
        <w:tc>
          <w:tcPr>
            <w:tcW w:type="dxa" w:w="1555"/>
          </w:tcPr>
          <w:p>
            <w:pPr>
              <w:spacing w:after="20"/>
              <w:jc w:val="right"/>
            </w:pPr>
            <w:r>
              <w:rPr>
                <w:color w:val="1C3A36"/>
                <w:sz w:val="18"/>
              </w:rPr>
              <w:t>19.98</w:t>
            </w:r>
          </w:p>
        </w:tc>
        <w:tc>
          <w:tcPr>
            <w:tcW w:type="dxa" w:w="1555"/>
          </w:tcPr>
          <w:p>
            <w:pPr>
              <w:spacing w:after="20"/>
              <w:jc w:val="right"/>
            </w:pPr>
            <w:r>
              <w:rPr>
                <w:color w:val="1C3A36"/>
                <w:sz w:val="18"/>
              </w:rPr>
              <w:t>21.84</w:t>
            </w:r>
          </w:p>
        </w:tc>
        <w:tc>
          <w:tcPr>
            <w:tcW w:type="dxa" w:w="1555"/>
          </w:tcPr>
          <w:p>
            <w:pPr>
              <w:spacing w:after="20"/>
              <w:jc w:val="right"/>
            </w:pPr>
            <w:r>
              <w:rPr>
                <w:color w:val="1C3A36"/>
                <w:sz w:val="18"/>
              </w:rPr>
              <w:t>23.71</w:t>
            </w:r>
          </w:p>
        </w:tc>
      </w:tr>
      <w:tr>
        <w:tc>
          <w:tcPr>
            <w:tcW w:type="dxa" w:w="2304"/>
          </w:tcPr>
          <w:p>
            <w:pPr>
              <w:spacing w:after="20"/>
            </w:pPr>
            <w:r>
              <w:rPr>
                <w:b/>
                <w:color w:val="1C3A36"/>
                <w:sz w:val="18"/>
              </w:rPr>
              <w:t>Ke 12.07%</w:t>
            </w:r>
          </w:p>
        </w:tc>
        <w:tc>
          <w:tcPr>
            <w:tcW w:type="dxa" w:w="1555"/>
          </w:tcPr>
          <w:p>
            <w:pPr>
              <w:spacing w:after="20"/>
              <w:jc w:val="right"/>
            </w:pPr>
            <w:r>
              <w:rPr>
                <w:color w:val="1C3A36"/>
                <w:sz w:val="18"/>
              </w:rPr>
              <w:t>16.59</w:t>
            </w:r>
          </w:p>
        </w:tc>
        <w:tc>
          <w:tcPr>
            <w:tcW w:type="dxa" w:w="1555"/>
          </w:tcPr>
          <w:p>
            <w:pPr>
              <w:spacing w:after="20"/>
              <w:jc w:val="right"/>
            </w:pPr>
            <w:r>
              <w:rPr>
                <w:color w:val="1C3A36"/>
                <w:sz w:val="18"/>
              </w:rPr>
              <w:t>17.73</w:t>
            </w:r>
          </w:p>
        </w:tc>
        <w:tc>
          <w:tcPr>
            <w:tcW w:type="dxa" w:w="1555"/>
          </w:tcPr>
          <w:p>
            <w:pPr>
              <w:spacing w:after="20"/>
              <w:jc w:val="right"/>
            </w:pPr>
            <w:r>
              <w:rPr>
                <w:color w:val="1C3A36"/>
                <w:sz w:val="18"/>
              </w:rPr>
              <w:t>18.87</w:t>
            </w:r>
          </w:p>
        </w:tc>
        <w:tc>
          <w:tcPr>
            <w:tcW w:type="dxa" w:w="1555"/>
          </w:tcPr>
          <w:p>
            <w:pPr>
              <w:spacing w:after="20"/>
              <w:jc w:val="right"/>
            </w:pPr>
            <w:r>
              <w:rPr>
                <w:color w:val="1C3A36"/>
                <w:sz w:val="18"/>
              </w:rPr>
              <w:t>20.58</w:t>
            </w:r>
          </w:p>
        </w:tc>
        <w:tc>
          <w:tcPr>
            <w:tcW w:type="dxa" w:w="1555"/>
          </w:tcPr>
          <w:p>
            <w:pPr>
              <w:spacing w:after="20"/>
              <w:jc w:val="right"/>
            </w:pPr>
            <w:r>
              <w:rPr>
                <w:color w:val="1C3A36"/>
                <w:sz w:val="18"/>
              </w:rPr>
              <w:t>22.29</w:t>
            </w:r>
          </w:p>
        </w:tc>
      </w:tr>
    </w:tbl>
    <w:p>
      <w:pPr>
        <w:spacing w:after="40"/>
      </w:pPr>
    </w:p>
    <w:p>
      <w:pPr>
        <w:spacing w:after="200" w:before="0"/>
      </w:pPr>
      <w:r>
        <w:rPr>
          <w:b w:val="0"/>
          <w:i/>
          <w:color w:val="6E7B77"/>
          <w:sz w:val="17"/>
        </w:rPr>
        <w:t>The second grid is the one that matters. Read across the Ke = 10.57% row: the answer moves from AED 19.73 to AED 27.22 purely on how long the return on equity lasts. No operating driver in this model has a tenth of that leverage.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The crux, in real units</w:t>
            </w:r>
          </w:p>
        </w:tc>
        <w:tc>
          <w:tcPr>
            <w:tcW w:type="dxa" w:w="3888"/>
            <w:shd w:val="clear" w:color="auto" w:fill="EAF0EE"/>
          </w:tcPr>
          <w:p>
            <w:pPr>
              <w:spacing w:after="20"/>
            </w:pPr>
            <w:r>
              <w:rPr>
                <w:b/>
                <w:color w:val="1C3A36"/>
                <w:sz w:val="18"/>
              </w:rPr>
              <w:t>Effect on the central</w:t>
            </w:r>
          </w:p>
        </w:tc>
      </w:tr>
      <w:tr>
        <w:tc>
          <w:tcPr>
            <w:tcW w:type="dxa" w:w="6192"/>
            <w:shd w:val="clear" w:color="auto" w:fill="F6F1E6"/>
          </w:tcPr>
          <w:p>
            <w:pPr>
              <w:spacing w:after="20"/>
            </w:pPr>
            <w:r>
              <w:rPr>
                <w:b/>
                <w:color w:val="1C3A36"/>
                <w:sz w:val="18"/>
              </w:rPr>
              <w:t>Terminal ROE 18% (the sector level, forever)</w:t>
            </w:r>
          </w:p>
        </w:tc>
        <w:tc>
          <w:tcPr>
            <w:tcW w:type="dxa" w:w="3888"/>
            <w:shd w:val="clear" w:color="auto" w:fill="F6F1E6"/>
          </w:tcPr>
          <w:p>
            <w:pPr>
              <w:spacing w:after="20"/>
              <w:jc w:val="right"/>
            </w:pPr>
            <w:r>
              <w:rPr>
                <w:b/>
                <w:color w:val="1C3A36"/>
                <w:sz w:val="18"/>
              </w:rPr>
              <w:t>-1.50  →  AED 19.73</w:t>
            </w:r>
          </w:p>
        </w:tc>
      </w:tr>
      <w:tr>
        <w:tc>
          <w:tcPr>
            <w:tcW w:type="dxa" w:w="6192"/>
            <w:shd w:val="clear" w:color="auto" w:fill="F6F1E6"/>
          </w:tcPr>
          <w:p>
            <w:pPr>
              <w:spacing w:after="20"/>
            </w:pPr>
            <w:r>
              <w:rPr>
                <w:b/>
                <w:color w:val="1C3A36"/>
                <w:sz w:val="18"/>
              </w:rPr>
              <w:t>Terminal ROE 25% (management's own 2030 target)</w:t>
            </w:r>
          </w:p>
        </w:tc>
        <w:tc>
          <w:tcPr>
            <w:tcW w:type="dxa" w:w="3888"/>
            <w:shd w:val="clear" w:color="auto" w:fill="F6F1E6"/>
          </w:tcPr>
          <w:p>
            <w:pPr>
              <w:spacing w:after="20"/>
              <w:jc w:val="right"/>
            </w:pPr>
            <w:r>
              <w:rPr>
                <w:b/>
                <w:color w:val="1C3A36"/>
                <w:sz w:val="18"/>
              </w:rPr>
              <w:t>+3.74  →  AED 24.97</w:t>
            </w:r>
          </w:p>
        </w:tc>
      </w:tr>
      <w:tr>
        <w:tc>
          <w:tcPr>
            <w:tcW w:type="dxa" w:w="6192"/>
            <w:shd w:val="clear" w:color="auto" w:fill="F6F1E6"/>
          </w:tcPr>
          <w:p>
            <w:pPr>
              <w:spacing w:after="20"/>
            </w:pPr>
            <w:r>
              <w:rPr>
                <w:b/>
                <w:color w:val="1C3A36"/>
                <w:sz w:val="18"/>
              </w:rPr>
              <w:t>Conflict adder 0pt — a signed peace (Ke 9.57%)</w:t>
            </w:r>
          </w:p>
        </w:tc>
        <w:tc>
          <w:tcPr>
            <w:tcW w:type="dxa" w:w="3888"/>
            <w:shd w:val="clear" w:color="auto" w:fill="F6F1E6"/>
          </w:tcPr>
          <w:p>
            <w:pPr>
              <w:spacing w:after="20"/>
              <w:jc w:val="right"/>
            </w:pPr>
            <w:r>
              <w:rPr>
                <w:b/>
                <w:color w:val="1C3A36"/>
                <w:sz w:val="18"/>
              </w:rPr>
              <w:t>+3.40  →  AED 24.63</w:t>
            </w:r>
          </w:p>
        </w:tc>
      </w:tr>
      <w:tr>
        <w:tc>
          <w:tcPr>
            <w:tcW w:type="dxa" w:w="6192"/>
            <w:shd w:val="clear" w:color="auto" w:fill="F6F1E6"/>
          </w:tcPr>
          <w:p>
            <w:pPr>
              <w:spacing w:after="20"/>
            </w:pPr>
            <w:r>
              <w:rPr>
                <w:b/>
                <w:color w:val="1C3A36"/>
                <w:sz w:val="18"/>
              </w:rPr>
              <w:t>Conflict adder 2.5pt — Hormuz re-closes (Ke 12.07%)</w:t>
            </w:r>
          </w:p>
        </w:tc>
        <w:tc>
          <w:tcPr>
            <w:tcW w:type="dxa" w:w="3888"/>
            <w:shd w:val="clear" w:color="auto" w:fill="F6F1E6"/>
          </w:tcPr>
          <w:p>
            <w:pPr>
              <w:spacing w:after="20"/>
              <w:jc w:val="right"/>
            </w:pPr>
            <w:r>
              <w:rPr>
                <w:b/>
                <w:color w:val="1C3A36"/>
                <w:sz w:val="18"/>
              </w:rPr>
              <w:t>-3.50  →  AED 17.73</w:t>
            </w:r>
          </w:p>
        </w:tc>
      </w:tr>
      <w:tr>
        <w:tc>
          <w:tcPr>
            <w:tcW w:type="dxa" w:w="6192"/>
          </w:tcPr>
          <w:p>
            <w:pPr>
              <w:spacing w:after="20"/>
            </w:pPr>
            <w:r>
              <w:rPr>
                <w:b/>
                <w:color w:val="1C3A36"/>
                <w:sz w:val="18"/>
              </w:rPr>
              <w:t>Net profit margin ±10bp across the whole path</w:t>
            </w:r>
          </w:p>
        </w:tc>
        <w:tc>
          <w:tcPr>
            <w:tcW w:type="dxa" w:w="3888"/>
          </w:tcPr>
          <w:p>
            <w:pPr>
              <w:spacing w:after="20"/>
              <w:jc w:val="right"/>
            </w:pPr>
            <w:r>
              <w:rPr>
                <w:color w:val="1C3A36"/>
                <w:sz w:val="18"/>
              </w:rPr>
              <w:t>+0.21 / -0.21</w:t>
            </w:r>
          </w:p>
        </w:tc>
      </w:tr>
      <w:tr>
        <w:tc>
          <w:tcPr>
            <w:tcW w:type="dxa" w:w="6192"/>
          </w:tcPr>
          <w:p>
            <w:pPr>
              <w:spacing w:after="20"/>
            </w:pPr>
            <w:r>
              <w:rPr>
                <w:b/>
                <w:color w:val="1C3A36"/>
                <w:sz w:val="18"/>
              </w:rPr>
              <w:t>Tax: no DMTT step at all (13% held)</w:t>
            </w:r>
          </w:p>
        </w:tc>
        <w:tc>
          <w:tcPr>
            <w:tcW w:type="dxa" w:w="3888"/>
          </w:tcPr>
          <w:p>
            <w:pPr>
              <w:spacing w:after="20"/>
              <w:jc w:val="right"/>
            </w:pPr>
            <w:r>
              <w:rPr>
                <w:color w:val="1C3A36"/>
                <w:sz w:val="18"/>
              </w:rPr>
              <w:t>+0.27</w:t>
            </w:r>
          </w:p>
        </w:tc>
      </w:tr>
      <w:tr>
        <w:tc>
          <w:tcPr>
            <w:tcW w:type="dxa" w:w="6192"/>
          </w:tcPr>
          <w:p>
            <w:pPr>
              <w:spacing w:after="20"/>
            </w:pPr>
            <w:r>
              <w:rPr>
                <w:b/>
                <w:color w:val="1C3A36"/>
                <w:sz w:val="18"/>
              </w:rPr>
              <w:t>Tax: the full 15% UAE top-up lands (17.3% effective)</w:t>
            </w:r>
          </w:p>
        </w:tc>
        <w:tc>
          <w:tcPr>
            <w:tcW w:type="dxa" w:w="3888"/>
          </w:tcPr>
          <w:p>
            <w:pPr>
              <w:spacing w:after="20"/>
              <w:jc w:val="right"/>
            </w:pPr>
            <w:r>
              <w:rPr>
                <w:color w:val="1C3A36"/>
                <w:sz w:val="18"/>
              </w:rPr>
              <w:t>-0.12</w:t>
            </w:r>
          </w:p>
        </w:tc>
      </w:tr>
      <w:tr>
        <w:tc>
          <w:tcPr>
            <w:tcW w:type="dxa" w:w="6192"/>
          </w:tcPr>
          <w:p>
            <w:pPr>
              <w:spacing w:after="20"/>
            </w:pPr>
            <w:r>
              <w:rPr>
                <w:b/>
                <w:color w:val="1C3A36"/>
                <w:sz w:val="18"/>
              </w:rPr>
              <w:t>Cost of risk +10bp across the path</w:t>
            </w:r>
          </w:p>
        </w:tc>
        <w:tc>
          <w:tcPr>
            <w:tcW w:type="dxa" w:w="3888"/>
          </w:tcPr>
          <w:p>
            <w:pPr>
              <w:spacing w:after="20"/>
              <w:jc w:val="right"/>
            </w:pPr>
            <w:r>
              <w:rPr>
                <w:color w:val="1C3A36"/>
                <w:sz w:val="18"/>
              </w:rPr>
              <w:t>-0.27</w:t>
            </w:r>
          </w:p>
        </w:tc>
      </w:tr>
      <w:tr>
        <w:tc>
          <w:tcPr>
            <w:tcW w:type="dxa" w:w="6192"/>
          </w:tcPr>
          <w:p>
            <w:pPr>
              <w:spacing w:after="20"/>
            </w:pPr>
            <w:r>
              <w:rPr>
                <w:b/>
                <w:color w:val="1C3A36"/>
                <w:sz w:val="18"/>
              </w:rPr>
              <w:t>Financing growth −3pt across the path</w:t>
            </w:r>
          </w:p>
        </w:tc>
        <w:tc>
          <w:tcPr>
            <w:tcW w:type="dxa" w:w="3888"/>
          </w:tcPr>
          <w:p>
            <w:pPr>
              <w:spacing w:after="20"/>
              <w:jc w:val="right"/>
            </w:pPr>
            <w:r>
              <w:rPr>
                <w:color w:val="1C3A36"/>
                <w:sz w:val="18"/>
              </w:rPr>
              <w:t>-0.26</w:t>
            </w:r>
          </w:p>
        </w:tc>
      </w:tr>
      <w:tr>
        <w:tc>
          <w:tcPr>
            <w:tcW w:type="dxa" w:w="6192"/>
          </w:tcPr>
          <w:p>
            <w:pPr>
              <w:spacing w:after="20"/>
            </w:pPr>
            <w:r>
              <w:rPr>
                <w:b/>
                <w:color w:val="1C3A36"/>
                <w:sz w:val="18"/>
              </w:rPr>
              <w:t>Cost-to-income held flat at the Q1-26 print of 29.6%</w:t>
            </w:r>
          </w:p>
        </w:tc>
        <w:tc>
          <w:tcPr>
            <w:tcW w:type="dxa" w:w="3888"/>
          </w:tcPr>
          <w:p>
            <w:pPr>
              <w:spacing w:after="20"/>
              <w:jc w:val="right"/>
            </w:pPr>
            <w:r>
              <w:rPr>
                <w:color w:val="1C3A36"/>
                <w:sz w:val="18"/>
              </w:rPr>
              <w:t>-0.17</w:t>
            </w:r>
          </w:p>
        </w:tc>
      </w:tr>
    </w:tbl>
    <w:p>
      <w:pPr>
        <w:spacing w:after="40"/>
      </w:pPr>
    </w:p>
    <w:p>
      <w:pPr>
        <w:spacing w:after="120" w:before="0"/>
      </w:pPr>
      <w:r>
        <w:rPr>
          <w:b w:val="0"/>
          <w:i w:val="0"/>
          <w:color w:val="1C3A36"/>
          <w:sz w:val="21"/>
        </w:rPr>
        <w:t>Read that table and nothing else if you are short of time. Every operating driver — the margin, the cost of risk, the growth rate, even the tax step that Appendix B spends most of its space on — moves the answer by a few tens of fils. The terminal return on equity and the conflict premium move it by three to four dirhams each. ADIB's price is not a bet on next year's margin. It is a bet on how long a 25% return on equity lasts, and on whether the region calms down. Anyone who tells you otherwise is selling you a spreadsheet.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176"/>
            <w:shd w:val="clear" w:color="auto" w:fill="EAF0EE"/>
          </w:tcPr>
          <w:p>
            <w:pPr>
              <w:spacing w:after="20"/>
            </w:pPr>
            <w:r>
              <w:rPr>
                <w:b/>
                <w:color w:val="1C3A36"/>
                <w:sz w:val="18"/>
              </w:rPr>
              <w:t>Beta sensitivity (beta was assumed, not regressed)</w:t>
            </w:r>
          </w:p>
        </w:tc>
        <w:tc>
          <w:tcPr>
            <w:tcW w:type="dxa" w:w="2736"/>
            <w:shd w:val="clear" w:color="auto" w:fill="EAF0EE"/>
          </w:tcPr>
          <w:p>
            <w:pPr>
              <w:spacing w:after="20"/>
            </w:pPr>
            <w:r>
              <w:rPr>
                <w:b/>
                <w:color w:val="1C3A36"/>
                <w:sz w:val="18"/>
              </w:rPr>
              <w:t>Ke</w:t>
            </w:r>
          </w:p>
        </w:tc>
        <w:tc>
          <w:tcPr>
            <w:tcW w:type="dxa" w:w="3168"/>
            <w:shd w:val="clear" w:color="auto" w:fill="EAF0EE"/>
          </w:tcPr>
          <w:p>
            <w:pPr>
              <w:spacing w:after="20"/>
            </w:pPr>
            <w:r>
              <w:rPr>
                <w:b/>
                <w:color w:val="1C3A36"/>
                <w:sz w:val="18"/>
              </w:rPr>
              <w:t>Weighted central (AED)</w:t>
            </w:r>
          </w:p>
        </w:tc>
      </w:tr>
      <w:tr>
        <w:tc>
          <w:tcPr>
            <w:tcW w:type="dxa" w:w="4176"/>
          </w:tcPr>
          <w:p>
            <w:pPr>
              <w:spacing w:after="20"/>
            </w:pPr>
            <w:r>
              <w:rPr>
                <w:b/>
                <w:color w:val="1C3A36"/>
                <w:sz w:val="18"/>
              </w:rPr>
              <w:t>Beta 0.8</w:t>
            </w:r>
          </w:p>
        </w:tc>
        <w:tc>
          <w:tcPr>
            <w:tcW w:type="dxa" w:w="2736"/>
          </w:tcPr>
          <w:p>
            <w:pPr>
              <w:spacing w:after="20"/>
              <w:jc w:val="right"/>
            </w:pPr>
            <w:r>
              <w:rPr>
                <w:color w:val="1C3A36"/>
                <w:sz w:val="18"/>
              </w:rPr>
              <w:t>9.60%</w:t>
            </w:r>
          </w:p>
        </w:tc>
        <w:tc>
          <w:tcPr>
            <w:tcW w:type="dxa" w:w="3168"/>
          </w:tcPr>
          <w:p>
            <w:pPr>
              <w:spacing w:after="20"/>
              <w:jc w:val="right"/>
            </w:pPr>
            <w:r>
              <w:rPr>
                <w:color w:val="1C3A36"/>
                <w:sz w:val="18"/>
              </w:rPr>
              <w:t>24.52</w:t>
            </w:r>
          </w:p>
        </w:tc>
      </w:tr>
      <w:tr>
        <w:tc>
          <w:tcPr>
            <w:tcW w:type="dxa" w:w="4176"/>
          </w:tcPr>
          <w:p>
            <w:pPr>
              <w:spacing w:after="20"/>
            </w:pPr>
            <w:r>
              <w:rPr>
                <w:b/>
                <w:color w:val="1C3A36"/>
                <w:sz w:val="18"/>
              </w:rPr>
              <w:t>Beta 0.9</w:t>
            </w:r>
          </w:p>
        </w:tc>
        <w:tc>
          <w:tcPr>
            <w:tcW w:type="dxa" w:w="2736"/>
          </w:tcPr>
          <w:p>
            <w:pPr>
              <w:spacing w:after="20"/>
              <w:jc w:val="right"/>
            </w:pPr>
            <w:r>
              <w:rPr>
                <w:color w:val="1C3A36"/>
                <w:sz w:val="18"/>
              </w:rPr>
              <w:t>10.08%</w:t>
            </w:r>
          </w:p>
        </w:tc>
        <w:tc>
          <w:tcPr>
            <w:tcW w:type="dxa" w:w="3168"/>
          </w:tcPr>
          <w:p>
            <w:pPr>
              <w:spacing w:after="20"/>
              <w:jc w:val="right"/>
            </w:pPr>
            <w:r>
              <w:rPr>
                <w:color w:val="1C3A36"/>
                <w:sz w:val="18"/>
              </w:rPr>
              <w:t>22.74</w:t>
            </w:r>
          </w:p>
        </w:tc>
      </w:tr>
      <w:tr>
        <w:tc>
          <w:tcPr>
            <w:tcW w:type="dxa" w:w="4176"/>
            <w:shd w:val="clear" w:color="auto" w:fill="F6F1E6"/>
          </w:tcPr>
          <w:p>
            <w:pPr>
              <w:spacing w:after="20"/>
            </w:pPr>
            <w:r>
              <w:rPr>
                <w:b/>
                <w:color w:val="1C3A36"/>
                <w:sz w:val="18"/>
              </w:rPr>
              <w:t>Beta 1.0</w:t>
            </w:r>
          </w:p>
        </w:tc>
        <w:tc>
          <w:tcPr>
            <w:tcW w:type="dxa" w:w="2736"/>
            <w:shd w:val="clear" w:color="auto" w:fill="F6F1E6"/>
          </w:tcPr>
          <w:p>
            <w:pPr>
              <w:spacing w:after="20"/>
              <w:jc w:val="right"/>
            </w:pPr>
            <w:r>
              <w:rPr>
                <w:b/>
                <w:color w:val="1C3A36"/>
                <w:sz w:val="18"/>
              </w:rPr>
              <w:t>10.57%</w:t>
            </w:r>
          </w:p>
        </w:tc>
        <w:tc>
          <w:tcPr>
            <w:tcW w:type="dxa" w:w="3168"/>
            <w:shd w:val="clear" w:color="auto" w:fill="F6F1E6"/>
          </w:tcPr>
          <w:p>
            <w:pPr>
              <w:spacing w:after="20"/>
              <w:jc w:val="right"/>
            </w:pPr>
            <w:r>
              <w:rPr>
                <w:b/>
                <w:color w:val="1C3A36"/>
                <w:sz w:val="18"/>
              </w:rPr>
              <w:t>21.23</w:t>
            </w:r>
          </w:p>
        </w:tc>
      </w:tr>
      <w:tr>
        <w:tc>
          <w:tcPr>
            <w:tcW w:type="dxa" w:w="4176"/>
          </w:tcPr>
          <w:p>
            <w:pPr>
              <w:spacing w:after="20"/>
            </w:pPr>
            <w:r>
              <w:rPr>
                <w:b/>
                <w:color w:val="1C3A36"/>
                <w:sz w:val="18"/>
              </w:rPr>
              <w:t>Beta 1.1</w:t>
            </w:r>
          </w:p>
        </w:tc>
        <w:tc>
          <w:tcPr>
            <w:tcW w:type="dxa" w:w="2736"/>
          </w:tcPr>
          <w:p>
            <w:pPr>
              <w:spacing w:after="20"/>
              <w:jc w:val="right"/>
            </w:pPr>
            <w:r>
              <w:rPr>
                <w:color w:val="1C3A36"/>
                <w:sz w:val="18"/>
              </w:rPr>
              <w:t>11.06%</w:t>
            </w:r>
          </w:p>
        </w:tc>
        <w:tc>
          <w:tcPr>
            <w:tcW w:type="dxa" w:w="3168"/>
          </w:tcPr>
          <w:p>
            <w:pPr>
              <w:spacing w:after="20"/>
              <w:jc w:val="right"/>
            </w:pPr>
            <w:r>
              <w:rPr>
                <w:color w:val="1C3A36"/>
                <w:sz w:val="18"/>
              </w:rPr>
              <w:t>19.93</w:t>
            </w:r>
          </w:p>
        </w:tc>
      </w:tr>
      <w:tr>
        <w:tc>
          <w:tcPr>
            <w:tcW w:type="dxa" w:w="4176"/>
          </w:tcPr>
          <w:p>
            <w:pPr>
              <w:spacing w:after="20"/>
            </w:pPr>
            <w:r>
              <w:rPr>
                <w:b/>
                <w:color w:val="1C3A36"/>
                <w:sz w:val="18"/>
              </w:rPr>
              <w:t>Beta 1.2</w:t>
            </w:r>
          </w:p>
        </w:tc>
        <w:tc>
          <w:tcPr>
            <w:tcW w:type="dxa" w:w="2736"/>
          </w:tcPr>
          <w:p>
            <w:pPr>
              <w:spacing w:after="20"/>
              <w:jc w:val="right"/>
            </w:pPr>
            <w:r>
              <w:rPr>
                <w:color w:val="1C3A36"/>
                <w:sz w:val="18"/>
              </w:rPr>
              <w:t>11.54%</w:t>
            </w:r>
          </w:p>
        </w:tc>
        <w:tc>
          <w:tcPr>
            <w:tcW w:type="dxa" w:w="3168"/>
          </w:tcPr>
          <w:p>
            <w:pPr>
              <w:spacing w:after="20"/>
              <w:jc w:val="right"/>
            </w:pPr>
            <w:r>
              <w:rPr>
                <w:color w:val="1C3A36"/>
                <w:sz w:val="18"/>
              </w:rPr>
              <w:t>18.80</w:t>
            </w:r>
          </w:p>
        </w:tc>
      </w:tr>
      <w:tr>
        <w:tc>
          <w:tcPr>
            <w:tcW w:type="dxa" w:w="4176"/>
          </w:tcPr>
          <w:p>
            <w:pPr>
              <w:spacing w:after="20"/>
            </w:pPr>
            <w:r>
              <w:rPr>
                <w:b/>
                <w:color w:val="1C3A36"/>
                <w:sz w:val="18"/>
              </w:rPr>
              <w:t>Beta 1.3</w:t>
            </w:r>
          </w:p>
        </w:tc>
        <w:tc>
          <w:tcPr>
            <w:tcW w:type="dxa" w:w="2736"/>
          </w:tcPr>
          <w:p>
            <w:pPr>
              <w:spacing w:after="20"/>
              <w:jc w:val="right"/>
            </w:pPr>
            <w:r>
              <w:rPr>
                <w:color w:val="1C3A36"/>
                <w:sz w:val="18"/>
              </w:rPr>
              <w:t>12.03%</w:t>
            </w:r>
          </w:p>
        </w:tc>
        <w:tc>
          <w:tcPr>
            <w:tcW w:type="dxa" w:w="3168"/>
          </w:tcPr>
          <w:p>
            <w:pPr>
              <w:spacing w:after="20"/>
              <w:jc w:val="right"/>
            </w:pPr>
            <w:r>
              <w:rPr>
                <w:color w:val="1C3A36"/>
                <w:sz w:val="18"/>
              </w:rPr>
              <w:t>17.80</w:t>
            </w:r>
          </w:p>
        </w:tc>
      </w:tr>
    </w:tbl>
    <w:p>
      <w:pPr>
        <w:spacing w:after="40"/>
      </w:pPr>
    </w:p>
    <w:p>
      <w:pPr>
        <w:spacing w:after="200" w:before="0"/>
      </w:pPr>
      <w:r>
        <w:rPr>
          <w:b w:val="0"/>
          <w:i/>
          <w:color w:val="6E7B77"/>
          <w:sz w:val="17"/>
        </w:rPr>
        <w:t>Both equity-risk-premium bases are carried: the rating basis gives a pre-adder Ke of 9.57% and the CDS basis 9.63%; the published central uses the rating basis plus the 1.0-point conflict adder = 10.57%. The full grids are live in the companion Excel and reprice from a single blue cell.</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309360" cy="2722250"/>
            <wp:docPr id="7" name="Picture 7"/>
            <wp:cNvGraphicFramePr>
              <a:graphicFrameLocks noChangeAspect="1"/>
            </wp:cNvGraphicFramePr>
            <a:graphic>
              <a:graphicData uri="http://schemas.openxmlformats.org/drawingml/2006/picture">
                <pic:pic>
                  <pic:nvPicPr>
                    <pic:cNvPr id="0" name="fig1_price.png"/>
                    <pic:cNvPicPr/>
                  </pic:nvPicPr>
                  <pic:blipFill>
                    <a:blip r:embed="rId15"/>
                    <a:stretch>
                      <a:fillRect/>
                    </a:stretch>
                  </pic:blipFill>
                  <pic:spPr>
                    <a:xfrm>
                      <a:off x="0" y="0"/>
                      <a:ext cx="6309360" cy="2722250"/>
                    </a:xfrm>
                    <a:prstGeom prst="rect"/>
                  </pic:spPr>
                </pic:pic>
              </a:graphicData>
            </a:graphic>
          </wp:inline>
        </w:drawing>
      </w:r>
    </w:p>
    <w:p>
      <w:pPr>
        <w:spacing w:after="200" w:before="0"/>
      </w:pPr>
      <w:r>
        <w:rPr>
          <w:b w:val="0"/>
          <w:i/>
          <w:color w:val="6E7B77"/>
          <w:sz w:val="17"/>
        </w:rPr>
        <w:t>Figure 7 — Five years of ADIB. A 4.6× compounding, an all-time high of AED 27.40 on 18 February 2026, a war drawdown to AED 18.80 in mid-June, and a partial repair. The 03-July close of AED 21.76 — which anchors this entire study — was set on the de-escalation rally, three weeks off the low and still a fifth below the high.</w:t>
      </w:r>
    </w:p>
    <w:p>
      <w:pPr>
        <w:spacing w:after="120" w:before="0"/>
      </w:pPr>
      <w:r>
        <w:rPr>
          <w:b w:val="0"/>
          <w:i w:val="0"/>
          <w:color w:val="1C3A36"/>
          <w:sz w:val="21"/>
        </w:rPr>
        <w:t>The technical picture is one of a stock in repair, not a stock in a trend — and it is a notably different picture from the one the fundamentals paint. Price at AED 21.76 sits above the 20-day and 50-day moving averages (AED 20.71 and AED 20.75) but BELOW the 100-day and 200-day (AED 22.10 and AED 21.88). That is the signature of a stock that has bounced hard off a low but has not yet reclaimed its longer trend. It is 20.6% below its February all-time high and only 34% of the way up its 52-week range of AED 18.80–27.40.</w:t>
      </w:r>
    </w:p>
    <w:p>
      <w:pPr>
        <w:spacing w:after="120" w:before="0"/>
      </w:pPr>
      <w:r>
        <w:rPr>
          <w:b w:val="0"/>
          <w:i w:val="0"/>
          <w:color w:val="1C3A36"/>
          <w:sz w:val="21"/>
        </w:rPr>
        <w:t>RSI-14 at 59 is neutral — warm, with room. MACD (12, 26, 9) reads 0.263 / 0.179 / +0.084: the line is above zero and the histogram is positive, so momentum is building rather than fading. The one-year return is a flat +1.2% and the year-to-date is +4.8%; the five-year return is +363%. In other words, ADIB has spent the last twelve months going precisely nowhere after a spectacular four years — the profit kept compounding and the multiple did the work in reverse. That is what a de-rating looks like from the inside.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20"/>
            <w:shd w:val="clear" w:color="auto" w:fill="EAF0EE"/>
          </w:tcPr>
          <w:p>
            <w:pPr>
              <w:spacing w:after="20"/>
            </w:pPr>
            <w:r>
              <w:rPr>
                <w:b/>
                <w:color w:val="1C3A36"/>
                <w:sz w:val="18"/>
              </w:rPr>
              <w:t>Indicator</w:t>
            </w:r>
          </w:p>
        </w:tc>
        <w:tc>
          <w:tcPr>
            <w:tcW w:type="dxa" w:w="2952"/>
            <w:shd w:val="clear" w:color="auto" w:fill="EAF0EE"/>
          </w:tcPr>
          <w:p>
            <w:pPr>
              <w:spacing w:after="20"/>
            </w:pPr>
            <w:r>
              <w:rPr>
                <w:b/>
                <w:color w:val="1C3A36"/>
                <w:sz w:val="18"/>
              </w:rPr>
              <w:t>Level</w:t>
            </w:r>
          </w:p>
        </w:tc>
        <w:tc>
          <w:tcPr>
            <w:tcW w:type="dxa" w:w="4608"/>
            <w:shd w:val="clear" w:color="auto" w:fill="EAF0EE"/>
          </w:tcPr>
          <w:p>
            <w:pPr>
              <w:spacing w:after="20"/>
            </w:pPr>
            <w:r>
              <w:rPr>
                <w:b/>
                <w:color w:val="1C3A36"/>
                <w:sz w:val="18"/>
              </w:rPr>
              <w:t>Read</w:t>
            </w:r>
          </w:p>
        </w:tc>
      </w:tr>
      <w:tr>
        <w:tc>
          <w:tcPr>
            <w:tcW w:type="dxa" w:w="2520"/>
          </w:tcPr>
          <w:p>
            <w:pPr>
              <w:spacing w:after="20"/>
            </w:pPr>
            <w:r>
              <w:rPr>
                <w:b/>
                <w:color w:val="1C3A36"/>
                <w:sz w:val="18"/>
              </w:rPr>
              <w:t>MA20 / MA50</w:t>
            </w:r>
          </w:p>
        </w:tc>
        <w:tc>
          <w:tcPr>
            <w:tcW w:type="dxa" w:w="2952"/>
          </w:tcPr>
          <w:p>
            <w:pPr>
              <w:spacing w:after="20"/>
            </w:pPr>
            <w:r>
              <w:rPr>
                <w:color w:val="1C3A36"/>
                <w:sz w:val="18"/>
              </w:rPr>
              <w:t>20.71 / 20.75</w:t>
            </w:r>
          </w:p>
        </w:tc>
        <w:tc>
          <w:tcPr>
            <w:tcW w:type="dxa" w:w="4608"/>
          </w:tcPr>
          <w:p>
            <w:pPr>
              <w:spacing w:after="20"/>
            </w:pPr>
            <w:r>
              <w:rPr>
                <w:color w:val="1C3A36"/>
                <w:sz w:val="18"/>
              </w:rPr>
              <w:t>Price above both — the near-term repair is real</w:t>
            </w:r>
          </w:p>
        </w:tc>
      </w:tr>
      <w:tr>
        <w:tc>
          <w:tcPr>
            <w:tcW w:type="dxa" w:w="2520"/>
          </w:tcPr>
          <w:p>
            <w:pPr>
              <w:spacing w:after="20"/>
            </w:pPr>
            <w:r>
              <w:rPr>
                <w:b/>
                <w:color w:val="1C3A36"/>
                <w:sz w:val="18"/>
              </w:rPr>
              <w:t>MA100 / MA200</w:t>
            </w:r>
          </w:p>
        </w:tc>
        <w:tc>
          <w:tcPr>
            <w:tcW w:type="dxa" w:w="2952"/>
          </w:tcPr>
          <w:p>
            <w:pPr>
              <w:spacing w:after="20"/>
            </w:pPr>
            <w:r>
              <w:rPr>
                <w:color w:val="1C3A36"/>
                <w:sz w:val="18"/>
              </w:rPr>
              <w:t>22.10 / 21.88</w:t>
            </w:r>
          </w:p>
        </w:tc>
        <w:tc>
          <w:tcPr>
            <w:tcW w:type="dxa" w:w="4608"/>
          </w:tcPr>
          <w:p>
            <w:pPr>
              <w:spacing w:after="20"/>
            </w:pPr>
            <w:r>
              <w:rPr>
                <w:color w:val="1C3A36"/>
                <w:sz w:val="18"/>
              </w:rPr>
              <w:t>Price BELOW both — the longer trend is not reclaimed</w:t>
            </w:r>
          </w:p>
        </w:tc>
      </w:tr>
      <w:tr>
        <w:tc>
          <w:tcPr>
            <w:tcW w:type="dxa" w:w="2520"/>
          </w:tcPr>
          <w:p>
            <w:pPr>
              <w:spacing w:after="20"/>
            </w:pPr>
            <w:r>
              <w:rPr>
                <w:b/>
                <w:color w:val="1C3A36"/>
                <w:sz w:val="18"/>
              </w:rPr>
              <w:t>RSI-14</w:t>
            </w:r>
          </w:p>
        </w:tc>
        <w:tc>
          <w:tcPr>
            <w:tcW w:type="dxa" w:w="2952"/>
          </w:tcPr>
          <w:p>
            <w:pPr>
              <w:spacing w:after="20"/>
            </w:pPr>
            <w:r>
              <w:rPr>
                <w:color w:val="1C3A36"/>
                <w:sz w:val="18"/>
              </w:rPr>
              <w:t>59</w:t>
            </w:r>
          </w:p>
        </w:tc>
        <w:tc>
          <w:tcPr>
            <w:tcW w:type="dxa" w:w="4608"/>
          </w:tcPr>
          <w:p>
            <w:pPr>
              <w:spacing w:after="20"/>
            </w:pPr>
            <w:r>
              <w:rPr>
                <w:color w:val="1C3A36"/>
                <w:sz w:val="18"/>
              </w:rPr>
              <w:t>Neutral-warm; room before the 70 line</w:t>
            </w:r>
          </w:p>
        </w:tc>
      </w:tr>
      <w:tr>
        <w:tc>
          <w:tcPr>
            <w:tcW w:type="dxa" w:w="2520"/>
          </w:tcPr>
          <w:p>
            <w:pPr>
              <w:spacing w:after="20"/>
            </w:pPr>
            <w:r>
              <w:rPr>
                <w:b/>
                <w:color w:val="1C3A36"/>
                <w:sz w:val="18"/>
              </w:rPr>
              <w:t>MACD 12 26 9</w:t>
            </w:r>
          </w:p>
        </w:tc>
        <w:tc>
          <w:tcPr>
            <w:tcW w:type="dxa" w:w="2952"/>
          </w:tcPr>
          <w:p>
            <w:pPr>
              <w:spacing w:after="20"/>
            </w:pPr>
            <w:r>
              <w:rPr>
                <w:color w:val="1C3A36"/>
                <w:sz w:val="18"/>
              </w:rPr>
              <w:t>0.263 / 0.179 / +0.084</w:t>
            </w:r>
          </w:p>
        </w:tc>
        <w:tc>
          <w:tcPr>
            <w:tcW w:type="dxa" w:w="4608"/>
          </w:tcPr>
          <w:p>
            <w:pPr>
              <w:spacing w:after="20"/>
            </w:pPr>
            <w:r>
              <w:rPr>
                <w:color w:val="1C3A36"/>
                <w:sz w:val="18"/>
              </w:rPr>
              <w:t>Above zero with a positive histogram — momentum building</w:t>
            </w:r>
          </w:p>
        </w:tc>
      </w:tr>
      <w:tr>
        <w:tc>
          <w:tcPr>
            <w:tcW w:type="dxa" w:w="2520"/>
          </w:tcPr>
          <w:p>
            <w:pPr>
              <w:spacing w:after="20"/>
            </w:pPr>
            <w:r>
              <w:rPr>
                <w:b/>
                <w:color w:val="1C3A36"/>
                <w:sz w:val="18"/>
              </w:rPr>
              <w:t>52-week range</w:t>
            </w:r>
          </w:p>
        </w:tc>
        <w:tc>
          <w:tcPr>
            <w:tcW w:type="dxa" w:w="2952"/>
          </w:tcPr>
          <w:p>
            <w:pPr>
              <w:spacing w:after="20"/>
            </w:pPr>
            <w:r>
              <w:rPr>
                <w:color w:val="1C3A36"/>
                <w:sz w:val="18"/>
              </w:rPr>
              <w:t>18.80 – 27.40</w:t>
            </w:r>
          </w:p>
        </w:tc>
        <w:tc>
          <w:tcPr>
            <w:tcW w:type="dxa" w:w="4608"/>
          </w:tcPr>
          <w:p>
            <w:pPr>
              <w:spacing w:after="20"/>
            </w:pPr>
            <w:r>
              <w:rPr>
                <w:color w:val="1C3A36"/>
                <w:sz w:val="18"/>
              </w:rPr>
              <w:t>Spot 34% up the range</w:t>
            </w:r>
          </w:p>
        </w:tc>
      </w:tr>
      <w:tr>
        <w:tc>
          <w:tcPr>
            <w:tcW w:type="dxa" w:w="2520"/>
          </w:tcPr>
          <w:p>
            <w:pPr>
              <w:spacing w:after="20"/>
            </w:pPr>
            <w:r>
              <w:rPr>
                <w:b/>
                <w:color w:val="1C3A36"/>
                <w:sz w:val="18"/>
              </w:rPr>
              <w:t>All-time high</w:t>
            </w:r>
          </w:p>
        </w:tc>
        <w:tc>
          <w:tcPr>
            <w:tcW w:type="dxa" w:w="2952"/>
          </w:tcPr>
          <w:p>
            <w:pPr>
              <w:spacing w:after="20"/>
            </w:pPr>
            <w:r>
              <w:rPr>
                <w:color w:val="1C3A36"/>
                <w:sz w:val="18"/>
              </w:rPr>
              <w:t>27.40  (18-Feb-2026)</w:t>
            </w:r>
          </w:p>
        </w:tc>
        <w:tc>
          <w:tcPr>
            <w:tcW w:type="dxa" w:w="4608"/>
          </w:tcPr>
          <w:p>
            <w:pPr>
              <w:spacing w:after="20"/>
            </w:pPr>
            <w:r>
              <w:rPr>
                <w:color w:val="1C3A36"/>
                <w:sz w:val="18"/>
              </w:rPr>
              <w:t>-20.6% below</w:t>
            </w:r>
          </w:p>
        </w:tc>
      </w:tr>
      <w:tr>
        <w:tc>
          <w:tcPr>
            <w:tcW w:type="dxa" w:w="2520"/>
          </w:tcPr>
          <w:p>
            <w:pPr>
              <w:spacing w:after="20"/>
            </w:pPr>
            <w:r>
              <w:rPr>
                <w:b/>
                <w:color w:val="1C3A36"/>
                <w:sz w:val="18"/>
              </w:rPr>
              <w:t>2026 low</w:t>
            </w:r>
          </w:p>
        </w:tc>
        <w:tc>
          <w:tcPr>
            <w:tcW w:type="dxa" w:w="2952"/>
          </w:tcPr>
          <w:p>
            <w:pPr>
              <w:spacing w:after="20"/>
            </w:pPr>
            <w:r>
              <w:rPr>
                <w:color w:val="1C3A36"/>
                <w:sz w:val="18"/>
              </w:rPr>
              <w:t>18.80  (war low, mid-June)</w:t>
            </w:r>
          </w:p>
        </w:tc>
        <w:tc>
          <w:tcPr>
            <w:tcW w:type="dxa" w:w="4608"/>
          </w:tcPr>
          <w:p>
            <w:pPr>
              <w:spacing w:after="20"/>
            </w:pPr>
            <w:r>
              <w:rPr>
                <w:color w:val="1C3A36"/>
                <w:sz w:val="18"/>
              </w:rPr>
              <w:t>+15.7% off it</w:t>
            </w:r>
          </w:p>
        </w:tc>
      </w:tr>
    </w:tbl>
    <w:p>
      <w:pPr>
        <w:spacing w:after="40"/>
      </w:pPr>
    </w:p>
    <w:p>
      <w:pPr>
        <w:spacing w:after="120" w:before="0"/>
      </w:pPr>
      <w:r>
        <w:rPr>
          <w:b w:val="0"/>
          <w:i w:val="0"/>
          <w:color w:val="1C3A36"/>
          <w:sz w:val="21"/>
        </w:rPr>
        <w:t>The technical read and the §1 valuation point in the same direction here — neither is shouting. A fundamental central within a few percent of spot and a chart in the middle of its range are a consistent pair. This is precisely the situation in which the discipline of §3 matters most: when the point estimate has nothing interesting to say, the distribution does.</w:t>
      </w:r>
    </w:p>
    <w:p>
      <w:pPr>
        <w:spacing w:after="120" w:before="280"/>
      </w:pPr>
      <w:r>
        <w:rPr>
          <w:b/>
          <w:i w:val="0"/>
          <w:color w:val="1C3A36"/>
          <w:sz w:val="30"/>
        </w:rPr>
        <w:t>3. Monte Carlo — the three-month distribution</w:t>
      </w:r>
    </w:p>
    <w:p>
      <w:pPr>
        <w:spacing w:after="120" w:before="0"/>
      </w:pPr>
      <w:r>
        <w:rPr>
          <w:b w:val="0"/>
          <w:i w:val="0"/>
          <w:color w:val="1C3A36"/>
          <w:sz w:val="21"/>
        </w:rPr>
        <w:t>The probability read comes first; the machinery follows. These five rows are the only genuinely three-month statements in this study.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The probability read (T+60 trading days ≈ 3 months)</w:t>
            </w:r>
          </w:p>
        </w:tc>
        <w:tc>
          <w:tcPr>
            <w:tcW w:type="dxa" w:w="3888"/>
            <w:shd w:val="clear" w:color="auto" w:fill="EAF0EE"/>
          </w:tcPr>
          <w:p>
            <w:pPr>
              <w:spacing w:after="20"/>
            </w:pPr>
            <w:r>
              <w:rPr>
                <w:b/>
                <w:color w:val="1C3A36"/>
                <w:sz w:val="18"/>
              </w:rPr>
            </w:r>
          </w:p>
        </w:tc>
      </w:tr>
      <w:tr>
        <w:tc>
          <w:tcPr>
            <w:tcW w:type="dxa" w:w="6192"/>
          </w:tcPr>
          <w:p>
            <w:pPr>
              <w:spacing w:after="20"/>
            </w:pPr>
            <w:r>
              <w:rPr>
                <w:b/>
                <w:color w:val="1C3A36"/>
                <w:sz w:val="18"/>
              </w:rPr>
              <w:t>P(price above spot AED 21.76)</w:t>
            </w:r>
          </w:p>
        </w:tc>
        <w:tc>
          <w:tcPr>
            <w:tcW w:type="dxa" w:w="3888"/>
          </w:tcPr>
          <w:p>
            <w:pPr>
              <w:spacing w:after="20"/>
              <w:jc w:val="right"/>
            </w:pPr>
            <w:r>
              <w:rPr>
                <w:color w:val="1C3A36"/>
                <w:sz w:val="18"/>
              </w:rPr>
              <w:t>50%</w:t>
            </w:r>
          </w:p>
        </w:tc>
      </w:tr>
      <w:tr>
        <w:tc>
          <w:tcPr>
            <w:tcW w:type="dxa" w:w="6192"/>
          </w:tcPr>
          <w:p>
            <w:pPr>
              <w:spacing w:after="20"/>
            </w:pPr>
            <w:r>
              <w:rPr>
                <w:b/>
                <w:color w:val="1C3A36"/>
                <w:sz w:val="18"/>
              </w:rPr>
              <w:t>P(+10% or better) vs P(−10% or worse)</w:t>
            </w:r>
          </w:p>
        </w:tc>
        <w:tc>
          <w:tcPr>
            <w:tcW w:type="dxa" w:w="3888"/>
          </w:tcPr>
          <w:p>
            <w:pPr>
              <w:spacing w:after="20"/>
              <w:jc w:val="right"/>
            </w:pPr>
            <w:r>
              <w:rPr>
                <w:color w:val="1C3A36"/>
                <w:sz w:val="18"/>
              </w:rPr>
              <w:t>24% vs 23%  (odds 1.07×)</w:t>
            </w:r>
          </w:p>
        </w:tc>
      </w:tr>
      <w:tr>
        <w:tc>
          <w:tcPr>
            <w:tcW w:type="dxa" w:w="6192"/>
          </w:tcPr>
          <w:p>
            <w:pPr>
              <w:spacing w:after="20"/>
            </w:pPr>
            <w:r>
              <w:rPr>
                <w:b/>
                <w:color w:val="1C3A36"/>
                <w:sz w:val="18"/>
              </w:rPr>
              <w:t>Median path</w:t>
            </w:r>
          </w:p>
        </w:tc>
        <w:tc>
          <w:tcPr>
            <w:tcW w:type="dxa" w:w="3888"/>
          </w:tcPr>
          <w:p>
            <w:pPr>
              <w:spacing w:after="20"/>
              <w:jc w:val="right"/>
            </w:pPr>
            <w:r>
              <w:rPr>
                <w:color w:val="1C3A36"/>
                <w:sz w:val="18"/>
              </w:rPr>
              <w:t>AED 21.73  (-0.1%)</w:t>
            </w:r>
          </w:p>
        </w:tc>
      </w:tr>
      <w:tr>
        <w:tc>
          <w:tcPr>
            <w:tcW w:type="dxa" w:w="6192"/>
          </w:tcPr>
          <w:p>
            <w:pPr>
              <w:spacing w:after="20"/>
            </w:pPr>
            <w:r>
              <w:rPr>
                <w:b/>
                <w:color w:val="1C3A36"/>
                <w:sz w:val="18"/>
              </w:rPr>
              <w:t>Central 50% of outcomes (25th–75th)</w:t>
            </w:r>
          </w:p>
        </w:tc>
        <w:tc>
          <w:tcPr>
            <w:tcW w:type="dxa" w:w="3888"/>
          </w:tcPr>
          <w:p>
            <w:pPr>
              <w:spacing w:after="20"/>
              <w:jc w:val="right"/>
            </w:pPr>
            <w:r>
              <w:rPr>
                <w:color w:val="1C3A36"/>
                <w:sz w:val="18"/>
              </w:rPr>
              <w:t>AED 19.81 – 23.84  (19% of spot)</w:t>
            </w:r>
          </w:p>
        </w:tc>
      </w:tr>
      <w:tr>
        <w:tc>
          <w:tcPr>
            <w:tcW w:type="dxa" w:w="6192"/>
          </w:tcPr>
          <w:p>
            <w:pPr>
              <w:spacing w:after="20"/>
            </w:pPr>
            <w:r>
              <w:rPr>
                <w:b/>
                <w:color w:val="1C3A36"/>
                <w:sz w:val="18"/>
              </w:rPr>
              <w:t>Touch probability: ±10% at any point within the horizon</w:t>
            </w:r>
          </w:p>
        </w:tc>
        <w:tc>
          <w:tcPr>
            <w:tcW w:type="dxa" w:w="3888"/>
          </w:tcPr>
          <w:p>
            <w:pPr>
              <w:spacing w:after="20"/>
              <w:jc w:val="right"/>
            </w:pPr>
            <w:r>
              <w:rPr>
                <w:color w:val="1C3A36"/>
                <w:sz w:val="18"/>
              </w:rPr>
              <w:t>44% up · 41% down</w:t>
            </w:r>
          </w:p>
        </w:tc>
      </w:tr>
    </w:tbl>
    <w:p>
      <w:pPr>
        <w:spacing w:after="40"/>
      </w:pPr>
    </w:p>
    <w:p>
      <w:pPr>
        <w:spacing w:after="120" w:before="0"/>
      </w:pPr>
      <w:r>
        <w:rPr>
          <w:b/>
          <w:i w:val="0"/>
          <w:color w:val="1C3A36"/>
          <w:sz w:val="21"/>
        </w:rPr>
        <w:t xml:space="preserve">Lens independence, and an explained flat. </w:t>
      </w:r>
      <w:r>
        <w:rPr>
          <w:b w:val="0"/>
          <w:i w:val="0"/>
          <w:color w:val="1C3A36"/>
          <w:sz w:val="21"/>
        </w:rPr>
        <w:t>The Monte Carlo drift never sees §1. Its centre is pure carry: ln(1 + rf 3.90%) − ln(1 + dividend yield 4.46%), which over sixty trading days is -0.20%. For this dividend-payer the carry is a hair NEGATIVE in price terms, and that is not a bug — it is the arithmetic of a bank whose dividend yield exceeds the risk-free rate. The expected total return is approximately the risk-free rate, delivered as dividend rather than as price drift; the price median is therefore approximately flat, ± the band. That is an explained flat, not an unexplained one. No momentum or trend signal is used, because none tested reliably on the UAE panel. And the AED 0.53 value gap from §1 lives in §1 only — if it closes, it closes as a surprise to this distribution, not from inside it.</w:t>
      </w:r>
    </w:p>
    <w:p>
      <w:pPr>
        <w:spacing w:after="40"/>
        <w:jc w:val="center"/>
      </w:pPr>
      <w:r>
        <w:drawing>
          <wp:inline xmlns:a="http://schemas.openxmlformats.org/drawingml/2006/main" xmlns:pic="http://schemas.openxmlformats.org/drawingml/2006/picture">
            <wp:extent cx="6309360" cy="2942563"/>
            <wp:docPr id="8" name="Picture 8"/>
            <wp:cNvGraphicFramePr>
              <a:graphicFrameLocks noChangeAspect="1"/>
            </wp:cNvGraphicFramePr>
            <a:graphic>
              <a:graphicData uri="http://schemas.openxmlformats.org/drawingml/2006/picture">
                <pic:pic>
                  <pic:nvPicPr>
                    <pic:cNvPr id="0" name="fig2_fan60.png"/>
                    <pic:cNvPicPr/>
                  </pic:nvPicPr>
                  <pic:blipFill>
                    <a:blip r:embed="rId16"/>
                    <a:stretch>
                      <a:fillRect/>
                    </a:stretch>
                  </pic:blipFill>
                  <pic:spPr>
                    <a:xfrm>
                      <a:off x="0" y="0"/>
                      <a:ext cx="6309360" cy="2942563"/>
                    </a:xfrm>
                    <a:prstGeom prst="rect"/>
                  </pic:spPr>
                </pic:pic>
              </a:graphicData>
            </a:graphic>
          </wp:inline>
        </w:drawing>
      </w:r>
    </w:p>
    <w:p>
      <w:pPr>
        <w:spacing w:after="200" w:before="0"/>
      </w:pPr>
      <w:r>
        <w:rPr>
          <w:b w:val="0"/>
          <w:i/>
          <w:color w:val="6E7B77"/>
          <w:sz w:val="17"/>
        </w:rPr>
        <w:t>Figure 8 — T+60 fan: 50,000 simulated price paths. The gold band spans the 5th to 95th percentile, the brass the 25th to 75th, and the white line is the median. Lead with the brass band, not the gold one: the 50% band (AED 19.81–23.84) is the honest quarter-ahead statement, and the tails are the tails.</w:t>
      </w:r>
    </w:p>
    <w:p>
      <w:pPr>
        <w:spacing w:after="40"/>
        <w:jc w:val="center"/>
      </w:pPr>
      <w:r>
        <w:drawing>
          <wp:inline xmlns:a="http://schemas.openxmlformats.org/drawingml/2006/main" xmlns:pic="http://schemas.openxmlformats.org/drawingml/2006/picture">
            <wp:extent cx="6309360" cy="2942563"/>
            <wp:docPr id="9" name="Picture 9"/>
            <wp:cNvGraphicFramePr>
              <a:graphicFrameLocks noChangeAspect="1"/>
            </wp:cNvGraphicFramePr>
            <a:graphic>
              <a:graphicData uri="http://schemas.openxmlformats.org/drawingml/2006/picture">
                <pic:pic>
                  <pic:nvPicPr>
                    <pic:cNvPr id="0" name="fig3_fan20.png"/>
                    <pic:cNvPicPr/>
                  </pic:nvPicPr>
                  <pic:blipFill>
                    <a:blip r:embed="rId17"/>
                    <a:stretch>
                      <a:fillRect/>
                    </a:stretch>
                  </pic:blipFill>
                  <pic:spPr>
                    <a:xfrm>
                      <a:off x="0" y="0"/>
                      <a:ext cx="6309360" cy="2942563"/>
                    </a:xfrm>
                    <a:prstGeom prst="rect"/>
                  </pic:spPr>
                </pic:pic>
              </a:graphicData>
            </a:graphic>
          </wp:inline>
        </w:drawing>
      </w:r>
    </w:p>
    <w:p>
      <w:pPr>
        <w:spacing w:after="200" w:before="0"/>
      </w:pPr>
      <w:r>
        <w:rPr>
          <w:b w:val="0"/>
          <w:i/>
          <w:color w:val="6E7B77"/>
          <w:sz w:val="17"/>
        </w:rPr>
        <w:t>Figure 9 — T+20 fan (≈ one month): the near-term cohort the Calibration Ledger will grade first, on 3 August 2026. Width divides by roughly √3 against the T+60.</w:t>
      </w:r>
    </w:p>
    <w:p>
      <w:pPr>
        <w:spacing w:after="40"/>
        <w:jc w:val="center"/>
      </w:pPr>
      <w:r>
        <w:drawing>
          <wp:inline xmlns:a="http://schemas.openxmlformats.org/drawingml/2006/main" xmlns:pic="http://schemas.openxmlformats.org/drawingml/2006/picture">
            <wp:extent cx="6309360" cy="2707731"/>
            <wp:docPr id="10" name="Picture 10"/>
            <wp:cNvGraphicFramePr>
              <a:graphicFrameLocks noChangeAspect="1"/>
            </wp:cNvGraphicFramePr>
            <a:graphic>
              <a:graphicData uri="http://schemas.openxmlformats.org/drawingml/2006/picture">
                <pic:pic>
                  <pic:nvPicPr>
                    <pic:cNvPr id="0" name="fig4_dist.png"/>
                    <pic:cNvPicPr/>
                  </pic:nvPicPr>
                  <pic:blipFill>
                    <a:blip r:embed="rId18"/>
                    <a:stretch>
                      <a:fillRect/>
                    </a:stretch>
                  </pic:blipFill>
                  <pic:spPr>
                    <a:xfrm>
                      <a:off x="0" y="0"/>
                      <a:ext cx="6309360" cy="2707731"/>
                    </a:xfrm>
                    <a:prstGeom prst="rect"/>
                  </pic:spPr>
                </pic:pic>
              </a:graphicData>
            </a:graphic>
          </wp:inline>
        </w:drawing>
      </w:r>
    </w:p>
    <w:p>
      <w:pPr>
        <w:spacing w:after="200" w:before="0"/>
      </w:pPr>
      <w:r>
        <w:rPr>
          <w:b w:val="0"/>
          <w:i/>
          <w:color w:val="6E7B77"/>
          <w:sz w:val="17"/>
        </w:rPr>
        <w:t>Figure 10 — The T+60 terminal distribution with percentile markers; spot dashed in red. The right tail is fatter in dirham terms than the left — that is the arithmetic of lognormality, not a directional view.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320"/>
            <w:shd w:val="clear" w:color="auto" w:fill="EAF0EE"/>
          </w:tcPr>
          <w:p>
            <w:pPr>
              <w:spacing w:after="20"/>
            </w:pPr>
            <w:r>
              <w:rPr>
                <w:b/>
                <w:color w:val="1C3A36"/>
                <w:sz w:val="18"/>
              </w:rPr>
              <w:t>Percentile</w:t>
            </w:r>
          </w:p>
        </w:tc>
        <w:tc>
          <w:tcPr>
            <w:tcW w:type="dxa" w:w="2880"/>
            <w:shd w:val="clear" w:color="auto" w:fill="EAF0EE"/>
          </w:tcPr>
          <w:p>
            <w:pPr>
              <w:spacing w:after="20"/>
            </w:pPr>
            <w:r>
              <w:rPr>
                <w:b/>
                <w:color w:val="1C3A36"/>
                <w:sz w:val="18"/>
              </w:rPr>
              <w:t>T+20 (AED)</w:t>
            </w:r>
          </w:p>
        </w:tc>
        <w:tc>
          <w:tcPr>
            <w:tcW w:type="dxa" w:w="2880"/>
            <w:shd w:val="clear" w:color="auto" w:fill="EAF0EE"/>
          </w:tcPr>
          <w:p>
            <w:pPr>
              <w:spacing w:after="20"/>
            </w:pPr>
            <w:r>
              <w:rPr>
                <w:b/>
                <w:color w:val="1C3A36"/>
                <w:sz w:val="18"/>
              </w:rPr>
              <w:t>T+60 (AED)</w:t>
            </w:r>
          </w:p>
        </w:tc>
      </w:tr>
      <w:tr>
        <w:tc>
          <w:tcPr>
            <w:tcW w:type="dxa" w:w="4320"/>
          </w:tcPr>
          <w:p>
            <w:pPr>
              <w:spacing w:after="20"/>
            </w:pPr>
            <w:r>
              <w:rPr>
                <w:b/>
                <w:color w:val="1C3A36"/>
                <w:sz w:val="18"/>
              </w:rPr>
              <w:t>5th</w:t>
            </w:r>
          </w:p>
        </w:tc>
        <w:tc>
          <w:tcPr>
            <w:tcW w:type="dxa" w:w="2880"/>
          </w:tcPr>
          <w:p>
            <w:pPr>
              <w:spacing w:after="20"/>
              <w:jc w:val="right"/>
            </w:pPr>
            <w:r>
              <w:rPr>
                <w:color w:val="1C3A36"/>
                <w:sz w:val="18"/>
              </w:rPr>
              <w:t>18.91</w:t>
            </w:r>
          </w:p>
        </w:tc>
        <w:tc>
          <w:tcPr>
            <w:tcW w:type="dxa" w:w="2880"/>
          </w:tcPr>
          <w:p>
            <w:pPr>
              <w:spacing w:after="20"/>
              <w:jc w:val="right"/>
            </w:pPr>
            <w:r>
              <w:rPr>
                <w:color w:val="1C3A36"/>
                <w:sz w:val="18"/>
              </w:rPr>
              <w:t>17.10</w:t>
            </w:r>
          </w:p>
        </w:tc>
      </w:tr>
      <w:tr>
        <w:tc>
          <w:tcPr>
            <w:tcW w:type="dxa" w:w="4320"/>
          </w:tcPr>
          <w:p>
            <w:pPr>
              <w:spacing w:after="20"/>
            </w:pPr>
            <w:r>
              <w:rPr>
                <w:b/>
                <w:color w:val="1C3A36"/>
                <w:sz w:val="18"/>
              </w:rPr>
              <w:t>25th</w:t>
            </w:r>
          </w:p>
        </w:tc>
        <w:tc>
          <w:tcPr>
            <w:tcW w:type="dxa" w:w="2880"/>
          </w:tcPr>
          <w:p>
            <w:pPr>
              <w:spacing w:after="20"/>
              <w:jc w:val="right"/>
            </w:pPr>
            <w:r>
              <w:rPr>
                <w:color w:val="1C3A36"/>
                <w:sz w:val="18"/>
              </w:rPr>
              <w:t>20.61</w:t>
            </w:r>
          </w:p>
        </w:tc>
        <w:tc>
          <w:tcPr>
            <w:tcW w:type="dxa" w:w="2880"/>
          </w:tcPr>
          <w:p>
            <w:pPr>
              <w:spacing w:after="20"/>
              <w:jc w:val="right"/>
            </w:pPr>
            <w:r>
              <w:rPr>
                <w:color w:val="1C3A36"/>
                <w:sz w:val="18"/>
              </w:rPr>
              <w:t>19.81</w:t>
            </w:r>
          </w:p>
        </w:tc>
      </w:tr>
      <w:tr>
        <w:tc>
          <w:tcPr>
            <w:tcW w:type="dxa" w:w="4320"/>
            <w:shd w:val="clear" w:color="auto" w:fill="F6F1E6"/>
          </w:tcPr>
          <w:p>
            <w:pPr>
              <w:spacing w:after="20"/>
            </w:pPr>
            <w:r>
              <w:rPr>
                <w:b/>
                <w:color w:val="1C3A36"/>
                <w:sz w:val="18"/>
              </w:rPr>
              <w:t>50th (median)</w:t>
            </w:r>
          </w:p>
        </w:tc>
        <w:tc>
          <w:tcPr>
            <w:tcW w:type="dxa" w:w="2880"/>
            <w:shd w:val="clear" w:color="auto" w:fill="F6F1E6"/>
          </w:tcPr>
          <w:p>
            <w:pPr>
              <w:spacing w:after="20"/>
              <w:jc w:val="right"/>
            </w:pPr>
            <w:r>
              <w:rPr>
                <w:b/>
                <w:color w:val="1C3A36"/>
                <w:sz w:val="18"/>
              </w:rPr>
              <w:t>21.74</w:t>
            </w:r>
          </w:p>
        </w:tc>
        <w:tc>
          <w:tcPr>
            <w:tcW w:type="dxa" w:w="2880"/>
            <w:shd w:val="clear" w:color="auto" w:fill="F6F1E6"/>
          </w:tcPr>
          <w:p>
            <w:pPr>
              <w:spacing w:after="20"/>
              <w:jc w:val="right"/>
            </w:pPr>
            <w:r>
              <w:rPr>
                <w:b/>
                <w:color w:val="1C3A36"/>
                <w:sz w:val="18"/>
              </w:rPr>
              <w:t>21.73</w:t>
            </w:r>
          </w:p>
        </w:tc>
      </w:tr>
      <w:tr>
        <w:tc>
          <w:tcPr>
            <w:tcW w:type="dxa" w:w="4320"/>
          </w:tcPr>
          <w:p>
            <w:pPr>
              <w:spacing w:after="20"/>
            </w:pPr>
            <w:r>
              <w:rPr>
                <w:b/>
                <w:color w:val="1C3A36"/>
                <w:sz w:val="18"/>
              </w:rPr>
              <w:t>75th</w:t>
            </w:r>
          </w:p>
        </w:tc>
        <w:tc>
          <w:tcPr>
            <w:tcW w:type="dxa" w:w="2880"/>
          </w:tcPr>
          <w:p>
            <w:pPr>
              <w:spacing w:after="20"/>
              <w:jc w:val="right"/>
            </w:pPr>
            <w:r>
              <w:rPr>
                <w:color w:val="1C3A36"/>
                <w:sz w:val="18"/>
              </w:rPr>
              <w:t>22.95</w:t>
            </w:r>
          </w:p>
        </w:tc>
        <w:tc>
          <w:tcPr>
            <w:tcW w:type="dxa" w:w="2880"/>
          </w:tcPr>
          <w:p>
            <w:pPr>
              <w:spacing w:after="20"/>
              <w:jc w:val="right"/>
            </w:pPr>
            <w:r>
              <w:rPr>
                <w:color w:val="1C3A36"/>
                <w:sz w:val="18"/>
              </w:rPr>
              <w:t>23.84</w:t>
            </w:r>
          </w:p>
        </w:tc>
      </w:tr>
      <w:tr>
        <w:tc>
          <w:tcPr>
            <w:tcW w:type="dxa" w:w="4320"/>
          </w:tcPr>
          <w:p>
            <w:pPr>
              <w:spacing w:after="20"/>
            </w:pPr>
            <w:r>
              <w:rPr>
                <w:b/>
                <w:color w:val="1C3A36"/>
                <w:sz w:val="18"/>
              </w:rPr>
              <w:t>95th</w:t>
            </w:r>
          </w:p>
        </w:tc>
        <w:tc>
          <w:tcPr>
            <w:tcW w:type="dxa" w:w="2880"/>
          </w:tcPr>
          <w:p>
            <w:pPr>
              <w:spacing w:after="20"/>
              <w:jc w:val="right"/>
            </w:pPr>
            <w:r>
              <w:rPr>
                <w:color w:val="1C3A36"/>
                <w:sz w:val="18"/>
              </w:rPr>
              <w:t>24.95</w:t>
            </w:r>
          </w:p>
        </w:tc>
        <w:tc>
          <w:tcPr>
            <w:tcW w:type="dxa" w:w="2880"/>
          </w:tcPr>
          <w:p>
            <w:pPr>
              <w:spacing w:after="20"/>
              <w:jc w:val="right"/>
            </w:pPr>
            <w:r>
              <w:rPr>
                <w:color w:val="1C3A36"/>
                <w:sz w:val="18"/>
              </w:rPr>
              <w:t>27.70</w:t>
            </w:r>
          </w:p>
        </w:tc>
      </w:tr>
      <w:tr>
        <w:tc>
          <w:tcPr>
            <w:tcW w:type="dxa" w:w="4320"/>
          </w:tcPr>
          <w:p>
            <w:pPr>
              <w:spacing w:after="20"/>
            </w:pPr>
            <w:r>
              <w:rPr>
                <w:b/>
                <w:color w:val="1C3A36"/>
                <w:sz w:val="18"/>
              </w:rPr>
              <w:t>Touch +10% / −10% within the horizon</w:t>
            </w:r>
          </w:p>
        </w:tc>
        <w:tc>
          <w:tcPr>
            <w:tcW w:type="dxa" w:w="2880"/>
          </w:tcPr>
          <w:p>
            <w:pPr>
              <w:spacing w:after="20"/>
              <w:jc w:val="right"/>
            </w:pPr>
            <w:r>
              <w:rPr>
                <w:color w:val="1C3A36"/>
                <w:sz w:val="18"/>
              </w:rPr>
              <w:t>20% / 16%</w:t>
            </w:r>
          </w:p>
        </w:tc>
        <w:tc>
          <w:tcPr>
            <w:tcW w:type="dxa" w:w="2880"/>
          </w:tcPr>
          <w:p>
            <w:pPr>
              <w:spacing w:after="20"/>
              <w:jc w:val="right"/>
            </w:pPr>
            <w:r>
              <w:rPr>
                <w:color w:val="1C3A36"/>
                <w:sz w:val="18"/>
              </w:rPr>
              <w:t>44% / 41%</w:t>
            </w:r>
          </w:p>
        </w:tc>
      </w:tr>
    </w:tbl>
    <w:p>
      <w:pPr>
        <w:spacing w:after="40"/>
      </w:pPr>
    </w:p>
    <w:p>
      <w:pPr>
        <w:spacing w:after="80" w:before="200"/>
      </w:pPr>
      <w:r>
        <w:rPr>
          <w:b/>
          <w:i w:val="0"/>
          <w:color w:val="1C3A36"/>
          <w:sz w:val="24"/>
        </w:rPr>
        <w:t>3.1  Engine and calibration — the backtest in the open</w:t>
      </w:r>
    </w:p>
    <w:p>
      <w:pPr>
        <w:spacing w:after="120" w:before="0"/>
      </w:pPr>
      <w:r>
        <w:rPr>
          <w:b w:val="0"/>
          <w:i w:val="0"/>
          <w:color w:val="1C3A36"/>
          <w:sz w:val="21"/>
        </w:rPr>
        <w:t>The engine models daily volatility with a gap-aware Yang-Zhang estimator fed into a heterogeneous-autoregressive forecast, draws its shocks from a fat-tailed Student-t distribution so that crash risk is respected rather than assumed away, and centres the paths on carry alone. 50,000 paths, seed 42. Two things about that sentence deserve emphasis, because they are what makes the number below worth anything.</w:t>
      </w:r>
    </w:p>
    <w:p>
      <w:pPr>
        <w:spacing w:after="120" w:before="0"/>
      </w:pPr>
      <w:r>
        <w:rPr>
          <w:b/>
          <w:i w:val="0"/>
          <w:color w:val="1C3A36"/>
          <w:sz w:val="21"/>
        </w:rPr>
        <w:t xml:space="preserve">First, we do not choose the shape or the width. </w:t>
      </w:r>
      <w:r>
        <w:rPr>
          <w:b w:val="0"/>
          <w:i w:val="0"/>
          <w:color w:val="1C3A36"/>
          <w:sz w:val="21"/>
        </w:rPr>
        <w:t>The tail parameter (ν = 10) and the width calibration (1.049) are FITTED — by maximum likelihood, on a pooled panel of fourteen UAE names and 237 windows, with leave-one-name-out cross-fitting — and they are read live from the engine registry at build time rather than typed in from memory. That registry was itself re-fitted on the morning of this study, which is exactly the point of holding it in one place: a stock added to the library re-fits its whole market, and no study can quietly run on a stale cone. The anchor volatility that comes out for ADIB is 30.7% annualized.</w:t>
      </w:r>
    </w:p>
    <w:p>
      <w:pPr>
        <w:spacing w:after="120" w:before="0"/>
      </w:pPr>
      <w:r>
        <w:rPr>
          <w:b/>
          <w:i w:val="0"/>
          <w:color w:val="1C3A36"/>
          <w:sz w:val="21"/>
        </w:rPr>
        <w:t xml:space="preserve">Second, the price series is cleaned before it is trusted. </w:t>
      </w:r>
      <w:r>
        <w:rPr>
          <w:b w:val="0"/>
          <w:i w:val="0"/>
          <w:color w:val="1C3A36"/>
          <w:sz w:val="21"/>
        </w:rPr>
        <w:t>A mandatory data-quality gate runs first. Its threshold is not a guess: the ADX daily price limit is ±15%, so a single session cannot move further than that by trading — anything beyond can only be a corporate action or a data error. ADIB's series came back clean of corporate-action artefacts (largest one-day move 10.5%, well inside the limit) at 248 rows a year against an ADX calendar of about 250, so no phantom rows. The gate did remove two stale no-trade rows — sessions with an identical open, high, low and close and no volume — which would otherwise have flattened the intraday range and biased the volatility estimate DOWN. Small, but it is the kind of thing that is only small when you check.</w:t>
      </w:r>
    </w:p>
    <w:p>
      <w:pPr>
        <w:spacing w:after="120" w:before="0"/>
      </w:pPr>
      <w:r>
        <w:rPr>
          <w:b w:val="0"/>
          <w:i w:val="0"/>
          <w:color w:val="1C3A36"/>
          <w:sz w:val="21"/>
        </w:rPr>
        <w:t>Then we test it — on ADIB's own history, walking forward, using only data available at each origin, and scoring the realized close against the distribution the model would have produced. The benchmark is a carry-anchored random walk on trailing volatility: the same centre on both sides, so the score measures the shape and the width and can never harvest the time value of money. The score is scale-normalized (CRPS divided by that window's spot) because CRPS is denominated in price — pooling it raw would weight a stock that quadrupled by its late windows, and weight a panel by share price rather than by information.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Five-year backtest — walk-forward, 60-day horizon, non-overlapping</w:t>
            </w:r>
          </w:p>
        </w:tc>
        <w:tc>
          <w:tcPr>
            <w:tcW w:type="dxa" w:w="3888"/>
            <w:shd w:val="clear" w:color="auto" w:fill="EAF0EE"/>
          </w:tcPr>
          <w:p>
            <w:pPr>
              <w:spacing w:after="20"/>
            </w:pPr>
            <w:r>
              <w:rPr>
                <w:b/>
                <w:color w:val="1C3A36"/>
                <w:sz w:val="18"/>
              </w:rPr>
            </w:r>
          </w:p>
        </w:tc>
      </w:tr>
      <w:tr>
        <w:tc>
          <w:tcPr>
            <w:tcW w:type="dxa" w:w="6192"/>
          </w:tcPr>
          <w:p>
            <w:pPr>
              <w:spacing w:after="20"/>
            </w:pPr>
            <w:r>
              <w:rPr>
                <w:b/>
                <w:color w:val="1C3A36"/>
                <w:sz w:val="18"/>
              </w:rPr>
              <w:t>Windows (post-2022 break)</w:t>
            </w:r>
          </w:p>
        </w:tc>
        <w:tc>
          <w:tcPr>
            <w:tcW w:type="dxa" w:w="3888"/>
          </w:tcPr>
          <w:p>
            <w:pPr>
              <w:spacing w:after="20"/>
              <w:jc w:val="right"/>
            </w:pPr>
            <w:r>
              <w:rPr>
                <w:color w:val="1C3A36"/>
                <w:sz w:val="18"/>
              </w:rPr>
              <w:t>14</w:t>
            </w:r>
          </w:p>
        </w:tc>
      </w:tr>
      <w:tr>
        <w:tc>
          <w:tcPr>
            <w:tcW w:type="dxa" w:w="6192"/>
          </w:tcPr>
          <w:p>
            <w:pPr>
              <w:spacing w:after="20"/>
            </w:pPr>
            <w:r>
              <w:rPr>
                <w:b/>
                <w:color w:val="1C3A36"/>
                <w:sz w:val="18"/>
              </w:rPr>
              <w:t>CRPS skill vs the carry-anchored random walk (the gate)</w:t>
            </w:r>
          </w:p>
        </w:tc>
        <w:tc>
          <w:tcPr>
            <w:tcW w:type="dxa" w:w="3888"/>
          </w:tcPr>
          <w:p>
            <w:pPr>
              <w:spacing w:after="20"/>
              <w:jc w:val="right"/>
            </w:pPr>
            <w:r>
              <w:rPr>
                <w:color w:val="1C3A36"/>
                <w:sz w:val="18"/>
              </w:rPr>
              <w:t>+0.0093</w:t>
            </w:r>
          </w:p>
        </w:tc>
      </w:tr>
      <w:tr>
        <w:tc>
          <w:tcPr>
            <w:tcW w:type="dxa" w:w="6192"/>
          </w:tcPr>
          <w:p>
            <w:pPr>
              <w:spacing w:after="20"/>
            </w:pPr>
            <w:r>
              <w:rPr>
                <w:b/>
                <w:color w:val="1C3A36"/>
                <w:sz w:val="18"/>
              </w:rPr>
              <w:t>Pinball-0.50 skill (median placement)</w:t>
            </w:r>
          </w:p>
        </w:tc>
        <w:tc>
          <w:tcPr>
            <w:tcW w:type="dxa" w:w="3888"/>
          </w:tcPr>
          <w:p>
            <w:pPr>
              <w:spacing w:after="20"/>
              <w:jc w:val="right"/>
            </w:pPr>
            <w:r>
              <w:rPr>
                <w:color w:val="1C3A36"/>
                <w:sz w:val="18"/>
              </w:rPr>
              <w:t>+0.0024</w:t>
            </w:r>
          </w:p>
        </w:tc>
      </w:tr>
      <w:tr>
        <w:tc>
          <w:tcPr>
            <w:tcW w:type="dxa" w:w="6192"/>
          </w:tcPr>
          <w:p>
            <w:pPr>
              <w:spacing w:after="20"/>
            </w:pPr>
            <w:r>
              <w:rPr>
                <w:b/>
                <w:color w:val="1C3A36"/>
                <w:sz w:val="18"/>
              </w:rPr>
              <w:t>Winkler-90 interval skill</w:t>
            </w:r>
          </w:p>
        </w:tc>
        <w:tc>
          <w:tcPr>
            <w:tcW w:type="dxa" w:w="3888"/>
          </w:tcPr>
          <w:p>
            <w:pPr>
              <w:spacing w:after="20"/>
              <w:jc w:val="right"/>
            </w:pPr>
            <w:r>
              <w:rPr>
                <w:color w:val="1C3A36"/>
                <w:sz w:val="18"/>
              </w:rPr>
              <w:t>-0.1093</w:t>
            </w:r>
          </w:p>
        </w:tc>
      </w:tr>
      <w:tr>
        <w:tc>
          <w:tcPr>
            <w:tcW w:type="dxa" w:w="6192"/>
          </w:tcPr>
          <w:p>
            <w:pPr>
              <w:spacing w:after="20"/>
            </w:pPr>
            <w:r>
              <w:rPr>
                <w:b/>
                <w:color w:val="1C3A36"/>
                <w:sz w:val="18"/>
              </w:rPr>
              <w:t>Coverage 50 / 80 / 90 (nominal: 0.50 / 0.80 / 0.90)</w:t>
            </w:r>
          </w:p>
        </w:tc>
        <w:tc>
          <w:tcPr>
            <w:tcW w:type="dxa" w:w="3888"/>
          </w:tcPr>
          <w:p>
            <w:pPr>
              <w:spacing w:after="20"/>
              <w:jc w:val="right"/>
            </w:pPr>
            <w:r>
              <w:rPr>
                <w:color w:val="1C3A36"/>
                <w:sz w:val="18"/>
              </w:rPr>
              <w:t>0.43 / 0.79 / 1.00</w:t>
            </w:r>
          </w:p>
        </w:tc>
      </w:tr>
      <w:tr>
        <w:tc>
          <w:tcPr>
            <w:tcW w:type="dxa" w:w="6192"/>
          </w:tcPr>
          <w:p>
            <w:pPr>
              <w:spacing w:after="20"/>
            </w:pPr>
            <w:r>
              <w:rPr>
                <w:b/>
                <w:color w:val="1C3A36"/>
                <w:sz w:val="18"/>
              </w:rPr>
              <w:t>PIT mean (nominal: 0.50)</w:t>
            </w:r>
          </w:p>
        </w:tc>
        <w:tc>
          <w:tcPr>
            <w:tcW w:type="dxa" w:w="3888"/>
          </w:tcPr>
          <w:p>
            <w:pPr>
              <w:spacing w:after="20"/>
              <w:jc w:val="right"/>
            </w:pPr>
            <w:r>
              <w:rPr>
                <w:color w:val="1C3A36"/>
                <w:sz w:val="18"/>
              </w:rPr>
              <w:t>0.618</w:t>
            </w:r>
          </w:p>
        </w:tc>
      </w:tr>
      <w:tr>
        <w:tc>
          <w:tcPr>
            <w:tcW w:type="dxa" w:w="6192"/>
          </w:tcPr>
          <w:p>
            <w:pPr>
              <w:spacing w:after="20"/>
            </w:pPr>
            <w:r>
              <w:rPr>
                <w:b/>
                <w:color w:val="1C3A36"/>
                <w:sz w:val="18"/>
              </w:rPr>
              <w:t>Bootstrap CI — window-block 2 / 3 / 4</w:t>
            </w:r>
          </w:p>
        </w:tc>
        <w:tc>
          <w:tcPr>
            <w:tcW w:type="dxa" w:w="3888"/>
          </w:tcPr>
          <w:p>
            <w:pPr>
              <w:spacing w:after="20"/>
              <w:jc w:val="right"/>
            </w:pPr>
            <w:r>
              <w:rPr>
                <w:color w:val="1C3A36"/>
                <w:sz w:val="18"/>
              </w:rPr>
              <w:t>[-0.014, +0.030] · [-0.017, +0.032] · [-0.017, +0.032]</w:t>
            </w:r>
          </w:p>
        </w:tc>
      </w:tr>
      <w:tr>
        <w:tc>
          <w:tcPr>
            <w:tcW w:type="dxa" w:w="6192"/>
          </w:tcPr>
          <w:p>
            <w:pPr>
              <w:spacing w:after="20"/>
            </w:pPr>
            <w:r>
              <w:rPr>
                <w:b/>
                <w:color w:val="1C3A36"/>
                <w:sz w:val="18"/>
              </w:rPr>
              <w:t>Robust name-level verdict (all block sizes agree)</w:t>
            </w:r>
          </w:p>
        </w:tc>
        <w:tc>
          <w:tcPr>
            <w:tcW w:type="dxa" w:w="3888"/>
          </w:tcPr>
          <w:p>
            <w:pPr>
              <w:spacing w:after="20"/>
              <w:jc w:val="right"/>
            </w:pPr>
            <w:r>
              <w:rPr>
                <w:color w:val="1C3A36"/>
                <w:sz w:val="18"/>
              </w:rPr>
              <w:t>PARITY</w:t>
            </w:r>
          </w:p>
        </w:tc>
      </w:tr>
      <w:tr>
        <w:tc>
          <w:tcPr>
            <w:tcW w:type="dxa" w:w="6192"/>
            <w:shd w:val="clear" w:color="auto" w:fill="F6F1E6"/>
          </w:tcPr>
          <w:p>
            <w:pPr>
              <w:spacing w:after="20"/>
            </w:pPr>
            <w:r>
              <w:rPr>
                <w:b/>
                <w:color w:val="1C3A36"/>
                <w:sz w:val="18"/>
              </w:rPr>
              <w:t>THE STANDING GATE — 14-name UAE market panel</w:t>
            </w:r>
          </w:p>
        </w:tc>
        <w:tc>
          <w:tcPr>
            <w:tcW w:type="dxa" w:w="3888"/>
            <w:shd w:val="clear" w:color="auto" w:fill="F6F1E6"/>
          </w:tcPr>
          <w:p>
            <w:pPr>
              <w:spacing w:after="20"/>
              <w:jc w:val="right"/>
            </w:pPr>
            <w:r>
              <w:rPr>
                <w:b/>
                <w:color w:val="1C3A36"/>
                <w:sz w:val="18"/>
              </w:rPr>
              <w:t>PARITY  ·  skill +0.0049  ·  CI [-0.004, +0.015]</w:t>
            </w:r>
          </w:p>
        </w:tc>
      </w:tr>
    </w:tbl>
    <w:p>
      <w:pPr>
        <w:spacing w:after="40"/>
      </w:pPr>
    </w:p>
    <w:p>
      <w:pPr>
        <w:spacing w:after="40"/>
        <w:jc w:val="center"/>
      </w:pPr>
      <w:r>
        <w:drawing>
          <wp:inline xmlns:a="http://schemas.openxmlformats.org/drawingml/2006/main" xmlns:pic="http://schemas.openxmlformats.org/drawingml/2006/picture">
            <wp:extent cx="6309360" cy="2106568"/>
            <wp:docPr id="11" name="Picture 11"/>
            <wp:cNvGraphicFramePr>
              <a:graphicFrameLocks noChangeAspect="1"/>
            </wp:cNvGraphicFramePr>
            <a:graphic>
              <a:graphicData uri="http://schemas.openxmlformats.org/drawingml/2006/picture">
                <pic:pic>
                  <pic:nvPicPr>
                    <pic:cNvPr id="0" name="fig5_calibration.png"/>
                    <pic:cNvPicPr/>
                  </pic:nvPicPr>
                  <pic:blipFill>
                    <a:blip r:embed="rId19"/>
                    <a:stretch>
                      <a:fillRect/>
                    </a:stretch>
                  </pic:blipFill>
                  <pic:spPr>
                    <a:xfrm>
                      <a:off x="0" y="0"/>
                      <a:ext cx="6309360" cy="2106568"/>
                    </a:xfrm>
                    <a:prstGeom prst="rect"/>
                  </pic:spPr>
                </pic:pic>
              </a:graphicData>
            </a:graphic>
          </wp:inline>
        </w:drawing>
      </w:r>
    </w:p>
    <w:p>
      <w:pPr>
        <w:spacing w:after="200" w:before="0"/>
      </w:pPr>
      <w:r>
        <w:rPr>
          <w:b w:val="0"/>
          <w:i/>
          <w:color w:val="6E7B77"/>
          <w:sz w:val="17"/>
        </w:rPr>
        <w:t>Figure 11 — Calibration, three panels: realized close versus model median at each window; cumulative CRPS skill; and the PIT histogram. Note where the PIT mass sits — in the upper deciles.</w:t>
      </w:r>
    </w:p>
    <w:p>
      <w:pPr>
        <w:spacing w:after="120" w:before="0"/>
      </w:pPr>
      <w:r>
        <w:rPr>
          <w:b w:val="0"/>
          <w:i w:val="0"/>
          <w:color w:val="1C3A36"/>
          <w:sz w:val="21"/>
        </w:rPr>
        <w:t>PARITY means exactly what it says, and it is worth being precise, because it would be easy to dress this up as either better or worse than it is. The distribution is honestly calibrated. The CRPS skill is POSITIVE at +0.0093; coverage at the 80% band is 0.79 against a 0.80 target, which is as close as fourteen observations can get; every realized close fell inside the 90% band. But the confidence interval spans zero at every block-resampling scheme we tried — with fourteen windows it was always going to — so no single-name forecasting EDGE has been demonstrated. The distribution is validated on the fourteen-name UAE panel, which is the standing gate, and that panel is itself PARITY (+0.0049, CI [-0.004, +0.015]). ADIB publishes under the honest tier.</w:t>
      </w:r>
    </w:p>
    <w:p>
      <w:pPr>
        <w:spacing w:after="120" w:before="0"/>
      </w:pPr>
      <w:r>
        <w:rPr>
          <w:b w:val="0"/>
          <w:i w:val="0"/>
          <w:color w:val="1C3A36"/>
          <w:sz w:val="21"/>
        </w:rPr>
        <w:t>Two diagnostics point the other way and we are not going to hide them. The Winkler interval score is -0.109 — WORSE than the naive benchmark. That is not a contradiction of the positive CRPS; it is a specific, known thing. CRPS scores the whole distribution, while Winkler scores only the 90% interval and penalises width. Our cone is fitted to a fourteen-name market, and ADIB's own volatility sits below that panel's average — its own leave-one-out fit would be ν = 12 with a width of 1.035 against the market's 10 and 1.049. So the band it inherits is slightly too wide for it, which CRPS forgives and Winkler punishes. The fix — a name-level width calibration shrunk toward the market fit — is the single largest open item on this engine's own list, and it is not in production because it has not yet survived the same out-of-sample test the forecasts have to survive. Until it does, the honest thing is to publish the wider band and say why.</w:t>
      </w:r>
    </w:p>
    <w:p>
      <w:pPr>
        <w:spacing w:after="120" w:before="0"/>
      </w:pPr>
      <w:r>
        <w:rPr>
          <w:b w:val="0"/>
          <w:i w:val="0"/>
          <w:color w:val="1C3A36"/>
          <w:sz w:val="21"/>
        </w:rPr>
        <w:t>The second diagnostic is the PIT mean of 0.62. Above 0.5 means realized prices kept landing in the upper part of the predicted distribution — the model consistently UNDER-called ADIB's rise and never over-called it. That is exactly what a carry-anchored engine should do to a stock that quadrupled: it refuses to extrapolate a secular trend, and it pays for that refusal in a rising market. We keep the refusal. The alternative — a drift term fitted to a stock's own past — sits on this house's do-not-revive list precisely because it feels clever right up until the trend ends. The T+20 and T+60 cohorts registered today (grading 3 August and 30 September 2026) now carry that record into live, out-of-sample territory, where it can be confirmed or corrected in public.</w:t>
      </w:r>
    </w:p>
    <w:p>
      <w:pPr>
        <w:spacing w:after="120" w:before="280"/>
      </w:pPr>
      <w:r>
        <w:rPr>
          <w:b/>
          <w:i w:val="0"/>
          <w:color w:val="1C3A36"/>
          <w:sz w:val="30"/>
        </w:rPr>
        <w:t>4. What would change our mind</w:t>
      </w:r>
    </w:p>
    <w:p>
      <w:pPr>
        <w:pStyle w:val="ListBullet"/>
        <w:spacing w:after="60"/>
      </w:pPr>
      <w:r>
        <w:rPr>
          <w:b/>
          <w:color w:val="1C3A36"/>
          <w:sz w:val="21"/>
        </w:rPr>
        <w:t xml:space="preserve">Falsifier 1 — </w:t>
      </w:r>
      <w:r>
        <w:rPr>
          <w:color w:val="1C3A36"/>
          <w:sz w:val="21"/>
        </w:rPr>
        <w:t>ADIB's H1-2026 results, due in the second half of July — within a fortnight of this study — printing a net profit margin below 3.80% or a cost of risk above 60bp. That breaks the FY26 driver set immediately; the central falls by roughly AED 0.5–1.0.</w:t>
      </w:r>
    </w:p>
    <w:p>
      <w:pPr>
        <w:pStyle w:val="ListBullet"/>
        <w:spacing w:after="60"/>
      </w:pPr>
      <w:r>
        <w:rPr>
          <w:b/>
          <w:color w:val="1C3A36"/>
          <w:sz w:val="21"/>
        </w:rPr>
        <w:t xml:space="preserve">Falsifier 2 — </w:t>
      </w:r>
      <w:r>
        <w:rPr>
          <w:color w:val="1C3A36"/>
          <w:sz w:val="21"/>
        </w:rPr>
        <w:t>ADIB disclosing its Pillar Two position — and it holding indefinitely. Two things now argue the tax step is coming: the transitional safe harbour expires for years beginning after 31 December 2026, and Dubai Islamic Bank is ALREADY paying the 15% floor (its rate went from 9% to 15% in FY2025). If ADIB nonetheless holds at 13%, the central rises by about AED 0.27; if the full top-up lands with no substance relief, it falls by about AED 0.12. Either way the largest single unknown in the model closes, and the FY2025 audited tax note is where to look.</w:t>
      </w:r>
    </w:p>
    <w:p>
      <w:pPr>
        <w:pStyle w:val="ListBullet"/>
        <w:spacing w:after="60"/>
      </w:pPr>
      <w:r>
        <w:rPr>
          <w:b/>
          <w:color w:val="1C3A36"/>
          <w:sz w:val="21"/>
        </w:rPr>
        <w:t xml:space="preserve">Falsifier 3 — </w:t>
      </w:r>
      <w:r>
        <w:rPr>
          <w:color w:val="1C3A36"/>
          <w:sz w:val="21"/>
        </w:rPr>
        <w:t>A renewed Hormuz closure or a direct strike on UAE territory. The 1.0-point conflict adder is a ceasefire-holding assumption, and the ceasefire is already fraying. At 2.5 points the central falls to AED 17.73 — the §1.10 row is the honest map, not a tail footnote.</w:t>
      </w:r>
    </w:p>
    <w:p>
      <w:pPr>
        <w:pStyle w:val="ListBullet"/>
        <w:spacing w:after="60"/>
      </w:pPr>
      <w:r>
        <w:rPr>
          <w:b/>
          <w:color w:val="1C3A36"/>
          <w:sz w:val="21"/>
        </w:rPr>
        <w:t xml:space="preserve">Falsifier 4 — </w:t>
      </w:r>
      <w:r>
        <w:rPr>
          <w:color w:val="1C3A36"/>
          <w:sz w:val="21"/>
        </w:rPr>
        <w:t>Two consecutive quarters of return on equity printing below 25%, without a matching balance-sheet surge to explain it. That is the fade arriving early, and the terminal-ROE assumption — the load-bearing beam of the whole valuation — would have to come down. At an 18% terminal the central is AED 19.73.</w:t>
      </w:r>
    </w:p>
    <w:p>
      <w:pPr>
        <w:pStyle w:val="ListBullet"/>
        <w:spacing w:after="60"/>
      </w:pPr>
      <w:r>
        <w:rPr>
          <w:b/>
          <w:color w:val="1C3A36"/>
          <w:sz w:val="21"/>
        </w:rPr>
        <w:t xml:space="preserve">Falsifier 5 — </w:t>
      </w:r>
      <w:r>
        <w:rPr>
          <w:color w:val="1C3A36"/>
          <w:sz w:val="21"/>
        </w:rPr>
        <w:t>A UAE credit-cycle turn: the non-performing ratio rising for two straight quarters off its 2.6% low, or Stage-2 exposures building. The book grew 28% year-on-year and is therefore unseasoned; Expert 2 in Appendix C prices exactly this, and gets a materially lower number.</w:t>
      </w:r>
    </w:p>
    <w:p>
      <w:pPr>
        <w:pStyle w:val="ListBullet"/>
        <w:spacing w:after="60"/>
      </w:pPr>
      <w:r>
        <w:rPr>
          <w:b/>
          <w:color w:val="1C3A36"/>
          <w:sz w:val="21"/>
        </w:rPr>
        <w:t xml:space="preserve">Falsifier 6 — </w:t>
      </w:r>
      <w:r>
        <w:rPr>
          <w:color w:val="1C3A36"/>
          <w:sz w:val="21"/>
        </w:rPr>
        <w:t>The pleasant failure mode: the UAE sector re-rating above 1.8× book while ADIB merely tracks it. The relative lens converges upward on the cash-flow lenses, the value gap closes, and ADIB has done nothing at all to earn it.</w:t>
      </w:r>
    </w:p>
    <w:p>
      <w:pPr>
        <w:spacing w:after="120" w:before="280"/>
      </w:pPr>
      <w:r>
        <w:rPr>
          <w:b/>
          <w:i w:val="0"/>
          <w:color w:val="1C3A36"/>
          <w:sz w:val="30"/>
        </w:rPr>
        <w:t>5. How to use this study</w:t>
      </w:r>
    </w:p>
    <w:p>
      <w:pPr>
        <w:spacing w:after="120" w:before="0"/>
      </w:pPr>
      <w:r>
        <w:rPr>
          <w:b w:val="0"/>
          <w:i w:val="0"/>
          <w:color w:val="1C3A36"/>
          <w:sz w:val="21"/>
        </w:rPr>
        <w:t>Read the central as a probability-weighted anchor, not a target. If you need a three-month view, use §3 and nothing else. If you disagree with an input — and on the terminal return on equity you very reasonably might — the companion Excel reprices the entire study from one blue cell. That is the point of it. And grade us: every forecast in this document is registered on the public Calibration Ledger with a maturity date, and the graded record, including the failures, is the product.</w:t>
      </w:r>
    </w:p>
    <w:p>
      <w:pPr>
        <w:spacing w:after="120" w:before="280"/>
      </w:pPr>
      <w:r>
        <w:rPr>
          <w:b/>
          <w:i w:val="0"/>
          <w:color w:val="1C3A36"/>
          <w:sz w:val="30"/>
        </w:rPr>
        <w:t>6. Coverage and ledger integration</w:t>
      </w:r>
    </w:p>
    <w:p>
      <w:pPr>
        <w:spacing w:after="120" w:before="0"/>
      </w:pPr>
      <w:r>
        <w:rPr>
          <w:b w:val="0"/>
          <w:i w:val="0"/>
          <w:color w:val="1C3A36"/>
          <w:sz w:val="21"/>
        </w:rPr>
        <w:t>ADIB joins Testahil's UAE coverage alongside its ADX and DFM peers. Two forecast cohorts are registered today — one maturing on 3 August 2026, one on 30 September 2026 — each recorded with its full set of percentiles, its anchor volatility, the carry inputs used, and the fitted shape and width the cone was built on, so that it can be graded after the fact against exactly the benchmark it was scored against here. Grade dates are computed in trading sessions on the ADX calendar, not in calendar days. When a cohort matures it is scored, its windows are appended to the UAE panel on which the market calibration is estimated, and a fresh forecast is issued in its place. The graded record, published openly, is the exercise.</w:t>
      </w:r>
    </w:p>
    <w:p>
      <w:pPr>
        <w:spacing w:after="120" w:before="0"/>
      </w:pPr>
      <w:r>
        <w:rPr>
          <w:b w:val="0"/>
          <w:i w:val="0"/>
          <w:color w:val="1C3A36"/>
          <w:sz w:val="21"/>
        </w:rPr>
        <w:t>The same discipline has to apply to the fundamentals, and on an initiation it is easy for it not to. Our house rule requires a forecast-versus-actual scorecard on every quarterly update — but on a first study there is no prior forecast to score, and that is precisely how an accountability mechanism quietly dies. So the FY26 estimates are FROZEN below, with the dates on which they become testable. The first test is a fortnight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600"/>
            <w:shd w:val="clear" w:color="auto" w:fill="EAF0EE"/>
          </w:tcPr>
          <w:p>
            <w:pPr>
              <w:spacing w:after="20"/>
            </w:pPr>
            <w:r>
              <w:rPr>
                <w:b/>
                <w:color w:val="1C3A36"/>
                <w:sz w:val="18"/>
              </w:rPr>
              <w:t>FY2026E — frozen at publication</w:t>
            </w:r>
          </w:p>
        </w:tc>
        <w:tc>
          <w:tcPr>
            <w:tcW w:type="dxa" w:w="2304"/>
            <w:shd w:val="clear" w:color="auto" w:fill="EAF0EE"/>
          </w:tcPr>
          <w:p>
            <w:pPr>
              <w:spacing w:after="20"/>
            </w:pPr>
            <w:r>
              <w:rPr>
                <w:b/>
                <w:color w:val="1C3A36"/>
                <w:sz w:val="18"/>
              </w:rPr>
              <w:t>Our estimate</w:t>
            </w:r>
          </w:p>
        </w:tc>
        <w:tc>
          <w:tcPr>
            <w:tcW w:type="dxa" w:w="4176"/>
            <w:shd w:val="clear" w:color="auto" w:fill="EAF0EE"/>
          </w:tcPr>
          <w:p>
            <w:pPr>
              <w:spacing w:after="20"/>
            </w:pPr>
            <w:r>
              <w:rPr>
                <w:b/>
                <w:color w:val="1C3A36"/>
                <w:sz w:val="18"/>
              </w:rPr>
              <w:t>First testable print</w:t>
            </w:r>
          </w:p>
        </w:tc>
      </w:tr>
      <w:tr>
        <w:tc>
          <w:tcPr>
            <w:tcW w:type="dxa" w:w="3600"/>
          </w:tcPr>
          <w:p>
            <w:pPr>
              <w:spacing w:after="20"/>
            </w:pPr>
            <w:r>
              <w:rPr>
                <w:b/>
                <w:color w:val="1C3A36"/>
                <w:sz w:val="18"/>
              </w:rPr>
              <w:t>Net profit margin</w:t>
            </w:r>
          </w:p>
        </w:tc>
        <w:tc>
          <w:tcPr>
            <w:tcW w:type="dxa" w:w="2304"/>
          </w:tcPr>
          <w:p>
            <w:pPr>
              <w:spacing w:after="20"/>
              <w:jc w:val="right"/>
            </w:pPr>
            <w:r>
              <w:rPr>
                <w:color w:val="1C3A36"/>
                <w:sz w:val="18"/>
              </w:rPr>
              <w:t>3.90%</w:t>
            </w:r>
          </w:p>
        </w:tc>
        <w:tc>
          <w:tcPr>
            <w:tcW w:type="dxa" w:w="4176"/>
          </w:tcPr>
          <w:p>
            <w:pPr>
              <w:spacing w:after="20"/>
              <w:jc w:val="right"/>
            </w:pPr>
            <w:r>
              <w:rPr>
                <w:color w:val="1C3A36"/>
                <w:sz w:val="18"/>
              </w:rPr>
              <w:t>H1-2026 results, late July 2026</w:t>
            </w:r>
          </w:p>
        </w:tc>
      </w:tr>
      <w:tr>
        <w:tc>
          <w:tcPr>
            <w:tcW w:type="dxa" w:w="3600"/>
          </w:tcPr>
          <w:p>
            <w:pPr>
              <w:spacing w:after="20"/>
            </w:pPr>
            <w:r>
              <w:rPr>
                <w:b/>
                <w:color w:val="1C3A36"/>
                <w:sz w:val="18"/>
              </w:rPr>
              <w:t>Cost-to-income ratio</w:t>
            </w:r>
          </w:p>
        </w:tc>
        <w:tc>
          <w:tcPr>
            <w:tcW w:type="dxa" w:w="2304"/>
          </w:tcPr>
          <w:p>
            <w:pPr>
              <w:spacing w:after="20"/>
              <w:jc w:val="right"/>
            </w:pPr>
            <w:r>
              <w:rPr>
                <w:color w:val="1C3A36"/>
                <w:sz w:val="18"/>
              </w:rPr>
              <w:t>29.4%</w:t>
            </w:r>
          </w:p>
        </w:tc>
        <w:tc>
          <w:tcPr>
            <w:tcW w:type="dxa" w:w="4176"/>
          </w:tcPr>
          <w:p>
            <w:pPr>
              <w:spacing w:after="20"/>
              <w:jc w:val="right"/>
            </w:pPr>
            <w:r>
              <w:rPr>
                <w:color w:val="1C3A36"/>
                <w:sz w:val="18"/>
              </w:rPr>
              <w:t>H1-2026 results, late July 2026</w:t>
            </w:r>
          </w:p>
        </w:tc>
      </w:tr>
      <w:tr>
        <w:tc>
          <w:tcPr>
            <w:tcW w:type="dxa" w:w="3600"/>
          </w:tcPr>
          <w:p>
            <w:pPr>
              <w:spacing w:after="20"/>
            </w:pPr>
            <w:r>
              <w:rPr>
                <w:b/>
                <w:color w:val="1C3A36"/>
                <w:sz w:val="18"/>
              </w:rPr>
              <w:t>Cost of risk (ADIB's stated basis)</w:t>
            </w:r>
          </w:p>
        </w:tc>
        <w:tc>
          <w:tcPr>
            <w:tcW w:type="dxa" w:w="2304"/>
          </w:tcPr>
          <w:p>
            <w:pPr>
              <w:spacing w:after="20"/>
              <w:jc w:val="right"/>
            </w:pPr>
            <w:r>
              <w:rPr>
                <w:color w:val="1C3A36"/>
                <w:sz w:val="18"/>
              </w:rPr>
              <w:t>~0.50%</w:t>
            </w:r>
          </w:p>
        </w:tc>
        <w:tc>
          <w:tcPr>
            <w:tcW w:type="dxa" w:w="4176"/>
          </w:tcPr>
          <w:p>
            <w:pPr>
              <w:spacing w:after="20"/>
              <w:jc w:val="right"/>
            </w:pPr>
            <w:r>
              <w:rPr>
                <w:color w:val="1C3A36"/>
                <w:sz w:val="18"/>
              </w:rPr>
              <w:t>H1-2026 results, late July 2026</w:t>
            </w:r>
          </w:p>
        </w:tc>
      </w:tr>
      <w:tr>
        <w:tc>
          <w:tcPr>
            <w:tcW w:type="dxa" w:w="3600"/>
          </w:tcPr>
          <w:p>
            <w:pPr>
              <w:spacing w:after="20"/>
            </w:pPr>
            <w:r>
              <w:rPr>
                <w:b/>
                <w:color w:val="1C3A36"/>
                <w:sz w:val="18"/>
              </w:rPr>
              <w:t>Effective tax rate</w:t>
            </w:r>
          </w:p>
        </w:tc>
        <w:tc>
          <w:tcPr>
            <w:tcW w:type="dxa" w:w="2304"/>
          </w:tcPr>
          <w:p>
            <w:pPr>
              <w:spacing w:after="20"/>
              <w:jc w:val="right"/>
            </w:pPr>
            <w:r>
              <w:rPr>
                <w:color w:val="1C3A36"/>
                <w:sz w:val="18"/>
              </w:rPr>
              <w:t>13.0%</w:t>
            </w:r>
          </w:p>
        </w:tc>
        <w:tc>
          <w:tcPr>
            <w:tcW w:type="dxa" w:w="4176"/>
          </w:tcPr>
          <w:p>
            <w:pPr>
              <w:spacing w:after="20"/>
              <w:jc w:val="right"/>
            </w:pPr>
            <w:r>
              <w:rPr>
                <w:color w:val="1C3A36"/>
                <w:sz w:val="18"/>
              </w:rPr>
              <w:t>H1-2026 results, late July 2026</w:t>
            </w:r>
          </w:p>
        </w:tc>
      </w:tr>
      <w:tr>
        <w:tc>
          <w:tcPr>
            <w:tcW w:type="dxa" w:w="3600"/>
          </w:tcPr>
          <w:p>
            <w:pPr>
              <w:spacing w:after="20"/>
            </w:pPr>
            <w:r>
              <w:rPr>
                <w:b/>
                <w:color w:val="1C3A36"/>
                <w:sz w:val="18"/>
              </w:rPr>
              <w:t>Gross financing growth</w:t>
            </w:r>
          </w:p>
        </w:tc>
        <w:tc>
          <w:tcPr>
            <w:tcW w:type="dxa" w:w="2304"/>
          </w:tcPr>
          <w:p>
            <w:pPr>
              <w:spacing w:after="20"/>
              <w:jc w:val="right"/>
            </w:pPr>
            <w:r>
              <w:rPr>
                <w:color w:val="1C3A36"/>
                <w:sz w:val="18"/>
              </w:rPr>
              <w:t>13%</w:t>
            </w:r>
          </w:p>
        </w:tc>
        <w:tc>
          <w:tcPr>
            <w:tcW w:type="dxa" w:w="4176"/>
          </w:tcPr>
          <w:p>
            <w:pPr>
              <w:spacing w:after="20"/>
              <w:jc w:val="right"/>
            </w:pPr>
            <w:r>
              <w:rPr>
                <w:color w:val="1C3A36"/>
                <w:sz w:val="18"/>
              </w:rPr>
              <w:t>FY2026 results, January 2027</w:t>
            </w:r>
          </w:p>
        </w:tc>
      </w:tr>
      <w:tr>
        <w:tc>
          <w:tcPr>
            <w:tcW w:type="dxa" w:w="3600"/>
          </w:tcPr>
          <w:p>
            <w:pPr>
              <w:spacing w:after="20"/>
            </w:pPr>
            <w:r>
              <w:rPr>
                <w:b/>
                <w:color w:val="1C3A36"/>
                <w:sz w:val="18"/>
              </w:rPr>
              <w:t>EPS (AED)</w:t>
            </w:r>
          </w:p>
        </w:tc>
        <w:tc>
          <w:tcPr>
            <w:tcW w:type="dxa" w:w="2304"/>
          </w:tcPr>
          <w:p>
            <w:pPr>
              <w:spacing w:after="20"/>
              <w:jc w:val="right"/>
            </w:pPr>
            <w:r>
              <w:rPr>
                <w:color w:val="1C3A36"/>
                <w:sz w:val="18"/>
              </w:rPr>
              <w:t>1.836</w:t>
            </w:r>
          </w:p>
        </w:tc>
        <w:tc>
          <w:tcPr>
            <w:tcW w:type="dxa" w:w="4176"/>
          </w:tcPr>
          <w:p>
            <w:pPr>
              <w:spacing w:after="20"/>
              <w:jc w:val="right"/>
            </w:pPr>
            <w:r>
              <w:rPr>
                <w:color w:val="1C3A36"/>
                <w:sz w:val="18"/>
              </w:rPr>
              <w:t>FY2026 results, January 2027</w:t>
            </w:r>
          </w:p>
        </w:tc>
      </w:tr>
      <w:tr>
        <w:tc>
          <w:tcPr>
            <w:tcW w:type="dxa" w:w="3600"/>
          </w:tcPr>
          <w:p>
            <w:pPr>
              <w:spacing w:after="20"/>
            </w:pPr>
            <w:r>
              <w:rPr>
                <w:b/>
                <w:color w:val="1C3A36"/>
                <w:sz w:val="18"/>
              </w:rPr>
              <w:t>DPS (AED)</w:t>
            </w:r>
          </w:p>
        </w:tc>
        <w:tc>
          <w:tcPr>
            <w:tcW w:type="dxa" w:w="2304"/>
          </w:tcPr>
          <w:p>
            <w:pPr>
              <w:spacing w:after="20"/>
              <w:jc w:val="right"/>
            </w:pPr>
            <w:r>
              <w:rPr>
                <w:color w:val="1C3A36"/>
                <w:sz w:val="18"/>
              </w:rPr>
              <w:t>0.918</w:t>
            </w:r>
          </w:p>
        </w:tc>
        <w:tc>
          <w:tcPr>
            <w:tcW w:type="dxa" w:w="4176"/>
          </w:tcPr>
          <w:p>
            <w:pPr>
              <w:spacing w:after="20"/>
              <w:jc w:val="right"/>
            </w:pPr>
            <w:r>
              <w:rPr>
                <w:color w:val="1C3A36"/>
                <w:sz w:val="18"/>
              </w:rPr>
              <w:t>FY2026 board proposal, January 2027</w:t>
            </w:r>
          </w:p>
        </w:tc>
      </w:tr>
      <w:tr>
        <w:tc>
          <w:tcPr>
            <w:tcW w:type="dxa" w:w="3600"/>
          </w:tcPr>
          <w:p>
            <w:pPr>
              <w:spacing w:after="20"/>
            </w:pPr>
            <w:r>
              <w:rPr>
                <w:b/>
                <w:color w:val="1C3A36"/>
                <w:sz w:val="18"/>
              </w:rPr>
              <w:t>Return on equity</w:t>
            </w:r>
          </w:p>
        </w:tc>
        <w:tc>
          <w:tcPr>
            <w:tcW w:type="dxa" w:w="2304"/>
          </w:tcPr>
          <w:p>
            <w:pPr>
              <w:spacing w:after="20"/>
              <w:jc w:val="right"/>
            </w:pPr>
            <w:r>
              <w:rPr>
                <w:color w:val="1C3A36"/>
                <w:sz w:val="18"/>
              </w:rPr>
              <w:t>24.0%</w:t>
            </w:r>
          </w:p>
        </w:tc>
        <w:tc>
          <w:tcPr>
            <w:tcW w:type="dxa" w:w="4176"/>
          </w:tcPr>
          <w:p>
            <w:pPr>
              <w:spacing w:after="20"/>
              <w:jc w:val="right"/>
            </w:pPr>
            <w:r>
              <w:rPr>
                <w:color w:val="1C3A36"/>
                <w:sz w:val="18"/>
              </w:rPr>
              <w:t>FY2026 results, January 2027</w:t>
            </w:r>
          </w:p>
        </w:tc>
      </w:tr>
      <w:tr>
        <w:tc>
          <w:tcPr>
            <w:tcW w:type="dxa" w:w="3600"/>
          </w:tcPr>
          <w:p>
            <w:pPr>
              <w:spacing w:after="20"/>
            </w:pPr>
            <w:r>
              <w:rPr>
                <w:b/>
                <w:color w:val="1C3A36"/>
                <w:sz w:val="18"/>
              </w:rPr>
              <w:t>Profit after tax (AED mn)</w:t>
            </w:r>
          </w:p>
        </w:tc>
        <w:tc>
          <w:tcPr>
            <w:tcW w:type="dxa" w:w="2304"/>
          </w:tcPr>
          <w:p>
            <w:pPr>
              <w:spacing w:after="20"/>
              <w:jc w:val="right"/>
            </w:pPr>
            <w:r>
              <w:rPr>
                <w:color w:val="1C3A36"/>
                <w:sz w:val="18"/>
              </w:rPr>
              <w:t>7,428</w:t>
            </w:r>
          </w:p>
        </w:tc>
        <w:tc>
          <w:tcPr>
            <w:tcW w:type="dxa" w:w="4176"/>
          </w:tcPr>
          <w:p>
            <w:pPr>
              <w:spacing w:after="20"/>
              <w:jc w:val="right"/>
            </w:pPr>
            <w:r>
              <w:rPr>
                <w:color w:val="1C3A36"/>
                <w:sz w:val="18"/>
              </w:rPr>
              <w:t>FY2026 results, January 2027</w:t>
            </w:r>
          </w:p>
        </w:tc>
      </w:tr>
    </w:tbl>
    <w:p>
      <w:pPr>
        <w:spacing w:after="40"/>
      </w:pPr>
    </w:p>
    <w:p>
      <w:pPr>
        <w:spacing w:after="200" w:before="0"/>
      </w:pPr>
      <w:r>
        <w:rPr>
          <w:b w:val="0"/>
          <w:i/>
          <w:color w:val="6E7B77"/>
          <w:sz w:val="17"/>
        </w:rPr>
        <w:t>This is the fundamental analogue of the Calibration Ledger. The next update on ADIB opens by scoring this table — including, and especially, the rows we got wrong.</w:t>
      </w:r>
    </w:p>
    <w:p>
      <w:pPr>
        <w:spacing w:after="120" w:before="280"/>
      </w:pPr>
      <w:r>
        <w:rPr>
          <w:b/>
          <w:i w:val="0"/>
          <w:color w:val="1C3A36"/>
          <w:sz w:val="30"/>
        </w:rPr>
        <w:t>7. The one-paragraph version</w:t>
      </w:r>
    </w:p>
    <w:p>
      <w:pPr>
        <w:spacing w:after="120" w:before="0"/>
      </w:pPr>
      <w:r>
        <w:rPr>
          <w:b w:val="0"/>
          <w:i w:val="0"/>
          <w:color w:val="1C3A36"/>
          <w:sz w:val="21"/>
        </w:rPr>
        <w:t>ADIB is the most profitable bank in the UAE — a 28.8% return on equity against a sector at 18.3%, built on deposits that are two-thirds free and a book that is still half retail — and it has just doubled in five years while fixing a legacy bad-loan problem. It is also priced for all of that: 3.31 times book against a sector at 1.55, a premium that its return justifies to 2.69× and no further. Five lenses put fair value at AED 17.9–23.5 with a weighted central of AED 21.23, which is 2.4% below the 3 July close. At our cost of equity the price implies a 25.8% return on equity in perpetuity — better than management's own 2030 target. The three-month distribution is essentially balanced (P(above spot) 50%, median -0.1%), and the two things that would move this stock materially — how long the 25% return lasts, and whether the Strait of Hormuz stays open — are neither of them on ADIB's balance sheet.</w:t>
      </w:r>
    </w:p>
    <w:p>
      <w:r>
        <w:br w:type="page"/>
      </w:r>
    </w:p>
    <w:p>
      <w:pPr>
        <w:spacing w:after="120" w:before="280"/>
      </w:pPr>
      <w:r>
        <w:rPr>
          <w:b/>
          <w:i w:val="0"/>
          <w:color w:val="1C3A36"/>
          <w:sz w:val="30"/>
        </w:rPr>
        <w:t>Appendix A — Financials (3 years reported + 5 years modelled)</w:t>
      </w:r>
    </w:p>
    <w:p>
      <w:pPr>
        <w:spacing w:after="120" w:before="0"/>
      </w:pPr>
      <w:r>
        <w:rPr>
          <w:b w:val="0"/>
          <w:i w:val="0"/>
          <w:color w:val="1C3A36"/>
          <w:sz w:val="21"/>
        </w:rPr>
        <w:t>AED mn unless noted. FY2023, FY2024 and FY2025 are taken verbatim from ADIB's own Management Discussion &amp; Analysis for those years; the Q1-2026 column is the latest reported actual. No aggregator was used for any line. The forecast columns follow the driver build in §1.6 and are formulas, not estimates typed over the top.</w:t>
      </w:r>
    </w:p>
    <w:p>
      <w:pPr>
        <w:spacing w:after="80" w:before="200"/>
      </w:pPr>
      <w:r>
        <w:rPr>
          <w:b/>
          <w:i w:val="0"/>
          <w:color w:val="1C3A36"/>
          <w:sz w:val="24"/>
        </w:rPr>
        <w:t>A.1  Income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160"/>
            <w:shd w:val="clear" w:color="auto" w:fill="EAF0EE"/>
          </w:tcPr>
          <w:p>
            <w:pPr>
              <w:spacing w:after="20"/>
            </w:pPr>
            <w:r>
              <w:rPr>
                <w:b/>
                <w:color w:val="1C3A36"/>
                <w:sz w:val="16"/>
              </w:rPr>
              <w:t>Income statement</w:t>
            </w:r>
          </w:p>
        </w:tc>
        <w:tc>
          <w:tcPr>
            <w:tcW w:type="dxa" w:w="979"/>
            <w:shd w:val="clear" w:color="auto" w:fill="EAF0EE"/>
          </w:tcPr>
          <w:p>
            <w:pPr>
              <w:spacing w:after="20"/>
            </w:pPr>
            <w:r>
              <w:rPr>
                <w:b/>
                <w:color w:val="1C3A36"/>
                <w:sz w:val="16"/>
              </w:rPr>
              <w:t>FY23</w:t>
            </w:r>
          </w:p>
        </w:tc>
        <w:tc>
          <w:tcPr>
            <w:tcW w:type="dxa" w:w="979"/>
            <w:shd w:val="clear" w:color="auto" w:fill="EAF0EE"/>
          </w:tcPr>
          <w:p>
            <w:pPr>
              <w:spacing w:after="20"/>
            </w:pPr>
            <w:r>
              <w:rPr>
                <w:b/>
                <w:color w:val="1C3A36"/>
                <w:sz w:val="16"/>
              </w:rPr>
              <w:t>FY24</w:t>
            </w:r>
          </w:p>
        </w:tc>
        <w:tc>
          <w:tcPr>
            <w:tcW w:type="dxa" w:w="979"/>
            <w:shd w:val="clear" w:color="auto" w:fill="EAF0EE"/>
          </w:tcPr>
          <w:p>
            <w:pPr>
              <w:spacing w:after="20"/>
            </w:pPr>
            <w:r>
              <w:rPr>
                <w:b/>
                <w:color w:val="1C3A36"/>
                <w:sz w:val="16"/>
              </w:rPr>
              <w:t>FY25</w:t>
            </w:r>
          </w:p>
        </w:tc>
        <w:tc>
          <w:tcPr>
            <w:tcW w:type="dxa" w:w="979"/>
            <w:shd w:val="clear" w:color="auto" w:fill="EAF0EE"/>
          </w:tcPr>
          <w:p>
            <w:pPr>
              <w:spacing w:after="20"/>
            </w:pPr>
            <w:r>
              <w:rPr>
                <w:b/>
                <w:color w:val="1C3A36"/>
                <w:sz w:val="16"/>
              </w:rPr>
              <w:t>FY26E</w:t>
            </w:r>
          </w:p>
        </w:tc>
        <w:tc>
          <w:tcPr>
            <w:tcW w:type="dxa" w:w="979"/>
            <w:shd w:val="clear" w:color="auto" w:fill="EAF0EE"/>
          </w:tcPr>
          <w:p>
            <w:pPr>
              <w:spacing w:after="20"/>
            </w:pPr>
            <w:r>
              <w:rPr>
                <w:b/>
                <w:color w:val="1C3A36"/>
                <w:sz w:val="16"/>
              </w:rPr>
              <w:t>FY27E</w:t>
            </w:r>
          </w:p>
        </w:tc>
        <w:tc>
          <w:tcPr>
            <w:tcW w:type="dxa" w:w="979"/>
            <w:shd w:val="clear" w:color="auto" w:fill="EAF0EE"/>
          </w:tcPr>
          <w:p>
            <w:pPr>
              <w:spacing w:after="20"/>
            </w:pPr>
            <w:r>
              <w:rPr>
                <w:b/>
                <w:color w:val="1C3A36"/>
                <w:sz w:val="16"/>
              </w:rPr>
              <w:t>FY28E</w:t>
            </w:r>
          </w:p>
        </w:tc>
        <w:tc>
          <w:tcPr>
            <w:tcW w:type="dxa" w:w="979"/>
            <w:shd w:val="clear" w:color="auto" w:fill="EAF0EE"/>
          </w:tcPr>
          <w:p>
            <w:pPr>
              <w:spacing w:after="20"/>
            </w:pPr>
            <w:r>
              <w:rPr>
                <w:b/>
                <w:color w:val="1C3A36"/>
                <w:sz w:val="16"/>
              </w:rPr>
              <w:t>FY29E</w:t>
            </w:r>
          </w:p>
        </w:tc>
        <w:tc>
          <w:tcPr>
            <w:tcW w:type="dxa" w:w="979"/>
            <w:shd w:val="clear" w:color="auto" w:fill="EAF0EE"/>
          </w:tcPr>
          <w:p>
            <w:pPr>
              <w:spacing w:after="20"/>
            </w:pPr>
            <w:r>
              <w:rPr>
                <w:b/>
                <w:color w:val="1C3A36"/>
                <w:sz w:val="16"/>
              </w:rPr>
              <w:t>FY30E</w:t>
            </w:r>
          </w:p>
        </w:tc>
      </w:tr>
      <w:tr>
        <w:tc>
          <w:tcPr>
            <w:tcW w:type="dxa" w:w="2160"/>
          </w:tcPr>
          <w:p>
            <w:pPr>
              <w:spacing w:after="20"/>
            </w:pPr>
            <w:r>
              <w:rPr>
                <w:b/>
                <w:color w:val="1C3A36"/>
                <w:sz w:val="16"/>
              </w:rPr>
              <w:t>Funded income</w:t>
            </w:r>
          </w:p>
        </w:tc>
        <w:tc>
          <w:tcPr>
            <w:tcW w:type="dxa" w:w="979"/>
          </w:tcPr>
          <w:p>
            <w:pPr>
              <w:spacing w:after="20"/>
              <w:jc w:val="right"/>
            </w:pPr>
            <w:r>
              <w:rPr>
                <w:color w:val="1C3A36"/>
                <w:sz w:val="16"/>
              </w:rPr>
              <w:t>6,122</w:t>
            </w:r>
          </w:p>
        </w:tc>
        <w:tc>
          <w:tcPr>
            <w:tcW w:type="dxa" w:w="979"/>
          </w:tcPr>
          <w:p>
            <w:pPr>
              <w:spacing w:after="20"/>
              <w:jc w:val="right"/>
            </w:pPr>
            <w:r>
              <w:rPr>
                <w:color w:val="1C3A36"/>
                <w:sz w:val="16"/>
              </w:rPr>
              <w:t>6,566</w:t>
            </w:r>
          </w:p>
        </w:tc>
        <w:tc>
          <w:tcPr>
            <w:tcW w:type="dxa" w:w="979"/>
          </w:tcPr>
          <w:p>
            <w:pPr>
              <w:spacing w:after="20"/>
              <w:jc w:val="right"/>
            </w:pPr>
            <w:r>
              <w:rPr>
                <w:color w:val="1C3A36"/>
                <w:sz w:val="16"/>
              </w:rPr>
              <w:t>7,553</w:t>
            </w:r>
          </w:p>
        </w:tc>
        <w:tc>
          <w:tcPr>
            <w:tcW w:type="dxa" w:w="979"/>
          </w:tcPr>
          <w:p>
            <w:pPr>
              <w:spacing w:after="20"/>
              <w:jc w:val="right"/>
            </w:pPr>
            <w:r>
              <w:rPr>
                <w:color w:val="1C3A36"/>
                <w:sz w:val="16"/>
              </w:rPr>
              <w:t>8,441</w:t>
            </w:r>
          </w:p>
        </w:tc>
        <w:tc>
          <w:tcPr>
            <w:tcW w:type="dxa" w:w="979"/>
          </w:tcPr>
          <w:p>
            <w:pPr>
              <w:spacing w:after="20"/>
              <w:jc w:val="right"/>
            </w:pPr>
            <w:r>
              <w:rPr>
                <w:color w:val="1C3A36"/>
                <w:sz w:val="16"/>
              </w:rPr>
              <w:t>9,302</w:t>
            </w:r>
          </w:p>
        </w:tc>
        <w:tc>
          <w:tcPr>
            <w:tcW w:type="dxa" w:w="979"/>
          </w:tcPr>
          <w:p>
            <w:pPr>
              <w:spacing w:after="20"/>
              <w:jc w:val="right"/>
            </w:pPr>
            <w:r>
              <w:rPr>
                <w:color w:val="1C3A36"/>
                <w:sz w:val="16"/>
              </w:rPr>
              <w:t>10,206</w:t>
            </w:r>
          </w:p>
        </w:tc>
        <w:tc>
          <w:tcPr>
            <w:tcW w:type="dxa" w:w="979"/>
          </w:tcPr>
          <w:p>
            <w:pPr>
              <w:spacing w:after="20"/>
              <w:jc w:val="right"/>
            </w:pPr>
            <w:r>
              <w:rPr>
                <w:color w:val="1C3A36"/>
                <w:sz w:val="16"/>
              </w:rPr>
              <w:t>11,155</w:t>
            </w:r>
          </w:p>
        </w:tc>
        <w:tc>
          <w:tcPr>
            <w:tcW w:type="dxa" w:w="979"/>
          </w:tcPr>
          <w:p>
            <w:pPr>
              <w:spacing w:after="20"/>
              <w:jc w:val="right"/>
            </w:pPr>
            <w:r>
              <w:rPr>
                <w:color w:val="1C3A36"/>
                <w:sz w:val="16"/>
              </w:rPr>
              <w:t>12,147</w:t>
            </w:r>
          </w:p>
        </w:tc>
      </w:tr>
      <w:tr>
        <w:tc>
          <w:tcPr>
            <w:tcW w:type="dxa" w:w="2160"/>
          </w:tcPr>
          <w:p>
            <w:pPr>
              <w:spacing w:after="20"/>
            </w:pPr>
            <w:r>
              <w:rPr>
                <w:b/>
                <w:color w:val="1C3A36"/>
                <w:sz w:val="16"/>
              </w:rPr>
              <w:t>Non-funded income</w:t>
            </w:r>
          </w:p>
        </w:tc>
        <w:tc>
          <w:tcPr>
            <w:tcW w:type="dxa" w:w="979"/>
          </w:tcPr>
          <w:p>
            <w:pPr>
              <w:spacing w:after="20"/>
              <w:jc w:val="right"/>
            </w:pPr>
            <w:r>
              <w:rPr>
                <w:color w:val="1C3A36"/>
                <w:sz w:val="16"/>
              </w:rPr>
              <w:t>3,172</w:t>
            </w:r>
          </w:p>
        </w:tc>
        <w:tc>
          <w:tcPr>
            <w:tcW w:type="dxa" w:w="979"/>
          </w:tcPr>
          <w:p>
            <w:pPr>
              <w:spacing w:after="20"/>
              <w:jc w:val="right"/>
            </w:pPr>
            <w:r>
              <w:rPr>
                <w:color w:val="1C3A36"/>
                <w:sz w:val="16"/>
              </w:rPr>
              <w:t>4,066</w:t>
            </w:r>
          </w:p>
        </w:tc>
        <w:tc>
          <w:tcPr>
            <w:tcW w:type="dxa" w:w="979"/>
          </w:tcPr>
          <w:p>
            <w:pPr>
              <w:spacing w:after="20"/>
              <w:jc w:val="right"/>
            </w:pPr>
            <w:r>
              <w:rPr>
                <w:color w:val="1C3A36"/>
                <w:sz w:val="16"/>
              </w:rPr>
              <w:t>4,751</w:t>
            </w:r>
          </w:p>
        </w:tc>
        <w:tc>
          <w:tcPr>
            <w:tcW w:type="dxa" w:w="979"/>
          </w:tcPr>
          <w:p>
            <w:pPr>
              <w:spacing w:after="20"/>
              <w:jc w:val="right"/>
            </w:pPr>
            <w:r>
              <w:rPr>
                <w:color w:val="1C3A36"/>
                <w:sz w:val="16"/>
              </w:rPr>
              <w:t>4,941</w:t>
            </w:r>
          </w:p>
        </w:tc>
        <w:tc>
          <w:tcPr>
            <w:tcW w:type="dxa" w:w="979"/>
          </w:tcPr>
          <w:p>
            <w:pPr>
              <w:spacing w:after="20"/>
              <w:jc w:val="right"/>
            </w:pPr>
            <w:r>
              <w:rPr>
                <w:color w:val="1C3A36"/>
                <w:sz w:val="16"/>
              </w:rPr>
              <w:t>5,336</w:t>
            </w:r>
          </w:p>
        </w:tc>
        <w:tc>
          <w:tcPr>
            <w:tcW w:type="dxa" w:w="979"/>
          </w:tcPr>
          <w:p>
            <w:pPr>
              <w:spacing w:after="20"/>
              <w:jc w:val="right"/>
            </w:pPr>
            <w:r>
              <w:rPr>
                <w:color w:val="1C3A36"/>
                <w:sz w:val="16"/>
              </w:rPr>
              <w:t>5,763</w:t>
            </w:r>
          </w:p>
        </w:tc>
        <w:tc>
          <w:tcPr>
            <w:tcW w:type="dxa" w:w="979"/>
          </w:tcPr>
          <w:p>
            <w:pPr>
              <w:spacing w:after="20"/>
              <w:jc w:val="right"/>
            </w:pPr>
            <w:r>
              <w:rPr>
                <w:color w:val="1C3A36"/>
                <w:sz w:val="16"/>
              </w:rPr>
              <w:t>6,224</w:t>
            </w:r>
          </w:p>
        </w:tc>
        <w:tc>
          <w:tcPr>
            <w:tcW w:type="dxa" w:w="979"/>
          </w:tcPr>
          <w:p>
            <w:pPr>
              <w:spacing w:after="20"/>
              <w:jc w:val="right"/>
            </w:pPr>
            <w:r>
              <w:rPr>
                <w:color w:val="1C3A36"/>
                <w:sz w:val="16"/>
              </w:rPr>
              <w:t>6,722</w:t>
            </w:r>
          </w:p>
        </w:tc>
      </w:tr>
      <w:tr>
        <w:tc>
          <w:tcPr>
            <w:tcW w:type="dxa" w:w="2160"/>
          </w:tcPr>
          <w:p>
            <w:pPr>
              <w:spacing w:after="20"/>
            </w:pPr>
            <w:r>
              <w:rPr>
                <w:b/>
                <w:color w:val="1C3A36"/>
                <w:sz w:val="16"/>
              </w:rPr>
              <w:t>Total operating income</w:t>
            </w:r>
          </w:p>
        </w:tc>
        <w:tc>
          <w:tcPr>
            <w:tcW w:type="dxa" w:w="979"/>
          </w:tcPr>
          <w:p>
            <w:pPr>
              <w:spacing w:after="20"/>
              <w:jc w:val="right"/>
            </w:pPr>
            <w:r>
              <w:rPr>
                <w:color w:val="1C3A36"/>
                <w:sz w:val="16"/>
              </w:rPr>
              <w:t>9,294</w:t>
            </w:r>
          </w:p>
        </w:tc>
        <w:tc>
          <w:tcPr>
            <w:tcW w:type="dxa" w:w="979"/>
          </w:tcPr>
          <w:p>
            <w:pPr>
              <w:spacing w:after="20"/>
              <w:jc w:val="right"/>
            </w:pPr>
            <w:r>
              <w:rPr>
                <w:color w:val="1C3A36"/>
                <w:sz w:val="16"/>
              </w:rPr>
              <w:t>10,632</w:t>
            </w:r>
          </w:p>
        </w:tc>
        <w:tc>
          <w:tcPr>
            <w:tcW w:type="dxa" w:w="979"/>
          </w:tcPr>
          <w:p>
            <w:pPr>
              <w:spacing w:after="20"/>
              <w:jc w:val="right"/>
            </w:pPr>
            <w:r>
              <w:rPr>
                <w:color w:val="1C3A36"/>
                <w:sz w:val="16"/>
              </w:rPr>
              <w:t>12,304</w:t>
            </w:r>
          </w:p>
        </w:tc>
        <w:tc>
          <w:tcPr>
            <w:tcW w:type="dxa" w:w="979"/>
          </w:tcPr>
          <w:p>
            <w:pPr>
              <w:spacing w:after="20"/>
              <w:jc w:val="right"/>
            </w:pPr>
            <w:r>
              <w:rPr>
                <w:color w:val="1C3A36"/>
                <w:sz w:val="16"/>
              </w:rPr>
              <w:t>13,382</w:t>
            </w:r>
          </w:p>
        </w:tc>
        <w:tc>
          <w:tcPr>
            <w:tcW w:type="dxa" w:w="979"/>
          </w:tcPr>
          <w:p>
            <w:pPr>
              <w:spacing w:after="20"/>
              <w:jc w:val="right"/>
            </w:pPr>
            <w:r>
              <w:rPr>
                <w:color w:val="1C3A36"/>
                <w:sz w:val="16"/>
              </w:rPr>
              <w:t>14,638</w:t>
            </w:r>
          </w:p>
        </w:tc>
        <w:tc>
          <w:tcPr>
            <w:tcW w:type="dxa" w:w="979"/>
          </w:tcPr>
          <w:p>
            <w:pPr>
              <w:spacing w:after="20"/>
              <w:jc w:val="right"/>
            </w:pPr>
            <w:r>
              <w:rPr>
                <w:color w:val="1C3A36"/>
                <w:sz w:val="16"/>
              </w:rPr>
              <w:t>15,970</w:t>
            </w:r>
          </w:p>
        </w:tc>
        <w:tc>
          <w:tcPr>
            <w:tcW w:type="dxa" w:w="979"/>
          </w:tcPr>
          <w:p>
            <w:pPr>
              <w:spacing w:after="20"/>
              <w:jc w:val="right"/>
            </w:pPr>
            <w:r>
              <w:rPr>
                <w:color w:val="1C3A36"/>
                <w:sz w:val="16"/>
              </w:rPr>
              <w:t>17,380</w:t>
            </w:r>
          </w:p>
        </w:tc>
        <w:tc>
          <w:tcPr>
            <w:tcW w:type="dxa" w:w="979"/>
          </w:tcPr>
          <w:p>
            <w:pPr>
              <w:spacing w:after="20"/>
              <w:jc w:val="right"/>
            </w:pPr>
            <w:r>
              <w:rPr>
                <w:color w:val="1C3A36"/>
                <w:sz w:val="16"/>
              </w:rPr>
              <w:t>18,869</w:t>
            </w:r>
          </w:p>
        </w:tc>
      </w:tr>
      <w:tr>
        <w:tc>
          <w:tcPr>
            <w:tcW w:type="dxa" w:w="2160"/>
          </w:tcPr>
          <w:p>
            <w:pPr>
              <w:spacing w:after="20"/>
            </w:pPr>
            <w:r>
              <w:rPr>
                <w:b/>
                <w:color w:val="1C3A36"/>
                <w:sz w:val="16"/>
              </w:rPr>
              <w:t>Operating expenses</w:t>
            </w:r>
          </w:p>
        </w:tc>
        <w:tc>
          <w:tcPr>
            <w:tcW w:type="dxa" w:w="979"/>
          </w:tcPr>
          <w:p>
            <w:pPr>
              <w:spacing w:after="20"/>
              <w:jc w:val="right"/>
            </w:pPr>
            <w:r>
              <w:rPr>
                <w:color w:val="1C3A36"/>
                <w:sz w:val="16"/>
              </w:rPr>
              <w:t>-3,061</w:t>
            </w:r>
          </w:p>
        </w:tc>
        <w:tc>
          <w:tcPr>
            <w:tcW w:type="dxa" w:w="979"/>
          </w:tcPr>
          <w:p>
            <w:pPr>
              <w:spacing w:after="20"/>
              <w:jc w:val="right"/>
            </w:pPr>
            <w:r>
              <w:rPr>
                <w:color w:val="1C3A36"/>
                <w:sz w:val="16"/>
              </w:rPr>
              <w:t>-3,145</w:t>
            </w:r>
          </w:p>
        </w:tc>
        <w:tc>
          <w:tcPr>
            <w:tcW w:type="dxa" w:w="979"/>
          </w:tcPr>
          <w:p>
            <w:pPr>
              <w:spacing w:after="20"/>
              <w:jc w:val="right"/>
            </w:pPr>
            <w:r>
              <w:rPr>
                <w:color w:val="1C3A36"/>
                <w:sz w:val="16"/>
              </w:rPr>
              <w:t>-3,525</w:t>
            </w:r>
          </w:p>
        </w:tc>
        <w:tc>
          <w:tcPr>
            <w:tcW w:type="dxa" w:w="979"/>
          </w:tcPr>
          <w:p>
            <w:pPr>
              <w:spacing w:after="20"/>
              <w:jc w:val="right"/>
            </w:pPr>
            <w:r>
              <w:rPr>
                <w:color w:val="1C3A36"/>
                <w:sz w:val="16"/>
              </w:rPr>
              <w:t>-3,934</w:t>
            </w:r>
          </w:p>
        </w:tc>
        <w:tc>
          <w:tcPr>
            <w:tcW w:type="dxa" w:w="979"/>
          </w:tcPr>
          <w:p>
            <w:pPr>
              <w:spacing w:after="20"/>
              <w:jc w:val="right"/>
            </w:pPr>
            <w:r>
              <w:rPr>
                <w:color w:val="1C3A36"/>
                <w:sz w:val="16"/>
              </w:rPr>
              <w:t>-4,245</w:t>
            </w:r>
          </w:p>
        </w:tc>
        <w:tc>
          <w:tcPr>
            <w:tcW w:type="dxa" w:w="979"/>
          </w:tcPr>
          <w:p>
            <w:pPr>
              <w:spacing w:after="20"/>
              <w:jc w:val="right"/>
            </w:pPr>
            <w:r>
              <w:rPr>
                <w:color w:val="1C3A36"/>
                <w:sz w:val="16"/>
              </w:rPr>
              <w:t>-4,551</w:t>
            </w:r>
          </w:p>
        </w:tc>
        <w:tc>
          <w:tcPr>
            <w:tcW w:type="dxa" w:w="979"/>
          </w:tcPr>
          <w:p>
            <w:pPr>
              <w:spacing w:after="20"/>
              <w:jc w:val="right"/>
            </w:pPr>
            <w:r>
              <w:rPr>
                <w:color w:val="1C3A36"/>
                <w:sz w:val="16"/>
              </w:rPr>
              <w:t>-4,866</w:t>
            </w:r>
          </w:p>
        </w:tc>
        <w:tc>
          <w:tcPr>
            <w:tcW w:type="dxa" w:w="979"/>
          </w:tcPr>
          <w:p>
            <w:pPr>
              <w:spacing w:after="20"/>
              <w:jc w:val="right"/>
            </w:pPr>
            <w:r>
              <w:rPr>
                <w:color w:val="1C3A36"/>
                <w:sz w:val="16"/>
              </w:rPr>
              <w:t>-5,189</w:t>
            </w:r>
          </w:p>
        </w:tc>
      </w:tr>
      <w:tr>
        <w:tc>
          <w:tcPr>
            <w:tcW w:type="dxa" w:w="2160"/>
          </w:tcPr>
          <w:p>
            <w:pPr>
              <w:spacing w:after="20"/>
            </w:pPr>
            <w:r>
              <w:rPr>
                <w:b/>
                <w:color w:val="1C3A36"/>
                <w:sz w:val="16"/>
              </w:rPr>
              <w:t>Impairment charge</w:t>
            </w:r>
          </w:p>
        </w:tc>
        <w:tc>
          <w:tcPr>
            <w:tcW w:type="dxa" w:w="979"/>
          </w:tcPr>
          <w:p>
            <w:pPr>
              <w:spacing w:after="20"/>
              <w:jc w:val="right"/>
            </w:pPr>
            <w:r>
              <w:rPr>
                <w:color w:val="1C3A36"/>
                <w:sz w:val="16"/>
              </w:rPr>
              <w:t>-760</w:t>
            </w:r>
          </w:p>
        </w:tc>
        <w:tc>
          <w:tcPr>
            <w:tcW w:type="dxa" w:w="979"/>
          </w:tcPr>
          <w:p>
            <w:pPr>
              <w:spacing w:after="20"/>
              <w:jc w:val="right"/>
            </w:pPr>
            <w:r>
              <w:rPr>
                <w:color w:val="1C3A36"/>
                <w:sz w:val="16"/>
              </w:rPr>
              <w:t>-620</w:t>
            </w:r>
          </w:p>
        </w:tc>
        <w:tc>
          <w:tcPr>
            <w:tcW w:type="dxa" w:w="979"/>
          </w:tcPr>
          <w:p>
            <w:pPr>
              <w:spacing w:after="20"/>
              <w:jc w:val="right"/>
            </w:pPr>
            <w:r>
              <w:rPr>
                <w:color w:val="1C3A36"/>
                <w:sz w:val="16"/>
              </w:rPr>
              <w:t>-678</w:t>
            </w:r>
          </w:p>
        </w:tc>
        <w:tc>
          <w:tcPr>
            <w:tcW w:type="dxa" w:w="979"/>
          </w:tcPr>
          <w:p>
            <w:pPr>
              <w:spacing w:after="20"/>
              <w:jc w:val="right"/>
            </w:pPr>
            <w:r>
              <w:rPr>
                <w:color w:val="1C3A36"/>
                <w:sz w:val="16"/>
              </w:rPr>
              <w:t>-909</w:t>
            </w:r>
          </w:p>
        </w:tc>
        <w:tc>
          <w:tcPr>
            <w:tcW w:type="dxa" w:w="979"/>
          </w:tcPr>
          <w:p>
            <w:pPr>
              <w:spacing w:after="20"/>
              <w:jc w:val="right"/>
            </w:pPr>
            <w:r>
              <w:rPr>
                <w:color w:val="1C3A36"/>
                <w:sz w:val="16"/>
              </w:rPr>
              <w:t>-1,023</w:t>
            </w:r>
          </w:p>
        </w:tc>
        <w:tc>
          <w:tcPr>
            <w:tcW w:type="dxa" w:w="979"/>
          </w:tcPr>
          <w:p>
            <w:pPr>
              <w:spacing w:after="20"/>
              <w:jc w:val="right"/>
            </w:pPr>
            <w:r>
              <w:rPr>
                <w:color w:val="1C3A36"/>
                <w:sz w:val="16"/>
              </w:rPr>
              <w:t>-1,090</w:t>
            </w:r>
          </w:p>
        </w:tc>
        <w:tc>
          <w:tcPr>
            <w:tcW w:type="dxa" w:w="979"/>
          </w:tcPr>
          <w:p>
            <w:pPr>
              <w:spacing w:after="20"/>
              <w:jc w:val="right"/>
            </w:pPr>
            <w:r>
              <w:rPr>
                <w:color w:val="1C3A36"/>
                <w:sz w:val="16"/>
              </w:rPr>
              <w:t>-1,177</w:t>
            </w:r>
          </w:p>
        </w:tc>
        <w:tc>
          <w:tcPr>
            <w:tcW w:type="dxa" w:w="979"/>
          </w:tcPr>
          <w:p>
            <w:pPr>
              <w:spacing w:after="20"/>
              <w:jc w:val="right"/>
            </w:pPr>
            <w:r>
              <w:rPr>
                <w:color w:val="1C3A36"/>
                <w:sz w:val="16"/>
              </w:rPr>
              <w:t>-1,259</w:t>
            </w:r>
          </w:p>
        </w:tc>
      </w:tr>
      <w:tr>
        <w:tc>
          <w:tcPr>
            <w:tcW w:type="dxa" w:w="2160"/>
          </w:tcPr>
          <w:p>
            <w:pPr>
              <w:spacing w:after="20"/>
            </w:pPr>
            <w:r>
              <w:rPr>
                <w:b/>
                <w:color w:val="1C3A36"/>
                <w:sz w:val="16"/>
              </w:rPr>
              <w:t>Profit before tax</w:t>
            </w:r>
          </w:p>
        </w:tc>
        <w:tc>
          <w:tcPr>
            <w:tcW w:type="dxa" w:w="979"/>
          </w:tcPr>
          <w:p>
            <w:pPr>
              <w:spacing w:after="20"/>
              <w:jc w:val="right"/>
            </w:pPr>
            <w:r>
              <w:rPr>
                <w:color w:val="1C3A36"/>
                <w:sz w:val="16"/>
              </w:rPr>
              <w:t>5,472</w:t>
            </w:r>
          </w:p>
        </w:tc>
        <w:tc>
          <w:tcPr>
            <w:tcW w:type="dxa" w:w="979"/>
          </w:tcPr>
          <w:p>
            <w:pPr>
              <w:spacing w:after="20"/>
              <w:jc w:val="right"/>
            </w:pPr>
            <w:r>
              <w:rPr>
                <w:color w:val="1C3A36"/>
                <w:sz w:val="16"/>
              </w:rPr>
              <w:t>6,868</w:t>
            </w:r>
          </w:p>
        </w:tc>
        <w:tc>
          <w:tcPr>
            <w:tcW w:type="dxa" w:w="979"/>
          </w:tcPr>
          <w:p>
            <w:pPr>
              <w:spacing w:after="20"/>
              <w:jc w:val="right"/>
            </w:pPr>
            <w:r>
              <w:rPr>
                <w:color w:val="1C3A36"/>
                <w:sz w:val="16"/>
              </w:rPr>
              <w:t>8,101</w:t>
            </w:r>
          </w:p>
        </w:tc>
        <w:tc>
          <w:tcPr>
            <w:tcW w:type="dxa" w:w="979"/>
          </w:tcPr>
          <w:p>
            <w:pPr>
              <w:spacing w:after="20"/>
              <w:jc w:val="right"/>
            </w:pPr>
            <w:r>
              <w:rPr>
                <w:color w:val="1C3A36"/>
                <w:sz w:val="16"/>
              </w:rPr>
              <w:t>8,538</w:t>
            </w:r>
          </w:p>
        </w:tc>
        <w:tc>
          <w:tcPr>
            <w:tcW w:type="dxa" w:w="979"/>
          </w:tcPr>
          <w:p>
            <w:pPr>
              <w:spacing w:after="20"/>
              <w:jc w:val="right"/>
            </w:pPr>
            <w:r>
              <w:rPr>
                <w:color w:val="1C3A36"/>
                <w:sz w:val="16"/>
              </w:rPr>
              <w:t>9,371</w:t>
            </w:r>
          </w:p>
        </w:tc>
        <w:tc>
          <w:tcPr>
            <w:tcW w:type="dxa" w:w="979"/>
          </w:tcPr>
          <w:p>
            <w:pPr>
              <w:spacing w:after="20"/>
              <w:jc w:val="right"/>
            </w:pPr>
            <w:r>
              <w:rPr>
                <w:color w:val="1C3A36"/>
                <w:sz w:val="16"/>
              </w:rPr>
              <w:t>10,328</w:t>
            </w:r>
          </w:p>
        </w:tc>
        <w:tc>
          <w:tcPr>
            <w:tcW w:type="dxa" w:w="979"/>
          </w:tcPr>
          <w:p>
            <w:pPr>
              <w:spacing w:after="20"/>
              <w:jc w:val="right"/>
            </w:pPr>
            <w:r>
              <w:rPr>
                <w:color w:val="1C3A36"/>
                <w:sz w:val="16"/>
              </w:rPr>
              <w:t>11,336</w:t>
            </w:r>
          </w:p>
        </w:tc>
        <w:tc>
          <w:tcPr>
            <w:tcW w:type="dxa" w:w="979"/>
          </w:tcPr>
          <w:p>
            <w:pPr>
              <w:spacing w:after="20"/>
              <w:jc w:val="right"/>
            </w:pPr>
            <w:r>
              <w:rPr>
                <w:color w:val="1C3A36"/>
                <w:sz w:val="16"/>
              </w:rPr>
              <w:t>12,421</w:t>
            </w:r>
          </w:p>
        </w:tc>
      </w:tr>
      <w:tr>
        <w:tc>
          <w:tcPr>
            <w:tcW w:type="dxa" w:w="2160"/>
          </w:tcPr>
          <w:p>
            <w:pPr>
              <w:spacing w:after="20"/>
            </w:pPr>
            <w:r>
              <w:rPr>
                <w:b/>
                <w:color w:val="1C3A36"/>
                <w:sz w:val="16"/>
              </w:rPr>
              <w:t>Tax</w:t>
            </w:r>
          </w:p>
        </w:tc>
        <w:tc>
          <w:tcPr>
            <w:tcW w:type="dxa" w:w="979"/>
          </w:tcPr>
          <w:p>
            <w:pPr>
              <w:spacing w:after="20"/>
              <w:jc w:val="right"/>
            </w:pPr>
            <w:r>
              <w:rPr>
                <w:color w:val="1C3A36"/>
                <w:sz w:val="16"/>
              </w:rPr>
              <w:t>-221</w:t>
            </w:r>
          </w:p>
        </w:tc>
        <w:tc>
          <w:tcPr>
            <w:tcW w:type="dxa" w:w="979"/>
          </w:tcPr>
          <w:p>
            <w:pPr>
              <w:spacing w:after="20"/>
              <w:jc w:val="right"/>
            </w:pPr>
            <w:r>
              <w:rPr>
                <w:color w:val="1C3A36"/>
                <w:sz w:val="16"/>
              </w:rPr>
              <w:t>-766</w:t>
            </w:r>
          </w:p>
        </w:tc>
        <w:tc>
          <w:tcPr>
            <w:tcW w:type="dxa" w:w="979"/>
          </w:tcPr>
          <w:p>
            <w:pPr>
              <w:spacing w:after="20"/>
              <w:jc w:val="right"/>
            </w:pPr>
            <w:r>
              <w:rPr>
                <w:color w:val="1C3A36"/>
                <w:sz w:val="16"/>
              </w:rPr>
              <w:t>-1,031</w:t>
            </w:r>
          </w:p>
        </w:tc>
        <w:tc>
          <w:tcPr>
            <w:tcW w:type="dxa" w:w="979"/>
          </w:tcPr>
          <w:p>
            <w:pPr>
              <w:spacing w:after="20"/>
              <w:jc w:val="right"/>
            </w:pPr>
            <w:r>
              <w:rPr>
                <w:color w:val="1C3A36"/>
                <w:sz w:val="16"/>
              </w:rPr>
              <w:t>-1,110</w:t>
            </w:r>
          </w:p>
        </w:tc>
        <w:tc>
          <w:tcPr>
            <w:tcW w:type="dxa" w:w="979"/>
          </w:tcPr>
          <w:p>
            <w:pPr>
              <w:spacing w:after="20"/>
              <w:jc w:val="right"/>
            </w:pPr>
            <w:r>
              <w:rPr>
                <w:color w:val="1C3A36"/>
                <w:sz w:val="16"/>
              </w:rPr>
              <w:t>-1,499</w:t>
            </w:r>
          </w:p>
        </w:tc>
        <w:tc>
          <w:tcPr>
            <w:tcW w:type="dxa" w:w="979"/>
          </w:tcPr>
          <w:p>
            <w:pPr>
              <w:spacing w:after="20"/>
              <w:jc w:val="right"/>
            </w:pPr>
            <w:r>
              <w:rPr>
                <w:color w:val="1C3A36"/>
                <w:sz w:val="16"/>
              </w:rPr>
              <w:t>-1,652</w:t>
            </w:r>
          </w:p>
        </w:tc>
        <w:tc>
          <w:tcPr>
            <w:tcW w:type="dxa" w:w="979"/>
          </w:tcPr>
          <w:p>
            <w:pPr>
              <w:spacing w:after="20"/>
              <w:jc w:val="right"/>
            </w:pPr>
            <w:r>
              <w:rPr>
                <w:color w:val="1C3A36"/>
                <w:sz w:val="16"/>
              </w:rPr>
              <w:t>-1,814</w:t>
            </w:r>
          </w:p>
        </w:tc>
        <w:tc>
          <w:tcPr>
            <w:tcW w:type="dxa" w:w="979"/>
          </w:tcPr>
          <w:p>
            <w:pPr>
              <w:spacing w:after="20"/>
              <w:jc w:val="right"/>
            </w:pPr>
            <w:r>
              <w:rPr>
                <w:color w:val="1C3A36"/>
                <w:sz w:val="16"/>
              </w:rPr>
              <w:t>-1,987</w:t>
            </w:r>
          </w:p>
        </w:tc>
      </w:tr>
      <w:tr>
        <w:tc>
          <w:tcPr>
            <w:tcW w:type="dxa" w:w="2160"/>
            <w:shd w:val="clear" w:color="auto" w:fill="F6F1E6"/>
          </w:tcPr>
          <w:p>
            <w:pPr>
              <w:spacing w:after="20"/>
            </w:pPr>
            <w:r>
              <w:rPr>
                <w:b/>
                <w:color w:val="1C3A36"/>
                <w:sz w:val="16"/>
              </w:rPr>
              <w:t>Profit after tax</w:t>
            </w:r>
          </w:p>
        </w:tc>
        <w:tc>
          <w:tcPr>
            <w:tcW w:type="dxa" w:w="979"/>
            <w:shd w:val="clear" w:color="auto" w:fill="F6F1E6"/>
          </w:tcPr>
          <w:p>
            <w:pPr>
              <w:spacing w:after="20"/>
              <w:jc w:val="right"/>
            </w:pPr>
            <w:r>
              <w:rPr>
                <w:b/>
                <w:color w:val="1C3A36"/>
                <w:sz w:val="16"/>
              </w:rPr>
              <w:t>5,251</w:t>
            </w:r>
          </w:p>
        </w:tc>
        <w:tc>
          <w:tcPr>
            <w:tcW w:type="dxa" w:w="979"/>
            <w:shd w:val="clear" w:color="auto" w:fill="F6F1E6"/>
          </w:tcPr>
          <w:p>
            <w:pPr>
              <w:spacing w:after="20"/>
              <w:jc w:val="right"/>
            </w:pPr>
            <w:r>
              <w:rPr>
                <w:b/>
                <w:color w:val="1C3A36"/>
                <w:sz w:val="16"/>
              </w:rPr>
              <w:t>6,101</w:t>
            </w:r>
          </w:p>
        </w:tc>
        <w:tc>
          <w:tcPr>
            <w:tcW w:type="dxa" w:w="979"/>
            <w:shd w:val="clear" w:color="auto" w:fill="F6F1E6"/>
          </w:tcPr>
          <w:p>
            <w:pPr>
              <w:spacing w:after="20"/>
              <w:jc w:val="right"/>
            </w:pPr>
            <w:r>
              <w:rPr>
                <w:b/>
                <w:color w:val="1C3A36"/>
                <w:sz w:val="16"/>
              </w:rPr>
              <w:t>7,070</w:t>
            </w:r>
          </w:p>
        </w:tc>
        <w:tc>
          <w:tcPr>
            <w:tcW w:type="dxa" w:w="979"/>
            <w:shd w:val="clear" w:color="auto" w:fill="F6F1E6"/>
          </w:tcPr>
          <w:p>
            <w:pPr>
              <w:spacing w:after="20"/>
              <w:jc w:val="right"/>
            </w:pPr>
            <w:r>
              <w:rPr>
                <w:b/>
                <w:color w:val="1C3A36"/>
                <w:sz w:val="16"/>
              </w:rPr>
              <w:t>7,428</w:t>
            </w:r>
          </w:p>
        </w:tc>
        <w:tc>
          <w:tcPr>
            <w:tcW w:type="dxa" w:w="979"/>
            <w:shd w:val="clear" w:color="auto" w:fill="F6F1E6"/>
          </w:tcPr>
          <w:p>
            <w:pPr>
              <w:spacing w:after="20"/>
              <w:jc w:val="right"/>
            </w:pPr>
            <w:r>
              <w:rPr>
                <w:b/>
                <w:color w:val="1C3A36"/>
                <w:sz w:val="16"/>
              </w:rPr>
              <w:t>7,871</w:t>
            </w:r>
          </w:p>
        </w:tc>
        <w:tc>
          <w:tcPr>
            <w:tcW w:type="dxa" w:w="979"/>
            <w:shd w:val="clear" w:color="auto" w:fill="F6F1E6"/>
          </w:tcPr>
          <w:p>
            <w:pPr>
              <w:spacing w:after="20"/>
              <w:jc w:val="right"/>
            </w:pPr>
            <w:r>
              <w:rPr>
                <w:b/>
                <w:color w:val="1C3A36"/>
                <w:sz w:val="16"/>
              </w:rPr>
              <w:t>8,675</w:t>
            </w:r>
          </w:p>
        </w:tc>
        <w:tc>
          <w:tcPr>
            <w:tcW w:type="dxa" w:w="979"/>
            <w:shd w:val="clear" w:color="auto" w:fill="F6F1E6"/>
          </w:tcPr>
          <w:p>
            <w:pPr>
              <w:spacing w:after="20"/>
              <w:jc w:val="right"/>
            </w:pPr>
            <w:r>
              <w:rPr>
                <w:b/>
                <w:color w:val="1C3A36"/>
                <w:sz w:val="16"/>
              </w:rPr>
              <w:t>9,522</w:t>
            </w:r>
          </w:p>
        </w:tc>
        <w:tc>
          <w:tcPr>
            <w:tcW w:type="dxa" w:w="979"/>
            <w:shd w:val="clear" w:color="auto" w:fill="F6F1E6"/>
          </w:tcPr>
          <w:p>
            <w:pPr>
              <w:spacing w:after="20"/>
              <w:jc w:val="right"/>
            </w:pPr>
            <w:r>
              <w:rPr>
                <w:b/>
                <w:color w:val="1C3A36"/>
                <w:sz w:val="16"/>
              </w:rPr>
              <w:t>10,434</w:t>
            </w:r>
          </w:p>
        </w:tc>
      </w:tr>
      <w:tr>
        <w:tc>
          <w:tcPr>
            <w:tcW w:type="dxa" w:w="2160"/>
          </w:tcPr>
          <w:p>
            <w:pPr>
              <w:spacing w:after="20"/>
            </w:pPr>
            <w:r>
              <w:rPr>
                <w:b/>
                <w:color w:val="1C3A36"/>
                <w:sz w:val="16"/>
              </w:rPr>
              <w:t>EPS (AED)</w:t>
            </w:r>
          </w:p>
        </w:tc>
        <w:tc>
          <w:tcPr>
            <w:tcW w:type="dxa" w:w="979"/>
          </w:tcPr>
          <w:p>
            <w:pPr>
              <w:spacing w:after="20"/>
              <w:jc w:val="right"/>
            </w:pPr>
            <w:r>
              <w:rPr>
                <w:color w:val="1C3A36"/>
                <w:sz w:val="16"/>
              </w:rPr>
              <w:t>1.284</w:t>
            </w:r>
          </w:p>
        </w:tc>
        <w:tc>
          <w:tcPr>
            <w:tcW w:type="dxa" w:w="979"/>
          </w:tcPr>
          <w:p>
            <w:pPr>
              <w:spacing w:after="20"/>
              <w:jc w:val="right"/>
            </w:pPr>
            <w:r>
              <w:rPr>
                <w:color w:val="1C3A36"/>
                <w:sz w:val="16"/>
              </w:rPr>
              <w:t>1.490</w:t>
            </w:r>
          </w:p>
        </w:tc>
        <w:tc>
          <w:tcPr>
            <w:tcW w:type="dxa" w:w="979"/>
          </w:tcPr>
          <w:p>
            <w:pPr>
              <w:spacing w:after="20"/>
              <w:jc w:val="right"/>
            </w:pPr>
            <w:r>
              <w:rPr>
                <w:color w:val="1C3A36"/>
                <w:sz w:val="16"/>
              </w:rPr>
              <w:t>1.746</w:t>
            </w:r>
          </w:p>
        </w:tc>
        <w:tc>
          <w:tcPr>
            <w:tcW w:type="dxa" w:w="979"/>
          </w:tcPr>
          <w:p>
            <w:pPr>
              <w:spacing w:after="20"/>
              <w:jc w:val="right"/>
            </w:pPr>
            <w:r>
              <w:rPr>
                <w:color w:val="1C3A36"/>
                <w:sz w:val="16"/>
              </w:rPr>
              <w:t>1.836</w:t>
            </w:r>
          </w:p>
        </w:tc>
        <w:tc>
          <w:tcPr>
            <w:tcW w:type="dxa" w:w="979"/>
          </w:tcPr>
          <w:p>
            <w:pPr>
              <w:spacing w:after="20"/>
              <w:jc w:val="right"/>
            </w:pPr>
            <w:r>
              <w:rPr>
                <w:color w:val="1C3A36"/>
                <w:sz w:val="16"/>
              </w:rPr>
              <w:t>1.949</w:t>
            </w:r>
          </w:p>
        </w:tc>
        <w:tc>
          <w:tcPr>
            <w:tcW w:type="dxa" w:w="979"/>
          </w:tcPr>
          <w:p>
            <w:pPr>
              <w:spacing w:after="20"/>
              <w:jc w:val="right"/>
            </w:pPr>
            <w:r>
              <w:rPr>
                <w:color w:val="1C3A36"/>
                <w:sz w:val="16"/>
              </w:rPr>
              <w:t>2.161</w:t>
            </w:r>
          </w:p>
        </w:tc>
        <w:tc>
          <w:tcPr>
            <w:tcW w:type="dxa" w:w="979"/>
          </w:tcPr>
          <w:p>
            <w:pPr>
              <w:spacing w:after="20"/>
              <w:jc w:val="right"/>
            </w:pPr>
            <w:r>
              <w:rPr>
                <w:color w:val="1C3A36"/>
                <w:sz w:val="16"/>
              </w:rPr>
              <w:t>2.384</w:t>
            </w:r>
          </w:p>
        </w:tc>
        <w:tc>
          <w:tcPr>
            <w:tcW w:type="dxa" w:w="979"/>
          </w:tcPr>
          <w:p>
            <w:pPr>
              <w:spacing w:after="20"/>
              <w:jc w:val="right"/>
            </w:pPr>
            <w:r>
              <w:rPr>
                <w:color w:val="1C3A36"/>
                <w:sz w:val="16"/>
              </w:rPr>
              <w:t>2.623</w:t>
            </w:r>
          </w:p>
        </w:tc>
      </w:tr>
      <w:tr>
        <w:tc>
          <w:tcPr>
            <w:tcW w:type="dxa" w:w="2160"/>
          </w:tcPr>
          <w:p>
            <w:pPr>
              <w:spacing w:after="20"/>
            </w:pPr>
            <w:r>
              <w:rPr>
                <w:b/>
                <w:color w:val="1C3A36"/>
                <w:sz w:val="16"/>
              </w:rPr>
              <w:t>DPS (AED)</w:t>
            </w:r>
          </w:p>
        </w:tc>
        <w:tc>
          <w:tcPr>
            <w:tcW w:type="dxa" w:w="979"/>
          </w:tcPr>
          <w:p>
            <w:pPr>
              <w:spacing w:after="20"/>
              <w:jc w:val="right"/>
            </w:pPr>
            <w:r>
              <w:rPr>
                <w:color w:val="1C3A36"/>
                <w:sz w:val="16"/>
              </w:rPr>
              <w:t>0.715</w:t>
            </w:r>
          </w:p>
        </w:tc>
        <w:tc>
          <w:tcPr>
            <w:tcW w:type="dxa" w:w="979"/>
          </w:tcPr>
          <w:p>
            <w:pPr>
              <w:spacing w:after="20"/>
              <w:jc w:val="right"/>
            </w:pPr>
            <w:r>
              <w:rPr>
                <w:color w:val="1C3A36"/>
                <w:sz w:val="16"/>
              </w:rPr>
              <w:t>0.834</w:t>
            </w:r>
          </w:p>
        </w:tc>
        <w:tc>
          <w:tcPr>
            <w:tcW w:type="dxa" w:w="979"/>
          </w:tcPr>
          <w:p>
            <w:pPr>
              <w:spacing w:after="20"/>
              <w:jc w:val="right"/>
            </w:pPr>
            <w:r>
              <w:rPr>
                <w:color w:val="1C3A36"/>
                <w:sz w:val="16"/>
              </w:rPr>
              <w:t>0.971</w:t>
            </w:r>
          </w:p>
        </w:tc>
        <w:tc>
          <w:tcPr>
            <w:tcW w:type="dxa" w:w="979"/>
          </w:tcPr>
          <w:p>
            <w:pPr>
              <w:spacing w:after="20"/>
              <w:jc w:val="right"/>
            </w:pPr>
            <w:r>
              <w:rPr>
                <w:color w:val="1C3A36"/>
                <w:sz w:val="16"/>
              </w:rPr>
              <w:t>0.918</w:t>
            </w:r>
          </w:p>
        </w:tc>
        <w:tc>
          <w:tcPr>
            <w:tcW w:type="dxa" w:w="979"/>
          </w:tcPr>
          <w:p>
            <w:pPr>
              <w:spacing w:after="20"/>
              <w:jc w:val="right"/>
            </w:pPr>
            <w:r>
              <w:rPr>
                <w:color w:val="1C3A36"/>
                <w:sz w:val="16"/>
              </w:rPr>
              <w:t>0.975</w:t>
            </w:r>
          </w:p>
        </w:tc>
        <w:tc>
          <w:tcPr>
            <w:tcW w:type="dxa" w:w="979"/>
          </w:tcPr>
          <w:p>
            <w:pPr>
              <w:spacing w:after="20"/>
              <w:jc w:val="right"/>
            </w:pPr>
            <w:r>
              <w:rPr>
                <w:color w:val="1C3A36"/>
                <w:sz w:val="16"/>
              </w:rPr>
              <w:t>1.102</w:t>
            </w:r>
          </w:p>
        </w:tc>
        <w:tc>
          <w:tcPr>
            <w:tcW w:type="dxa" w:w="979"/>
          </w:tcPr>
          <w:p>
            <w:pPr>
              <w:spacing w:after="20"/>
              <w:jc w:val="right"/>
            </w:pPr>
            <w:r>
              <w:rPr>
                <w:color w:val="1C3A36"/>
                <w:sz w:val="16"/>
              </w:rPr>
              <w:t>1.240</w:t>
            </w:r>
          </w:p>
        </w:tc>
        <w:tc>
          <w:tcPr>
            <w:tcW w:type="dxa" w:w="979"/>
          </w:tcPr>
          <w:p>
            <w:pPr>
              <w:spacing w:after="20"/>
              <w:jc w:val="right"/>
            </w:pPr>
            <w:r>
              <w:rPr>
                <w:color w:val="1C3A36"/>
                <w:sz w:val="16"/>
              </w:rPr>
              <w:t>1.390</w:t>
            </w:r>
          </w:p>
        </w:tc>
      </w:tr>
    </w:tbl>
    <w:p>
      <w:pPr>
        <w:spacing w:after="40"/>
      </w:pPr>
    </w:p>
    <w:p>
      <w:pPr>
        <w:spacing w:after="200" w:before="0"/>
      </w:pPr>
      <w:r>
        <w:rPr>
          <w:b w:val="0"/>
          <w:i/>
          <w:color w:val="6E7B77"/>
          <w:sz w:val="17"/>
        </w:rPr>
        <w:t>FY23 is stated before zakat and tax of AED 221mn (the UAE corporate tax regime had not yet applied to ADIB's domestic profits); the tax line steps to AED 766mn in FY24 and AED 1,031mn in FY25 as the 9% regime phases in. EPS is on 3,632.0mn shares throughout — ADIB has not issued a share since FY22, so history and forecast are directly comparable.</w:t>
      </w:r>
    </w:p>
    <w:p>
      <w:pPr>
        <w:spacing w:after="80" w:before="200"/>
      </w:pPr>
      <w:r>
        <w:rPr>
          <w:b/>
          <w:i w:val="0"/>
          <w:color w:val="1C3A36"/>
          <w:sz w:val="24"/>
        </w:rPr>
        <w:t>A.2  Balance sheet and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260"/>
        <w:gridCol w:w="1260"/>
        <w:gridCol w:w="1260"/>
        <w:gridCol w:w="1260"/>
        <w:gridCol w:w="1260"/>
        <w:gridCol w:w="1260"/>
        <w:gridCol w:w="1260"/>
        <w:gridCol w:w="1260"/>
      </w:tblGrid>
      <w:tr>
        <w:tc>
          <w:tcPr>
            <w:tcW w:type="dxa" w:w="2664"/>
            <w:shd w:val="clear" w:color="auto" w:fill="EAF0EE"/>
          </w:tcPr>
          <w:p>
            <w:pPr>
              <w:spacing w:after="20"/>
            </w:pPr>
            <w:r>
              <w:rPr>
                <w:b/>
                <w:color w:val="1C3A36"/>
                <w:sz w:val="16"/>
              </w:rPr>
              <w:t>Balance sheet &amp; capital</w:t>
            </w:r>
          </w:p>
        </w:tc>
        <w:tc>
          <w:tcPr>
            <w:tcW w:type="dxa" w:w="1066"/>
            <w:shd w:val="clear" w:color="auto" w:fill="EAF0EE"/>
          </w:tcPr>
          <w:p>
            <w:pPr>
              <w:spacing w:after="20"/>
            </w:pPr>
            <w:r>
              <w:rPr>
                <w:b/>
                <w:color w:val="1C3A36"/>
                <w:sz w:val="16"/>
              </w:rPr>
              <w:t>FY23</w:t>
            </w:r>
          </w:p>
        </w:tc>
        <w:tc>
          <w:tcPr>
            <w:tcW w:type="dxa" w:w="1066"/>
            <w:shd w:val="clear" w:color="auto" w:fill="EAF0EE"/>
          </w:tcPr>
          <w:p>
            <w:pPr>
              <w:spacing w:after="20"/>
            </w:pPr>
            <w:r>
              <w:rPr>
                <w:b/>
                <w:color w:val="1C3A36"/>
                <w:sz w:val="16"/>
              </w:rPr>
              <w:t>FY24</w:t>
            </w:r>
          </w:p>
        </w:tc>
        <w:tc>
          <w:tcPr>
            <w:tcW w:type="dxa" w:w="1066"/>
            <w:shd w:val="clear" w:color="auto" w:fill="EAF0EE"/>
          </w:tcPr>
          <w:p>
            <w:pPr>
              <w:spacing w:after="20"/>
            </w:pPr>
            <w:r>
              <w:rPr>
                <w:b/>
                <w:color w:val="1C3A36"/>
                <w:sz w:val="16"/>
              </w:rPr>
              <w:t>FY25</w:t>
            </w:r>
          </w:p>
        </w:tc>
        <w:tc>
          <w:tcPr>
            <w:tcW w:type="dxa" w:w="1066"/>
            <w:shd w:val="clear" w:color="auto" w:fill="EAF0EE"/>
          </w:tcPr>
          <w:p>
            <w:pPr>
              <w:spacing w:after="20"/>
            </w:pPr>
            <w:r>
              <w:rPr>
                <w:b/>
                <w:color w:val="1C3A36"/>
                <w:sz w:val="16"/>
              </w:rPr>
              <w:t>Q1-26</w:t>
            </w:r>
          </w:p>
        </w:tc>
        <w:tc>
          <w:tcPr>
            <w:tcW w:type="dxa" w:w="1066"/>
            <w:shd w:val="clear" w:color="auto" w:fill="EAF0EE"/>
          </w:tcPr>
          <w:p>
            <w:pPr>
              <w:spacing w:after="20"/>
            </w:pPr>
            <w:r>
              <w:rPr>
                <w:b/>
                <w:color w:val="1C3A36"/>
                <w:sz w:val="16"/>
              </w:rPr>
              <w:t>FY26E</w:t>
            </w:r>
          </w:p>
        </w:tc>
        <w:tc>
          <w:tcPr>
            <w:tcW w:type="dxa" w:w="1066"/>
            <w:shd w:val="clear" w:color="auto" w:fill="EAF0EE"/>
          </w:tcPr>
          <w:p>
            <w:pPr>
              <w:spacing w:after="20"/>
            </w:pPr>
            <w:r>
              <w:rPr>
                <w:b/>
                <w:color w:val="1C3A36"/>
                <w:sz w:val="16"/>
              </w:rPr>
              <w:t>FY28E</w:t>
            </w:r>
          </w:p>
        </w:tc>
        <w:tc>
          <w:tcPr>
            <w:tcW w:type="dxa" w:w="1066"/>
            <w:shd w:val="clear" w:color="auto" w:fill="EAF0EE"/>
          </w:tcPr>
          <w:p>
            <w:pPr>
              <w:spacing w:after="20"/>
            </w:pPr>
            <w:r>
              <w:rPr>
                <w:b/>
                <w:color w:val="1C3A36"/>
                <w:sz w:val="16"/>
              </w:rPr>
              <w:t>FY30E</w:t>
            </w:r>
          </w:p>
        </w:tc>
      </w:tr>
      <w:tr>
        <w:tc>
          <w:tcPr>
            <w:tcW w:type="dxa" w:w="2664"/>
          </w:tcPr>
          <w:p>
            <w:pPr>
              <w:spacing w:after="20"/>
            </w:pPr>
            <w:r>
              <w:rPr>
                <w:b/>
                <w:color w:val="1C3A36"/>
                <w:sz w:val="16"/>
              </w:rPr>
              <w:t>Total assets</w:t>
            </w:r>
          </w:p>
        </w:tc>
        <w:tc>
          <w:tcPr>
            <w:tcW w:type="dxa" w:w="1066"/>
          </w:tcPr>
          <w:p>
            <w:pPr>
              <w:spacing w:after="20"/>
              <w:jc w:val="right"/>
            </w:pPr>
            <w:r>
              <w:rPr>
                <w:color w:val="1C3A36"/>
                <w:sz w:val="16"/>
              </w:rPr>
              <w:t>192,827</w:t>
            </w:r>
          </w:p>
        </w:tc>
        <w:tc>
          <w:tcPr>
            <w:tcW w:type="dxa" w:w="1066"/>
          </w:tcPr>
          <w:p>
            <w:pPr>
              <w:spacing w:after="20"/>
              <w:jc w:val="right"/>
            </w:pPr>
            <w:r>
              <w:rPr>
                <w:color w:val="1C3A36"/>
                <w:sz w:val="16"/>
              </w:rPr>
              <w:t>225,910</w:t>
            </w:r>
          </w:p>
        </w:tc>
        <w:tc>
          <w:tcPr>
            <w:tcW w:type="dxa" w:w="1066"/>
          </w:tcPr>
          <w:p>
            <w:pPr>
              <w:spacing w:after="20"/>
              <w:jc w:val="right"/>
            </w:pPr>
            <w:r>
              <w:rPr>
                <w:color w:val="1C3A36"/>
                <w:sz w:val="16"/>
              </w:rPr>
              <w:t>280,753</w:t>
            </w:r>
          </w:p>
        </w:tc>
        <w:tc>
          <w:tcPr>
            <w:tcW w:type="dxa" w:w="1066"/>
          </w:tcPr>
          <w:p>
            <w:pPr>
              <w:spacing w:after="20"/>
              <w:jc w:val="right"/>
            </w:pPr>
            <w:r>
              <w:rPr>
                <w:color w:val="1C3A36"/>
                <w:sz w:val="16"/>
              </w:rPr>
              <w:t>287,065</w:t>
            </w:r>
          </w:p>
        </w:tc>
        <w:tc>
          <w:tcPr>
            <w:tcW w:type="dxa" w:w="1066"/>
          </w:tcPr>
          <w:p>
            <w:pPr>
              <w:spacing w:after="20"/>
              <w:jc w:val="right"/>
            </w:pPr>
            <w:r>
              <w:rPr>
                <w:color w:val="1C3A36"/>
                <w:sz w:val="16"/>
              </w:rPr>
              <w:t>317,497</w:t>
            </w:r>
          </w:p>
        </w:tc>
        <w:tc>
          <w:tcPr>
            <w:tcW w:type="dxa" w:w="1066"/>
          </w:tcPr>
          <w:p>
            <w:pPr>
              <w:spacing w:after="20"/>
              <w:jc w:val="right"/>
            </w:pPr>
            <w:r>
              <w:rPr>
                <w:color w:val="1C3A36"/>
                <w:sz w:val="16"/>
              </w:rPr>
              <w:t>394,712</w:t>
            </w:r>
          </w:p>
        </w:tc>
        <w:tc>
          <w:tcPr>
            <w:tcW w:type="dxa" w:w="1066"/>
          </w:tcPr>
          <w:p>
            <w:pPr>
              <w:spacing w:after="20"/>
              <w:jc w:val="right"/>
            </w:pPr>
            <w:r>
              <w:rPr>
                <w:color w:val="1C3A36"/>
                <w:sz w:val="16"/>
              </w:rPr>
              <w:t>473,260</w:t>
            </w:r>
          </w:p>
        </w:tc>
      </w:tr>
      <w:tr>
        <w:tc>
          <w:tcPr>
            <w:tcW w:type="dxa" w:w="2664"/>
          </w:tcPr>
          <w:p>
            <w:pPr>
              <w:spacing w:after="20"/>
            </w:pPr>
            <w:r>
              <w:rPr>
                <w:b/>
                <w:color w:val="1C3A36"/>
                <w:sz w:val="16"/>
              </w:rPr>
              <w:t>Gross customer financing</w:t>
            </w:r>
          </w:p>
        </w:tc>
        <w:tc>
          <w:tcPr>
            <w:tcW w:type="dxa" w:w="1066"/>
          </w:tcPr>
          <w:p>
            <w:pPr>
              <w:spacing w:after="20"/>
              <w:jc w:val="right"/>
            </w:pPr>
            <w:r>
              <w:rPr>
                <w:color w:val="1C3A36"/>
                <w:sz w:val="16"/>
              </w:rPr>
              <w:t>120,169</w:t>
            </w:r>
          </w:p>
        </w:tc>
        <w:tc>
          <w:tcPr>
            <w:tcW w:type="dxa" w:w="1066"/>
          </w:tcPr>
          <w:p>
            <w:pPr>
              <w:spacing w:after="20"/>
              <w:jc w:val="right"/>
            </w:pPr>
            <w:r>
              <w:rPr>
                <w:color w:val="1C3A36"/>
                <w:sz w:val="16"/>
              </w:rPr>
              <w:t>147,100</w:t>
            </w:r>
          </w:p>
        </w:tc>
        <w:tc>
          <w:tcPr>
            <w:tcW w:type="dxa" w:w="1066"/>
          </w:tcPr>
          <w:p>
            <w:pPr>
              <w:spacing w:after="20"/>
              <w:jc w:val="right"/>
            </w:pPr>
            <w:r>
              <w:rPr>
                <w:color w:val="1C3A36"/>
                <w:sz w:val="16"/>
              </w:rPr>
              <w:t>185,600</w:t>
            </w:r>
          </w:p>
        </w:tc>
        <w:tc>
          <w:tcPr>
            <w:tcW w:type="dxa" w:w="1066"/>
          </w:tcPr>
          <w:p>
            <w:pPr>
              <w:spacing w:after="20"/>
              <w:jc w:val="right"/>
            </w:pPr>
            <w:r>
              <w:rPr>
                <w:color w:val="1C3A36"/>
                <w:sz w:val="16"/>
              </w:rPr>
              <w:t>198,000</w:t>
            </w:r>
          </w:p>
        </w:tc>
        <w:tc>
          <w:tcPr>
            <w:tcW w:type="dxa" w:w="1066"/>
          </w:tcPr>
          <w:p>
            <w:pPr>
              <w:spacing w:after="20"/>
              <w:jc w:val="right"/>
            </w:pPr>
            <w:r>
              <w:rPr>
                <w:color w:val="1C3A36"/>
                <w:sz w:val="16"/>
              </w:rPr>
              <w:t>209,728</w:t>
            </w:r>
          </w:p>
        </w:tc>
        <w:tc>
          <w:tcPr>
            <w:tcW w:type="dxa" w:w="1066"/>
          </w:tcPr>
          <w:p>
            <w:pPr>
              <w:spacing w:after="20"/>
              <w:jc w:val="right"/>
            </w:pPr>
            <w:r>
              <w:rPr>
                <w:color w:val="1C3A36"/>
                <w:sz w:val="16"/>
              </w:rPr>
              <w:t>260,734</w:t>
            </w:r>
          </w:p>
        </w:tc>
        <w:tc>
          <w:tcPr>
            <w:tcW w:type="dxa" w:w="1066"/>
          </w:tcPr>
          <w:p>
            <w:pPr>
              <w:spacing w:after="20"/>
              <w:jc w:val="right"/>
            </w:pPr>
            <w:r>
              <w:rPr>
                <w:color w:val="1C3A36"/>
                <w:sz w:val="16"/>
              </w:rPr>
              <w:t>312,620</w:t>
            </w:r>
          </w:p>
        </w:tc>
      </w:tr>
      <w:tr>
        <w:tc>
          <w:tcPr>
            <w:tcW w:type="dxa" w:w="2664"/>
          </w:tcPr>
          <w:p>
            <w:pPr>
              <w:spacing w:after="20"/>
            </w:pPr>
            <w:r>
              <w:rPr>
                <w:b/>
                <w:color w:val="1C3A36"/>
                <w:sz w:val="16"/>
              </w:rPr>
              <w:t>Customer deposits</w:t>
            </w:r>
          </w:p>
        </w:tc>
        <w:tc>
          <w:tcPr>
            <w:tcW w:type="dxa" w:w="1066"/>
          </w:tcPr>
          <w:p>
            <w:pPr>
              <w:spacing w:after="20"/>
              <w:jc w:val="right"/>
            </w:pPr>
            <w:r>
              <w:rPr>
                <w:color w:val="1C3A36"/>
                <w:sz w:val="16"/>
              </w:rPr>
              <w:t>157,067</w:t>
            </w:r>
          </w:p>
        </w:tc>
        <w:tc>
          <w:tcPr>
            <w:tcW w:type="dxa" w:w="1066"/>
          </w:tcPr>
          <w:p>
            <w:pPr>
              <w:spacing w:after="20"/>
              <w:jc w:val="right"/>
            </w:pPr>
            <w:r>
              <w:rPr>
                <w:color w:val="1C3A36"/>
                <w:sz w:val="16"/>
              </w:rPr>
              <w:t>182,675</w:t>
            </w:r>
          </w:p>
        </w:tc>
        <w:tc>
          <w:tcPr>
            <w:tcW w:type="dxa" w:w="1066"/>
          </w:tcPr>
          <w:p>
            <w:pPr>
              <w:spacing w:after="20"/>
              <w:jc w:val="right"/>
            </w:pPr>
            <w:r>
              <w:rPr>
                <w:color w:val="1C3A36"/>
                <w:sz w:val="16"/>
              </w:rPr>
              <w:t>229,096</w:t>
            </w:r>
          </w:p>
        </w:tc>
        <w:tc>
          <w:tcPr>
            <w:tcW w:type="dxa" w:w="1066"/>
          </w:tcPr>
          <w:p>
            <w:pPr>
              <w:spacing w:after="20"/>
              <w:jc w:val="right"/>
            </w:pPr>
            <w:r>
              <w:rPr>
                <w:color w:val="1C3A36"/>
                <w:sz w:val="16"/>
              </w:rPr>
              <w:t>239,335</w:t>
            </w:r>
          </w:p>
        </w:tc>
        <w:tc>
          <w:tcPr>
            <w:tcW w:type="dxa" w:w="1066"/>
          </w:tcPr>
          <w:p>
            <w:pPr>
              <w:spacing w:after="20"/>
              <w:jc w:val="right"/>
            </w:pPr>
            <w:r>
              <w:rPr>
                <w:color w:val="1C3A36"/>
                <w:sz w:val="16"/>
              </w:rPr>
              <w:t>259,079</w:t>
            </w:r>
          </w:p>
        </w:tc>
        <w:tc>
          <w:tcPr>
            <w:tcW w:type="dxa" w:w="1066"/>
          </w:tcPr>
          <w:p>
            <w:pPr>
              <w:spacing w:after="20"/>
              <w:jc w:val="right"/>
            </w:pPr>
            <w:r>
              <w:rPr>
                <w:color w:val="1C3A36"/>
                <w:sz w:val="16"/>
              </w:rPr>
              <w:t>322,088</w:t>
            </w:r>
          </w:p>
        </w:tc>
        <w:tc>
          <w:tcPr>
            <w:tcW w:type="dxa" w:w="1066"/>
          </w:tcPr>
          <w:p>
            <w:pPr>
              <w:spacing w:after="20"/>
              <w:jc w:val="right"/>
            </w:pPr>
            <w:r>
              <w:rPr>
                <w:color w:val="1C3A36"/>
                <w:sz w:val="16"/>
              </w:rPr>
              <w:t>386,183</w:t>
            </w:r>
          </w:p>
        </w:tc>
      </w:tr>
      <w:tr>
        <w:tc>
          <w:tcPr>
            <w:tcW w:type="dxa" w:w="2664"/>
          </w:tcPr>
          <w:p>
            <w:pPr>
              <w:spacing w:after="20"/>
            </w:pPr>
            <w:r>
              <w:rPr>
                <w:b/>
                <w:color w:val="1C3A36"/>
                <w:sz w:val="16"/>
              </w:rPr>
              <w:t>Common equity (ordinary)</w:t>
            </w:r>
          </w:p>
        </w:tc>
        <w:tc>
          <w:tcPr>
            <w:tcW w:type="dxa" w:w="1066"/>
          </w:tcPr>
          <w:p>
            <w:pPr>
              <w:spacing w:after="20"/>
              <w:jc w:val="right"/>
            </w:pPr>
            <w:r>
              <w:rPr>
                <w:color w:val="1C3A36"/>
                <w:sz w:val="16"/>
              </w:rPr>
              <w:t>20,374</w:t>
            </w:r>
          </w:p>
        </w:tc>
        <w:tc>
          <w:tcPr>
            <w:tcW w:type="dxa" w:w="1066"/>
          </w:tcPr>
          <w:p>
            <w:pPr>
              <w:spacing w:after="20"/>
              <w:jc w:val="right"/>
            </w:pPr>
            <w:r>
              <w:rPr>
                <w:color w:val="1C3A36"/>
                <w:sz w:val="16"/>
              </w:rPr>
              <w:t>22,591</w:t>
            </w:r>
          </w:p>
        </w:tc>
        <w:tc>
          <w:tcPr>
            <w:tcW w:type="dxa" w:w="1066"/>
          </w:tcPr>
          <w:p>
            <w:pPr>
              <w:spacing w:after="20"/>
              <w:jc w:val="right"/>
            </w:pPr>
            <w:r>
              <w:rPr>
                <w:color w:val="1C3A36"/>
                <w:sz w:val="16"/>
              </w:rPr>
              <w:t>26,067</w:t>
            </w:r>
          </w:p>
        </w:tc>
        <w:tc>
          <w:tcPr>
            <w:tcW w:type="dxa" w:w="1066"/>
          </w:tcPr>
          <w:p>
            <w:pPr>
              <w:spacing w:after="20"/>
              <w:jc w:val="right"/>
            </w:pPr>
            <w:r>
              <w:rPr>
                <w:color w:val="1C3A36"/>
                <w:sz w:val="16"/>
              </w:rPr>
              <w:t>23,865</w:t>
            </w:r>
          </w:p>
        </w:tc>
        <w:tc>
          <w:tcPr>
            <w:tcW w:type="dxa" w:w="1066"/>
          </w:tcPr>
          <w:p>
            <w:pPr>
              <w:spacing w:after="20"/>
              <w:jc w:val="right"/>
            </w:pPr>
            <w:r>
              <w:rPr>
                <w:color w:val="1C3A36"/>
                <w:sz w:val="16"/>
              </w:rPr>
              <w:t>29,402</w:t>
            </w:r>
          </w:p>
        </w:tc>
        <w:tc>
          <w:tcPr>
            <w:tcW w:type="dxa" w:w="1066"/>
          </w:tcPr>
          <w:p>
            <w:pPr>
              <w:spacing w:after="20"/>
              <w:jc w:val="right"/>
            </w:pPr>
            <w:r>
              <w:rPr>
                <w:color w:val="1C3A36"/>
                <w:sz w:val="16"/>
              </w:rPr>
              <w:t>36,787</w:t>
            </w:r>
          </w:p>
        </w:tc>
        <w:tc>
          <w:tcPr>
            <w:tcW w:type="dxa" w:w="1066"/>
          </w:tcPr>
          <w:p>
            <w:pPr>
              <w:spacing w:after="20"/>
              <w:jc w:val="right"/>
            </w:pPr>
            <w:r>
              <w:rPr>
                <w:color w:val="1C3A36"/>
                <w:sz w:val="16"/>
              </w:rPr>
              <w:t>45,422</w:t>
            </w:r>
          </w:p>
        </w:tc>
      </w:tr>
      <w:tr>
        <w:tc>
          <w:tcPr>
            <w:tcW w:type="dxa" w:w="2664"/>
          </w:tcPr>
          <w:p>
            <w:pPr>
              <w:spacing w:after="20"/>
            </w:pPr>
            <w:r>
              <w:rPr>
                <w:b/>
                <w:color w:val="1C3A36"/>
                <w:sz w:val="16"/>
              </w:rPr>
              <w:t>Tier 1 sukuk (AT1)</w:t>
            </w:r>
          </w:p>
        </w:tc>
        <w:tc>
          <w:tcPr>
            <w:tcW w:type="dxa" w:w="1066"/>
          </w:tcPr>
          <w:p>
            <w:pPr>
              <w:spacing w:after="20"/>
              <w:jc w:val="right"/>
            </w:pPr>
            <w:r>
              <w:rPr>
                <w:color w:val="1C3A36"/>
                <w:sz w:val="16"/>
              </w:rPr>
              <w:t>4,754</w:t>
            </w:r>
          </w:p>
        </w:tc>
        <w:tc>
          <w:tcPr>
            <w:tcW w:type="dxa" w:w="1066"/>
          </w:tcPr>
          <w:p>
            <w:pPr>
              <w:spacing w:after="20"/>
              <w:jc w:val="right"/>
            </w:pPr>
            <w:r>
              <w:rPr>
                <w:color w:val="1C3A36"/>
                <w:sz w:val="16"/>
              </w:rPr>
              <w:t>4,754</w:t>
            </w:r>
          </w:p>
        </w:tc>
        <w:tc>
          <w:tcPr>
            <w:tcW w:type="dxa" w:w="1066"/>
          </w:tcPr>
          <w:p>
            <w:pPr>
              <w:spacing w:after="20"/>
              <w:jc w:val="right"/>
            </w:pPr>
            <w:r>
              <w:rPr>
                <w:color w:val="1C3A36"/>
                <w:sz w:val="16"/>
              </w:rPr>
              <w:t>4,754</w:t>
            </w:r>
          </w:p>
        </w:tc>
        <w:tc>
          <w:tcPr>
            <w:tcW w:type="dxa" w:w="1066"/>
          </w:tcPr>
          <w:p>
            <w:pPr>
              <w:spacing w:after="20"/>
              <w:jc w:val="right"/>
            </w:pPr>
            <w:r>
              <w:rPr>
                <w:color w:val="1C3A36"/>
                <w:sz w:val="16"/>
              </w:rPr>
              <w:t>4,754</w:t>
            </w:r>
          </w:p>
        </w:tc>
        <w:tc>
          <w:tcPr>
            <w:tcW w:type="dxa" w:w="1066"/>
          </w:tcPr>
          <w:p>
            <w:pPr>
              <w:spacing w:after="20"/>
              <w:jc w:val="right"/>
            </w:pPr>
            <w:r>
              <w:rPr>
                <w:color w:val="1C3A36"/>
                <w:sz w:val="16"/>
              </w:rPr>
              <w:t>4,754</w:t>
            </w:r>
          </w:p>
        </w:tc>
        <w:tc>
          <w:tcPr>
            <w:tcW w:type="dxa" w:w="1066"/>
          </w:tcPr>
          <w:p>
            <w:pPr>
              <w:spacing w:after="20"/>
              <w:jc w:val="right"/>
            </w:pPr>
            <w:r>
              <w:rPr>
                <w:color w:val="1C3A36"/>
                <w:sz w:val="16"/>
              </w:rPr>
              <w:t>4,754</w:t>
            </w:r>
          </w:p>
        </w:tc>
        <w:tc>
          <w:tcPr>
            <w:tcW w:type="dxa" w:w="1066"/>
          </w:tcPr>
          <w:p>
            <w:pPr>
              <w:spacing w:after="20"/>
              <w:jc w:val="right"/>
            </w:pPr>
            <w:r>
              <w:rPr>
                <w:color w:val="1C3A36"/>
                <w:sz w:val="16"/>
              </w:rPr>
              <w:t>4,754</w:t>
            </w:r>
          </w:p>
        </w:tc>
      </w:tr>
      <w:tr>
        <w:tc>
          <w:tcPr>
            <w:tcW w:type="dxa" w:w="2664"/>
          </w:tcPr>
          <w:p>
            <w:pPr>
              <w:spacing w:after="20"/>
            </w:pPr>
            <w:r>
              <w:rPr>
                <w:b/>
                <w:color w:val="1C3A36"/>
                <w:sz w:val="16"/>
              </w:rPr>
              <w:t>Risk-weighted assets</w:t>
            </w:r>
          </w:p>
        </w:tc>
        <w:tc>
          <w:tcPr>
            <w:tcW w:type="dxa" w:w="1066"/>
          </w:tcPr>
          <w:p>
            <w:pPr>
              <w:spacing w:after="20"/>
              <w:jc w:val="right"/>
            </w:pPr>
            <w:r>
              <w:rPr>
                <w:color w:val="1C3A36"/>
                <w:sz w:val="16"/>
              </w:rPr>
              <w:t>138,211</w:t>
            </w:r>
          </w:p>
        </w:tc>
        <w:tc>
          <w:tcPr>
            <w:tcW w:type="dxa" w:w="1066"/>
          </w:tcPr>
          <w:p>
            <w:pPr>
              <w:spacing w:after="20"/>
              <w:jc w:val="right"/>
            </w:pPr>
            <w:r>
              <w:rPr>
                <w:color w:val="1C3A36"/>
                <w:sz w:val="16"/>
              </w:rPr>
              <w:t>159,983</w:t>
            </w:r>
          </w:p>
        </w:tc>
        <w:tc>
          <w:tcPr>
            <w:tcW w:type="dxa" w:w="1066"/>
          </w:tcPr>
          <w:p>
            <w:pPr>
              <w:spacing w:after="20"/>
              <w:jc w:val="right"/>
            </w:pPr>
            <w:r>
              <w:rPr>
                <w:color w:val="1C3A36"/>
                <w:sz w:val="16"/>
              </w:rPr>
              <w:t>183,637</w:t>
            </w:r>
          </w:p>
        </w:tc>
        <w:tc>
          <w:tcPr>
            <w:tcW w:type="dxa" w:w="1066"/>
          </w:tcPr>
          <w:p>
            <w:pPr>
              <w:spacing w:after="20"/>
              <w:jc w:val="right"/>
            </w:pPr>
            <w:r>
              <w:rPr>
                <w:color w:val="1C3A36"/>
                <w:sz w:val="16"/>
              </w:rPr>
              <w:t>193,748</w:t>
            </w:r>
          </w:p>
        </w:tc>
        <w:tc>
          <w:tcPr>
            <w:tcW w:type="dxa" w:w="1066"/>
          </w:tcPr>
          <w:p>
            <w:pPr>
              <w:spacing w:after="20"/>
              <w:jc w:val="right"/>
            </w:pPr>
            <w:r>
              <w:rPr>
                <w:color w:val="1C3A36"/>
                <w:sz w:val="16"/>
              </w:rPr>
              <w:t>206,355</w:t>
            </w:r>
          </w:p>
        </w:tc>
        <w:tc>
          <w:tcPr>
            <w:tcW w:type="dxa" w:w="1066"/>
          </w:tcPr>
          <w:p>
            <w:pPr>
              <w:spacing w:after="20"/>
              <w:jc w:val="right"/>
            </w:pPr>
            <w:r>
              <w:rPr>
                <w:color w:val="1C3A36"/>
                <w:sz w:val="16"/>
              </w:rPr>
              <w:t>255,068</w:t>
            </w:r>
          </w:p>
        </w:tc>
        <w:tc>
          <w:tcPr>
            <w:tcW w:type="dxa" w:w="1066"/>
          </w:tcPr>
          <w:p>
            <w:pPr>
              <w:spacing w:after="20"/>
              <w:jc w:val="right"/>
            </w:pPr>
            <w:r>
              <w:rPr>
                <w:color w:val="1C3A36"/>
                <w:sz w:val="16"/>
              </w:rPr>
              <w:t>305,017</w:t>
            </w:r>
          </w:p>
        </w:tc>
      </w:tr>
      <w:tr>
        <w:tc>
          <w:tcPr>
            <w:tcW w:type="dxa" w:w="2664"/>
          </w:tcPr>
          <w:p>
            <w:pPr>
              <w:spacing w:after="20"/>
            </w:pPr>
            <w:r>
              <w:rPr>
                <w:b/>
                <w:color w:val="1C3A36"/>
                <w:sz w:val="16"/>
              </w:rPr>
              <w:t>CET1 %</w:t>
            </w:r>
          </w:p>
        </w:tc>
        <w:tc>
          <w:tcPr>
            <w:tcW w:type="dxa" w:w="1066"/>
          </w:tcPr>
          <w:p>
            <w:pPr>
              <w:spacing w:after="20"/>
              <w:jc w:val="right"/>
            </w:pPr>
            <w:r>
              <w:rPr>
                <w:color w:val="1C3A36"/>
                <w:sz w:val="16"/>
              </w:rPr>
              <w:t>12.23</w:t>
            </w:r>
          </w:p>
        </w:tc>
        <w:tc>
          <w:tcPr>
            <w:tcW w:type="dxa" w:w="1066"/>
          </w:tcPr>
          <w:p>
            <w:pPr>
              <w:spacing w:after="20"/>
              <w:jc w:val="right"/>
            </w:pPr>
            <w:r>
              <w:rPr>
                <w:color w:val="1C3A36"/>
                <w:sz w:val="16"/>
              </w:rPr>
              <w:t>12.07</w:t>
            </w:r>
          </w:p>
        </w:tc>
        <w:tc>
          <w:tcPr>
            <w:tcW w:type="dxa" w:w="1066"/>
          </w:tcPr>
          <w:p>
            <w:pPr>
              <w:spacing w:after="20"/>
              <w:jc w:val="right"/>
            </w:pPr>
            <w:r>
              <w:rPr>
                <w:color w:val="1C3A36"/>
                <w:sz w:val="16"/>
              </w:rPr>
              <w:t>12.02</w:t>
            </w:r>
          </w:p>
        </w:tc>
        <w:tc>
          <w:tcPr>
            <w:tcW w:type="dxa" w:w="1066"/>
          </w:tcPr>
          <w:p>
            <w:pPr>
              <w:spacing w:after="20"/>
              <w:jc w:val="right"/>
            </w:pPr>
            <w:r>
              <w:rPr>
                <w:color w:val="1C3A36"/>
                <w:sz w:val="16"/>
              </w:rPr>
              <w:t>12.0</w:t>
            </w:r>
          </w:p>
        </w:tc>
        <w:tc>
          <w:tcPr>
            <w:tcW w:type="dxa" w:w="1066"/>
          </w:tcPr>
          <w:p>
            <w:pPr>
              <w:spacing w:after="20"/>
              <w:jc w:val="right"/>
            </w:pPr>
            <w:r>
              <w:rPr>
                <w:color w:val="1C3A36"/>
                <w:sz w:val="16"/>
              </w:rPr>
              <w:t>12.33</w:t>
            </w:r>
          </w:p>
        </w:tc>
        <w:tc>
          <w:tcPr>
            <w:tcW w:type="dxa" w:w="1066"/>
          </w:tcPr>
          <w:p>
            <w:pPr>
              <w:spacing w:after="20"/>
              <w:jc w:val="right"/>
            </w:pPr>
            <w:r>
              <w:rPr>
                <w:color w:val="1C3A36"/>
                <w:sz w:val="16"/>
              </w:rPr>
              <w:t>12.87</w:t>
            </w:r>
          </w:p>
        </w:tc>
        <w:tc>
          <w:tcPr>
            <w:tcW w:type="dxa" w:w="1066"/>
          </w:tcPr>
          <w:p>
            <w:pPr>
              <w:spacing w:after="20"/>
              <w:jc w:val="right"/>
            </w:pPr>
            <w:r>
              <w:rPr>
                <w:color w:val="1C3A36"/>
                <w:sz w:val="16"/>
              </w:rPr>
              <w:t>13.59</w:t>
            </w:r>
          </w:p>
        </w:tc>
      </w:tr>
      <w:tr>
        <w:tc>
          <w:tcPr>
            <w:tcW w:type="dxa" w:w="2664"/>
          </w:tcPr>
          <w:p>
            <w:pPr>
              <w:spacing w:after="20"/>
            </w:pPr>
            <w:r>
              <w:rPr>
                <w:b/>
                <w:color w:val="1C3A36"/>
                <w:sz w:val="16"/>
              </w:rPr>
              <w:t>Capital adequacy ratio %</w:t>
            </w:r>
          </w:p>
        </w:tc>
        <w:tc>
          <w:tcPr>
            <w:tcW w:type="dxa" w:w="1066"/>
          </w:tcPr>
          <w:p>
            <w:pPr>
              <w:spacing w:after="20"/>
              <w:jc w:val="right"/>
            </w:pPr>
            <w:r>
              <w:rPr>
                <w:color w:val="1C3A36"/>
                <w:sz w:val="16"/>
              </w:rPr>
              <w:t>16.80</w:t>
            </w:r>
          </w:p>
        </w:tc>
        <w:tc>
          <w:tcPr>
            <w:tcW w:type="dxa" w:w="1066"/>
          </w:tcPr>
          <w:p>
            <w:pPr>
              <w:spacing w:after="20"/>
              <w:jc w:val="right"/>
            </w:pPr>
            <w:r>
              <w:rPr>
                <w:color w:val="1C3A36"/>
                <w:sz w:val="16"/>
              </w:rPr>
              <w:t>16.21</w:t>
            </w:r>
          </w:p>
        </w:tc>
        <w:tc>
          <w:tcPr>
            <w:tcW w:type="dxa" w:w="1066"/>
          </w:tcPr>
          <w:p>
            <w:pPr>
              <w:spacing w:after="20"/>
              <w:jc w:val="right"/>
            </w:pPr>
            <w:r>
              <w:rPr>
                <w:color w:val="1C3A36"/>
                <w:sz w:val="16"/>
              </w:rPr>
              <w:t>15.71</w:t>
            </w:r>
          </w:p>
        </w:tc>
        <w:tc>
          <w:tcPr>
            <w:tcW w:type="dxa" w:w="1066"/>
          </w:tcPr>
          <w:p>
            <w:pPr>
              <w:spacing w:after="20"/>
              <w:jc w:val="right"/>
            </w:pPr>
            <w:r>
              <w:rPr>
                <w:color w:val="1C3A36"/>
                <w:sz w:val="16"/>
              </w:rPr>
              <w:t>15.5</w:t>
            </w:r>
          </w:p>
        </w:tc>
        <w:tc>
          <w:tcPr>
            <w:tcW w:type="dxa" w:w="1066"/>
          </w:tcPr>
          <w:p>
            <w:pPr>
              <w:spacing w:after="20"/>
              <w:jc w:val="right"/>
            </w:pPr>
            <w:r>
              <w:rPr>
                <w:color w:val="1C3A36"/>
                <w:sz w:val="16"/>
              </w:rPr>
              <w:t>—</w:t>
            </w:r>
          </w:p>
        </w:tc>
        <w:tc>
          <w:tcPr>
            <w:tcW w:type="dxa" w:w="1066"/>
          </w:tcPr>
          <w:p>
            <w:pPr>
              <w:spacing w:after="20"/>
              <w:jc w:val="right"/>
            </w:pPr>
            <w:r>
              <w:rPr>
                <w:color w:val="1C3A36"/>
                <w:sz w:val="16"/>
              </w:rPr>
              <w:t>—</w:t>
            </w:r>
          </w:p>
        </w:tc>
        <w:tc>
          <w:tcPr>
            <w:tcW w:type="dxa" w:w="1066"/>
          </w:tcPr>
          <w:p>
            <w:pPr>
              <w:spacing w:after="20"/>
              <w:jc w:val="right"/>
            </w:pPr>
            <w:r>
              <w:rPr>
                <w:color w:val="1C3A36"/>
                <w:sz w:val="16"/>
              </w:rPr>
              <w:t>—</w:t>
            </w:r>
          </w:p>
        </w:tc>
      </w:tr>
      <w:tr>
        <w:tc>
          <w:tcPr>
            <w:tcW w:type="dxa" w:w="2664"/>
          </w:tcPr>
          <w:p>
            <w:pPr>
              <w:spacing w:after="20"/>
            </w:pPr>
            <w:r>
              <w:rPr>
                <w:b/>
                <w:color w:val="1C3A36"/>
                <w:sz w:val="16"/>
              </w:rPr>
              <w:t>NPA ratio %</w:t>
            </w:r>
          </w:p>
        </w:tc>
        <w:tc>
          <w:tcPr>
            <w:tcW w:type="dxa" w:w="1066"/>
          </w:tcPr>
          <w:p>
            <w:pPr>
              <w:spacing w:after="20"/>
              <w:jc w:val="right"/>
            </w:pPr>
            <w:r>
              <w:rPr>
                <w:color w:val="1C3A36"/>
                <w:sz w:val="16"/>
              </w:rPr>
              <w:t>6.1</w:t>
            </w:r>
          </w:p>
        </w:tc>
        <w:tc>
          <w:tcPr>
            <w:tcW w:type="dxa" w:w="1066"/>
          </w:tcPr>
          <w:p>
            <w:pPr>
              <w:spacing w:after="20"/>
              <w:jc w:val="right"/>
            </w:pPr>
            <w:r>
              <w:rPr>
                <w:color w:val="1C3A36"/>
                <w:sz w:val="16"/>
              </w:rPr>
              <w:t>4.0</w:t>
            </w:r>
          </w:p>
        </w:tc>
        <w:tc>
          <w:tcPr>
            <w:tcW w:type="dxa" w:w="1066"/>
          </w:tcPr>
          <w:p>
            <w:pPr>
              <w:spacing w:after="20"/>
              <w:jc w:val="right"/>
            </w:pPr>
            <w:r>
              <w:rPr>
                <w:color w:val="1C3A36"/>
                <w:sz w:val="16"/>
              </w:rPr>
              <w:t>2.8</w:t>
            </w:r>
          </w:p>
        </w:tc>
        <w:tc>
          <w:tcPr>
            <w:tcW w:type="dxa" w:w="1066"/>
          </w:tcPr>
          <w:p>
            <w:pPr>
              <w:spacing w:after="20"/>
              <w:jc w:val="right"/>
            </w:pPr>
            <w:r>
              <w:rPr>
                <w:color w:val="1C3A36"/>
                <w:sz w:val="16"/>
              </w:rPr>
              <w:t>2.6</w:t>
            </w:r>
          </w:p>
        </w:tc>
        <w:tc>
          <w:tcPr>
            <w:tcW w:type="dxa" w:w="1066"/>
          </w:tcPr>
          <w:p>
            <w:pPr>
              <w:spacing w:after="20"/>
              <w:jc w:val="right"/>
            </w:pPr>
            <w:r>
              <w:rPr>
                <w:color w:val="1C3A36"/>
                <w:sz w:val="16"/>
              </w:rPr>
              <w:t>—</w:t>
            </w:r>
          </w:p>
        </w:tc>
        <w:tc>
          <w:tcPr>
            <w:tcW w:type="dxa" w:w="1066"/>
          </w:tcPr>
          <w:p>
            <w:pPr>
              <w:spacing w:after="20"/>
              <w:jc w:val="right"/>
            </w:pPr>
            <w:r>
              <w:rPr>
                <w:color w:val="1C3A36"/>
                <w:sz w:val="16"/>
              </w:rPr>
              <w:t>—</w:t>
            </w:r>
          </w:p>
        </w:tc>
        <w:tc>
          <w:tcPr>
            <w:tcW w:type="dxa" w:w="1066"/>
          </w:tcPr>
          <w:p>
            <w:pPr>
              <w:spacing w:after="20"/>
              <w:jc w:val="right"/>
            </w:pPr>
            <w:r>
              <w:rPr>
                <w:color w:val="1C3A36"/>
                <w:sz w:val="16"/>
              </w:rPr>
              <w:t>—</w:t>
            </w:r>
          </w:p>
        </w:tc>
      </w:tr>
      <w:tr>
        <w:tc>
          <w:tcPr>
            <w:tcW w:type="dxa" w:w="2664"/>
          </w:tcPr>
          <w:p>
            <w:pPr>
              <w:spacing w:after="20"/>
            </w:pPr>
            <w:r>
              <w:rPr>
                <w:b/>
                <w:color w:val="1C3A36"/>
                <w:sz w:val="16"/>
              </w:rPr>
              <w:t>NPA coverage incl. collateral %</w:t>
            </w:r>
          </w:p>
        </w:tc>
        <w:tc>
          <w:tcPr>
            <w:tcW w:type="dxa" w:w="1066"/>
          </w:tcPr>
          <w:p>
            <w:pPr>
              <w:spacing w:after="20"/>
              <w:jc w:val="right"/>
            </w:pPr>
            <w:r>
              <w:rPr>
                <w:color w:val="1C3A36"/>
                <w:sz w:val="16"/>
              </w:rPr>
              <w:t>139.5</w:t>
            </w:r>
          </w:p>
        </w:tc>
        <w:tc>
          <w:tcPr>
            <w:tcW w:type="dxa" w:w="1066"/>
          </w:tcPr>
          <w:p>
            <w:pPr>
              <w:spacing w:after="20"/>
              <w:jc w:val="right"/>
            </w:pPr>
            <w:r>
              <w:rPr>
                <w:color w:val="1C3A36"/>
                <w:sz w:val="16"/>
              </w:rPr>
              <w:t>157.4</w:t>
            </w:r>
          </w:p>
        </w:tc>
        <w:tc>
          <w:tcPr>
            <w:tcW w:type="dxa" w:w="1066"/>
          </w:tcPr>
          <w:p>
            <w:pPr>
              <w:spacing w:after="20"/>
              <w:jc w:val="right"/>
            </w:pPr>
            <w:r>
              <w:rPr>
                <w:color w:val="1C3A36"/>
                <w:sz w:val="16"/>
              </w:rPr>
              <w:t>172.5</w:t>
            </w:r>
          </w:p>
        </w:tc>
        <w:tc>
          <w:tcPr>
            <w:tcW w:type="dxa" w:w="1066"/>
          </w:tcPr>
          <w:p>
            <w:pPr>
              <w:spacing w:after="20"/>
              <w:jc w:val="right"/>
            </w:pPr>
            <w:r>
              <w:rPr>
                <w:color w:val="1C3A36"/>
                <w:sz w:val="16"/>
              </w:rPr>
              <w:t>178.3</w:t>
            </w:r>
          </w:p>
        </w:tc>
        <w:tc>
          <w:tcPr>
            <w:tcW w:type="dxa" w:w="1066"/>
          </w:tcPr>
          <w:p>
            <w:pPr>
              <w:spacing w:after="20"/>
              <w:jc w:val="right"/>
            </w:pPr>
            <w:r>
              <w:rPr>
                <w:color w:val="1C3A36"/>
                <w:sz w:val="16"/>
              </w:rPr>
              <w:t>—</w:t>
            </w:r>
          </w:p>
        </w:tc>
        <w:tc>
          <w:tcPr>
            <w:tcW w:type="dxa" w:w="1066"/>
          </w:tcPr>
          <w:p>
            <w:pPr>
              <w:spacing w:after="20"/>
              <w:jc w:val="right"/>
            </w:pPr>
            <w:r>
              <w:rPr>
                <w:color w:val="1C3A36"/>
                <w:sz w:val="16"/>
              </w:rPr>
              <w:t>—</w:t>
            </w:r>
          </w:p>
        </w:tc>
        <w:tc>
          <w:tcPr>
            <w:tcW w:type="dxa" w:w="1066"/>
          </w:tcPr>
          <w:p>
            <w:pPr>
              <w:spacing w:after="20"/>
              <w:jc w:val="right"/>
            </w:pPr>
            <w:r>
              <w:rPr>
                <w:color w:val="1C3A36"/>
                <w:sz w:val="16"/>
              </w:rPr>
              <w:t>—</w:t>
            </w:r>
          </w:p>
        </w:tc>
      </w:tr>
      <w:tr>
        <w:tc>
          <w:tcPr>
            <w:tcW w:type="dxa" w:w="2664"/>
          </w:tcPr>
          <w:p>
            <w:pPr>
              <w:spacing w:after="20"/>
            </w:pPr>
            <w:r>
              <w:rPr>
                <w:b/>
                <w:color w:val="1C3A36"/>
                <w:sz w:val="16"/>
              </w:rPr>
              <w:t>BVPS (AED)</w:t>
            </w:r>
          </w:p>
        </w:tc>
        <w:tc>
          <w:tcPr>
            <w:tcW w:type="dxa" w:w="1066"/>
          </w:tcPr>
          <w:p>
            <w:pPr>
              <w:spacing w:after="20"/>
              <w:jc w:val="right"/>
            </w:pPr>
            <w:r>
              <w:rPr>
                <w:color w:val="1C3A36"/>
                <w:sz w:val="16"/>
              </w:rPr>
              <w:t>5.610</w:t>
            </w:r>
          </w:p>
        </w:tc>
        <w:tc>
          <w:tcPr>
            <w:tcW w:type="dxa" w:w="1066"/>
          </w:tcPr>
          <w:p>
            <w:pPr>
              <w:spacing w:after="20"/>
              <w:jc w:val="right"/>
            </w:pPr>
            <w:r>
              <w:rPr>
                <w:color w:val="1C3A36"/>
                <w:sz w:val="16"/>
              </w:rPr>
              <w:t>6.220</w:t>
            </w:r>
          </w:p>
        </w:tc>
        <w:tc>
          <w:tcPr>
            <w:tcW w:type="dxa" w:w="1066"/>
          </w:tcPr>
          <w:p>
            <w:pPr>
              <w:spacing w:after="20"/>
              <w:jc w:val="right"/>
            </w:pPr>
            <w:r>
              <w:rPr>
                <w:color w:val="1C3A36"/>
                <w:sz w:val="16"/>
              </w:rPr>
              <w:t>7.177</w:t>
            </w:r>
          </w:p>
        </w:tc>
        <w:tc>
          <w:tcPr>
            <w:tcW w:type="dxa" w:w="1066"/>
          </w:tcPr>
          <w:p>
            <w:pPr>
              <w:spacing w:after="20"/>
              <w:jc w:val="right"/>
            </w:pPr>
            <w:r>
              <w:rPr>
                <w:color w:val="1C3A36"/>
                <w:sz w:val="16"/>
              </w:rPr>
              <w:t>6.571</w:t>
            </w:r>
          </w:p>
        </w:tc>
        <w:tc>
          <w:tcPr>
            <w:tcW w:type="dxa" w:w="1066"/>
          </w:tcPr>
          <w:p>
            <w:pPr>
              <w:spacing w:after="20"/>
              <w:jc w:val="right"/>
            </w:pPr>
            <w:r>
              <w:rPr>
                <w:color w:val="1C3A36"/>
                <w:sz w:val="16"/>
              </w:rPr>
              <w:t>8.10</w:t>
            </w:r>
          </w:p>
        </w:tc>
        <w:tc>
          <w:tcPr>
            <w:tcW w:type="dxa" w:w="1066"/>
          </w:tcPr>
          <w:p>
            <w:pPr>
              <w:spacing w:after="20"/>
              <w:jc w:val="right"/>
            </w:pPr>
            <w:r>
              <w:rPr>
                <w:color w:val="1C3A36"/>
                <w:sz w:val="16"/>
              </w:rPr>
              <w:t>10.13</w:t>
            </w:r>
          </w:p>
        </w:tc>
        <w:tc>
          <w:tcPr>
            <w:tcW w:type="dxa" w:w="1066"/>
          </w:tcPr>
          <w:p>
            <w:pPr>
              <w:spacing w:after="20"/>
              <w:jc w:val="right"/>
            </w:pPr>
            <w:r>
              <w:rPr>
                <w:color w:val="1C3A36"/>
                <w:sz w:val="16"/>
              </w:rPr>
              <w:t>12.51</w:t>
            </w:r>
          </w:p>
        </w:tc>
      </w:tr>
    </w:tbl>
    <w:p>
      <w:pPr>
        <w:spacing w:after="40"/>
      </w:pPr>
    </w:p>
    <w:p>
      <w:pPr>
        <w:spacing w:after="200" w:before="0"/>
      </w:pPr>
      <w:r>
        <w:rPr>
          <w:b w:val="0"/>
          <w:i/>
          <w:color w:val="6E7B77"/>
          <w:sz w:val="17"/>
        </w:rPr>
        <w:t>Forecast total assets and deposits are held at their FY25 ratios to net financing — presentation scaffolding, not drivers. Nothing in the valuation depends on them. The lines that DO drive value — financing, risk-weighted assets, common equity and CET1 — are all built from the assumptions in §1.6. Note the December-25 common equity of AED 26,067mn still contains the AED 3,525mn dividend proposed then and paid after the 4 March 2026 AGM; the Q1-26 figure of AED 23,865mn is after that payment. Both P/B framings are carried throughout this study.</w:t>
      </w:r>
    </w:p>
    <w:p>
      <w:pPr>
        <w:spacing w:after="80" w:before="200"/>
      </w:pPr>
      <w:r>
        <w:rPr>
          <w:b/>
          <w:i w:val="0"/>
          <w:color w:val="1C3A36"/>
          <w:sz w:val="24"/>
        </w:rPr>
        <w:t>A.3  Cash flow to the ordinary shareholder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7"/>
              </w:rPr>
              <w:t>AED mn</w:t>
            </w:r>
          </w:p>
        </w:tc>
        <w:tc>
          <w:tcPr>
            <w:tcW w:type="dxa" w:w="1397"/>
            <w:shd w:val="clear" w:color="auto" w:fill="EAF0EE"/>
          </w:tcPr>
          <w:p>
            <w:pPr>
              <w:spacing w:after="20"/>
            </w:pPr>
            <w:r>
              <w:rPr>
                <w:b/>
                <w:color w:val="1C3A36"/>
                <w:sz w:val="17"/>
              </w:rPr>
              <w:t>FY26E</w:t>
            </w:r>
          </w:p>
        </w:tc>
        <w:tc>
          <w:tcPr>
            <w:tcW w:type="dxa" w:w="1397"/>
            <w:shd w:val="clear" w:color="auto" w:fill="EAF0EE"/>
          </w:tcPr>
          <w:p>
            <w:pPr>
              <w:spacing w:after="20"/>
            </w:pPr>
            <w:r>
              <w:rPr>
                <w:b/>
                <w:color w:val="1C3A36"/>
                <w:sz w:val="17"/>
              </w:rPr>
              <w:t>FY27E</w:t>
            </w:r>
          </w:p>
        </w:tc>
        <w:tc>
          <w:tcPr>
            <w:tcW w:type="dxa" w:w="1397"/>
            <w:shd w:val="clear" w:color="auto" w:fill="EAF0EE"/>
          </w:tcPr>
          <w:p>
            <w:pPr>
              <w:spacing w:after="20"/>
            </w:pPr>
            <w:r>
              <w:rPr>
                <w:b/>
                <w:color w:val="1C3A36"/>
                <w:sz w:val="17"/>
              </w:rPr>
              <w:t>FY28E</w:t>
            </w:r>
          </w:p>
        </w:tc>
        <w:tc>
          <w:tcPr>
            <w:tcW w:type="dxa" w:w="1397"/>
            <w:shd w:val="clear" w:color="auto" w:fill="EAF0EE"/>
          </w:tcPr>
          <w:p>
            <w:pPr>
              <w:spacing w:after="20"/>
            </w:pPr>
            <w:r>
              <w:rPr>
                <w:b/>
                <w:color w:val="1C3A36"/>
                <w:sz w:val="17"/>
              </w:rPr>
              <w:t>FY29E</w:t>
            </w:r>
          </w:p>
        </w:tc>
        <w:tc>
          <w:tcPr>
            <w:tcW w:type="dxa" w:w="1397"/>
            <w:shd w:val="clear" w:color="auto" w:fill="EAF0EE"/>
          </w:tcPr>
          <w:p>
            <w:pPr>
              <w:spacing w:after="20"/>
            </w:pPr>
            <w:r>
              <w:rPr>
                <w:b/>
                <w:color w:val="1C3A36"/>
                <w:sz w:val="17"/>
              </w:rPr>
              <w:t>FY30E</w:t>
            </w:r>
          </w:p>
        </w:tc>
      </w:tr>
      <w:tr>
        <w:tc>
          <w:tcPr>
            <w:tcW w:type="dxa" w:w="3096"/>
          </w:tcPr>
          <w:p>
            <w:pPr>
              <w:spacing w:after="20"/>
            </w:pPr>
            <w:r>
              <w:rPr>
                <w:b/>
                <w:color w:val="1C3A36"/>
                <w:sz w:val="17"/>
              </w:rPr>
              <w:t>Profit after tax</w:t>
            </w:r>
          </w:p>
        </w:tc>
        <w:tc>
          <w:tcPr>
            <w:tcW w:type="dxa" w:w="1397"/>
          </w:tcPr>
          <w:p>
            <w:pPr>
              <w:spacing w:after="20"/>
              <w:jc w:val="right"/>
            </w:pPr>
            <w:r>
              <w:rPr>
                <w:color w:val="1C3A36"/>
                <w:sz w:val="17"/>
              </w:rPr>
              <w:t>7,428</w:t>
            </w:r>
          </w:p>
        </w:tc>
        <w:tc>
          <w:tcPr>
            <w:tcW w:type="dxa" w:w="1397"/>
          </w:tcPr>
          <w:p>
            <w:pPr>
              <w:spacing w:after="20"/>
              <w:jc w:val="right"/>
            </w:pPr>
            <w:r>
              <w:rPr>
                <w:color w:val="1C3A36"/>
                <w:sz w:val="17"/>
              </w:rPr>
              <w:t>7,871</w:t>
            </w:r>
          </w:p>
        </w:tc>
        <w:tc>
          <w:tcPr>
            <w:tcW w:type="dxa" w:w="1397"/>
          </w:tcPr>
          <w:p>
            <w:pPr>
              <w:spacing w:after="20"/>
              <w:jc w:val="right"/>
            </w:pPr>
            <w:r>
              <w:rPr>
                <w:color w:val="1C3A36"/>
                <w:sz w:val="17"/>
              </w:rPr>
              <w:t>8,675</w:t>
            </w:r>
          </w:p>
        </w:tc>
        <w:tc>
          <w:tcPr>
            <w:tcW w:type="dxa" w:w="1397"/>
          </w:tcPr>
          <w:p>
            <w:pPr>
              <w:spacing w:after="20"/>
              <w:jc w:val="right"/>
            </w:pPr>
            <w:r>
              <w:rPr>
                <w:color w:val="1C3A36"/>
                <w:sz w:val="17"/>
              </w:rPr>
              <w:t>9,522</w:t>
            </w:r>
          </w:p>
        </w:tc>
        <w:tc>
          <w:tcPr>
            <w:tcW w:type="dxa" w:w="1397"/>
          </w:tcPr>
          <w:p>
            <w:pPr>
              <w:spacing w:after="20"/>
              <w:jc w:val="right"/>
            </w:pPr>
            <w:r>
              <w:rPr>
                <w:color w:val="1C3A36"/>
                <w:sz w:val="17"/>
              </w:rPr>
              <w:t>10,434</w:t>
            </w:r>
          </w:p>
        </w:tc>
      </w:tr>
      <w:tr>
        <w:tc>
          <w:tcPr>
            <w:tcW w:type="dxa" w:w="3096"/>
          </w:tcPr>
          <w:p>
            <w:pPr>
              <w:spacing w:after="20"/>
            </w:pPr>
            <w:r>
              <w:rPr>
                <w:b/>
                <w:color w:val="1C3A36"/>
                <w:sz w:val="17"/>
              </w:rPr>
              <w:t>less: AT1 sukuk coupon</w:t>
            </w:r>
          </w:p>
        </w:tc>
        <w:tc>
          <w:tcPr>
            <w:tcW w:type="dxa" w:w="1397"/>
          </w:tcPr>
          <w:p>
            <w:pPr>
              <w:spacing w:after="20"/>
              <w:jc w:val="right"/>
            </w:pPr>
            <w:r>
              <w:rPr>
                <w:color w:val="1C3A36"/>
                <w:sz w:val="17"/>
              </w:rPr>
              <w:t>-353</w:t>
            </w:r>
          </w:p>
        </w:tc>
        <w:tc>
          <w:tcPr>
            <w:tcW w:type="dxa" w:w="1397"/>
          </w:tcPr>
          <w:p>
            <w:pPr>
              <w:spacing w:after="20"/>
              <w:jc w:val="right"/>
            </w:pPr>
            <w:r>
              <w:rPr>
                <w:color w:val="1C3A36"/>
                <w:sz w:val="17"/>
              </w:rPr>
              <w:t>-353</w:t>
            </w:r>
          </w:p>
        </w:tc>
        <w:tc>
          <w:tcPr>
            <w:tcW w:type="dxa" w:w="1397"/>
          </w:tcPr>
          <w:p>
            <w:pPr>
              <w:spacing w:after="20"/>
              <w:jc w:val="right"/>
            </w:pPr>
            <w:r>
              <w:rPr>
                <w:color w:val="1C3A36"/>
                <w:sz w:val="17"/>
              </w:rPr>
              <w:t>-353</w:t>
            </w:r>
          </w:p>
        </w:tc>
        <w:tc>
          <w:tcPr>
            <w:tcW w:type="dxa" w:w="1397"/>
          </w:tcPr>
          <w:p>
            <w:pPr>
              <w:spacing w:after="20"/>
              <w:jc w:val="right"/>
            </w:pPr>
            <w:r>
              <w:rPr>
                <w:color w:val="1C3A36"/>
                <w:sz w:val="17"/>
              </w:rPr>
              <w:t>-353</w:t>
            </w:r>
          </w:p>
        </w:tc>
        <w:tc>
          <w:tcPr>
            <w:tcW w:type="dxa" w:w="1397"/>
          </w:tcPr>
          <w:p>
            <w:pPr>
              <w:spacing w:after="20"/>
              <w:jc w:val="right"/>
            </w:pPr>
            <w:r>
              <w:rPr>
                <w:color w:val="1C3A36"/>
                <w:sz w:val="17"/>
              </w:rPr>
              <w:t>-353</w:t>
            </w:r>
          </w:p>
        </w:tc>
      </w:tr>
      <w:tr>
        <w:tc>
          <w:tcPr>
            <w:tcW w:type="dxa" w:w="3096"/>
          </w:tcPr>
          <w:p>
            <w:pPr>
              <w:spacing w:after="20"/>
            </w:pPr>
            <w:r>
              <w:rPr>
                <w:b/>
                <w:color w:val="1C3A36"/>
                <w:sz w:val="17"/>
              </w:rPr>
              <w:t>less: non-controlling interests</w:t>
            </w:r>
          </w:p>
        </w:tc>
        <w:tc>
          <w:tcPr>
            <w:tcW w:type="dxa" w:w="1397"/>
          </w:tcPr>
          <w:p>
            <w:pPr>
              <w:spacing w:after="20"/>
              <w:jc w:val="right"/>
            </w:pPr>
            <w:r>
              <w:rPr>
                <w:color w:val="1C3A36"/>
                <w:sz w:val="17"/>
              </w:rPr>
              <w:t>-406</w:t>
            </w:r>
          </w:p>
        </w:tc>
        <w:tc>
          <w:tcPr>
            <w:tcW w:type="dxa" w:w="1397"/>
          </w:tcPr>
          <w:p>
            <w:pPr>
              <w:spacing w:after="20"/>
              <w:jc w:val="right"/>
            </w:pPr>
            <w:r>
              <w:rPr>
                <w:color w:val="1C3A36"/>
                <w:sz w:val="17"/>
              </w:rPr>
              <w:t>-439</w:t>
            </w:r>
          </w:p>
        </w:tc>
        <w:tc>
          <w:tcPr>
            <w:tcW w:type="dxa" w:w="1397"/>
          </w:tcPr>
          <w:p>
            <w:pPr>
              <w:spacing w:after="20"/>
              <w:jc w:val="right"/>
            </w:pPr>
            <w:r>
              <w:rPr>
                <w:color w:val="1C3A36"/>
                <w:sz w:val="17"/>
              </w:rPr>
              <w:t>-474</w:t>
            </w:r>
          </w:p>
        </w:tc>
        <w:tc>
          <w:tcPr>
            <w:tcW w:type="dxa" w:w="1397"/>
          </w:tcPr>
          <w:p>
            <w:pPr>
              <w:spacing w:after="20"/>
              <w:jc w:val="right"/>
            </w:pPr>
            <w:r>
              <w:rPr>
                <w:color w:val="1C3A36"/>
                <w:sz w:val="17"/>
              </w:rPr>
              <w:t>-512</w:t>
            </w:r>
          </w:p>
        </w:tc>
        <w:tc>
          <w:tcPr>
            <w:tcW w:type="dxa" w:w="1397"/>
          </w:tcPr>
          <w:p>
            <w:pPr>
              <w:spacing w:after="20"/>
              <w:jc w:val="right"/>
            </w:pPr>
            <w:r>
              <w:rPr>
                <w:color w:val="1C3A36"/>
                <w:sz w:val="17"/>
              </w:rPr>
              <w:t>-552</w:t>
            </w:r>
          </w:p>
        </w:tc>
      </w:tr>
      <w:tr>
        <w:tc>
          <w:tcPr>
            <w:tcW w:type="dxa" w:w="3096"/>
          </w:tcPr>
          <w:p>
            <w:pPr>
              <w:spacing w:after="20"/>
            </w:pPr>
            <w:r>
              <w:rPr>
                <w:b/>
                <w:color w:val="1C3A36"/>
                <w:sz w:val="17"/>
              </w:rPr>
              <w:t>Attributable to ordinary shareholders</w:t>
            </w:r>
          </w:p>
        </w:tc>
        <w:tc>
          <w:tcPr>
            <w:tcW w:type="dxa" w:w="1397"/>
          </w:tcPr>
          <w:p>
            <w:pPr>
              <w:spacing w:after="20"/>
              <w:jc w:val="right"/>
            </w:pPr>
            <w:r>
              <w:rPr>
                <w:color w:val="1C3A36"/>
                <w:sz w:val="17"/>
              </w:rPr>
              <w:t>6,669</w:t>
            </w:r>
          </w:p>
        </w:tc>
        <w:tc>
          <w:tcPr>
            <w:tcW w:type="dxa" w:w="1397"/>
          </w:tcPr>
          <w:p>
            <w:pPr>
              <w:spacing w:after="20"/>
              <w:jc w:val="right"/>
            </w:pPr>
            <w:r>
              <w:rPr>
                <w:color w:val="1C3A36"/>
                <w:sz w:val="17"/>
              </w:rPr>
              <w:t>7,080</w:t>
            </w:r>
          </w:p>
        </w:tc>
        <w:tc>
          <w:tcPr>
            <w:tcW w:type="dxa" w:w="1397"/>
          </w:tcPr>
          <w:p>
            <w:pPr>
              <w:spacing w:after="20"/>
              <w:jc w:val="right"/>
            </w:pPr>
            <w:r>
              <w:rPr>
                <w:color w:val="1C3A36"/>
                <w:sz w:val="17"/>
              </w:rPr>
              <w:t>7,849</w:t>
            </w:r>
          </w:p>
        </w:tc>
        <w:tc>
          <w:tcPr>
            <w:tcW w:type="dxa" w:w="1397"/>
          </w:tcPr>
          <w:p>
            <w:pPr>
              <w:spacing w:after="20"/>
              <w:jc w:val="right"/>
            </w:pPr>
            <w:r>
              <w:rPr>
                <w:color w:val="1C3A36"/>
                <w:sz w:val="17"/>
              </w:rPr>
              <w:t>8,658</w:t>
            </w:r>
          </w:p>
        </w:tc>
        <w:tc>
          <w:tcPr>
            <w:tcW w:type="dxa" w:w="1397"/>
          </w:tcPr>
          <w:p>
            <w:pPr>
              <w:spacing w:after="20"/>
              <w:jc w:val="right"/>
            </w:pPr>
            <w:r>
              <w:rPr>
                <w:color w:val="1C3A36"/>
                <w:sz w:val="17"/>
              </w:rPr>
              <w:t>9,528</w:t>
            </w:r>
          </w:p>
        </w:tc>
      </w:tr>
      <w:tr>
        <w:tc>
          <w:tcPr>
            <w:tcW w:type="dxa" w:w="3096"/>
          </w:tcPr>
          <w:p>
            <w:pPr>
              <w:spacing w:after="20"/>
            </w:pPr>
            <w:r>
              <w:rPr>
                <w:b/>
                <w:color w:val="1C3A36"/>
                <w:sz w:val="17"/>
              </w:rPr>
              <w:t>less: equity retained for RWA growth</w:t>
            </w:r>
          </w:p>
        </w:tc>
        <w:tc>
          <w:tcPr>
            <w:tcW w:type="dxa" w:w="1397"/>
          </w:tcPr>
          <w:p>
            <w:pPr>
              <w:spacing w:after="20"/>
              <w:jc w:val="right"/>
            </w:pPr>
            <w:r>
              <w:rPr>
                <w:color w:val="1C3A36"/>
                <w:sz w:val="17"/>
              </w:rPr>
              <w:t>-2,726</w:t>
            </w:r>
          </w:p>
        </w:tc>
        <w:tc>
          <w:tcPr>
            <w:tcW w:type="dxa" w:w="1397"/>
          </w:tcPr>
          <w:p>
            <w:pPr>
              <w:spacing w:after="20"/>
              <w:jc w:val="right"/>
            </w:pPr>
            <w:r>
              <w:rPr>
                <w:color w:val="1C3A36"/>
                <w:sz w:val="17"/>
              </w:rPr>
              <w:t>-2,881</w:t>
            </w:r>
          </w:p>
        </w:tc>
        <w:tc>
          <w:tcPr>
            <w:tcW w:type="dxa" w:w="1397"/>
          </w:tcPr>
          <w:p>
            <w:pPr>
              <w:spacing w:after="20"/>
              <w:jc w:val="right"/>
            </w:pPr>
            <w:r>
              <w:rPr>
                <w:color w:val="1C3A36"/>
                <w:sz w:val="17"/>
              </w:rPr>
              <w:t>-2,965</w:t>
            </w:r>
          </w:p>
        </w:tc>
        <w:tc>
          <w:tcPr>
            <w:tcW w:type="dxa" w:w="1397"/>
          </w:tcPr>
          <w:p>
            <w:pPr>
              <w:spacing w:after="20"/>
              <w:jc w:val="right"/>
            </w:pPr>
            <w:r>
              <w:rPr>
                <w:color w:val="1C3A36"/>
                <w:sz w:val="17"/>
              </w:rPr>
              <w:t>-3,004</w:t>
            </w:r>
          </w:p>
        </w:tc>
        <w:tc>
          <w:tcPr>
            <w:tcW w:type="dxa" w:w="1397"/>
          </w:tcPr>
          <w:p>
            <w:pPr>
              <w:spacing w:after="20"/>
              <w:jc w:val="right"/>
            </w:pPr>
            <w:r>
              <w:rPr>
                <w:color w:val="1C3A36"/>
                <w:sz w:val="17"/>
              </w:rPr>
              <w:t>-2,990</w:t>
            </w:r>
          </w:p>
        </w:tc>
      </w:tr>
      <w:tr>
        <w:tc>
          <w:tcPr>
            <w:tcW w:type="dxa" w:w="3096"/>
            <w:shd w:val="clear" w:color="auto" w:fill="F6F1E6"/>
          </w:tcPr>
          <w:p>
            <w:pPr>
              <w:spacing w:after="20"/>
            </w:pPr>
            <w:r>
              <w:rPr>
                <w:b/>
                <w:color w:val="1C3A36"/>
                <w:sz w:val="17"/>
              </w:rPr>
              <w:t>Free cash flow to equity</w:t>
            </w:r>
          </w:p>
        </w:tc>
        <w:tc>
          <w:tcPr>
            <w:tcW w:type="dxa" w:w="1397"/>
            <w:shd w:val="clear" w:color="auto" w:fill="F6F1E6"/>
          </w:tcPr>
          <w:p>
            <w:pPr>
              <w:spacing w:after="20"/>
              <w:jc w:val="right"/>
            </w:pPr>
            <w:r>
              <w:rPr>
                <w:b/>
                <w:color w:val="1C3A36"/>
                <w:sz w:val="17"/>
              </w:rPr>
              <w:t>3,943</w:t>
            </w:r>
          </w:p>
        </w:tc>
        <w:tc>
          <w:tcPr>
            <w:tcW w:type="dxa" w:w="1397"/>
            <w:shd w:val="clear" w:color="auto" w:fill="F6F1E6"/>
          </w:tcPr>
          <w:p>
            <w:pPr>
              <w:spacing w:after="20"/>
              <w:jc w:val="right"/>
            </w:pPr>
            <w:r>
              <w:rPr>
                <w:b/>
                <w:color w:val="1C3A36"/>
                <w:sz w:val="17"/>
              </w:rPr>
              <w:t>4,199</w:t>
            </w:r>
          </w:p>
        </w:tc>
        <w:tc>
          <w:tcPr>
            <w:tcW w:type="dxa" w:w="1397"/>
            <w:shd w:val="clear" w:color="auto" w:fill="F6F1E6"/>
          </w:tcPr>
          <w:p>
            <w:pPr>
              <w:spacing w:after="20"/>
              <w:jc w:val="right"/>
            </w:pPr>
            <w:r>
              <w:rPr>
                <w:b/>
                <w:color w:val="1C3A36"/>
                <w:sz w:val="17"/>
              </w:rPr>
              <w:t>4,884</w:t>
            </w:r>
          </w:p>
        </w:tc>
        <w:tc>
          <w:tcPr>
            <w:tcW w:type="dxa" w:w="1397"/>
            <w:shd w:val="clear" w:color="auto" w:fill="F6F1E6"/>
          </w:tcPr>
          <w:p>
            <w:pPr>
              <w:spacing w:after="20"/>
              <w:jc w:val="right"/>
            </w:pPr>
            <w:r>
              <w:rPr>
                <w:b/>
                <w:color w:val="1C3A36"/>
                <w:sz w:val="17"/>
              </w:rPr>
              <w:t>5,654</w:t>
            </w:r>
          </w:p>
        </w:tc>
        <w:tc>
          <w:tcPr>
            <w:tcW w:type="dxa" w:w="1397"/>
            <w:shd w:val="clear" w:color="auto" w:fill="F6F1E6"/>
          </w:tcPr>
          <w:p>
            <w:pPr>
              <w:spacing w:after="20"/>
              <w:jc w:val="right"/>
            </w:pPr>
            <w:r>
              <w:rPr>
                <w:b/>
                <w:color w:val="1C3A36"/>
                <w:sz w:val="17"/>
              </w:rPr>
              <w:t>6,538</w:t>
            </w:r>
          </w:p>
        </w:tc>
      </w:tr>
      <w:tr>
        <w:tc>
          <w:tcPr>
            <w:tcW w:type="dxa" w:w="3096"/>
          </w:tcPr>
          <w:p>
            <w:pPr>
              <w:spacing w:after="20"/>
            </w:pPr>
            <w:r>
              <w:rPr>
                <w:b/>
                <w:color w:val="1C3A36"/>
                <w:sz w:val="17"/>
              </w:rPr>
              <w:t>Dividend declared</w:t>
            </w:r>
          </w:p>
        </w:tc>
        <w:tc>
          <w:tcPr>
            <w:tcW w:type="dxa" w:w="1397"/>
          </w:tcPr>
          <w:p>
            <w:pPr>
              <w:spacing w:after="20"/>
              <w:jc w:val="right"/>
            </w:pPr>
            <w:r>
              <w:rPr>
                <w:color w:val="1C3A36"/>
                <w:sz w:val="17"/>
              </w:rPr>
              <w:t>-3,335</w:t>
            </w:r>
          </w:p>
        </w:tc>
        <w:tc>
          <w:tcPr>
            <w:tcW w:type="dxa" w:w="1397"/>
          </w:tcPr>
          <w:p>
            <w:pPr>
              <w:spacing w:after="20"/>
              <w:jc w:val="right"/>
            </w:pPr>
            <w:r>
              <w:rPr>
                <w:color w:val="1C3A36"/>
                <w:sz w:val="17"/>
              </w:rPr>
              <w:t>-3,540</w:t>
            </w:r>
          </w:p>
        </w:tc>
        <w:tc>
          <w:tcPr>
            <w:tcW w:type="dxa" w:w="1397"/>
          </w:tcPr>
          <w:p>
            <w:pPr>
              <w:spacing w:after="20"/>
              <w:jc w:val="right"/>
            </w:pPr>
            <w:r>
              <w:rPr>
                <w:color w:val="1C3A36"/>
                <w:sz w:val="17"/>
              </w:rPr>
              <w:t>-4,003</w:t>
            </w:r>
          </w:p>
        </w:tc>
        <w:tc>
          <w:tcPr>
            <w:tcW w:type="dxa" w:w="1397"/>
          </w:tcPr>
          <w:p>
            <w:pPr>
              <w:spacing w:after="20"/>
              <w:jc w:val="right"/>
            </w:pPr>
            <w:r>
              <w:rPr>
                <w:color w:val="1C3A36"/>
                <w:sz w:val="17"/>
              </w:rPr>
              <w:t>-4,502</w:t>
            </w:r>
          </w:p>
        </w:tc>
        <w:tc>
          <w:tcPr>
            <w:tcW w:type="dxa" w:w="1397"/>
          </w:tcPr>
          <w:p>
            <w:pPr>
              <w:spacing w:after="20"/>
              <w:jc w:val="right"/>
            </w:pPr>
            <w:r>
              <w:rPr>
                <w:color w:val="1C3A36"/>
                <w:sz w:val="17"/>
              </w:rPr>
              <w:t>-5,050</w:t>
            </w:r>
          </w:p>
        </w:tc>
      </w:tr>
      <w:tr>
        <w:tc>
          <w:tcPr>
            <w:tcW w:type="dxa" w:w="3096"/>
          </w:tcPr>
          <w:p>
            <w:pPr>
              <w:spacing w:after="20"/>
            </w:pPr>
            <w:r>
              <w:rPr>
                <w:b/>
                <w:color w:val="1C3A36"/>
                <w:sz w:val="17"/>
              </w:rPr>
              <w:t>Surplus capital generated</w:t>
            </w:r>
          </w:p>
        </w:tc>
        <w:tc>
          <w:tcPr>
            <w:tcW w:type="dxa" w:w="1397"/>
          </w:tcPr>
          <w:p>
            <w:pPr>
              <w:spacing w:after="20"/>
              <w:jc w:val="right"/>
            </w:pPr>
            <w:r>
              <w:rPr>
                <w:color w:val="1C3A36"/>
                <w:sz w:val="17"/>
              </w:rPr>
              <w:t>608</w:t>
            </w:r>
          </w:p>
        </w:tc>
        <w:tc>
          <w:tcPr>
            <w:tcW w:type="dxa" w:w="1397"/>
          </w:tcPr>
          <w:p>
            <w:pPr>
              <w:spacing w:after="20"/>
              <w:jc w:val="right"/>
            </w:pPr>
            <w:r>
              <w:rPr>
                <w:color w:val="1C3A36"/>
                <w:sz w:val="17"/>
              </w:rPr>
              <w:t>659</w:t>
            </w:r>
          </w:p>
        </w:tc>
        <w:tc>
          <w:tcPr>
            <w:tcW w:type="dxa" w:w="1397"/>
          </w:tcPr>
          <w:p>
            <w:pPr>
              <w:spacing w:after="20"/>
              <w:jc w:val="right"/>
            </w:pPr>
            <w:r>
              <w:rPr>
                <w:color w:val="1C3A36"/>
                <w:sz w:val="17"/>
              </w:rPr>
              <w:t>881</w:t>
            </w:r>
          </w:p>
        </w:tc>
        <w:tc>
          <w:tcPr>
            <w:tcW w:type="dxa" w:w="1397"/>
          </w:tcPr>
          <w:p>
            <w:pPr>
              <w:spacing w:after="20"/>
              <w:jc w:val="right"/>
            </w:pPr>
            <w:r>
              <w:rPr>
                <w:color w:val="1C3A36"/>
                <w:sz w:val="17"/>
              </w:rPr>
              <w:t>1,152</w:t>
            </w:r>
          </w:p>
        </w:tc>
        <w:tc>
          <w:tcPr>
            <w:tcW w:type="dxa" w:w="1397"/>
          </w:tcPr>
          <w:p>
            <w:pPr>
              <w:spacing w:after="20"/>
              <w:jc w:val="right"/>
            </w:pPr>
            <w:r>
              <w:rPr>
                <w:color w:val="1C3A36"/>
                <w:sz w:val="17"/>
              </w:rPr>
              <w:t>1,488</w:t>
            </w:r>
          </w:p>
        </w:tc>
      </w:tr>
    </w:tbl>
    <w:p>
      <w:pPr>
        <w:spacing w:after="40"/>
      </w:pPr>
    </w:p>
    <w:p>
      <w:pPr>
        <w:spacing w:after="40"/>
        <w:jc w:val="center"/>
      </w:pPr>
      <w:r>
        <w:drawing>
          <wp:inline xmlns:a="http://schemas.openxmlformats.org/drawingml/2006/main" xmlns:pic="http://schemas.openxmlformats.org/drawingml/2006/picture">
            <wp:extent cx="6126480" cy="2461169"/>
            <wp:docPr id="12" name="Picture 12"/>
            <wp:cNvGraphicFramePr>
              <a:graphicFrameLocks noChangeAspect="1"/>
            </wp:cNvGraphicFramePr>
            <a:graphic>
              <a:graphicData uri="http://schemas.openxmlformats.org/drawingml/2006/picture">
                <pic:pic>
                  <pic:nvPicPr>
                    <pic:cNvPr id="0" name="fig10_dividend.png"/>
                    <pic:cNvPicPr/>
                  </pic:nvPicPr>
                  <pic:blipFill>
                    <a:blip r:embed="rId20"/>
                    <a:stretch>
                      <a:fillRect/>
                    </a:stretch>
                  </pic:blipFill>
                  <pic:spPr>
                    <a:xfrm>
                      <a:off x="0" y="0"/>
                      <a:ext cx="6126480" cy="2461169"/>
                    </a:xfrm>
                    <a:prstGeom prst="rect"/>
                  </pic:spPr>
                </pic:pic>
              </a:graphicData>
            </a:graphic>
          </wp:inline>
        </w:drawing>
      </w:r>
    </w:p>
    <w:p>
      <w:pPr>
        <w:spacing w:after="200" w:before="0"/>
      </w:pPr>
      <w:r>
        <w:rPr>
          <w:b w:val="0"/>
          <w:i/>
          <w:color w:val="6E7B77"/>
          <w:sz w:val="17"/>
        </w:rPr>
        <w:t>Figure 12 — The dividend. From 31.1 fils to 97.05 in five years, at a payout that never left the 48.5–49.9% band. The forecast lets it drift to 53% by FY30 — not because the board has said so, but because the capital equation frees the cash as growth slows. Cumulative FY26–30 modelled dividends are AED 20.9bn.</w:t>
      </w:r>
    </w:p>
    <w:p>
      <w:r>
        <w:br w:type="page"/>
      </w:r>
    </w:p>
    <w:p>
      <w:pPr>
        <w:spacing w:after="120" w:before="280"/>
      </w:pPr>
      <w:r>
        <w:rPr>
          <w:b/>
          <w:i w:val="0"/>
          <w:color w:val="1C3A36"/>
          <w:sz w:val="30"/>
        </w:rPr>
        <w:t>Appendix B — Peers, sector, risks, and the research register</w:t>
      </w:r>
    </w:p>
    <w:p>
      <w:pPr>
        <w:spacing w:after="80" w:before="200"/>
      </w:pPr>
      <w:r>
        <w:rPr>
          <w:b/>
          <w:i w:val="0"/>
          <w:color w:val="1C3A36"/>
          <w:sz w:val="24"/>
        </w:rPr>
        <w:t>B.1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232"/>
            <w:shd w:val="clear" w:color="auto" w:fill="EAF0EE"/>
          </w:tcPr>
          <w:p>
            <w:pPr>
              <w:spacing w:after="20"/>
            </w:pPr>
            <w:r>
              <w:rPr>
                <w:b/>
                <w:color w:val="1C3A36"/>
                <w:sz w:val="16"/>
              </w:rPr>
              <w:t>Bank</w:t>
            </w:r>
          </w:p>
        </w:tc>
        <w:tc>
          <w:tcPr>
            <w:tcW w:type="dxa" w:w="3672"/>
            <w:shd w:val="clear" w:color="auto" w:fill="EAF0EE"/>
          </w:tcPr>
          <w:p>
            <w:pPr>
              <w:spacing w:after="20"/>
            </w:pPr>
            <w:r>
              <w:rPr>
                <w:b/>
                <w:color w:val="1C3A36"/>
                <w:sz w:val="16"/>
              </w:rPr>
              <w:t>Latest sourced print</w:t>
            </w:r>
          </w:p>
        </w:tc>
        <w:tc>
          <w:tcPr>
            <w:tcW w:type="dxa" w:w="4176"/>
            <w:shd w:val="clear" w:color="auto" w:fill="EAF0EE"/>
          </w:tcPr>
          <w:p>
            <w:pPr>
              <w:spacing w:after="20"/>
            </w:pPr>
            <w:r>
              <w:rPr>
                <w:b/>
                <w:color w:val="1C3A36"/>
                <w:sz w:val="16"/>
              </w:rPr>
              <w:t>Read against ADIB</w:t>
            </w:r>
          </w:p>
        </w:tc>
      </w:tr>
      <w:tr>
        <w:tc>
          <w:tcPr>
            <w:tcW w:type="dxa" w:w="2232"/>
          </w:tcPr>
          <w:p>
            <w:pPr>
              <w:spacing w:after="20"/>
            </w:pPr>
            <w:r>
              <w:rPr>
                <w:b/>
                <w:color w:val="1C3A36"/>
                <w:sz w:val="16"/>
              </w:rPr>
              <w:t>Dubai Islamic Bank (DFM: DIB)</w:t>
            </w:r>
          </w:p>
        </w:tc>
        <w:tc>
          <w:tcPr>
            <w:tcW w:type="dxa" w:w="3672"/>
          </w:tcPr>
          <w:p>
            <w:pPr>
              <w:spacing w:after="20"/>
            </w:pPr>
            <w:r>
              <w:rPr>
                <w:color w:val="1C3A36"/>
                <w:sz w:val="16"/>
              </w:rPr>
              <w:t>FY25 revenue AED 13.3bn (+3%), pre-tax AED 9.0bn (+20%), assets AED 416bn (+21%); EPS 0.98; DPS 0.35. Net profit margin 2.6% ACTUAL in FY25, guided down to 2.3% for 2026 by the Group CEO on the FY25 results call — a guide that explicitly assumes three more Fed cuts. Also guided: financing +10%, cost of risk ~50bp. Effective tax rate went from 9% (2024) to 15% (2025). No fixed dividend policy.</w:t>
            </w:r>
          </w:p>
        </w:tc>
        <w:tc>
          <w:tcPr>
            <w:tcW w:type="dxa" w:w="4176"/>
          </w:tcPr>
          <w:p>
            <w:pPr>
              <w:spacing w:after="20"/>
            </w:pPr>
            <w:r>
              <w:rPr>
                <w:color w:val="1C3A36"/>
                <w:sz w:val="16"/>
              </w:rPr>
              <w:t>The only true like-for-like. ADIB's 4.11% margin is 151bp above DIB's 2.6% on the identical metric — both banks define it as net financing income over average profit-bearing assets. And DIB's 2.3% guide rests on rate cuts the June-2026 dot plot no longer supports, which makes ADIB's CASA defence look MORE structural, not less. DIB is also already paying the 15% minimum tax — the single strongest piece of evidence that ADIB's own step is coming.</w:t>
            </w:r>
          </w:p>
        </w:tc>
      </w:tr>
      <w:tr>
        <w:tc>
          <w:tcPr>
            <w:tcW w:type="dxa" w:w="2232"/>
          </w:tcPr>
          <w:p>
            <w:pPr>
              <w:spacing w:after="20"/>
            </w:pPr>
            <w:r>
              <w:rPr>
                <w:b/>
                <w:color w:val="1C3A36"/>
                <w:sz w:val="16"/>
              </w:rPr>
              <w:t>Abu Dhabi Commercial Bank (ADX: ADCB)</w:t>
            </w:r>
          </w:p>
        </w:tc>
        <w:tc>
          <w:tcPr>
            <w:tcW w:type="dxa" w:w="3672"/>
          </w:tcPr>
          <w:p>
            <w:pPr>
              <w:spacing w:after="20"/>
            </w:pPr>
            <w:r>
              <w:rPr>
                <w:color w:val="1C3A36"/>
                <w:sz w:val="16"/>
              </w:rPr>
              <w:t>FY25 net profit AED 11.4bn (+22%); Q1-26 RoAE 16.3%; CET1 13.82%; DPS 0.63 (44% payout). Testahil study of 10-Jul-2026: trading at 1.52× book.</w:t>
            </w:r>
          </w:p>
        </w:tc>
        <w:tc>
          <w:tcPr>
            <w:tcW w:type="dxa" w:w="4176"/>
          </w:tcPr>
          <w:p>
            <w:pPr>
              <w:spacing w:after="20"/>
            </w:pPr>
            <w:r>
              <w:rPr>
                <w:color w:val="1C3A36"/>
                <w:sz w:val="16"/>
              </w:rPr>
              <w:t>The conventional Abu Dhabi comparator. Bigger, cheaper, and earns twelve points less on equity. It sits almost exactly ON the ROE-justified line in Figure 1. ADIB sits above it.</w:t>
            </w:r>
          </w:p>
        </w:tc>
      </w:tr>
      <w:tr>
        <w:tc>
          <w:tcPr>
            <w:tcW w:type="dxa" w:w="2232"/>
          </w:tcPr>
          <w:p>
            <w:pPr>
              <w:spacing w:after="20"/>
            </w:pPr>
            <w:r>
              <w:rPr>
                <w:b/>
                <w:color w:val="1C3A36"/>
                <w:sz w:val="16"/>
              </w:rPr>
              <w:t>First Abu Dhabi Bank (ADX: FAB)</w:t>
            </w:r>
          </w:p>
        </w:tc>
        <w:tc>
          <w:tcPr>
            <w:tcW w:type="dxa" w:w="3672"/>
          </w:tcPr>
          <w:p>
            <w:pPr>
              <w:spacing w:after="20"/>
            </w:pPr>
            <w:r>
              <w:rPr>
                <w:color w:val="1C3A36"/>
                <w:sz w:val="16"/>
              </w:rPr>
              <w:t>The largest UAE bank. Q1-26 net income AED 4.75bn, EPS 0.43 (a beat). FY25 payout ~43%.</w:t>
            </w:r>
          </w:p>
        </w:tc>
        <w:tc>
          <w:tcPr>
            <w:tcW w:type="dxa" w:w="4176"/>
          </w:tcPr>
          <w:p>
            <w:pPr>
              <w:spacing w:after="20"/>
            </w:pPr>
            <w:r>
              <w:rPr>
                <w:color w:val="1C3A36"/>
                <w:sz w:val="16"/>
              </w:rPr>
              <w:t>The sector ceiling on scale — but not on returns.</w:t>
            </w:r>
          </w:p>
        </w:tc>
      </w:tr>
      <w:tr>
        <w:tc>
          <w:tcPr>
            <w:tcW w:type="dxa" w:w="2232"/>
          </w:tcPr>
          <w:p>
            <w:pPr>
              <w:spacing w:after="20"/>
            </w:pPr>
            <w:r>
              <w:rPr>
                <w:b/>
                <w:color w:val="1C3A36"/>
                <w:sz w:val="16"/>
              </w:rPr>
              <w:t>Emirates NBD (DFM: ENBD)</w:t>
            </w:r>
          </w:p>
        </w:tc>
        <w:tc>
          <w:tcPr>
            <w:tcW w:type="dxa" w:w="3672"/>
          </w:tcPr>
          <w:p>
            <w:pPr>
              <w:spacing w:after="20"/>
            </w:pPr>
            <w:r>
              <w:rPr>
                <w:color w:val="1C3A36"/>
                <w:sz w:val="16"/>
              </w:rPr>
              <w:t>Dubai flagship. Q1-26 net interest margin 3.37%, down 19bp quarter-on-quarter.</w:t>
            </w:r>
          </w:p>
        </w:tc>
        <w:tc>
          <w:tcPr>
            <w:tcW w:type="dxa" w:w="4176"/>
          </w:tcPr>
          <w:p>
            <w:pPr>
              <w:spacing w:after="20"/>
            </w:pPr>
            <w:r>
              <w:rPr>
                <w:color w:val="1C3A36"/>
                <w:sz w:val="16"/>
              </w:rPr>
              <w:t>The most rate-sensitive of the large peers. ADIB's 67% CASA is the structural defence ENBD does not have.</w:t>
            </w:r>
          </w:p>
        </w:tc>
      </w:tr>
      <w:tr>
        <w:tc>
          <w:tcPr>
            <w:tcW w:type="dxa" w:w="2232"/>
          </w:tcPr>
          <w:p>
            <w:pPr>
              <w:spacing w:after="20"/>
            </w:pPr>
            <w:r>
              <w:rPr>
                <w:b/>
                <w:color w:val="1C3A36"/>
                <w:sz w:val="16"/>
              </w:rPr>
              <w:t>UAE bank sector (top-10 listed)</w:t>
            </w:r>
          </w:p>
        </w:tc>
        <w:tc>
          <w:tcPr>
            <w:tcW w:type="dxa" w:w="3672"/>
          </w:tcPr>
          <w:p>
            <w:pPr>
              <w:spacing w:after="20"/>
            </w:pPr>
            <w:r>
              <w:rPr>
                <w:color w:val="1C3A36"/>
                <w:sz w:val="16"/>
              </w:rPr>
              <w:t>FY25: NIM 2.48% (−19bp), RoE 18.3% (−63bp), RoA 2.0%, NPL 2.4%, cost of risk 0.47%; 8.8× P/E and 1.64× P/TBV. Q1-26 sector NIM 2.37%.</w:t>
            </w:r>
          </w:p>
        </w:tc>
        <w:tc>
          <w:tcPr>
            <w:tcW w:type="dxa" w:w="4176"/>
          </w:tcPr>
          <w:p>
            <w:pPr>
              <w:spacing w:after="20"/>
            </w:pPr>
            <w:r>
              <w:rPr>
                <w:color w:val="1C3A36"/>
                <w:sz w:val="16"/>
              </w:rPr>
              <w:t>ADIB's 4.11% net profit margin is 163bp above the sector's NIM, and its 28.8% return on equity is 10.5 points above. That gap is the entire investment case — and the entire risk.</w:t>
            </w:r>
          </w:p>
        </w:tc>
      </w:tr>
    </w:tbl>
    <w:p>
      <w:pPr>
        <w:spacing w:after="40"/>
      </w:pPr>
    </w:p>
    <w:p>
      <w:pPr>
        <w:spacing w:after="200" w:before="0"/>
      </w:pPr>
      <w:r>
        <w:rPr>
          <w:b w:val="0"/>
          <w:i/>
          <w:color w:val="6E7B77"/>
          <w:sz w:val="17"/>
        </w:rPr>
        <w:t>Company figures from each bank's own results releases and earnings calls. Sector aggregates from the Alvarez &amp; Marsal UAE Banking Pulse, built from the same public filings. Prices and multiples are market data. On the two sector marks: §1.4 uses 1.55× price-to-book (the large-cap band as at 10 July 2026, i.e. at current post-war prices) as primary and carries A&amp;M's 1.64× price-to-tangible-book (an FY2025 mark, at FY2025 prices) all the way through to a second value rather than a footnote. The two answers differ by about ten fils on the central. ADIB has negligible intangibles, so the gap between the marks is a price-DATE difference, not a tangibility one.</w:t>
      </w:r>
    </w:p>
    <w:p>
      <w:pPr>
        <w:spacing w:after="80" w:before="200"/>
      </w:pPr>
      <w:r>
        <w:rPr>
          <w:b/>
          <w:i w:val="0"/>
          <w:color w:val="1C3A36"/>
          <w:sz w:val="24"/>
        </w:rPr>
        <w:t>B.2  Risk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664"/>
            <w:shd w:val="clear" w:color="auto" w:fill="EAF0EE"/>
          </w:tcPr>
          <w:p>
            <w:pPr>
              <w:spacing w:after="20"/>
            </w:pPr>
            <w:r>
              <w:rPr>
                <w:b/>
                <w:color w:val="1C3A36"/>
                <w:sz w:val="16"/>
              </w:rPr>
              <w:t>Risk</w:t>
            </w:r>
          </w:p>
        </w:tc>
        <w:tc>
          <w:tcPr>
            <w:tcW w:type="dxa" w:w="2664"/>
            <w:shd w:val="clear" w:color="auto" w:fill="EAF0EE"/>
          </w:tcPr>
          <w:p>
            <w:pPr>
              <w:spacing w:after="20"/>
            </w:pPr>
            <w:r>
              <w:rPr>
                <w:b/>
                <w:color w:val="1C3A36"/>
                <w:sz w:val="16"/>
              </w:rPr>
              <w:t>Channel</w:t>
            </w:r>
          </w:p>
        </w:tc>
        <w:tc>
          <w:tcPr>
            <w:tcW w:type="dxa" w:w="4752"/>
            <w:shd w:val="clear" w:color="auto" w:fill="EAF0EE"/>
          </w:tcPr>
          <w:p>
            <w:pPr>
              <w:spacing w:after="20"/>
            </w:pPr>
            <w:r>
              <w:rPr>
                <w:b/>
                <w:color w:val="1C3A36"/>
                <w:sz w:val="16"/>
              </w:rPr>
              <w:t>How the model treats it</w:t>
            </w:r>
          </w:p>
        </w:tc>
      </w:tr>
      <w:tr>
        <w:tc>
          <w:tcPr>
            <w:tcW w:type="dxa" w:w="2664"/>
          </w:tcPr>
          <w:p>
            <w:pPr>
              <w:spacing w:after="20"/>
            </w:pPr>
            <w:r>
              <w:rPr>
                <w:b/>
                <w:color w:val="1C3A36"/>
                <w:sz w:val="16"/>
              </w:rPr>
              <w:t>The ROE fades faster than modelled</w:t>
            </w:r>
          </w:p>
        </w:tc>
        <w:tc>
          <w:tcPr>
            <w:tcW w:type="dxa" w:w="2664"/>
          </w:tcPr>
          <w:p>
            <w:pPr>
              <w:spacing w:after="20"/>
            </w:pPr>
            <w:r>
              <w:rPr>
                <w:color w:val="1C3A36"/>
                <w:sz w:val="16"/>
              </w:rPr>
              <w:t>Terminal ROE; the entire multiple</w:t>
            </w:r>
          </w:p>
        </w:tc>
        <w:tc>
          <w:tcPr>
            <w:tcW w:type="dxa" w:w="4752"/>
          </w:tcPr>
          <w:p>
            <w:pPr>
              <w:spacing w:after="20"/>
            </w:pPr>
            <w:r>
              <w:rPr>
                <w:color w:val="1C3A36"/>
                <w:sz w:val="16"/>
              </w:rPr>
              <w:t>THE crux. Terminal 20% vs 28.8% actual and ~25% target. §1.10 maps 18%→28%: AED 19.73 to AED 24.97.</w:t>
            </w:r>
          </w:p>
        </w:tc>
      </w:tr>
      <w:tr>
        <w:tc>
          <w:tcPr>
            <w:tcW w:type="dxa" w:w="2664"/>
          </w:tcPr>
          <w:p>
            <w:pPr>
              <w:spacing w:after="20"/>
            </w:pPr>
            <w:r>
              <w:rPr>
                <w:b/>
                <w:color w:val="1C3A36"/>
                <w:sz w:val="16"/>
              </w:rPr>
              <w:t>Regional conflict re-escalation</w:t>
            </w:r>
          </w:p>
        </w:tc>
        <w:tc>
          <w:tcPr>
            <w:tcW w:type="dxa" w:w="2664"/>
          </w:tcPr>
          <w:p>
            <w:pPr>
              <w:spacing w:after="20"/>
            </w:pPr>
            <w:r>
              <w:rPr>
                <w:color w:val="1C3A36"/>
                <w:sz w:val="16"/>
              </w:rPr>
              <w:t>Cost of equity; impairment overlays; sentiment</w:t>
            </w:r>
          </w:p>
        </w:tc>
        <w:tc>
          <w:tcPr>
            <w:tcW w:type="dxa" w:w="4752"/>
          </w:tcPr>
          <w:p>
            <w:pPr>
              <w:spacing w:after="20"/>
            </w:pPr>
            <w:r>
              <w:rPr>
                <w:color w:val="1C3A36"/>
                <w:sz w:val="16"/>
              </w:rPr>
              <w:t>1.0pt Ke adder. §1.10 maps 0↔2.5pt: AED 24.63 to AED 17.73. The ceasefire frayed on ~10 July.</w:t>
            </w:r>
          </w:p>
        </w:tc>
      </w:tr>
      <w:tr>
        <w:tc>
          <w:tcPr>
            <w:tcW w:type="dxa" w:w="2664"/>
          </w:tcPr>
          <w:p>
            <w:pPr>
              <w:spacing w:after="20"/>
            </w:pPr>
            <w:r>
              <w:rPr>
                <w:b/>
                <w:color w:val="1C3A36"/>
                <w:sz w:val="16"/>
              </w:rPr>
              <w:t>The DMTT top-up lands</w:t>
            </w:r>
          </w:p>
        </w:tc>
        <w:tc>
          <w:tcPr>
            <w:tcW w:type="dxa" w:w="2664"/>
          </w:tcPr>
          <w:p>
            <w:pPr>
              <w:spacing w:after="20"/>
            </w:pPr>
            <w:r>
              <w:rPr>
                <w:color w:val="1C3A36"/>
                <w:sz w:val="16"/>
              </w:rPr>
              <w:t>Net profit −4–5%</w:t>
            </w:r>
          </w:p>
        </w:tc>
        <w:tc>
          <w:tcPr>
            <w:tcW w:type="dxa" w:w="4752"/>
          </w:tcPr>
          <w:p>
            <w:pPr>
              <w:spacing w:after="20"/>
            </w:pPr>
            <w:r>
              <w:rPr>
                <w:color w:val="1C3A36"/>
                <w:sz w:val="16"/>
              </w:rPr>
              <w:t>Stepped to 16% from FY27 — now EVIDENCED, not merely cautious: the transitional safe harbour expires for years beginning after 31-Dec-2026, and DIB is already paying 15%. Sensitized 13%↔17.3%. ADIB still has not disclosed its position.</w:t>
            </w:r>
          </w:p>
        </w:tc>
      </w:tr>
      <w:tr>
        <w:tc>
          <w:tcPr>
            <w:tcW w:type="dxa" w:w="2664"/>
          </w:tcPr>
          <w:p>
            <w:pPr>
              <w:spacing w:after="20"/>
            </w:pPr>
            <w:r>
              <w:rPr>
                <w:b/>
                <w:color w:val="1C3A36"/>
                <w:sz w:val="16"/>
              </w:rPr>
              <w:t>Margin compression beyond the mix</w:t>
            </w:r>
          </w:p>
        </w:tc>
        <w:tc>
          <w:tcPr>
            <w:tcW w:type="dxa" w:w="2664"/>
          </w:tcPr>
          <w:p>
            <w:pPr>
              <w:spacing w:after="20"/>
            </w:pPr>
            <w:r>
              <w:rPr>
                <w:color w:val="1C3A36"/>
                <w:sz w:val="16"/>
              </w:rPr>
              <w:t>Net profit margin</w:t>
            </w:r>
          </w:p>
        </w:tc>
        <w:tc>
          <w:tcPr>
            <w:tcW w:type="dxa" w:w="4752"/>
          </w:tcPr>
          <w:p>
            <w:pPr>
              <w:spacing w:after="20"/>
            </w:pPr>
            <w:r>
              <w:rPr>
                <w:color w:val="1C3A36"/>
                <w:sz w:val="16"/>
              </w:rPr>
              <w:t>FY30 at 3.70% vs 4.11% actual. ±10bp ≈ ±AED 0.21. The Fed's hold-or-hike turn is an upside risk here, not a downside one.</w:t>
            </w:r>
          </w:p>
        </w:tc>
      </w:tr>
      <w:tr>
        <w:tc>
          <w:tcPr>
            <w:tcW w:type="dxa" w:w="2664"/>
          </w:tcPr>
          <w:p>
            <w:pPr>
              <w:spacing w:after="20"/>
            </w:pPr>
            <w:r>
              <w:rPr>
                <w:b/>
                <w:color w:val="1C3A36"/>
                <w:sz w:val="16"/>
              </w:rPr>
              <w:t>Credit-cycle turn on an unseasoned book</w:t>
            </w:r>
          </w:p>
        </w:tc>
        <w:tc>
          <w:tcPr>
            <w:tcW w:type="dxa" w:w="2664"/>
          </w:tcPr>
          <w:p>
            <w:pPr>
              <w:spacing w:after="20"/>
            </w:pPr>
            <w:r>
              <w:rPr>
                <w:color w:val="1C3A36"/>
                <w:sz w:val="16"/>
              </w:rPr>
              <w:t>Cost of risk; book value</w:t>
            </w:r>
          </w:p>
        </w:tc>
        <w:tc>
          <w:tcPr>
            <w:tcW w:type="dxa" w:w="4752"/>
          </w:tcPr>
          <w:p>
            <w:pPr>
              <w:spacing w:after="20"/>
            </w:pPr>
            <w:r>
              <w:rPr>
                <w:color w:val="1C3A36"/>
                <w:sz w:val="16"/>
              </w:rPr>
              <w:t>Cost of risk modelled ABOVE the FY25 print. The book grew 28% year-on-year — Expert 2 in Appendix C prices exactly this and gets AED 18.03.</w:t>
            </w:r>
          </w:p>
        </w:tc>
      </w:tr>
      <w:tr>
        <w:tc>
          <w:tcPr>
            <w:tcW w:type="dxa" w:w="2664"/>
          </w:tcPr>
          <w:p>
            <w:pPr>
              <w:spacing w:after="20"/>
            </w:pPr>
            <w:r>
              <w:rPr>
                <w:b/>
                <w:color w:val="1C3A36"/>
                <w:sz w:val="16"/>
              </w:rPr>
              <w:t>Concentration in Abu Dhabi GREs</w:t>
            </w:r>
          </w:p>
        </w:tc>
        <w:tc>
          <w:tcPr>
            <w:tcW w:type="dxa" w:w="2664"/>
          </w:tcPr>
          <w:p>
            <w:pPr>
              <w:spacing w:after="20"/>
            </w:pPr>
            <w:r>
              <w:rPr>
                <w:color w:val="1C3A36"/>
                <w:sz w:val="16"/>
              </w:rPr>
              <w:t>Single-obligor and sovereign nexus</w:t>
            </w:r>
          </w:p>
        </w:tc>
        <w:tc>
          <w:tcPr>
            <w:tcW w:type="dxa" w:w="4752"/>
          </w:tcPr>
          <w:p>
            <w:pPr>
              <w:spacing w:after="20"/>
            </w:pPr>
            <w:r>
              <w:rPr>
                <w:color w:val="1C3A36"/>
                <w:sz w:val="16"/>
              </w:rPr>
              <w:t>Qualitative. GRE financing went from 24% to 26% of the book in one quarter — it is the margin drag AND the credit comfort, and it cuts both ways.</w:t>
            </w:r>
          </w:p>
        </w:tc>
      </w:tr>
      <w:tr>
        <w:tc>
          <w:tcPr>
            <w:tcW w:type="dxa" w:w="2664"/>
          </w:tcPr>
          <w:p>
            <w:pPr>
              <w:spacing w:after="20"/>
            </w:pPr>
            <w:r>
              <w:rPr>
                <w:b/>
                <w:color w:val="1C3A36"/>
                <w:sz w:val="16"/>
              </w:rPr>
              <w:t>Execution on the 2030 plan</w:t>
            </w:r>
          </w:p>
        </w:tc>
        <w:tc>
          <w:tcPr>
            <w:tcW w:type="dxa" w:w="2664"/>
          </w:tcPr>
          <w:p>
            <w:pPr>
              <w:spacing w:after="20"/>
            </w:pPr>
            <w:r>
              <w:rPr>
                <w:color w:val="1C3A36"/>
                <w:sz w:val="16"/>
              </w:rPr>
              <w:t>Multiple de-rating on a miss</w:t>
            </w:r>
          </w:p>
        </w:tc>
        <w:tc>
          <w:tcPr>
            <w:tcW w:type="dxa" w:w="4752"/>
          </w:tcPr>
          <w:p>
            <w:pPr>
              <w:spacing w:after="20"/>
            </w:pPr>
            <w:r>
              <w:rPr>
                <w:color w:val="1C3A36"/>
                <w:sz w:val="16"/>
              </w:rPr>
              <w:t>The model lands assets at 1.68× FY25 by 2030 — below management's own 1.7–1.9× target. We take the machinery, not the optimism.</w:t>
            </w:r>
          </w:p>
        </w:tc>
      </w:tr>
    </w:tbl>
    <w:p>
      <w:pPr>
        <w:spacing w:after="40"/>
      </w:pPr>
    </w:p>
    <w:p>
      <w:pPr>
        <w:spacing w:after="80" w:before="200"/>
      </w:pPr>
      <w:r>
        <w:rPr>
          <w:b/>
          <w:i w:val="0"/>
          <w:color w:val="1C3A36"/>
          <w:sz w:val="24"/>
        </w:rPr>
        <w:t>B.3  Research register — what was checked before a single forecast was set</w:t>
      </w:r>
    </w:p>
    <w:p>
      <w:pPr>
        <w:spacing w:after="120" w:before="0"/>
      </w:pPr>
      <w:r>
        <w:rPr>
          <w:b w:val="0"/>
          <w:i w:val="0"/>
          <w:color w:val="1C3A36"/>
          <w:sz w:val="21"/>
        </w:rPr>
        <w:t>This table is a transparency device. Before setting any forecast assumption we work outward from the world to the company — the global rate and oil backdrop, the UAE macro and regulatory picture, the competitive landscape, and finally ADIB's own disclosures — and record what we found. Crucially, it also records the searches that came back empty. A line marked as a negative finding means we looked for something — a hidden one-off, a tax note, an undisclosed capital action — and confirmed it was not there. The purpose is to let a reader audit the inputs, not just the outputs: you can see the full set of factors considered, judge whether anything material was missed, and see exactly which source each fact came from. Coverage is measured by categories closed, never by the number of searches run — and silence closes nothing.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605"/>
            <w:shd w:val="clear" w:color="auto" w:fill="EAF0EE"/>
          </w:tcPr>
          <w:p>
            <w:pPr>
              <w:spacing w:after="20"/>
            </w:pPr>
            <w:r>
              <w:rPr>
                <w:b/>
                <w:color w:val="1C3A36"/>
                <w:sz w:val="14"/>
              </w:rPr>
              <w:t>#</w:t>
            </w:r>
          </w:p>
        </w:tc>
        <w:tc>
          <w:tcPr>
            <w:tcW w:type="dxa" w:w="2088"/>
            <w:shd w:val="clear" w:color="auto" w:fill="EAF0EE"/>
          </w:tcPr>
          <w:p>
            <w:pPr>
              <w:spacing w:after="20"/>
            </w:pPr>
            <w:r>
              <w:rPr>
                <w:b/>
                <w:color w:val="1C3A36"/>
                <w:sz w:val="14"/>
              </w:rPr>
              <w:t>Ring / category</w:t>
            </w:r>
          </w:p>
        </w:tc>
        <w:tc>
          <w:tcPr>
            <w:tcW w:type="dxa" w:w="605"/>
            <w:shd w:val="clear" w:color="auto" w:fill="EAF0EE"/>
          </w:tcPr>
          <w:p>
            <w:pPr>
              <w:spacing w:after="20"/>
            </w:pPr>
            <w:r>
              <w:rPr>
                <w:b/>
                <w:color w:val="1C3A36"/>
                <w:sz w:val="14"/>
              </w:rPr>
              <w:t>Class</w:t>
            </w:r>
          </w:p>
        </w:tc>
        <w:tc>
          <w:tcPr>
            <w:tcW w:type="dxa" w:w="6782"/>
            <w:shd w:val="clear" w:color="auto" w:fill="EAF0EE"/>
          </w:tcPr>
          <w:p>
            <w:pPr>
              <w:spacing w:after="20"/>
            </w:pPr>
            <w:r>
              <w:rPr>
                <w:b/>
                <w:color w:val="1C3A36"/>
                <w:sz w:val="14"/>
              </w:rPr>
              <w:t>What we found (with source and date)</w:t>
            </w:r>
          </w:p>
        </w:tc>
      </w:tr>
      <w:tr>
        <w:tc>
          <w:tcPr>
            <w:tcW w:type="dxa" w:w="605"/>
          </w:tcPr>
          <w:p>
            <w:pPr>
              <w:spacing w:after="20"/>
            </w:pPr>
            <w:r>
              <w:rPr>
                <w:b/>
                <w:color w:val="1C3A36"/>
                <w:sz w:val="14"/>
              </w:rPr>
              <w:t>F01</w:t>
            </w:r>
          </w:p>
        </w:tc>
        <w:tc>
          <w:tcPr>
            <w:tcW w:type="dxa" w:w="2088"/>
          </w:tcPr>
          <w:p>
            <w:pPr>
              <w:spacing w:after="20"/>
            </w:pPr>
            <w:r>
              <w:rPr>
                <w:color w:val="1C3A36"/>
                <w:sz w:val="14"/>
              </w:rPr>
              <w:t>Global — rate cycle &amp; USD/FX regime</w:t>
            </w:r>
          </w:p>
        </w:tc>
        <w:tc>
          <w:tcPr>
            <w:tcW w:type="dxa" w:w="605"/>
          </w:tcPr>
          <w:p>
            <w:pPr>
              <w:spacing w:after="20"/>
            </w:pPr>
            <w:r>
              <w:rPr>
                <w:color w:val="1C3A36"/>
                <w:sz w:val="14"/>
              </w:rPr>
              <w:t>S</w:t>
            </w:r>
          </w:p>
        </w:tc>
        <w:tc>
          <w:tcPr>
            <w:tcW w:type="dxa" w:w="6782"/>
          </w:tcPr>
          <w:p>
            <w:pPr>
              <w:spacing w:after="20"/>
            </w:pPr>
            <w:r>
              <w:rPr>
                <w:color w:val="1C3A36"/>
                <w:sz w:val="14"/>
              </w:rPr>
              <w:t>FOMC held 3.50–3.75% for a fourth meeting on 17-Jun-2026; the June dot plot REMOVED prior cut expectations and 9 of 19 officials now project at least one HIKE in 2026 (median year-end ~3.8%). The AED is pegged, so CBUAE tracks the Fed: Base Rate 3.65%, 3M EIBOR ~3.90%.  [Federal Reserve; CBUAE fixings (official), 2026-07-08]</w:t>
            </w:r>
          </w:p>
        </w:tc>
      </w:tr>
      <w:tr>
        <w:tc>
          <w:tcPr>
            <w:tcW w:type="dxa" w:w="605"/>
          </w:tcPr>
          <w:p>
            <w:pPr>
              <w:spacing w:after="20"/>
            </w:pPr>
            <w:r>
              <w:rPr>
                <w:b/>
                <w:color w:val="1C3A36"/>
                <w:sz w:val="14"/>
              </w:rPr>
              <w:t>F02</w:t>
            </w:r>
          </w:p>
        </w:tc>
        <w:tc>
          <w:tcPr>
            <w:tcW w:type="dxa" w:w="2088"/>
          </w:tcPr>
          <w:p>
            <w:pPr>
              <w:spacing w:after="20"/>
            </w:pPr>
            <w:r>
              <w:rPr>
                <w:color w:val="1C3A36"/>
                <w:sz w:val="14"/>
              </w:rPr>
              <w:t>Global — commodity complex</w:t>
            </w:r>
          </w:p>
        </w:tc>
        <w:tc>
          <w:tcPr>
            <w:tcW w:type="dxa" w:w="605"/>
          </w:tcPr>
          <w:p>
            <w:pPr>
              <w:spacing w:after="20"/>
            </w:pPr>
            <w:r>
              <w:rPr>
                <w:color w:val="1C3A36"/>
                <w:sz w:val="14"/>
              </w:rPr>
              <w:t>S</w:t>
            </w:r>
          </w:p>
        </w:tc>
        <w:tc>
          <w:tcPr>
            <w:tcW w:type="dxa" w:w="6782"/>
          </w:tcPr>
          <w:p>
            <w:pPr>
              <w:spacing w:after="20"/>
            </w:pPr>
            <w:r>
              <w:rPr>
                <w:color w:val="1C3A36"/>
                <w:sz w:val="14"/>
              </w:rPr>
              <w:t>2026 Iran war: Hormuz effectively closed from 28-Feb; Brent peaked above $126 on 30-Apr; a 17-Jun US–Iran MoU reopened the strait; Brent fell to $70.82 on 2-Jul. But the ceasefire FRAYED — renewed strikes around 4–6 Jul, Brent back to ~$76 by 10-Jul, and the US President described the ceasefire as "effectively over". The 60-day negotiation window runs to 21-Aug-2026.  [EIA; Trading Economics; wire reports, 2026-07-10]</w:t>
            </w:r>
          </w:p>
        </w:tc>
      </w:tr>
      <w:tr>
        <w:tc>
          <w:tcPr>
            <w:tcW w:type="dxa" w:w="605"/>
          </w:tcPr>
          <w:p>
            <w:pPr>
              <w:spacing w:after="20"/>
            </w:pPr>
            <w:r>
              <w:rPr>
                <w:b/>
                <w:color w:val="1C3A36"/>
                <w:sz w:val="14"/>
              </w:rPr>
              <w:t>F03</w:t>
            </w:r>
          </w:p>
        </w:tc>
        <w:tc>
          <w:tcPr>
            <w:tcW w:type="dxa" w:w="2088"/>
          </w:tcPr>
          <w:p>
            <w:pPr>
              <w:spacing w:after="20"/>
            </w:pPr>
            <w:r>
              <w:rPr>
                <w:color w:val="1C3A36"/>
                <w:sz w:val="14"/>
              </w:rPr>
              <w:t>Global — global sector demand</w:t>
            </w:r>
          </w:p>
        </w:tc>
        <w:tc>
          <w:tcPr>
            <w:tcW w:type="dxa" w:w="605"/>
          </w:tcPr>
          <w:p>
            <w:pPr>
              <w:spacing w:after="20"/>
            </w:pPr>
            <w:r>
              <w:rPr>
                <w:color w:val="1C3A36"/>
                <w:sz w:val="14"/>
              </w:rPr>
              <w:t>C</w:t>
            </w:r>
          </w:p>
        </w:tc>
        <w:tc>
          <w:tcPr>
            <w:tcW w:type="dxa" w:w="6782"/>
          </w:tcPr>
          <w:p>
            <w:pPr>
              <w:spacing w:after="20"/>
            </w:pPr>
            <w:r>
              <w:rPr>
                <w:color w:val="1C3A36"/>
                <w:sz w:val="14"/>
              </w:rPr>
              <w:t>Global bank NIMs compressing as easing cycles mature; Basel III fully implemented in the UAE via CBUAE; capital conservation buffer held at 2.5% for 2026 with a NEW 0.5% countercyclical buffer on UAE private-sector credit from 2026.  [CBUAE; ADIB Pillar III Q1-2026 (official), 2026-06-30]</w:t>
            </w:r>
          </w:p>
        </w:tc>
      </w:tr>
      <w:tr>
        <w:tc>
          <w:tcPr>
            <w:tcW w:type="dxa" w:w="605"/>
          </w:tcPr>
          <w:p>
            <w:pPr>
              <w:spacing w:after="20"/>
            </w:pPr>
            <w:r>
              <w:rPr>
                <w:b/>
                <w:color w:val="1C3A36"/>
                <w:sz w:val="14"/>
              </w:rPr>
              <w:t>F04</w:t>
            </w:r>
          </w:p>
        </w:tc>
        <w:tc>
          <w:tcPr>
            <w:tcW w:type="dxa" w:w="2088"/>
          </w:tcPr>
          <w:p>
            <w:pPr>
              <w:spacing w:after="20"/>
            </w:pPr>
            <w:r>
              <w:rPr>
                <w:color w:val="1C3A36"/>
                <w:sz w:val="14"/>
              </w:rPr>
              <w:t>Global — trade / sanctions / supply chains</w:t>
            </w:r>
          </w:p>
        </w:tc>
        <w:tc>
          <w:tcPr>
            <w:tcW w:type="dxa" w:w="605"/>
          </w:tcPr>
          <w:p>
            <w:pPr>
              <w:spacing w:after="20"/>
            </w:pPr>
            <w:r>
              <w:rPr>
                <w:color w:val="1C3A36"/>
                <w:sz w:val="14"/>
              </w:rPr>
              <w:t>C</w:t>
            </w:r>
          </w:p>
        </w:tc>
        <w:tc>
          <w:tcPr>
            <w:tcW w:type="dxa" w:w="6782"/>
          </w:tcPr>
          <w:p>
            <w:pPr>
              <w:spacing w:after="20"/>
            </w:pPr>
            <w:r>
              <w:rPr>
                <w:color w:val="1C3A36"/>
                <w:sz w:val="14"/>
              </w:rPr>
              <w:t>Hormuz traffic recovering but still well below the ~130 daily pre-war crossings; UAE exports back to ~85% of pre-war volumes and UAE crude production at a record high.  [IEA; Kpler via wire reports, 2026-07-07]</w:t>
            </w:r>
          </w:p>
        </w:tc>
      </w:tr>
      <w:tr>
        <w:tc>
          <w:tcPr>
            <w:tcW w:type="dxa" w:w="605"/>
          </w:tcPr>
          <w:p>
            <w:pPr>
              <w:spacing w:after="20"/>
            </w:pPr>
            <w:r>
              <w:rPr>
                <w:b/>
                <w:color w:val="1C3A36"/>
                <w:sz w:val="14"/>
              </w:rPr>
              <w:t>F05</w:t>
            </w:r>
          </w:p>
        </w:tc>
        <w:tc>
          <w:tcPr>
            <w:tcW w:type="dxa" w:w="2088"/>
          </w:tcPr>
          <w:p>
            <w:pPr>
              <w:spacing w:after="20"/>
            </w:pPr>
            <w:r>
              <w:rPr>
                <w:color w:val="1C3A36"/>
                <w:sz w:val="14"/>
              </w:rPr>
              <w:t>Country — sovereign macro</w:t>
            </w:r>
          </w:p>
        </w:tc>
        <w:tc>
          <w:tcPr>
            <w:tcW w:type="dxa" w:w="605"/>
          </w:tcPr>
          <w:p>
            <w:pPr>
              <w:spacing w:after="20"/>
            </w:pPr>
            <w:r>
              <w:rPr>
                <w:color w:val="1C3A36"/>
                <w:sz w:val="14"/>
              </w:rPr>
              <w:t>S</w:t>
            </w:r>
          </w:p>
        </w:tc>
        <w:tc>
          <w:tcPr>
            <w:tcW w:type="dxa" w:w="6782"/>
          </w:tcPr>
          <w:p>
            <w:pPr>
              <w:spacing w:after="20"/>
            </w:pPr>
            <w:r>
              <w:rPr>
                <w:color w:val="1C3A36"/>
                <w:sz w:val="14"/>
              </w:rPr>
              <w:t>ADIB's own macro deck: UAE real GDP +3.9% (2024), +4.9% (2025), +5.3% (2026e); inflation 1.7 / 1.5 / 1.8%; Brent $81 / $68 / $66; government spending 26.6 / 26.7 / 26.5% of GDP. CBUAE separately puts 2025 real GDP at 5.6% and system credit growth at +17.9%.  [ADIB FY25 earnings presentation, Outlook (official); CBUAE, 2026-01-22]</w:t>
            </w:r>
          </w:p>
        </w:tc>
      </w:tr>
      <w:tr>
        <w:tc>
          <w:tcPr>
            <w:tcW w:type="dxa" w:w="605"/>
          </w:tcPr>
          <w:p>
            <w:pPr>
              <w:spacing w:after="20"/>
            </w:pPr>
            <w:r>
              <w:rPr>
                <w:b/>
                <w:color w:val="1C3A36"/>
                <w:sz w:val="14"/>
              </w:rPr>
              <w:t>F06</w:t>
            </w:r>
          </w:p>
        </w:tc>
        <w:tc>
          <w:tcPr>
            <w:tcW w:type="dxa" w:w="2088"/>
          </w:tcPr>
          <w:p>
            <w:pPr>
              <w:spacing w:after="20"/>
            </w:pPr>
            <w:r>
              <w:rPr>
                <w:color w:val="1C3A36"/>
                <w:sz w:val="14"/>
              </w:rPr>
              <w:t>Country — regulatory environment</w:t>
            </w:r>
          </w:p>
        </w:tc>
        <w:tc>
          <w:tcPr>
            <w:tcW w:type="dxa" w:w="605"/>
          </w:tcPr>
          <w:p>
            <w:pPr>
              <w:spacing w:after="20"/>
            </w:pPr>
            <w:r>
              <w:rPr>
                <w:color w:val="1C3A36"/>
                <w:sz w:val="14"/>
              </w:rPr>
              <w:t>S</w:t>
            </w:r>
          </w:p>
        </w:tc>
        <w:tc>
          <w:tcPr>
            <w:tcW w:type="dxa" w:w="6782"/>
          </w:tcPr>
          <w:p>
            <w:pPr>
              <w:spacing w:after="20"/>
            </w:pPr>
            <w:r>
              <w:rPr>
                <w:color w:val="1C3A36"/>
                <w:sz w:val="14"/>
              </w:rPr>
              <w:t>UAE corporate tax 9%; the Domestic Minimum Top-up Tax (15% floor, Cabinet Decision 142/2024) has applied to in-scope MNE groups for financial years starting on/after 1-Jan-2025. ADIB is in scope (revenue AED 12.3bn; subsidiaries in Egypt, UK, Qatar, Iraq). Yet ADIB's ETR was 12.7% in FY25 and 12.9% in Q1-26 — i.e. NO observable top-up in two DMTT-period prints.  [UAE Ministry of Finance (official); ADIB FY25 + Q1-26 MD&amp;A (official), 2026-04-29]</w:t>
            </w:r>
          </w:p>
        </w:tc>
      </w:tr>
      <w:tr>
        <w:tc>
          <w:tcPr>
            <w:tcW w:type="dxa" w:w="605"/>
          </w:tcPr>
          <w:p>
            <w:pPr>
              <w:spacing w:after="20"/>
            </w:pPr>
            <w:r>
              <w:rPr>
                <w:b/>
                <w:color w:val="1C3A36"/>
                <w:sz w:val="14"/>
              </w:rPr>
              <w:t>F28</w:t>
            </w:r>
          </w:p>
        </w:tc>
        <w:tc>
          <w:tcPr>
            <w:tcW w:type="dxa" w:w="2088"/>
          </w:tcPr>
          <w:p>
            <w:pPr>
              <w:spacing w:after="20"/>
            </w:pPr>
            <w:r>
              <w:rPr>
                <w:color w:val="1C3A36"/>
                <w:sz w:val="14"/>
              </w:rPr>
              <w:t>Country — regulatory environment</w:t>
            </w:r>
          </w:p>
        </w:tc>
        <w:tc>
          <w:tcPr>
            <w:tcW w:type="dxa" w:w="605"/>
          </w:tcPr>
          <w:p>
            <w:pPr>
              <w:spacing w:after="20"/>
            </w:pPr>
            <w:r>
              <w:rPr>
                <w:color w:val="1C3A36"/>
                <w:sz w:val="14"/>
              </w:rPr>
              <w:t>S</w:t>
            </w:r>
          </w:p>
        </w:tc>
        <w:tc>
          <w:tcPr>
            <w:tcW w:type="dxa" w:w="6782"/>
          </w:tcPr>
          <w:p>
            <w:pPr>
              <w:spacing w:after="20"/>
            </w:pPr>
            <w:r>
              <w:rPr>
                <w:color w:val="1C3A36"/>
                <w:sz w:val="14"/>
              </w:rPr>
              <w:t>THE MECHANISM — AND IT HAS A DATE. Pillar Two's transitional CbCR safe harbour lets a group skip the full GloBE computation only if its simplified jurisdictional effective tax rate clears a threshold that RISES every year: 15% for FY2024, 16% for FY2025, 17% for FY2026. And the safe harbour is available only for fiscal years COMMENCING ON OR BEFORE 31-Dec-2026 — so for a calendar-year filer the last sheltered year is FY2026, and the full computation applies from FY2027.  [OECD Pillar Two administrative guidance; PwC and KPMG IAS 12 technical notes, 2026-07-11]</w:t>
            </w:r>
          </w:p>
        </w:tc>
      </w:tr>
      <w:tr>
        <w:tc>
          <w:tcPr>
            <w:tcW w:type="dxa" w:w="605"/>
          </w:tcPr>
          <w:p>
            <w:pPr>
              <w:spacing w:after="20"/>
            </w:pPr>
            <w:r>
              <w:rPr>
                <w:b/>
                <w:color w:val="1C3A36"/>
                <w:sz w:val="14"/>
              </w:rPr>
              <w:t>F29</w:t>
            </w:r>
          </w:p>
        </w:tc>
        <w:tc>
          <w:tcPr>
            <w:tcW w:type="dxa" w:w="2088"/>
          </w:tcPr>
          <w:p>
            <w:pPr>
              <w:spacing w:after="20"/>
            </w:pPr>
            <w:r>
              <w:rPr>
                <w:color w:val="1C3A36"/>
                <w:sz w:val="14"/>
              </w:rPr>
              <w:t>Industry — competitive structure (named)</w:t>
            </w:r>
          </w:p>
        </w:tc>
        <w:tc>
          <w:tcPr>
            <w:tcW w:type="dxa" w:w="605"/>
          </w:tcPr>
          <w:p>
            <w:pPr>
              <w:spacing w:after="20"/>
            </w:pPr>
            <w:r>
              <w:rPr>
                <w:color w:val="1C3A36"/>
                <w:sz w:val="14"/>
              </w:rPr>
              <w:t>S</w:t>
            </w:r>
          </w:p>
        </w:tc>
        <w:tc>
          <w:tcPr>
            <w:tcW w:type="dxa" w:w="6782"/>
          </w:tcPr>
          <w:p>
            <w:pPr>
              <w:spacing w:after="20"/>
            </w:pPr>
            <w:r>
              <w:rPr>
                <w:color w:val="1C3A36"/>
                <w:sz w:val="14"/>
              </w:rPr>
              <w:t>PEER EVIDENCE THAT THE REGIME BITES. Dubai Islamic Bank — the closest comparable UAE Islamic bank — told its FY2025 results call that its effective tax rate rose from 9% (2024) to 15% (2025), "affecting net profit comparisons", printing at 14.1-15%, and that it is working to bring it back toward 9% during 2026.  [DIB FY2025 earnings call, Group CEO (Feb-2026), 2026-02-19]</w:t>
            </w:r>
          </w:p>
        </w:tc>
      </w:tr>
      <w:tr>
        <w:tc>
          <w:tcPr>
            <w:tcW w:type="dxa" w:w="605"/>
          </w:tcPr>
          <w:p>
            <w:pPr>
              <w:spacing w:after="20"/>
            </w:pPr>
            <w:r>
              <w:rPr>
                <w:b/>
                <w:color w:val="1C3A36"/>
                <w:sz w:val="14"/>
              </w:rPr>
              <w:t>F07</w:t>
            </w:r>
          </w:p>
        </w:tc>
        <w:tc>
          <w:tcPr>
            <w:tcW w:type="dxa" w:w="2088"/>
          </w:tcPr>
          <w:p>
            <w:pPr>
              <w:spacing w:after="20"/>
            </w:pPr>
            <w:r>
              <w:rPr>
                <w:color w:val="1C3A36"/>
                <w:sz w:val="14"/>
              </w:rPr>
              <w:t>Country — fiscal / political events</w:t>
            </w:r>
          </w:p>
        </w:tc>
        <w:tc>
          <w:tcPr>
            <w:tcW w:type="dxa" w:w="605"/>
          </w:tcPr>
          <w:p>
            <w:pPr>
              <w:spacing w:after="20"/>
            </w:pPr>
            <w:r>
              <w:rPr>
                <w:color w:val="1C3A36"/>
                <w:sz w:val="14"/>
              </w:rPr>
              <w:t>S</w:t>
            </w:r>
          </w:p>
        </w:tc>
        <w:tc>
          <w:tcPr>
            <w:tcW w:type="dxa" w:w="6782"/>
          </w:tcPr>
          <w:p>
            <w:pPr>
              <w:spacing w:after="20"/>
            </w:pPr>
            <w:r>
              <w:rPr>
                <w:color w:val="1C3A36"/>
                <w:sz w:val="14"/>
              </w:rPr>
              <w:t>CBUAE deployed relief measures during the conflict; ADIB launched "Sanadna", a support programme for front-liners and SMEs, and management flagged a "more volatile backdrop". Abu Dhabi is rated Aa2 (Moody's) / AA (S&amp;P) / AA (Fitch), all stable; sovereign CDS 0.46%.  [ADIB Q1-2026 MD&amp;A (official); Damodaran ctryprem.html, 5-Jan-2026, 2026-04-29]</w:t>
            </w:r>
          </w:p>
        </w:tc>
      </w:tr>
      <w:tr>
        <w:tc>
          <w:tcPr>
            <w:tcW w:type="dxa" w:w="605"/>
          </w:tcPr>
          <w:p>
            <w:pPr>
              <w:spacing w:after="20"/>
            </w:pPr>
            <w:r>
              <w:rPr>
                <w:b/>
                <w:color w:val="1C3A36"/>
                <w:sz w:val="14"/>
              </w:rPr>
              <w:t>F08</w:t>
            </w:r>
          </w:p>
        </w:tc>
        <w:tc>
          <w:tcPr>
            <w:tcW w:type="dxa" w:w="2088"/>
          </w:tcPr>
          <w:p>
            <w:pPr>
              <w:spacing w:after="20"/>
            </w:pPr>
            <w:r>
              <w:rPr>
                <w:color w:val="1C3A36"/>
                <w:sz w:val="14"/>
              </w:rPr>
              <w:t>Industry — demand &amp; capacity</w:t>
            </w:r>
          </w:p>
        </w:tc>
        <w:tc>
          <w:tcPr>
            <w:tcW w:type="dxa" w:w="605"/>
          </w:tcPr>
          <w:p>
            <w:pPr>
              <w:spacing w:after="20"/>
            </w:pPr>
            <w:r>
              <w:rPr>
                <w:color w:val="1C3A36"/>
                <w:sz w:val="14"/>
              </w:rPr>
              <w:t>C</w:t>
            </w:r>
          </w:p>
        </w:tc>
        <w:tc>
          <w:tcPr>
            <w:tcW w:type="dxa" w:w="6782"/>
          </w:tcPr>
          <w:p>
            <w:pPr>
              <w:spacing w:after="20"/>
            </w:pPr>
            <w:r>
              <w:rPr>
                <w:color w:val="1C3A36"/>
                <w:sz w:val="14"/>
              </w:rPr>
              <w:t>UAE banking system assets AED 5.34tn end-2025 (+17.1%); loans +17.9%; deposits +16.2%; system CAR 17.1%; net NPL 1.6%. Islamic banks hold ~18% of sector assets, with a national strategy to more than double Islamic assets by 2031.  [CBUAE (official), 2026-03-31]</w:t>
            </w:r>
          </w:p>
        </w:tc>
      </w:tr>
      <w:tr>
        <w:tc>
          <w:tcPr>
            <w:tcW w:type="dxa" w:w="605"/>
          </w:tcPr>
          <w:p>
            <w:pPr>
              <w:spacing w:after="20"/>
            </w:pPr>
            <w:r>
              <w:rPr>
                <w:b/>
                <w:color w:val="1C3A36"/>
                <w:sz w:val="14"/>
              </w:rPr>
              <w:t>F09</w:t>
            </w:r>
          </w:p>
        </w:tc>
        <w:tc>
          <w:tcPr>
            <w:tcW w:type="dxa" w:w="2088"/>
          </w:tcPr>
          <w:p>
            <w:pPr>
              <w:spacing w:after="20"/>
            </w:pPr>
            <w:r>
              <w:rPr>
                <w:color w:val="1C3A36"/>
                <w:sz w:val="14"/>
              </w:rPr>
              <w:t>Industry — pricing</w:t>
            </w:r>
          </w:p>
        </w:tc>
        <w:tc>
          <w:tcPr>
            <w:tcW w:type="dxa" w:w="605"/>
          </w:tcPr>
          <w:p>
            <w:pPr>
              <w:spacing w:after="20"/>
            </w:pPr>
            <w:r>
              <w:rPr>
                <w:color w:val="1C3A36"/>
                <w:sz w:val="14"/>
              </w:rPr>
              <w:t>S</w:t>
            </w:r>
          </w:p>
        </w:tc>
        <w:tc>
          <w:tcPr>
            <w:tcW w:type="dxa" w:w="6782"/>
          </w:tcPr>
          <w:p>
            <w:pPr>
              <w:spacing w:after="20"/>
            </w:pPr>
            <w:r>
              <w:rPr>
                <w:color w:val="1C3A36"/>
                <w:sz w:val="14"/>
              </w:rPr>
              <w:t>UAE top-10 listed banks FY25: NIM 2.48% (−19bp YoY), RoE 18.3% (−63bp), RoA 2.0%, NPL 2.4%, CoR 0.47%; trading at 8.8x P/E and 1.64x P/TBV. Q1-26 sector NIM fell further to 2.37%.  [Alvarez &amp; Marsal UAE Banking Pulse (built from public filings), 2026-03-23]</w:t>
            </w:r>
          </w:p>
        </w:tc>
      </w:tr>
      <w:tr>
        <w:tc>
          <w:tcPr>
            <w:tcW w:type="dxa" w:w="605"/>
          </w:tcPr>
          <w:p>
            <w:pPr>
              <w:spacing w:after="20"/>
            </w:pPr>
            <w:r>
              <w:rPr>
                <w:b/>
                <w:color w:val="1C3A36"/>
                <w:sz w:val="14"/>
              </w:rPr>
              <w:t>F10</w:t>
            </w:r>
          </w:p>
        </w:tc>
        <w:tc>
          <w:tcPr>
            <w:tcW w:type="dxa" w:w="2088"/>
          </w:tcPr>
          <w:p>
            <w:pPr>
              <w:spacing w:after="20"/>
            </w:pPr>
            <w:r>
              <w:rPr>
                <w:color w:val="1C3A36"/>
                <w:sz w:val="14"/>
              </w:rPr>
              <w:t>Industry — competitive structure (named)</w:t>
            </w:r>
          </w:p>
        </w:tc>
        <w:tc>
          <w:tcPr>
            <w:tcW w:type="dxa" w:w="605"/>
          </w:tcPr>
          <w:p>
            <w:pPr>
              <w:spacing w:after="20"/>
            </w:pPr>
            <w:r>
              <w:rPr>
                <w:color w:val="1C3A36"/>
                <w:sz w:val="14"/>
              </w:rPr>
              <w:t>S</w:t>
            </w:r>
          </w:p>
        </w:tc>
        <w:tc>
          <w:tcPr>
            <w:tcW w:type="dxa" w:w="6782"/>
          </w:tcPr>
          <w:p>
            <w:pPr>
              <w:spacing w:after="20"/>
            </w:pPr>
            <w:r>
              <w:rPr>
                <w:color w:val="1C3A36"/>
                <w:sz w:val="14"/>
              </w:rPr>
              <w:t>Dubai Islamic Bank (the only true like-for-like): FY25 revenue AED 13.3bn (+3%), pre-tax AED 9.0bn (+20%), assets AED 416bn (+21%), EPS 0.98, DPS 0.35. NET PROFIT MARGIN: 2.6% ACTUAL in FY25, guided DOWN to 2.3% for 2026 by the Group CEO on the FY25 results call — and that 2.3% explicitly assumes THREE more Fed cuts in 2026. Also guided for 2026: financing +10%, cost of risk ~50bp normalized. DIB states it has NO fixed dividend policy. ADCB (Testahil study, 10-Jul-2026): P/B 1.52x on 16.3% RoAE. FAB Q1-26 net income AED 4.75bn.  [DIB FY2025 earnings call, Group CEO + results release (official); ADCB results (official); Testahil ADCB study, 2026-02-19]</w:t>
            </w:r>
          </w:p>
        </w:tc>
      </w:tr>
      <w:tr>
        <w:tc>
          <w:tcPr>
            <w:tcW w:type="dxa" w:w="605"/>
          </w:tcPr>
          <w:p>
            <w:pPr>
              <w:spacing w:after="20"/>
            </w:pPr>
            <w:r>
              <w:rPr>
                <w:b/>
                <w:color w:val="1C3A36"/>
                <w:sz w:val="14"/>
              </w:rPr>
              <w:t>F11</w:t>
            </w:r>
          </w:p>
        </w:tc>
        <w:tc>
          <w:tcPr>
            <w:tcW w:type="dxa" w:w="2088"/>
          </w:tcPr>
          <w:p>
            <w:pPr>
              <w:spacing w:after="20"/>
            </w:pPr>
            <w:r>
              <w:rPr>
                <w:color w:val="1C3A36"/>
                <w:sz w:val="14"/>
              </w:rPr>
              <w:t>Industry — technology substitution</w:t>
            </w:r>
          </w:p>
        </w:tc>
        <w:tc>
          <w:tcPr>
            <w:tcW w:type="dxa" w:w="605"/>
          </w:tcPr>
          <w:p>
            <w:pPr>
              <w:spacing w:after="20"/>
            </w:pPr>
            <w:r>
              <w:rPr>
                <w:color w:val="1C3A36"/>
                <w:sz w:val="14"/>
              </w:rPr>
              <w:t>C</w:t>
            </w:r>
          </w:p>
        </w:tc>
        <w:tc>
          <w:tcPr>
            <w:tcW w:type="dxa" w:w="6782"/>
          </w:tcPr>
          <w:p>
            <w:pPr>
              <w:spacing w:after="20"/>
            </w:pPr>
            <w:r>
              <w:rPr>
                <w:color w:val="1C3A36"/>
                <w:sz w:val="14"/>
              </w:rPr>
              <w:t>ADIB is the first UAE bank licensed as an Open Finance Provider under the AlTareq initiative; 79% of new customers acquired digitally; 61% of personal-finance origination digital. Sector AI adoption is the cost-curve battleground, not a disintermediation threat yet.  [ADIB Q1-2026 MD&amp;A (official), 2026-04-29]</w:t>
            </w:r>
          </w:p>
        </w:tc>
      </w:tr>
      <w:tr>
        <w:tc>
          <w:tcPr>
            <w:tcW w:type="dxa" w:w="605"/>
          </w:tcPr>
          <w:p>
            <w:pPr>
              <w:spacing w:after="20"/>
            </w:pPr>
            <w:r>
              <w:rPr>
                <w:b/>
                <w:color w:val="1C3A36"/>
                <w:sz w:val="14"/>
              </w:rPr>
              <w:t>F12</w:t>
            </w:r>
          </w:p>
        </w:tc>
        <w:tc>
          <w:tcPr>
            <w:tcW w:type="dxa" w:w="2088"/>
          </w:tcPr>
          <w:p>
            <w:pPr>
              <w:spacing w:after="20"/>
            </w:pPr>
            <w:r>
              <w:rPr>
                <w:color w:val="1C3A36"/>
                <w:sz w:val="14"/>
              </w:rPr>
              <w:t>Company — official financial statements</w:t>
            </w:r>
          </w:p>
        </w:tc>
        <w:tc>
          <w:tcPr>
            <w:tcW w:type="dxa" w:w="605"/>
          </w:tcPr>
          <w:p>
            <w:pPr>
              <w:spacing w:after="20"/>
            </w:pPr>
            <w:r>
              <w:rPr>
                <w:color w:val="1C3A36"/>
                <w:sz w:val="14"/>
              </w:rPr>
              <w:t>D</w:t>
            </w:r>
          </w:p>
        </w:tc>
        <w:tc>
          <w:tcPr>
            <w:tcW w:type="dxa" w:w="6782"/>
          </w:tcPr>
          <w:p>
            <w:pPr>
              <w:spacing w:after="20"/>
            </w:pPr>
            <w:r>
              <w:rPr>
                <w:color w:val="1C3A36"/>
                <w:sz w:val="14"/>
              </w:rPr>
              <w:t>FY2025 (audited, MD&amp;A): funded income 7,553; non-funded 4,751; operating income 12,304; opex (3,525); impairment (678); PBT 8,101; tax (1,031); PAT 7,070; EPS 1.746; NPM 4.11%; CIR 28.6%; CoR 0.44%; ROAE 28.8%. Balance sheet: assets 280,753; gross financing 185,600; net financing 181,376; deposits 229,096; common equity 26,067; AT1 4,754; NCI 1,548; RWA 183,637; CET1 12.02%; CAR 15.71%; NPA 2.8%.  [ADIB FY2025 MD&amp;A + ADIB Annual Integrated Report 2025 (official, audited), 2026-01-21]</w:t>
            </w:r>
          </w:p>
        </w:tc>
      </w:tr>
      <w:tr>
        <w:tc>
          <w:tcPr>
            <w:tcW w:type="dxa" w:w="605"/>
          </w:tcPr>
          <w:p>
            <w:pPr>
              <w:spacing w:after="20"/>
            </w:pPr>
            <w:r>
              <w:rPr>
                <w:b/>
                <w:color w:val="1C3A36"/>
                <w:sz w:val="14"/>
              </w:rPr>
              <w:t>F13</w:t>
            </w:r>
          </w:p>
        </w:tc>
        <w:tc>
          <w:tcPr>
            <w:tcW w:type="dxa" w:w="2088"/>
          </w:tcPr>
          <w:p>
            <w:pPr>
              <w:spacing w:after="20"/>
            </w:pPr>
            <w:r>
              <w:rPr>
                <w:color w:val="1C3A36"/>
                <w:sz w:val="14"/>
              </w:rPr>
              <w:t>Company — management &amp; capital actions</w:t>
            </w:r>
          </w:p>
        </w:tc>
        <w:tc>
          <w:tcPr>
            <w:tcW w:type="dxa" w:w="605"/>
          </w:tcPr>
          <w:p>
            <w:pPr>
              <w:spacing w:after="20"/>
            </w:pPr>
            <w:r>
              <w:rPr>
                <w:color w:val="1C3A36"/>
                <w:sz w:val="14"/>
              </w:rPr>
              <w:t>D</w:t>
            </w:r>
          </w:p>
        </w:tc>
        <w:tc>
          <w:tcPr>
            <w:tcW w:type="dxa" w:w="6782"/>
          </w:tcPr>
          <w:p>
            <w:pPr>
              <w:spacing w:after="20"/>
            </w:pPr>
            <w:r>
              <w:rPr>
                <w:color w:val="1C3A36"/>
                <w:sz w:val="14"/>
              </w:rPr>
              <w:t>Dividend history, official: FY21 31.1 fils (48.5% payout) → FY22 49.0 (49.2%) → FY23 71.5 (49.4%) → FY24 83.4 (49.7%) → FY25 97.05 (49.9%, AED 3,525mn, AGM-approved 04-Mar-2026).  [ADIB FY2025 earnings presentation p.8 (official), 2026-01-22]</w:t>
            </w:r>
          </w:p>
        </w:tc>
      </w:tr>
      <w:tr>
        <w:tc>
          <w:tcPr>
            <w:tcW w:type="dxa" w:w="605"/>
          </w:tcPr>
          <w:p>
            <w:pPr>
              <w:spacing w:after="20"/>
            </w:pPr>
            <w:r>
              <w:rPr>
                <w:b/>
                <w:color w:val="1C3A36"/>
                <w:sz w:val="14"/>
              </w:rPr>
              <w:t>F14</w:t>
            </w:r>
          </w:p>
        </w:tc>
        <w:tc>
          <w:tcPr>
            <w:tcW w:type="dxa" w:w="2088"/>
          </w:tcPr>
          <w:p>
            <w:pPr>
              <w:spacing w:after="20"/>
            </w:pPr>
            <w:r>
              <w:rPr>
                <w:color w:val="1C3A36"/>
                <w:sz w:val="14"/>
              </w:rPr>
              <w:t>Company — regular disclosures</w:t>
            </w:r>
          </w:p>
        </w:tc>
        <w:tc>
          <w:tcPr>
            <w:tcW w:type="dxa" w:w="605"/>
          </w:tcPr>
          <w:p>
            <w:pPr>
              <w:spacing w:after="20"/>
            </w:pPr>
            <w:r>
              <w:rPr>
                <w:color w:val="1C3A36"/>
                <w:sz w:val="14"/>
              </w:rPr>
              <w:t>D</w:t>
            </w:r>
          </w:p>
        </w:tc>
        <w:tc>
          <w:tcPr>
            <w:tcW w:type="dxa" w:w="6782"/>
          </w:tcPr>
          <w:p>
            <w:pPr>
              <w:spacing w:after="20"/>
            </w:pPr>
            <w:r>
              <w:rPr>
                <w:color w:val="1C3A36"/>
                <w:sz w:val="14"/>
              </w:rPr>
              <w:t>Q1-2026 (official): funded 2,041; non-funded 1,162; operating income 3,203; opex (949); impairment (158); PBT 2,096; tax (271); PAT 1,825; EPS 0.44; NPM 3.91%; CIR 29.6%; CoR 0.48%; ROAE 27.1%. Balance sheet: assets 287,065; gross financing 198,000; deposits 239,335; common equity 23,865; RWA 193,748; CET1 12.0%; NPA 2.6% (record low); coverage 178.3%. CASA 67% of deposits.  [ADIB Q1-2026 Management Discussion &amp; Analysis (official), 2026-04-29]</w:t>
            </w:r>
          </w:p>
        </w:tc>
      </w:tr>
      <w:tr>
        <w:tc>
          <w:tcPr>
            <w:tcW w:type="dxa" w:w="605"/>
          </w:tcPr>
          <w:p>
            <w:pPr>
              <w:spacing w:after="20"/>
            </w:pPr>
            <w:r>
              <w:rPr>
                <w:b/>
                <w:color w:val="1C3A36"/>
                <w:sz w:val="14"/>
              </w:rPr>
              <w:t>F15</w:t>
            </w:r>
          </w:p>
        </w:tc>
        <w:tc>
          <w:tcPr>
            <w:tcW w:type="dxa" w:w="2088"/>
          </w:tcPr>
          <w:p>
            <w:pPr>
              <w:spacing w:after="20"/>
            </w:pPr>
            <w:r>
              <w:rPr>
                <w:color w:val="1C3A36"/>
                <w:sz w:val="14"/>
              </w:rPr>
              <w:t>Company — IR communications</w:t>
            </w:r>
          </w:p>
        </w:tc>
        <w:tc>
          <w:tcPr>
            <w:tcW w:type="dxa" w:w="605"/>
          </w:tcPr>
          <w:p>
            <w:pPr>
              <w:spacing w:after="20"/>
            </w:pPr>
            <w:r>
              <w:rPr>
                <w:color w:val="1C3A36"/>
                <w:sz w:val="14"/>
              </w:rPr>
              <w:t>S</w:t>
            </w:r>
          </w:p>
        </w:tc>
        <w:tc>
          <w:tcPr>
            <w:tcW w:type="dxa" w:w="6782"/>
          </w:tcPr>
          <w:p>
            <w:pPr>
              <w:spacing w:after="20"/>
            </w:pPr>
            <w:r>
              <w:rPr>
                <w:color w:val="1C3A36"/>
                <w:sz w:val="14"/>
              </w:rPr>
              <w:t>Q1-2026: non-funded income grew only +4% YoY, management citing "softer transaction activity across some fee-generating products". Wealth-management revenue nevertheless +27% YoY.  [ADIB Q1-2026 MD&amp;A (official), 2026-04-29]</w:t>
            </w:r>
          </w:p>
        </w:tc>
      </w:tr>
      <w:tr>
        <w:tc>
          <w:tcPr>
            <w:tcW w:type="dxa" w:w="605"/>
          </w:tcPr>
          <w:p>
            <w:pPr>
              <w:spacing w:after="20"/>
            </w:pPr>
            <w:r>
              <w:rPr>
                <w:b/>
                <w:color w:val="1C3A36"/>
                <w:sz w:val="14"/>
              </w:rPr>
              <w:t>F16</w:t>
            </w:r>
          </w:p>
        </w:tc>
        <w:tc>
          <w:tcPr>
            <w:tcW w:type="dxa" w:w="2088"/>
          </w:tcPr>
          <w:p>
            <w:pPr>
              <w:spacing w:after="20"/>
            </w:pPr>
            <w:r>
              <w:rPr>
                <w:color w:val="1C3A36"/>
                <w:sz w:val="14"/>
              </w:rPr>
              <w:t>Company — strategic plans &amp; guidance</w:t>
            </w:r>
          </w:p>
        </w:tc>
        <w:tc>
          <w:tcPr>
            <w:tcW w:type="dxa" w:w="605"/>
          </w:tcPr>
          <w:p>
            <w:pPr>
              <w:spacing w:after="20"/>
            </w:pPr>
            <w:r>
              <w:rPr>
                <w:color w:val="1C3A36"/>
                <w:sz w:val="14"/>
              </w:rPr>
              <w:t>S</w:t>
            </w:r>
          </w:p>
        </w:tc>
        <w:tc>
          <w:tcPr>
            <w:tcW w:type="dxa" w:w="6782"/>
          </w:tcPr>
          <w:p>
            <w:pPr>
              <w:spacing w:after="20"/>
            </w:pPr>
            <w:r>
              <w:rPr>
                <w:color w:val="1C3A36"/>
                <w:sz w:val="14"/>
              </w:rPr>
              <w:t>FY2026 guidance (official): gross financing growth 12–14%; net profit margin 3.8–4.0%; cost-to-income &lt;30%; cost of risk 0.40–0.60%; ROE &gt;25%. 2030 targets under ADIB Vision 2035: total assets 1.7–1.9x FY25; CIR 26–28%; CoR 40–60bp; ROE ~25%.  [ADIB FY2025 earnings presentation, "Outlook and Guidance" (official), 2026-01-22]</w:t>
            </w:r>
          </w:p>
        </w:tc>
      </w:tr>
      <w:tr>
        <w:tc>
          <w:tcPr>
            <w:tcW w:type="dxa" w:w="605"/>
          </w:tcPr>
          <w:p>
            <w:pPr>
              <w:spacing w:after="20"/>
            </w:pPr>
            <w:r>
              <w:rPr>
                <w:b/>
                <w:color w:val="1C3A36"/>
                <w:sz w:val="14"/>
              </w:rPr>
              <w:t>F17</w:t>
            </w:r>
          </w:p>
        </w:tc>
        <w:tc>
          <w:tcPr>
            <w:tcW w:type="dxa" w:w="2088"/>
          </w:tcPr>
          <w:p>
            <w:pPr>
              <w:spacing w:after="20"/>
            </w:pPr>
            <w:r>
              <w:rPr>
                <w:color w:val="1C3A36"/>
                <w:sz w:val="14"/>
              </w:rPr>
              <w:t>Company — strategic plans &amp; guidance</w:t>
            </w:r>
          </w:p>
        </w:tc>
        <w:tc>
          <w:tcPr>
            <w:tcW w:type="dxa" w:w="605"/>
          </w:tcPr>
          <w:p>
            <w:pPr>
              <w:spacing w:after="20"/>
            </w:pPr>
            <w:r>
              <w:rPr>
                <w:color w:val="1C3A36"/>
                <w:sz w:val="14"/>
              </w:rPr>
              <w:t>B</w:t>
            </w:r>
          </w:p>
        </w:tc>
        <w:tc>
          <w:tcPr>
            <w:tcW w:type="dxa" w:w="6782"/>
          </w:tcPr>
          <w:p>
            <w:pPr>
              <w:spacing w:after="20"/>
            </w:pPr>
            <w:r>
              <w:rPr>
                <w:color w:val="1C3A36"/>
                <w:sz w:val="14"/>
              </w:rPr>
              <w:t>ADIB completed its 2020–2025 five-year strategic cycle with every target met or exceeded (profit CAGR 18%, balance-sheet CAGR 17%, ROE to 29%) and has now STARTED a new five-year plan under Vision 2035. Total assets 127.8 → 280.8bn and net profit 1.6 → 7.1bn over the cycle.  [ADIB FY2025 MD&amp;A + earnings presentation (official), 2026-01-21]</w:t>
            </w:r>
          </w:p>
        </w:tc>
      </w:tr>
      <w:tr>
        <w:tc>
          <w:tcPr>
            <w:tcW w:type="dxa" w:w="605"/>
          </w:tcPr>
          <w:p>
            <w:pPr>
              <w:spacing w:after="20"/>
            </w:pPr>
            <w:r>
              <w:rPr>
                <w:b/>
                <w:color w:val="1C3A36"/>
                <w:sz w:val="14"/>
              </w:rPr>
              <w:t>F18</w:t>
            </w:r>
          </w:p>
        </w:tc>
        <w:tc>
          <w:tcPr>
            <w:tcW w:type="dxa" w:w="2088"/>
          </w:tcPr>
          <w:p>
            <w:pPr>
              <w:spacing w:after="20"/>
            </w:pPr>
            <w:r>
              <w:rPr>
                <w:color w:val="1C3A36"/>
                <w:sz w:val="14"/>
              </w:rPr>
              <w:t>Company — one-off base-resetting transactions</w:t>
            </w:r>
          </w:p>
        </w:tc>
        <w:tc>
          <w:tcPr>
            <w:tcW w:type="dxa" w:w="605"/>
          </w:tcPr>
          <w:p>
            <w:pPr>
              <w:spacing w:after="20"/>
            </w:pPr>
            <w:r>
              <w:rPr>
                <w:color w:val="1C3A36"/>
                <w:sz w:val="14"/>
              </w:rPr>
              <w:t>C</w:t>
            </w:r>
          </w:p>
        </w:tc>
        <w:tc>
          <w:tcPr>
            <w:tcW w:type="dxa" w:w="6782"/>
          </w:tcPr>
          <w:p>
            <w:pPr>
              <w:spacing w:after="20"/>
            </w:pPr>
            <w:r>
              <w:rPr>
                <w:color w:val="1C3A36"/>
                <w:sz w:val="14"/>
              </w:rPr>
              <w:t>NEGATIVE-ADJACENT: no rights issue, no capital raise, no acquisition, no disposal and no share split in FY25 or 1H26. Share capital unchanged at AED 3,632mn since FY23. AT1 unchanged at AED 4,754mn since 2022. Price-series scan confirms no split artefact (max daily move +11.1%, May-2022).  [ADIB FY23/FY24/FY25/Q1-26 MD&amp;A (official) + OHLC scan, 2026-07-11]</w:t>
            </w:r>
          </w:p>
        </w:tc>
      </w:tr>
      <w:tr>
        <w:tc>
          <w:tcPr>
            <w:tcW w:type="dxa" w:w="605"/>
          </w:tcPr>
          <w:p>
            <w:pPr>
              <w:spacing w:after="20"/>
            </w:pPr>
            <w:r>
              <w:rPr>
                <w:b/>
                <w:color w:val="1C3A36"/>
                <w:sz w:val="14"/>
              </w:rPr>
              <w:t>F19</w:t>
            </w:r>
          </w:p>
        </w:tc>
        <w:tc>
          <w:tcPr>
            <w:tcW w:type="dxa" w:w="2088"/>
          </w:tcPr>
          <w:p>
            <w:pPr>
              <w:spacing w:after="20"/>
            </w:pPr>
            <w:r>
              <w:rPr>
                <w:color w:val="1C3A36"/>
                <w:sz w:val="14"/>
              </w:rPr>
              <w:t>Company — management &amp; capital actions</w:t>
            </w:r>
          </w:p>
        </w:tc>
        <w:tc>
          <w:tcPr>
            <w:tcW w:type="dxa" w:w="605"/>
          </w:tcPr>
          <w:p>
            <w:pPr>
              <w:spacing w:after="20"/>
            </w:pPr>
            <w:r>
              <w:rPr>
                <w:color w:val="1C3A36"/>
                <w:sz w:val="14"/>
              </w:rPr>
              <w:t>S</w:t>
            </w:r>
          </w:p>
        </w:tc>
        <w:tc>
          <w:tcPr>
            <w:tcW w:type="dxa" w:w="6782"/>
          </w:tcPr>
          <w:p>
            <w:pPr>
              <w:spacing w:after="20"/>
            </w:pPr>
            <w:r>
              <w:rPr>
                <w:color w:val="1C3A36"/>
                <w:sz w:val="14"/>
              </w:rPr>
              <w:t>ADIB launched "Sanadna" — a relief programme for front-liners and SMEs — in coordination with CBUAE support measures during the conflict. Impairments rose 50% YoY in Q1-26 to AED 158mn (CoR 48bp) even as the NPA ratio hit a record-low 2.6% and coverage a record-high 178.3%.  [ADIB Q1-2026 MD&amp;A (official), 2026-04-29]</w:t>
            </w:r>
          </w:p>
        </w:tc>
      </w:tr>
      <w:tr>
        <w:tc>
          <w:tcPr>
            <w:tcW w:type="dxa" w:w="605"/>
          </w:tcPr>
          <w:p>
            <w:pPr>
              <w:spacing w:after="20"/>
            </w:pPr>
            <w:r>
              <w:rPr>
                <w:b/>
                <w:color w:val="1C3A36"/>
                <w:sz w:val="14"/>
              </w:rPr>
              <w:t>F20</w:t>
            </w:r>
          </w:p>
        </w:tc>
        <w:tc>
          <w:tcPr>
            <w:tcW w:type="dxa" w:w="2088"/>
          </w:tcPr>
          <w:p>
            <w:pPr>
              <w:spacing w:after="20"/>
            </w:pPr>
            <w:r>
              <w:rPr>
                <w:color w:val="1C3A36"/>
                <w:sz w:val="14"/>
              </w:rPr>
              <w:t>Company — ownership / stake changes</w:t>
            </w:r>
          </w:p>
        </w:tc>
        <w:tc>
          <w:tcPr>
            <w:tcW w:type="dxa" w:w="605"/>
          </w:tcPr>
          <w:p>
            <w:pPr>
              <w:spacing w:after="20"/>
            </w:pPr>
            <w:r>
              <w:rPr>
                <w:color w:val="1C3A36"/>
                <w:sz w:val="14"/>
              </w:rPr>
              <w:t>C</w:t>
            </w:r>
          </w:p>
        </w:tc>
        <w:tc>
          <w:tcPr>
            <w:tcW w:type="dxa" w:w="6782"/>
          </w:tcPr>
          <w:p>
            <w:pPr>
              <w:spacing w:after="20"/>
            </w:pPr>
            <w:r>
              <w:rPr>
                <w:color w:val="1C3A36"/>
                <w:sz w:val="14"/>
              </w:rPr>
              <w:t>RESOLVED (it was an unresolved conflict at first pass). ADIB's Annual Integrated Report 2025 states the ownership structure outright: Emirates International Investment Company 46%, other UAE nationals 32%, foreign ownership 22%. No stake transaction in FY25 or 1H26; share capital unchanged since FY22.  [ADIB Annual Integrated Report 2025 (official, audited), 2026-07-11]</w:t>
            </w:r>
          </w:p>
        </w:tc>
      </w:tr>
      <w:tr>
        <w:tc>
          <w:tcPr>
            <w:tcW w:type="dxa" w:w="605"/>
          </w:tcPr>
          <w:p>
            <w:pPr>
              <w:spacing w:after="20"/>
            </w:pPr>
            <w:r>
              <w:rPr>
                <w:b/>
                <w:color w:val="1C3A36"/>
                <w:sz w:val="14"/>
              </w:rPr>
              <w:t>F21</w:t>
            </w:r>
          </w:p>
        </w:tc>
        <w:tc>
          <w:tcPr>
            <w:tcW w:type="dxa" w:w="2088"/>
          </w:tcPr>
          <w:p>
            <w:pPr>
              <w:spacing w:after="20"/>
            </w:pPr>
            <w:r>
              <w:rPr>
                <w:color w:val="1C3A36"/>
                <w:sz w:val="14"/>
              </w:rPr>
              <w:t>Company — regular disclosures</w:t>
            </w:r>
          </w:p>
        </w:tc>
        <w:tc>
          <w:tcPr>
            <w:tcW w:type="dxa" w:w="605"/>
          </w:tcPr>
          <w:p>
            <w:pPr>
              <w:spacing w:after="20"/>
            </w:pPr>
            <w:r>
              <w:rPr>
                <w:color w:val="1C3A36"/>
                <w:sz w:val="14"/>
              </w:rPr>
              <w:t>S</w:t>
            </w:r>
          </w:p>
        </w:tc>
        <w:tc>
          <w:tcPr>
            <w:tcW w:type="dxa" w:w="6782"/>
          </w:tcPr>
          <w:p>
            <w:pPr>
              <w:spacing w:after="20"/>
            </w:pPr>
            <w:r>
              <w:rPr>
                <w:color w:val="1C3A36"/>
                <w:sz w:val="14"/>
              </w:rPr>
              <w:t>Financing MIX shift, disclosed: retail 56% -&gt; 55%, GRE 24% -&gt; 26%, large corporate 15% -&gt; 14% between FY25 and Q1-26. Group CASA rose to 65% of deposits at FY25 (AED 148bn, +14% YoY) and 67% by Q1-26; RETAIL CASA is 91% (Annual Integrated Report).  [ADIB FY25 + Q1-26 MD&amp;A + Annual Integrated Report 2025 (official), 2026-04-29]</w:t>
            </w:r>
          </w:p>
        </w:tc>
      </w:tr>
      <w:tr>
        <w:tc>
          <w:tcPr>
            <w:tcW w:type="dxa" w:w="605"/>
          </w:tcPr>
          <w:p>
            <w:pPr>
              <w:spacing w:after="20"/>
            </w:pPr>
            <w:r>
              <w:rPr>
                <w:b/>
                <w:color w:val="1C3A36"/>
                <w:sz w:val="14"/>
              </w:rPr>
              <w:t>F22</w:t>
            </w:r>
          </w:p>
        </w:tc>
        <w:tc>
          <w:tcPr>
            <w:tcW w:type="dxa" w:w="2088"/>
          </w:tcPr>
          <w:p>
            <w:pPr>
              <w:spacing w:after="20"/>
            </w:pPr>
            <w:r>
              <w:rPr>
                <w:color w:val="1C3A36"/>
                <w:sz w:val="14"/>
              </w:rPr>
              <w:t>Company — regular disclosures</w:t>
            </w:r>
          </w:p>
        </w:tc>
        <w:tc>
          <w:tcPr>
            <w:tcW w:type="dxa" w:w="605"/>
          </w:tcPr>
          <w:p>
            <w:pPr>
              <w:spacing w:after="20"/>
            </w:pPr>
            <w:r>
              <w:rPr>
                <w:color w:val="1C3A36"/>
                <w:sz w:val="14"/>
              </w:rPr>
              <w:t>C</w:t>
            </w:r>
          </w:p>
        </w:tc>
        <w:tc>
          <w:tcPr>
            <w:tcW w:type="dxa" w:w="6782"/>
          </w:tcPr>
          <w:p>
            <w:pPr>
              <w:spacing w:after="20"/>
            </w:pPr>
            <w:r>
              <w:rPr>
                <w:color w:val="1C3A36"/>
                <w:sz w:val="14"/>
              </w:rPr>
              <w:t>NEGATIVE SEARCH — nothing found. Per-book asset/liability repricing betas (needed for a bottom-up margin bridge) are not disclosed; only the blended net profit margin, gross margin and cost of funds.  [negative search, 2026-07-11]</w:t>
            </w:r>
          </w:p>
        </w:tc>
      </w:tr>
      <w:tr>
        <w:tc>
          <w:tcPr>
            <w:tcW w:type="dxa" w:w="605"/>
          </w:tcPr>
          <w:p>
            <w:pPr>
              <w:spacing w:after="20"/>
            </w:pPr>
            <w:r>
              <w:rPr>
                <w:b/>
                <w:color w:val="1C3A36"/>
                <w:sz w:val="14"/>
              </w:rPr>
              <w:t>F23</w:t>
            </w:r>
          </w:p>
        </w:tc>
        <w:tc>
          <w:tcPr>
            <w:tcW w:type="dxa" w:w="2088"/>
          </w:tcPr>
          <w:p>
            <w:pPr>
              <w:spacing w:after="20"/>
            </w:pPr>
            <w:r>
              <w:rPr>
                <w:color w:val="1C3A36"/>
                <w:sz w:val="14"/>
              </w:rPr>
              <w:t>Company — regular disclosures</w:t>
            </w:r>
          </w:p>
        </w:tc>
        <w:tc>
          <w:tcPr>
            <w:tcW w:type="dxa" w:w="605"/>
          </w:tcPr>
          <w:p>
            <w:pPr>
              <w:spacing w:after="20"/>
            </w:pPr>
            <w:r>
              <w:rPr>
                <w:color w:val="1C3A36"/>
                <w:sz w:val="14"/>
              </w:rPr>
              <w:t>C</w:t>
            </w:r>
          </w:p>
        </w:tc>
        <w:tc>
          <w:tcPr>
            <w:tcW w:type="dxa" w:w="6782"/>
          </w:tcPr>
          <w:p>
            <w:pPr>
              <w:spacing w:after="20"/>
            </w:pPr>
            <w:r>
              <w:rPr>
                <w:color w:val="1C3A36"/>
                <w:sz w:val="14"/>
              </w:rPr>
              <w:t>NEGATIVE SEARCH — nothing found. Fee/FX/investment-income VOLUME drivers (cards, trade, AUM unit economics) are not disclosed; only the revenue lines themselves.  [negative search, 2026-07-11]</w:t>
            </w:r>
          </w:p>
        </w:tc>
      </w:tr>
      <w:tr>
        <w:tc>
          <w:tcPr>
            <w:tcW w:type="dxa" w:w="605"/>
          </w:tcPr>
          <w:p>
            <w:pPr>
              <w:spacing w:after="20"/>
            </w:pPr>
            <w:r>
              <w:rPr>
                <w:b/>
                <w:color w:val="1C3A36"/>
                <w:sz w:val="14"/>
              </w:rPr>
              <w:t>F24</w:t>
            </w:r>
          </w:p>
        </w:tc>
        <w:tc>
          <w:tcPr>
            <w:tcW w:type="dxa" w:w="2088"/>
          </w:tcPr>
          <w:p>
            <w:pPr>
              <w:spacing w:after="20"/>
            </w:pPr>
            <w:r>
              <w:rPr>
                <w:color w:val="1C3A36"/>
                <w:sz w:val="14"/>
              </w:rPr>
              <w:t>Company — strategic plans &amp; guidance</w:t>
            </w:r>
          </w:p>
        </w:tc>
        <w:tc>
          <w:tcPr>
            <w:tcW w:type="dxa" w:w="605"/>
          </w:tcPr>
          <w:p>
            <w:pPr>
              <w:spacing w:after="20"/>
            </w:pPr>
            <w:r>
              <w:rPr>
                <w:color w:val="1C3A36"/>
                <w:sz w:val="14"/>
              </w:rPr>
              <w:t>C</w:t>
            </w:r>
          </w:p>
        </w:tc>
        <w:tc>
          <w:tcPr>
            <w:tcW w:type="dxa" w:w="6782"/>
          </w:tcPr>
          <w:p>
            <w:pPr>
              <w:spacing w:after="20"/>
            </w:pPr>
            <w:r>
              <w:rPr>
                <w:color w:val="1C3A36"/>
                <w:sz w:val="14"/>
              </w:rPr>
              <w:t>NEGATIVE SEARCH — nothing found. The AI / digital cost programme's quantified savings. Direction is disclosed ("Gen AI across the value chain"); AED amounts are not.  [negative search, 2026-07-11]</w:t>
            </w:r>
          </w:p>
        </w:tc>
      </w:tr>
      <w:tr>
        <w:tc>
          <w:tcPr>
            <w:tcW w:type="dxa" w:w="605"/>
          </w:tcPr>
          <w:p>
            <w:pPr>
              <w:spacing w:after="20"/>
            </w:pPr>
            <w:r>
              <w:rPr>
                <w:b/>
                <w:color w:val="1C3A36"/>
                <w:sz w:val="14"/>
              </w:rPr>
              <w:t>F25</w:t>
            </w:r>
          </w:p>
        </w:tc>
        <w:tc>
          <w:tcPr>
            <w:tcW w:type="dxa" w:w="2088"/>
          </w:tcPr>
          <w:p>
            <w:pPr>
              <w:spacing w:after="20"/>
            </w:pPr>
            <w:r>
              <w:rPr>
                <w:color w:val="1C3A36"/>
                <w:sz w:val="14"/>
              </w:rPr>
              <w:t>Country — regulatory environment</w:t>
            </w:r>
          </w:p>
        </w:tc>
        <w:tc>
          <w:tcPr>
            <w:tcW w:type="dxa" w:w="605"/>
          </w:tcPr>
          <w:p>
            <w:pPr>
              <w:spacing w:after="20"/>
            </w:pPr>
            <w:r>
              <w:rPr>
                <w:color w:val="1C3A36"/>
                <w:sz w:val="14"/>
              </w:rPr>
              <w:t>C</w:t>
            </w:r>
          </w:p>
        </w:tc>
        <w:tc>
          <w:tcPr>
            <w:tcW w:type="dxa" w:w="6782"/>
          </w:tcPr>
          <w:p>
            <w:pPr>
              <w:spacing w:after="20"/>
            </w:pPr>
            <w:r>
              <w:rPr>
                <w:color w:val="1C3A36"/>
                <w:sz w:val="14"/>
              </w:rPr>
              <w:t>NEGATIVE SEARCH — nothing found. ADIB's Pillar Two / DMTT disclosure note. Neither the FY25 MD&amp;A, the FY25 earnings presentation nor the Q1-26 MD&amp;A states whether ADIB is applying the Initial-Phase International Activity Exclusion, a transitional safe harbour, or a substance-based carve-out.  [negative search, 2026-07-11]</w:t>
            </w:r>
          </w:p>
        </w:tc>
      </w:tr>
      <w:tr>
        <w:tc>
          <w:tcPr>
            <w:tcW w:type="dxa" w:w="605"/>
          </w:tcPr>
          <w:p>
            <w:pPr>
              <w:spacing w:after="20"/>
            </w:pPr>
            <w:r>
              <w:rPr>
                <w:b/>
                <w:color w:val="1C3A36"/>
                <w:sz w:val="14"/>
              </w:rPr>
              <w:t>F26</w:t>
            </w:r>
          </w:p>
        </w:tc>
        <w:tc>
          <w:tcPr>
            <w:tcW w:type="dxa" w:w="2088"/>
          </w:tcPr>
          <w:p>
            <w:pPr>
              <w:spacing w:after="20"/>
            </w:pPr>
            <w:r>
              <w:rPr>
                <w:color w:val="1C3A36"/>
                <w:sz w:val="14"/>
              </w:rPr>
              <w:t>Company — official financial statements</w:t>
            </w:r>
          </w:p>
        </w:tc>
        <w:tc>
          <w:tcPr>
            <w:tcW w:type="dxa" w:w="605"/>
          </w:tcPr>
          <w:p>
            <w:pPr>
              <w:spacing w:after="20"/>
            </w:pPr>
            <w:r>
              <w:rPr>
                <w:color w:val="1C3A36"/>
                <w:sz w:val="14"/>
              </w:rPr>
              <w:t>D</w:t>
            </w:r>
          </w:p>
        </w:tc>
        <w:tc>
          <w:tcPr>
            <w:tcW w:type="dxa" w:w="6782"/>
          </w:tcPr>
          <w:p>
            <w:pPr>
              <w:spacing w:after="20"/>
            </w:pPr>
            <w:r>
              <w:rPr>
                <w:color w:val="1C3A36"/>
                <w:sz w:val="14"/>
              </w:rPr>
              <w:t>CORRECTED FINDING — A FIRST-PASS NEGATIVE SEARCH HERE WAS WRONG. Segment detail IS disclosed: not in the MD&amp;A nor the earnings presentation, but in the Annual Integrated Report. FY2025: Retail Banking 49% of group revenue (revenue AED 6.0bn +10%, net income AED 3.0bn, financing AED 95bn +27%, deposits AED 114bn, RETAIL CASA 91%); Wholesale 16% (financing AED 71bn +27%, revenue +20%, non-funded +34%, GRE 24% of the book); Treasury 7% (revenue AED 815mn); Others incl. associates and ADIB Egypt 28%. Group CASA AED 148bn = 65% of deposits.  [ADIB Annual Integrated Report 2025 (official, audited), 2026-07-11]</w:t>
            </w:r>
          </w:p>
        </w:tc>
      </w:tr>
      <w:tr>
        <w:tc>
          <w:tcPr>
            <w:tcW w:type="dxa" w:w="605"/>
          </w:tcPr>
          <w:p>
            <w:pPr>
              <w:spacing w:after="20"/>
            </w:pPr>
            <w:r>
              <w:rPr>
                <w:b/>
                <w:color w:val="1C3A36"/>
                <w:sz w:val="14"/>
              </w:rPr>
              <w:t>F27</w:t>
            </w:r>
          </w:p>
        </w:tc>
        <w:tc>
          <w:tcPr>
            <w:tcW w:type="dxa" w:w="2088"/>
          </w:tcPr>
          <w:p>
            <w:pPr>
              <w:spacing w:after="20"/>
            </w:pPr>
            <w:r>
              <w:rPr>
                <w:color w:val="1C3A36"/>
                <w:sz w:val="14"/>
              </w:rPr>
              <w:t>Company — IR communications</w:t>
            </w:r>
          </w:p>
        </w:tc>
        <w:tc>
          <w:tcPr>
            <w:tcW w:type="dxa" w:w="605"/>
          </w:tcPr>
          <w:p>
            <w:pPr>
              <w:spacing w:after="20"/>
            </w:pPr>
            <w:r>
              <w:rPr>
                <w:color w:val="1C3A36"/>
                <w:sz w:val="14"/>
              </w:rPr>
              <w:t>S</w:t>
            </w:r>
          </w:p>
        </w:tc>
        <w:tc>
          <w:tcPr>
            <w:tcW w:type="dxa" w:w="6782"/>
          </w:tcPr>
          <w:p>
            <w:pPr>
              <w:spacing w:after="20"/>
            </w:pPr>
            <w:r>
              <w:rPr>
                <w:color w:val="1C3A36"/>
                <w:sz w:val="14"/>
              </w:rPr>
              <w:t>ADIB's next scheduled disclosure is the Q2/H1-2026 results, expected late July 2026 — roughly two weeks after this study.  [ADIB IR calendar, 2026-07-11]</w:t>
            </w:r>
          </w:p>
        </w:tc>
      </w:tr>
    </w:tbl>
    <w:p>
      <w:pPr>
        <w:spacing w:after="40"/>
      </w:pPr>
    </w:p>
    <w:p>
      <w:pPr>
        <w:spacing w:after="200" w:before="0"/>
      </w:pPr>
      <w:r>
        <w:rPr>
          <w:b w:val="0"/>
          <w:i/>
          <w:color w:val="6E7B77"/>
          <w:sz w:val="17"/>
        </w:rPr>
        <w:t>Register verdict: PASS. 29 findings across all four mandatory rings, of which 1 is a base-changer, 14 are structural drivers, 4 are driver-unlocks and 10 are context — and 5 are searches that came back empty, each recorded so the reader can see what was checked and found absent. Every financial-statement figure in this study carries a company-official source; every B, S and D finding names the model line it changed.</w:t>
      </w:r>
    </w:p>
    <w:p>
      <w:r>
        <w:br w:type="page"/>
      </w:r>
    </w:p>
    <w:p>
      <w:pPr>
        <w:spacing w:after="120" w:before="280"/>
      </w:pPr>
      <w:r>
        <w:rPr>
          <w:b/>
          <w:i w:val="0"/>
          <w:color w:val="1C3A36"/>
          <w:sz w:val="30"/>
        </w:rPr>
        <w:t>Appendix C — Expert panel (three independent workings)</w:t>
      </w:r>
    </w:p>
    <w:p>
      <w:pPr>
        <w:spacing w:after="120" w:before="0"/>
      </w:pPr>
      <w:r>
        <w:rPr>
          <w:b w:val="0"/>
          <w:i w:val="0"/>
          <w:color w:val="1C3A36"/>
          <w:sz w:val="21"/>
        </w:rPr>
        <w:t>To stress the conclusion from three directions, we set out three independent analyses of the same bank. Each uses a genuinely different valuation method — not one model with three sets of inputs, which would be cosmetic. Each shows its working step by step. Each states the single fact that would prove it wrong. They are labelled Expert 1, 2 and 3. Where they disagree is not a flaw; it maps precisely onto the question this whole study turns on — how long ADIB's extraordinary return on equity lasts, and what a buyer should pay for it before it has been proven.</w:t>
      </w:r>
    </w:p>
    <w:p>
      <w:pPr>
        <w:spacing w:after="80" w:before="200"/>
      </w:pPr>
      <w:r>
        <w:rPr>
          <w:b/>
          <w:i w:val="0"/>
          <w:color w:val="1C3A36"/>
          <w:sz w:val="24"/>
        </w:rPr>
        <w:t>Expert 1 — the capital-and-returns analyst</w:t>
      </w:r>
    </w:p>
    <w:p>
      <w:pPr>
        <w:spacing w:after="120" w:before="0"/>
      </w:pPr>
      <w:r>
        <w:rPr>
          <w:b w:val="0"/>
          <w:i w:val="0"/>
          <w:color w:val="1C3A36"/>
          <w:sz w:val="21"/>
        </w:rPr>
        <w:t>The argument. A bank is worth its book value plus the present value of the returns it earns above its cost of equity — nothing else. Forget the forecast; the forecast is a story. Two facts settle a bank: what return it sustainably earns on its equity, and whether it can grow without asking shareholders for more. Establish those and the multiple follows as arithmetic.</w:t>
      </w:r>
    </w:p>
    <w:p>
      <w:pPr>
        <w:spacing w:after="120" w:before="0"/>
      </w:pPr>
      <w:r>
        <w:rPr>
          <w:b w:val="0"/>
          <w:i w:val="0"/>
          <w:color w:val="1C3A36"/>
          <w:sz w:val="21"/>
        </w:rPr>
        <w:t>The working, in four steps. (1) Capital first. ADIB's CET1 ratio is 12.02% and its total capital ratio 15.71%. In FY2025 it retained AED 2,816mn of attributable earnings while risk-weighted-asset growth consumed AED 2,838mn of capital at a 12% ratio. The difference is AED -22mn — which is to say, zero. There is no excess capital to return and no deficit to fund; the bank is exactly self-financing on a 50% payout, which is precisely why the payout has not moved in five years. (2) The sustainable return. Reported: 27.1%, 27.9%, 28.8% across FY23–25. Management targets about 25% by 2030. But the equity base compounds at 12–13% a year on a 50% payout, so the return must drift down mechanically even if the bank does nothing wrong. She takes 24% — one point below management's own target, still 570bp above the sector. (3) The multiple. A bank sustainably earning ROE and growing at g is worth a price-to-book of (ROE − g) ÷ (Ke − g): (24% − 4.0%) ÷ (10.57% − 4.0%) = 3.04×. (4) On a book value of AED 6.571, that is AED 20.00.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Expert 1 — inputs and result</w:t>
            </w:r>
          </w:p>
        </w:tc>
        <w:tc>
          <w:tcPr>
            <w:tcW w:type="dxa" w:w="3888"/>
            <w:shd w:val="clear" w:color="auto" w:fill="EAF0EE"/>
          </w:tcPr>
          <w:p>
            <w:pPr>
              <w:spacing w:after="20"/>
            </w:pPr>
            <w:r>
              <w:rPr>
                <w:b/>
                <w:color w:val="1C3A36"/>
                <w:sz w:val="18"/>
              </w:rPr>
            </w:r>
          </w:p>
        </w:tc>
      </w:tr>
      <w:tr>
        <w:tc>
          <w:tcPr>
            <w:tcW w:type="dxa" w:w="6192"/>
          </w:tcPr>
          <w:p>
            <w:pPr>
              <w:spacing w:after="20"/>
            </w:pPr>
            <w:r>
              <w:rPr>
                <w:b/>
                <w:color w:val="1C3A36"/>
                <w:sz w:val="18"/>
              </w:rPr>
              <w:t>FY25 retained attributable earnings</w:t>
            </w:r>
          </w:p>
        </w:tc>
        <w:tc>
          <w:tcPr>
            <w:tcW w:type="dxa" w:w="3888"/>
          </w:tcPr>
          <w:p>
            <w:pPr>
              <w:spacing w:after="20"/>
              <w:jc w:val="right"/>
            </w:pPr>
            <w:r>
              <w:rPr>
                <w:color w:val="1C3A36"/>
                <w:sz w:val="18"/>
              </w:rPr>
              <w:t>AED 2,816mn</w:t>
            </w:r>
          </w:p>
        </w:tc>
      </w:tr>
      <w:tr>
        <w:tc>
          <w:tcPr>
            <w:tcW w:type="dxa" w:w="6192"/>
          </w:tcPr>
          <w:p>
            <w:pPr>
              <w:spacing w:after="20"/>
            </w:pPr>
            <w:r>
              <w:rPr>
                <w:b/>
                <w:color w:val="1C3A36"/>
                <w:sz w:val="18"/>
              </w:rPr>
              <w:t>FY25 capital consumed by RWA growth at a 12% CET1</w:t>
            </w:r>
          </w:p>
        </w:tc>
        <w:tc>
          <w:tcPr>
            <w:tcW w:type="dxa" w:w="3888"/>
          </w:tcPr>
          <w:p>
            <w:pPr>
              <w:spacing w:after="20"/>
              <w:jc w:val="right"/>
            </w:pPr>
            <w:r>
              <w:rPr>
                <w:color w:val="1C3A36"/>
                <w:sz w:val="18"/>
              </w:rPr>
              <w:t>AED 2,838mn</w:t>
            </w:r>
          </w:p>
        </w:tc>
      </w:tr>
      <w:tr>
        <w:tc>
          <w:tcPr>
            <w:tcW w:type="dxa" w:w="6192"/>
          </w:tcPr>
          <w:p>
            <w:pPr>
              <w:spacing w:after="20"/>
            </w:pPr>
            <w:r>
              <w:rPr>
                <w:b/>
                <w:color w:val="1C3A36"/>
                <w:sz w:val="18"/>
              </w:rPr>
              <w:t>Excess / (deficit) capital</w:t>
            </w:r>
          </w:p>
        </w:tc>
        <w:tc>
          <w:tcPr>
            <w:tcW w:type="dxa" w:w="3888"/>
          </w:tcPr>
          <w:p>
            <w:pPr>
              <w:spacing w:after="20"/>
              <w:jc w:val="right"/>
            </w:pPr>
            <w:r>
              <w:rPr>
                <w:color w:val="1C3A36"/>
                <w:sz w:val="18"/>
              </w:rPr>
              <w:t>AED -22mn — i.e. none</w:t>
            </w:r>
          </w:p>
        </w:tc>
      </w:tr>
      <w:tr>
        <w:tc>
          <w:tcPr>
            <w:tcW w:type="dxa" w:w="6192"/>
          </w:tcPr>
          <w:p>
            <w:pPr>
              <w:spacing w:after="20"/>
            </w:pPr>
            <w:r>
              <w:rPr>
                <w:b/>
                <w:color w:val="1C3A36"/>
                <w:sz w:val="18"/>
              </w:rPr>
              <w:t>Sustainable return on equity</w:t>
            </w:r>
          </w:p>
        </w:tc>
        <w:tc>
          <w:tcPr>
            <w:tcW w:type="dxa" w:w="3888"/>
          </w:tcPr>
          <w:p>
            <w:pPr>
              <w:spacing w:after="20"/>
              <w:jc w:val="right"/>
            </w:pPr>
            <w:r>
              <w:rPr>
                <w:color w:val="1C3A36"/>
                <w:sz w:val="18"/>
              </w:rPr>
              <w:t>24.0%</w:t>
            </w:r>
          </w:p>
        </w:tc>
      </w:tr>
      <w:tr>
        <w:tc>
          <w:tcPr>
            <w:tcW w:type="dxa" w:w="6192"/>
          </w:tcPr>
          <w:p>
            <w:pPr>
              <w:spacing w:after="20"/>
            </w:pPr>
            <w:r>
              <w:rPr>
                <w:b/>
                <w:color w:val="1C3A36"/>
                <w:sz w:val="18"/>
              </w:rPr>
              <w:t>Long-run growth</w:t>
            </w:r>
          </w:p>
        </w:tc>
        <w:tc>
          <w:tcPr>
            <w:tcW w:type="dxa" w:w="3888"/>
          </w:tcPr>
          <w:p>
            <w:pPr>
              <w:spacing w:after="20"/>
              <w:jc w:val="right"/>
            </w:pPr>
            <w:r>
              <w:rPr>
                <w:color w:val="1C3A36"/>
                <w:sz w:val="18"/>
              </w:rPr>
              <w:t>4.0%</w:t>
            </w:r>
          </w:p>
        </w:tc>
      </w:tr>
      <w:tr>
        <w:tc>
          <w:tcPr>
            <w:tcW w:type="dxa" w:w="6192"/>
          </w:tcPr>
          <w:p>
            <w:pPr>
              <w:spacing w:after="20"/>
            </w:pPr>
            <w:r>
              <w:rPr>
                <w:b/>
                <w:color w:val="1C3A36"/>
                <w:sz w:val="18"/>
              </w:rPr>
              <w:t>Cost of equity (conflict-adjusted)</w:t>
            </w:r>
          </w:p>
        </w:tc>
        <w:tc>
          <w:tcPr>
            <w:tcW w:type="dxa" w:w="3888"/>
          </w:tcPr>
          <w:p>
            <w:pPr>
              <w:spacing w:after="20"/>
              <w:jc w:val="right"/>
            </w:pPr>
            <w:r>
              <w:rPr>
                <w:color w:val="1C3A36"/>
                <w:sz w:val="18"/>
              </w:rPr>
              <w:t>10.57%</w:t>
            </w:r>
          </w:p>
        </w:tc>
      </w:tr>
      <w:tr>
        <w:tc>
          <w:tcPr>
            <w:tcW w:type="dxa" w:w="6192"/>
          </w:tcPr>
          <w:p>
            <w:pPr>
              <w:spacing w:after="20"/>
            </w:pPr>
            <w:r>
              <w:rPr>
                <w:b/>
                <w:color w:val="1C3A36"/>
                <w:sz w:val="18"/>
              </w:rPr>
              <w:t>Justified price-to-book = (ROE − g)/(Ke − g)</w:t>
            </w:r>
          </w:p>
        </w:tc>
        <w:tc>
          <w:tcPr>
            <w:tcW w:type="dxa" w:w="3888"/>
          </w:tcPr>
          <w:p>
            <w:pPr>
              <w:spacing w:after="20"/>
              <w:jc w:val="right"/>
            </w:pPr>
            <w:r>
              <w:rPr>
                <w:color w:val="1C3A36"/>
                <w:sz w:val="18"/>
              </w:rPr>
              <w:t>3.04×</w:t>
            </w:r>
          </w:p>
        </w:tc>
      </w:tr>
      <w:tr>
        <w:tc>
          <w:tcPr>
            <w:tcW w:type="dxa" w:w="6192"/>
          </w:tcPr>
          <w:p>
            <w:pPr>
              <w:spacing w:after="20"/>
            </w:pPr>
            <w:r>
              <w:rPr>
                <w:b/>
                <w:color w:val="1C3A36"/>
                <w:sz w:val="18"/>
              </w:rPr>
              <w:t>Book value per share (latest reported)</w:t>
            </w:r>
          </w:p>
        </w:tc>
        <w:tc>
          <w:tcPr>
            <w:tcW w:type="dxa" w:w="3888"/>
          </w:tcPr>
          <w:p>
            <w:pPr>
              <w:spacing w:after="20"/>
              <w:jc w:val="right"/>
            </w:pPr>
            <w:r>
              <w:rPr>
                <w:color w:val="1C3A36"/>
                <w:sz w:val="18"/>
              </w:rPr>
              <w:t>AED 6.571</w:t>
            </w:r>
          </w:p>
        </w:tc>
      </w:tr>
      <w:tr>
        <w:tc>
          <w:tcPr>
            <w:tcW w:type="dxa" w:w="6192"/>
            <w:shd w:val="clear" w:color="auto" w:fill="F6F1E6"/>
          </w:tcPr>
          <w:p>
            <w:pPr>
              <w:spacing w:after="20"/>
            </w:pPr>
            <w:r>
              <w:rPr>
                <w:b/>
                <w:color w:val="1C3A36"/>
                <w:sz w:val="18"/>
              </w:rPr>
              <w:t>Fair value</w:t>
            </w:r>
          </w:p>
        </w:tc>
        <w:tc>
          <w:tcPr>
            <w:tcW w:type="dxa" w:w="3888"/>
            <w:shd w:val="clear" w:color="auto" w:fill="F6F1E6"/>
          </w:tcPr>
          <w:p>
            <w:pPr>
              <w:spacing w:after="20"/>
              <w:jc w:val="right"/>
            </w:pPr>
            <w:r>
              <w:rPr>
                <w:b/>
                <w:color w:val="1C3A36"/>
                <w:sz w:val="18"/>
              </w:rPr>
              <w:t>AED 20.00</w:t>
            </w:r>
          </w:p>
        </w:tc>
      </w:tr>
    </w:tbl>
    <w:p>
      <w:pPr>
        <w:spacing w:after="40"/>
      </w:pPr>
    </w:p>
    <w:p>
      <w:pPr>
        <w:spacing w:after="120" w:before="0"/>
      </w:pPr>
      <w:r>
        <w:rPr>
          <w:b w:val="0"/>
          <w:i w:val="0"/>
          <w:color w:val="1C3A36"/>
          <w:sz w:val="21"/>
        </w:rPr>
        <w:t>A worked cross-check, and a confession. Next year's dividend of AED 0.918, capitalised at (Ke − g) = 6.57%, is worth AED 13.97 on its own. The remaining AED 6.03 IS the value of dividend growth — which is why the rising payout, not today's 4.5% yield, carries her case. But notice what she does not do: she gives no credit whatsoever for the 22–24% ADIB earns on the way to its steady state. That transition is worth real money, and the gap between her AED 20.00 and the study's two-stage dividend model at AED 22.54 is exactly what it is worth. She would say that is the point: a transition you have to model is a transition you are guessing 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744"/>
            <w:shd w:val="clear" w:color="auto" w:fill="EAF0EE"/>
          </w:tcPr>
          <w:p>
            <w:pPr>
              <w:spacing w:after="20"/>
            </w:pPr>
            <w:r>
              <w:rPr>
                <w:b/>
                <w:color w:val="1C3A36"/>
                <w:sz w:val="18"/>
              </w:rPr>
              <w:t>Sensitivity — her swing input (sustainable ROE)</w:t>
            </w:r>
          </w:p>
        </w:tc>
        <w:tc>
          <w:tcPr>
            <w:tcW w:type="dxa" w:w="1267"/>
            <w:shd w:val="clear" w:color="auto" w:fill="EAF0EE"/>
          </w:tcPr>
          <w:p>
            <w:pPr>
              <w:spacing w:after="20"/>
            </w:pPr>
            <w:r>
              <w:rPr>
                <w:b/>
                <w:color w:val="1C3A36"/>
                <w:sz w:val="18"/>
              </w:rPr>
              <w:t>20%</w:t>
            </w:r>
          </w:p>
        </w:tc>
        <w:tc>
          <w:tcPr>
            <w:tcW w:type="dxa" w:w="1267"/>
            <w:shd w:val="clear" w:color="auto" w:fill="EAF0EE"/>
          </w:tcPr>
          <w:p>
            <w:pPr>
              <w:spacing w:after="20"/>
            </w:pPr>
            <w:r>
              <w:rPr>
                <w:b/>
                <w:color w:val="1C3A36"/>
                <w:sz w:val="18"/>
              </w:rPr>
              <w:t>22%</w:t>
            </w:r>
          </w:p>
        </w:tc>
        <w:tc>
          <w:tcPr>
            <w:tcW w:type="dxa" w:w="1267"/>
            <w:shd w:val="clear" w:color="auto" w:fill="EAF0EE"/>
          </w:tcPr>
          <w:p>
            <w:pPr>
              <w:spacing w:after="20"/>
            </w:pPr>
            <w:r>
              <w:rPr>
                <w:b/>
                <w:color w:val="1C3A36"/>
                <w:sz w:val="18"/>
              </w:rPr>
              <w:t>24%</w:t>
            </w:r>
          </w:p>
        </w:tc>
        <w:tc>
          <w:tcPr>
            <w:tcW w:type="dxa" w:w="1267"/>
            <w:shd w:val="clear" w:color="auto" w:fill="EAF0EE"/>
          </w:tcPr>
          <w:p>
            <w:pPr>
              <w:spacing w:after="20"/>
            </w:pPr>
            <w:r>
              <w:rPr>
                <w:b/>
                <w:color w:val="1C3A36"/>
                <w:sz w:val="18"/>
              </w:rPr>
              <w:t>26%</w:t>
            </w:r>
          </w:p>
        </w:tc>
        <w:tc>
          <w:tcPr>
            <w:tcW w:type="dxa" w:w="1267"/>
            <w:shd w:val="clear" w:color="auto" w:fill="EAF0EE"/>
          </w:tcPr>
          <w:p>
            <w:pPr>
              <w:spacing w:after="20"/>
            </w:pPr>
            <w:r>
              <w:rPr>
                <w:b/>
                <w:color w:val="1C3A36"/>
                <w:sz w:val="18"/>
              </w:rPr>
              <w:t>28%</w:t>
            </w:r>
          </w:p>
        </w:tc>
      </w:tr>
      <w:tr>
        <w:tc>
          <w:tcPr>
            <w:tcW w:type="dxa" w:w="3744"/>
          </w:tcPr>
          <w:p>
            <w:pPr>
              <w:spacing w:after="20"/>
            </w:pPr>
            <w:r>
              <w:rPr>
                <w:b/>
                <w:color w:val="1C3A36"/>
                <w:sz w:val="18"/>
              </w:rPr>
              <w:t>Fair value (AED)</w:t>
            </w:r>
          </w:p>
        </w:tc>
        <w:tc>
          <w:tcPr>
            <w:tcW w:type="dxa" w:w="1267"/>
          </w:tcPr>
          <w:p>
            <w:pPr>
              <w:spacing w:after="20"/>
              <w:jc w:val="right"/>
            </w:pPr>
            <w:r>
              <w:rPr>
                <w:color w:val="1C3A36"/>
                <w:sz w:val="18"/>
              </w:rPr>
              <w:t>16.00</w:t>
            </w:r>
          </w:p>
        </w:tc>
        <w:tc>
          <w:tcPr>
            <w:tcW w:type="dxa" w:w="1267"/>
          </w:tcPr>
          <w:p>
            <w:pPr>
              <w:spacing w:after="20"/>
              <w:jc w:val="right"/>
            </w:pPr>
            <w:r>
              <w:rPr>
                <w:color w:val="1C3A36"/>
                <w:sz w:val="18"/>
              </w:rPr>
              <w:t>18.00</w:t>
            </w:r>
          </w:p>
        </w:tc>
        <w:tc>
          <w:tcPr>
            <w:tcW w:type="dxa" w:w="1267"/>
          </w:tcPr>
          <w:p>
            <w:pPr>
              <w:spacing w:after="20"/>
              <w:jc w:val="right"/>
            </w:pPr>
            <w:r>
              <w:rPr>
                <w:color w:val="1C3A36"/>
                <w:sz w:val="18"/>
              </w:rPr>
              <w:t>20.00</w:t>
            </w:r>
          </w:p>
        </w:tc>
        <w:tc>
          <w:tcPr>
            <w:tcW w:type="dxa" w:w="1267"/>
          </w:tcPr>
          <w:p>
            <w:pPr>
              <w:spacing w:after="20"/>
              <w:jc w:val="right"/>
            </w:pPr>
            <w:r>
              <w:rPr>
                <w:color w:val="1C3A36"/>
                <w:sz w:val="18"/>
              </w:rPr>
              <w:t>22.00</w:t>
            </w:r>
          </w:p>
        </w:tc>
        <w:tc>
          <w:tcPr>
            <w:tcW w:type="dxa" w:w="1267"/>
          </w:tcPr>
          <w:p>
            <w:pPr>
              <w:spacing w:after="20"/>
              <w:jc w:val="right"/>
            </w:pPr>
            <w:r>
              <w:rPr>
                <w:color w:val="1C3A36"/>
                <w:sz w:val="18"/>
              </w:rPr>
              <w:t>24.00</w:t>
            </w:r>
          </w:p>
        </w:tc>
      </w:tr>
    </w:tbl>
    <w:p>
      <w:pPr>
        <w:spacing w:after="40"/>
      </w:pPr>
    </w:p>
    <w:p>
      <w:pPr>
        <w:spacing w:after="120" w:before="0"/>
      </w:pPr>
      <w:r>
        <w:rPr>
          <w:b w:val="0"/>
          <w:i w:val="0"/>
          <w:color w:val="1C3A36"/>
          <w:sz w:val="21"/>
        </w:rPr>
        <w:t>Verdict: AED 20.00 — about 8% below the price. What the market price implies on her own method: a sustainable return of 25.8%, which is better than anything ADIB has committed to. What would prove her wrong: two consecutive years of ROE printing above 27% with the equity base still compounding — that would mean the deployment spread is not decaying, and her mechanical fade is wrong.</w:t>
      </w:r>
    </w:p>
    <w:p>
      <w:pPr>
        <w:spacing w:after="120" w:before="0"/>
      </w:pPr>
      <w:r>
        <w:rPr>
          <w:b w:val="0"/>
          <w:i w:val="0"/>
          <w:color w:val="1C3A36"/>
          <w:sz w:val="21"/>
        </w:rPr>
        <w:t>How she cross-examines the others. To Expert 2: "You are stressing a book with 178% coverage and a 2.6% non-performing ratio. If you cannot find the losses in the coverage ratio, you are inventing them." To Expert 3: "You are forecasting geopolitics and calling it valuation. My number does not move with the headlines, which is the only argument in its favour that matters."</w:t>
      </w:r>
    </w:p>
    <w:p>
      <w:pPr>
        <w:spacing w:after="80" w:before="200"/>
      </w:pPr>
      <w:r>
        <w:rPr>
          <w:b/>
          <w:i w:val="0"/>
          <w:color w:val="1C3A36"/>
          <w:sz w:val="24"/>
        </w:rPr>
        <w:t>Expert 2 — the credit-cycle analyst</w:t>
      </w:r>
    </w:p>
    <w:p>
      <w:pPr>
        <w:spacing w:after="120" w:before="0"/>
      </w:pPr>
      <w:r>
        <w:rPr>
          <w:b w:val="0"/>
          <w:i w:val="0"/>
          <w:color w:val="1C3A36"/>
          <w:sz w:val="21"/>
        </w:rPr>
        <w:t>The argument. A bank's value is dominated by the credit it underwrites, and through-cycle losses — not peak-cycle profits — set the floor. Reported book value is only as real as the loan book behind it. Everyone is looking at ADIB's record-low non-performing ratio and record-high coverage and concluding the credit risk has gone away. Look at how that ratio got there.</w:t>
      </w:r>
    </w:p>
    <w:p>
      <w:pPr>
        <w:spacing w:after="120" w:before="0"/>
      </w:pPr>
      <w:r>
        <w:rPr>
          <w:b w:val="0"/>
          <w:i w:val="0"/>
          <w:color w:val="1C3A36"/>
          <w:sz w:val="21"/>
        </w:rPr>
        <w:t>The working. Step one, read the asset quality properly. The non-performing ratio fell from 4.0% to 2.8% in FY25 and to 2.6% in Q1-26. But gross financing grew 26% in FY25 and 28% year-on-year in Q1-26, while non-performing financing fell only 11%, from AED 5.9bn to 5.3bn. A ratio improves when the numerator shrinks OR when the denominator explodes — and here it is mostly the denominator. That book is unseasoned: loans written in 2025 have not had time to go bad. The tell is already in the numbers — Q1-26 impairments were up 50% year-on-year. Step two, the through-cycle cost of risk. ADIB's own prints across FY21–25 were 0.99%, 0.58%, 0.49%, 0.53% and 0.44%, a mean of 0.61%. He takes 0.65% — above the mean — because the book has swung wholesale (government-related lending went from 24% to 26% of it in a single quarter), because the central bank's relief measures and ADIB's own Sanadna scheme defer credit losses rather than delete them, and because Q1-26 already printed 48bp.</w:t>
      </w:r>
    </w:p>
    <w:p>
      <w:pPr>
        <w:spacing w:after="120" w:before="0"/>
      </w:pPr>
      <w:r>
        <w:rPr>
          <w:b w:val="0"/>
          <w:i w:val="0"/>
          <w:color w:val="1C3A36"/>
          <w:sz w:val="21"/>
        </w:rPr>
        <w:t>Step three, rebuild the earnings on that cost of risk — from the pre-provision line, which is the only part of a bank's P&amp;L that credit cannot touch.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Expert 2 — stressed FY26 earnings (AED mn)</w:t>
            </w:r>
          </w:p>
        </w:tc>
        <w:tc>
          <w:tcPr>
            <w:tcW w:type="dxa" w:w="3888"/>
            <w:shd w:val="clear" w:color="auto" w:fill="EAF0EE"/>
          </w:tcPr>
          <w:p>
            <w:pPr>
              <w:spacing w:after="20"/>
            </w:pPr>
            <w:r>
              <w:rPr>
                <w:b/>
                <w:color w:val="1C3A36"/>
                <w:sz w:val="18"/>
              </w:rPr>
            </w:r>
          </w:p>
        </w:tc>
      </w:tr>
      <w:tr>
        <w:tc>
          <w:tcPr>
            <w:tcW w:type="dxa" w:w="6192"/>
          </w:tcPr>
          <w:p>
            <w:pPr>
              <w:spacing w:after="20"/>
            </w:pPr>
            <w:r>
              <w:rPr>
                <w:b/>
                <w:color w:val="1C3A36"/>
                <w:sz w:val="18"/>
              </w:rPr>
              <w:t>Pre-provision operating profit (credit-independent)</w:t>
            </w:r>
          </w:p>
        </w:tc>
        <w:tc>
          <w:tcPr>
            <w:tcW w:type="dxa" w:w="3888"/>
          </w:tcPr>
          <w:p>
            <w:pPr>
              <w:spacing w:after="20"/>
              <w:jc w:val="right"/>
            </w:pPr>
            <w:r>
              <w:rPr>
                <w:color w:val="1C3A36"/>
                <w:sz w:val="18"/>
              </w:rPr>
              <w:t>9,448</w:t>
            </w:r>
          </w:p>
        </w:tc>
      </w:tr>
      <w:tr>
        <w:tc>
          <w:tcPr>
            <w:tcW w:type="dxa" w:w="6192"/>
          </w:tcPr>
          <w:p>
            <w:pPr>
              <w:spacing w:after="20"/>
            </w:pPr>
            <w:r>
              <w:rPr>
                <w:b/>
                <w:color w:val="1C3A36"/>
                <w:sz w:val="18"/>
              </w:rPr>
              <w:t>less: through-cycle impairment at 0.65%</w:t>
            </w:r>
          </w:p>
        </w:tc>
        <w:tc>
          <w:tcPr>
            <w:tcW w:type="dxa" w:w="3888"/>
          </w:tcPr>
          <w:p>
            <w:pPr>
              <w:spacing w:after="20"/>
              <w:jc w:val="right"/>
            </w:pPr>
            <w:r>
              <w:rPr>
                <w:color w:val="1C3A36"/>
                <w:sz w:val="18"/>
              </w:rPr>
              <w:t>(1,186)</w:t>
            </w:r>
          </w:p>
        </w:tc>
      </w:tr>
      <w:tr>
        <w:tc>
          <w:tcPr>
            <w:tcW w:type="dxa" w:w="6192"/>
          </w:tcPr>
          <w:p>
            <w:pPr>
              <w:spacing w:after="20"/>
            </w:pPr>
            <w:r>
              <w:rPr>
                <w:b/>
                <w:color w:val="1C3A36"/>
                <w:sz w:val="18"/>
              </w:rPr>
              <w:t>Profit before tax</w:t>
            </w:r>
          </w:p>
        </w:tc>
        <w:tc>
          <w:tcPr>
            <w:tcW w:type="dxa" w:w="3888"/>
          </w:tcPr>
          <w:p>
            <w:pPr>
              <w:spacing w:after="20"/>
              <w:jc w:val="right"/>
            </w:pPr>
            <w:r>
              <w:rPr>
                <w:color w:val="1C3A36"/>
                <w:sz w:val="18"/>
              </w:rPr>
              <w:t>8,262</w:t>
            </w:r>
          </w:p>
        </w:tc>
      </w:tr>
      <w:tr>
        <w:tc>
          <w:tcPr>
            <w:tcW w:type="dxa" w:w="6192"/>
          </w:tcPr>
          <w:p>
            <w:pPr>
              <w:spacing w:after="20"/>
            </w:pPr>
            <w:r>
              <w:rPr>
                <w:b/>
                <w:color w:val="1C3A36"/>
                <w:sz w:val="18"/>
              </w:rPr>
              <w:t>less: tax at 16% (he takes the DMTT step, not the 13% print)</w:t>
            </w:r>
          </w:p>
        </w:tc>
        <w:tc>
          <w:tcPr>
            <w:tcW w:type="dxa" w:w="3888"/>
          </w:tcPr>
          <w:p>
            <w:pPr>
              <w:spacing w:after="20"/>
              <w:jc w:val="right"/>
            </w:pPr>
            <w:r>
              <w:rPr>
                <w:color w:val="1C3A36"/>
                <w:sz w:val="18"/>
              </w:rPr>
              <w:t>(1,322)</w:t>
            </w:r>
          </w:p>
        </w:tc>
      </w:tr>
      <w:tr>
        <w:tc>
          <w:tcPr>
            <w:tcW w:type="dxa" w:w="6192"/>
          </w:tcPr>
          <w:p>
            <w:pPr>
              <w:spacing w:after="20"/>
            </w:pPr>
            <w:r>
              <w:rPr>
                <w:b/>
                <w:color w:val="1C3A36"/>
                <w:sz w:val="18"/>
              </w:rPr>
              <w:t>Profit after tax</w:t>
            </w:r>
          </w:p>
        </w:tc>
        <w:tc>
          <w:tcPr>
            <w:tcW w:type="dxa" w:w="3888"/>
          </w:tcPr>
          <w:p>
            <w:pPr>
              <w:spacing w:after="20"/>
              <w:jc w:val="right"/>
            </w:pPr>
            <w:r>
              <w:rPr>
                <w:color w:val="1C3A36"/>
                <w:sz w:val="18"/>
              </w:rPr>
              <w:t>6,940</w:t>
            </w:r>
          </w:p>
        </w:tc>
      </w:tr>
      <w:tr>
        <w:tc>
          <w:tcPr>
            <w:tcW w:type="dxa" w:w="6192"/>
          </w:tcPr>
          <w:p>
            <w:pPr>
              <w:spacing w:after="20"/>
            </w:pPr>
            <w:r>
              <w:rPr>
                <w:b/>
                <w:color w:val="1C3A36"/>
                <w:sz w:val="18"/>
              </w:rPr>
              <w:t>less: AT1 coupon and minority interests</w:t>
            </w:r>
          </w:p>
        </w:tc>
        <w:tc>
          <w:tcPr>
            <w:tcW w:type="dxa" w:w="3888"/>
          </w:tcPr>
          <w:p>
            <w:pPr>
              <w:spacing w:after="20"/>
              <w:jc w:val="right"/>
            </w:pPr>
            <w:r>
              <w:rPr>
                <w:color w:val="1C3A36"/>
                <w:sz w:val="18"/>
              </w:rPr>
              <w:t>(759)</w:t>
            </w:r>
          </w:p>
        </w:tc>
      </w:tr>
      <w:tr>
        <w:tc>
          <w:tcPr>
            <w:tcW w:type="dxa" w:w="6192"/>
          </w:tcPr>
          <w:p>
            <w:pPr>
              <w:spacing w:after="20"/>
            </w:pPr>
            <w:r>
              <w:rPr>
                <w:b/>
                <w:color w:val="1C3A36"/>
                <w:sz w:val="18"/>
              </w:rPr>
              <w:t>Attributable to ordinary shareholders</w:t>
            </w:r>
          </w:p>
        </w:tc>
        <w:tc>
          <w:tcPr>
            <w:tcW w:type="dxa" w:w="3888"/>
          </w:tcPr>
          <w:p>
            <w:pPr>
              <w:spacing w:after="20"/>
              <w:jc w:val="right"/>
            </w:pPr>
            <w:r>
              <w:rPr>
                <w:color w:val="1C3A36"/>
                <w:sz w:val="18"/>
              </w:rPr>
              <w:t>6,181</w:t>
            </w:r>
          </w:p>
        </w:tc>
      </w:tr>
      <w:tr>
        <w:tc>
          <w:tcPr>
            <w:tcW w:type="dxa" w:w="6192"/>
          </w:tcPr>
          <w:p>
            <w:pPr>
              <w:spacing w:after="20"/>
            </w:pPr>
            <w:r>
              <w:rPr>
                <w:b/>
                <w:color w:val="1C3A36"/>
                <w:sz w:val="18"/>
              </w:rPr>
              <w:t>Stressed EPS (AED)</w:t>
            </w:r>
          </w:p>
        </w:tc>
        <w:tc>
          <w:tcPr>
            <w:tcW w:type="dxa" w:w="3888"/>
          </w:tcPr>
          <w:p>
            <w:pPr>
              <w:spacing w:after="20"/>
              <w:jc w:val="right"/>
            </w:pPr>
            <w:r>
              <w:rPr>
                <w:color w:val="1C3A36"/>
                <w:sz w:val="18"/>
              </w:rPr>
              <w:t>1.702   (the study's base: 1.836)</w:t>
            </w:r>
          </w:p>
        </w:tc>
      </w:tr>
      <w:tr>
        <w:tc>
          <w:tcPr>
            <w:tcW w:type="dxa" w:w="6192"/>
          </w:tcPr>
          <w:p>
            <w:pPr>
              <w:spacing w:after="20"/>
            </w:pPr>
            <w:r>
              <w:rPr>
                <w:b/>
                <w:color w:val="1C3A36"/>
                <w:sz w:val="18"/>
              </w:rPr>
              <w:t>Stressed return on equity</w:t>
            </w:r>
          </w:p>
        </w:tc>
        <w:tc>
          <w:tcPr>
            <w:tcW w:type="dxa" w:w="3888"/>
          </w:tcPr>
          <w:p>
            <w:pPr>
              <w:spacing w:after="20"/>
              <w:jc w:val="right"/>
            </w:pPr>
            <w:r>
              <w:rPr>
                <w:color w:val="1C3A36"/>
                <w:sz w:val="18"/>
              </w:rPr>
              <w:t>22.4%   (base: 24.0%)</w:t>
            </w:r>
          </w:p>
        </w:tc>
      </w:tr>
      <w:tr>
        <w:tc>
          <w:tcPr>
            <w:tcW w:type="dxa" w:w="6192"/>
          </w:tcPr>
          <w:p>
            <w:pPr>
              <w:spacing w:after="20"/>
            </w:pPr>
            <w:r>
              <w:rPr>
                <w:b/>
                <w:color w:val="1C3A36"/>
                <w:sz w:val="18"/>
              </w:rPr>
              <w:t>Justified P/B on the stressed return</w:t>
            </w:r>
          </w:p>
        </w:tc>
        <w:tc>
          <w:tcPr>
            <w:tcW w:type="dxa" w:w="3888"/>
          </w:tcPr>
          <w:p>
            <w:pPr>
              <w:spacing w:after="20"/>
              <w:jc w:val="right"/>
            </w:pPr>
            <w:r>
              <w:rPr>
                <w:color w:val="1C3A36"/>
                <w:sz w:val="18"/>
              </w:rPr>
              <w:t>2.80×</w:t>
            </w:r>
          </w:p>
        </w:tc>
      </w:tr>
      <w:tr>
        <w:tc>
          <w:tcPr>
            <w:tcW w:type="dxa" w:w="6192"/>
            <w:shd w:val="clear" w:color="auto" w:fill="F6F1E6"/>
          </w:tcPr>
          <w:p>
            <w:pPr>
              <w:spacing w:after="20"/>
            </w:pPr>
            <w:r>
              <w:rPr>
                <w:b/>
                <w:color w:val="1C3A36"/>
                <w:sz w:val="18"/>
              </w:rPr>
              <w:t>Value on the through-cycle case</w:t>
            </w:r>
          </w:p>
        </w:tc>
        <w:tc>
          <w:tcPr>
            <w:tcW w:type="dxa" w:w="3888"/>
            <w:shd w:val="clear" w:color="auto" w:fill="F6F1E6"/>
          </w:tcPr>
          <w:p>
            <w:pPr>
              <w:spacing w:after="20"/>
              <w:jc w:val="right"/>
            </w:pPr>
            <w:r>
              <w:rPr>
                <w:b/>
                <w:color w:val="1C3A36"/>
                <w:sz w:val="18"/>
              </w:rPr>
              <w:t>AED 18.39</w:t>
            </w:r>
          </w:p>
        </w:tc>
      </w:tr>
    </w:tbl>
    <w:p>
      <w:pPr>
        <w:spacing w:after="40"/>
      </w:pPr>
    </w:p>
    <w:p>
      <w:pPr>
        <w:spacing w:after="120" w:before="0"/>
      </w:pPr>
      <w:r>
        <w:rPr>
          <w:b w:val="0"/>
          <w:i w:val="0"/>
          <w:color w:val="1C3A36"/>
          <w:sz w:val="21"/>
        </w:rPr>
        <w:t>Step four — and this is the move the other two do not make — write down the BOOK, not just the earnings. In a downturn (a UAE property-cycle turn plus re-escalation) cost of risk goes to 1.2% for two years. ADIB printed 0.99% in 2021 on a book a third of today's size. The excess provisions above through-cycle are (1.20% − 0.65%) × AED 197,664mn × 2 years = AED 2,174mn pre-tax, or AED 1,826mn after tax — AED 0.50 straight off the book, per share. A downturn book of AED 6.068 at 2.80× gives AED 16.98. Weighting 75% through-cycle and 25% downturn: 0.75 × 18.39 + 0.25 × 16.98 = AED 18.03.</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4392"/>
            <w:shd w:val="clear" w:color="auto" w:fill="EAF0EE"/>
          </w:tcPr>
          <w:p>
            <w:pPr>
              <w:spacing w:after="20"/>
            </w:pPr>
            <w:r>
              <w:rPr>
                <w:b/>
                <w:color w:val="1C3A36"/>
                <w:sz w:val="18"/>
              </w:rPr>
              <w:t>Sensitivity — his swing input (through-cycle cost of risk)</w:t>
            </w:r>
          </w:p>
        </w:tc>
        <w:tc>
          <w:tcPr>
            <w:tcW w:type="dxa" w:w="1426"/>
            <w:shd w:val="clear" w:color="auto" w:fill="EAF0EE"/>
          </w:tcPr>
          <w:p>
            <w:pPr>
              <w:spacing w:after="20"/>
            </w:pPr>
            <w:r>
              <w:rPr>
                <w:b/>
                <w:color w:val="1C3A36"/>
                <w:sz w:val="18"/>
              </w:rPr>
              <w:t>50bp</w:t>
            </w:r>
          </w:p>
        </w:tc>
        <w:tc>
          <w:tcPr>
            <w:tcW w:type="dxa" w:w="1426"/>
            <w:shd w:val="clear" w:color="auto" w:fill="EAF0EE"/>
          </w:tcPr>
          <w:p>
            <w:pPr>
              <w:spacing w:after="20"/>
            </w:pPr>
            <w:r>
              <w:rPr>
                <w:b/>
                <w:color w:val="1C3A36"/>
                <w:sz w:val="18"/>
              </w:rPr>
              <w:t>65bp</w:t>
            </w:r>
          </w:p>
        </w:tc>
        <w:tc>
          <w:tcPr>
            <w:tcW w:type="dxa" w:w="1426"/>
            <w:shd w:val="clear" w:color="auto" w:fill="EAF0EE"/>
          </w:tcPr>
          <w:p>
            <w:pPr>
              <w:spacing w:after="20"/>
            </w:pPr>
            <w:r>
              <w:rPr>
                <w:b/>
                <w:color w:val="1C3A36"/>
                <w:sz w:val="18"/>
              </w:rPr>
              <w:t>80bp</w:t>
            </w:r>
          </w:p>
        </w:tc>
        <w:tc>
          <w:tcPr>
            <w:tcW w:type="dxa" w:w="1426"/>
            <w:shd w:val="clear" w:color="auto" w:fill="EAF0EE"/>
          </w:tcPr>
          <w:p>
            <w:pPr>
              <w:spacing w:after="20"/>
            </w:pPr>
            <w:r>
              <w:rPr>
                <w:b/>
                <w:color w:val="1C3A36"/>
                <w:sz w:val="18"/>
              </w:rPr>
              <w:t>100bp</w:t>
            </w:r>
          </w:p>
        </w:tc>
      </w:tr>
      <w:tr>
        <w:tc>
          <w:tcPr>
            <w:tcW w:type="dxa" w:w="4392"/>
          </w:tcPr>
          <w:p>
            <w:pPr>
              <w:spacing w:after="20"/>
            </w:pPr>
            <w:r>
              <w:rPr>
                <w:b/>
                <w:color w:val="1C3A36"/>
                <w:sz w:val="18"/>
              </w:rPr>
              <w:t>Fair value (AED)</w:t>
            </w:r>
          </w:p>
        </w:tc>
        <w:tc>
          <w:tcPr>
            <w:tcW w:type="dxa" w:w="1426"/>
          </w:tcPr>
          <w:p>
            <w:pPr>
              <w:spacing w:after="20"/>
              <w:jc w:val="right"/>
            </w:pPr>
            <w:r>
              <w:rPr>
                <w:color w:val="1C3A36"/>
                <w:sz w:val="18"/>
              </w:rPr>
              <w:t>19.17</w:t>
            </w:r>
          </w:p>
        </w:tc>
        <w:tc>
          <w:tcPr>
            <w:tcW w:type="dxa" w:w="1426"/>
          </w:tcPr>
          <w:p>
            <w:pPr>
              <w:spacing w:after="20"/>
              <w:jc w:val="right"/>
            </w:pPr>
            <w:r>
              <w:rPr>
                <w:color w:val="1C3A36"/>
                <w:sz w:val="18"/>
              </w:rPr>
              <w:t>18.39</w:t>
            </w:r>
          </w:p>
        </w:tc>
        <w:tc>
          <w:tcPr>
            <w:tcW w:type="dxa" w:w="1426"/>
          </w:tcPr>
          <w:p>
            <w:pPr>
              <w:spacing w:after="20"/>
              <w:jc w:val="right"/>
            </w:pPr>
            <w:r>
              <w:rPr>
                <w:color w:val="1C3A36"/>
                <w:sz w:val="18"/>
              </w:rPr>
              <w:t>17.60</w:t>
            </w:r>
          </w:p>
        </w:tc>
        <w:tc>
          <w:tcPr>
            <w:tcW w:type="dxa" w:w="1426"/>
          </w:tcPr>
          <w:p>
            <w:pPr>
              <w:spacing w:after="20"/>
              <w:jc w:val="right"/>
            </w:pPr>
            <w:r>
              <w:rPr>
                <w:color w:val="1C3A36"/>
                <w:sz w:val="18"/>
              </w:rPr>
              <w:t>16.54</w:t>
            </w:r>
          </w:p>
        </w:tc>
      </w:tr>
    </w:tbl>
    <w:p>
      <w:pPr>
        <w:spacing w:after="40"/>
      </w:pPr>
    </w:p>
    <w:p>
      <w:pPr>
        <w:spacing w:after="120" w:before="0"/>
      </w:pPr>
      <w:r>
        <w:rPr>
          <w:b w:val="0"/>
          <w:i w:val="0"/>
          <w:color w:val="1C3A36"/>
          <w:sz w:val="21"/>
        </w:rPr>
        <w:t>Verdict: AED 18.03 — the lowest of the three, and 17% below the price. What would prove him wrong: the FY26 and FY27 cost of risk printing inside the 40–60bp guidance while the book keeps growing double-digit. Two clean years on an unseasoned book at that pace would mean the underwriting is genuinely better, not just younger, and he would have to concede the seasoning argument.</w:t>
      </w:r>
    </w:p>
    <w:p>
      <w:pPr>
        <w:spacing w:after="120" w:before="0"/>
      </w:pPr>
      <w:r>
        <w:rPr>
          <w:b w:val="0"/>
          <w:i w:val="0"/>
          <w:color w:val="1C3A36"/>
          <w:sz w:val="21"/>
        </w:rPr>
        <w:t>How he cross-examines the others. To Expert 1: "Your 24% sustainable return was earned on a 44 basis-point cost of risk in a year when the book grew 26%. That is a peak-cycle number wearing a steady-state costume. Show me that return after one bad vintage." To Expert 3: "Your bear case stresses the discount rate. Mine stresses the assets. A higher cost of equity is a preference; an impaired loan is a fact."</w:t>
      </w:r>
    </w:p>
    <w:p>
      <w:pPr>
        <w:spacing w:after="80" w:before="200"/>
      </w:pPr>
      <w:r>
        <w:rPr>
          <w:b/>
          <w:i w:val="0"/>
          <w:color w:val="1C3A36"/>
          <w:sz w:val="24"/>
        </w:rPr>
        <w:t>Expert 3 — the macro-policy strategist</w:t>
      </w:r>
    </w:p>
    <w:p>
      <w:pPr>
        <w:spacing w:after="120" w:before="0"/>
      </w:pPr>
      <w:r>
        <w:rPr>
          <w:b w:val="0"/>
          <w:i w:val="0"/>
          <w:color w:val="1C3A36"/>
          <w:sz w:val="21"/>
        </w:rPr>
        <w:t>The argument. In this market, policy outranks management. The three things that will actually determine what a holder of ADIB earns over the next two years are whether the Strait of Hormuz stays open, whether the UAE's new minimum tax bites, and what the Federal Reserve does — and ADIB's board controls precisely none of them. So price the stock as a set of options on which policy world arrives, and be honest that the weights, not the models, are where the judgement lives.</w:t>
      </w:r>
    </w:p>
    <w:p>
      <w:pPr>
        <w:spacing w:after="120" w:before="0"/>
      </w:pPr>
      <w:r>
        <w:rPr>
          <w:b w:val="0"/>
          <w:i w:val="0"/>
          <w:color w:val="1C3A36"/>
          <w:sz w:val="21"/>
        </w:rPr>
        <w:t>The working. Define the levers, configure them into three worlds, and re-run the base valuation under each — so the scenario values are derived, never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600"/>
            <w:shd w:val="clear" w:color="auto" w:fill="EAF0EE"/>
          </w:tcPr>
          <w:p>
            <w:pPr>
              <w:spacing w:after="20"/>
            </w:pPr>
            <w:r>
              <w:rPr>
                <w:b/>
                <w:color w:val="1C3A36"/>
                <w:sz w:val="17"/>
              </w:rPr>
              <w:t>Lever</w:t>
            </w:r>
          </w:p>
        </w:tc>
        <w:tc>
          <w:tcPr>
            <w:tcW w:type="dxa" w:w="2160"/>
            <w:shd w:val="clear" w:color="auto" w:fill="EAF0EE"/>
          </w:tcPr>
          <w:p>
            <w:pPr>
              <w:spacing w:after="20"/>
            </w:pPr>
            <w:r>
              <w:rPr>
                <w:b/>
                <w:color w:val="1C3A36"/>
                <w:sz w:val="17"/>
              </w:rPr>
              <w:t>Bull</w:t>
            </w:r>
          </w:p>
        </w:tc>
        <w:tc>
          <w:tcPr>
            <w:tcW w:type="dxa" w:w="2160"/>
            <w:shd w:val="clear" w:color="auto" w:fill="EAF0EE"/>
          </w:tcPr>
          <w:p>
            <w:pPr>
              <w:spacing w:after="20"/>
            </w:pPr>
            <w:r>
              <w:rPr>
                <w:b/>
                <w:color w:val="1C3A36"/>
                <w:sz w:val="17"/>
              </w:rPr>
              <w:t>Base</w:t>
            </w:r>
          </w:p>
        </w:tc>
        <w:tc>
          <w:tcPr>
            <w:tcW w:type="dxa" w:w="2160"/>
            <w:shd w:val="clear" w:color="auto" w:fill="EAF0EE"/>
          </w:tcPr>
          <w:p>
            <w:pPr>
              <w:spacing w:after="20"/>
            </w:pPr>
            <w:r>
              <w:rPr>
                <w:b/>
                <w:color w:val="1C3A36"/>
                <w:sz w:val="17"/>
              </w:rPr>
              <w:t>Bear</w:t>
            </w:r>
          </w:p>
        </w:tc>
      </w:tr>
      <w:tr>
        <w:tc>
          <w:tcPr>
            <w:tcW w:type="dxa" w:w="3600"/>
          </w:tcPr>
          <w:p>
            <w:pPr>
              <w:spacing w:after="20"/>
            </w:pPr>
            <w:r>
              <w:rPr>
                <w:b/>
                <w:color w:val="1C3A36"/>
                <w:sz w:val="17"/>
              </w:rPr>
              <w:t>The regional conflict → Ke adder</w:t>
            </w:r>
          </w:p>
        </w:tc>
        <w:tc>
          <w:tcPr>
            <w:tcW w:type="dxa" w:w="2160"/>
          </w:tcPr>
          <w:p>
            <w:pPr>
              <w:spacing w:after="20"/>
              <w:jc w:val="right"/>
            </w:pPr>
            <w:r>
              <w:rPr>
                <w:color w:val="1C3A36"/>
                <w:sz w:val="17"/>
              </w:rPr>
              <w:t>0pt (peace signed)</w:t>
            </w:r>
          </w:p>
        </w:tc>
        <w:tc>
          <w:tcPr>
            <w:tcW w:type="dxa" w:w="2160"/>
          </w:tcPr>
          <w:p>
            <w:pPr>
              <w:spacing w:after="20"/>
              <w:jc w:val="right"/>
            </w:pPr>
            <w:r>
              <w:rPr>
                <w:color w:val="1C3A36"/>
                <w:sz w:val="17"/>
              </w:rPr>
              <w:t>1.0pt (ceasefire limps)</w:t>
            </w:r>
          </w:p>
        </w:tc>
        <w:tc>
          <w:tcPr>
            <w:tcW w:type="dxa" w:w="2160"/>
          </w:tcPr>
          <w:p>
            <w:pPr>
              <w:spacing w:after="20"/>
              <w:jc w:val="right"/>
            </w:pPr>
            <w:r>
              <w:rPr>
                <w:color w:val="1C3A36"/>
                <w:sz w:val="17"/>
              </w:rPr>
              <w:t>2.5pt (Hormuz re-closes)</w:t>
            </w:r>
          </w:p>
        </w:tc>
      </w:tr>
      <w:tr>
        <w:tc>
          <w:tcPr>
            <w:tcW w:type="dxa" w:w="3600"/>
          </w:tcPr>
          <w:p>
            <w:pPr>
              <w:spacing w:after="20"/>
            </w:pPr>
            <w:r>
              <w:rPr>
                <w:b/>
                <w:color w:val="1C3A36"/>
                <w:sz w:val="17"/>
              </w:rPr>
              <w:t>The UAE minimum top-up tax → effective rate</w:t>
            </w:r>
          </w:p>
        </w:tc>
        <w:tc>
          <w:tcPr>
            <w:tcW w:type="dxa" w:w="2160"/>
          </w:tcPr>
          <w:p>
            <w:pPr>
              <w:spacing w:after="20"/>
              <w:jc w:val="right"/>
            </w:pPr>
            <w:r>
              <w:rPr>
                <w:color w:val="1C3A36"/>
                <w:sz w:val="17"/>
              </w:rPr>
              <w:t>13% (exclusion holds)</w:t>
            </w:r>
          </w:p>
        </w:tc>
        <w:tc>
          <w:tcPr>
            <w:tcW w:type="dxa" w:w="2160"/>
          </w:tcPr>
          <w:p>
            <w:pPr>
              <w:spacing w:after="20"/>
              <w:jc w:val="right"/>
            </w:pPr>
            <w:r>
              <w:rPr>
                <w:color w:val="1C3A36"/>
                <w:sz w:val="17"/>
              </w:rPr>
              <w:t>16% (steps in FY27)</w:t>
            </w:r>
          </w:p>
        </w:tc>
        <w:tc>
          <w:tcPr>
            <w:tcW w:type="dxa" w:w="2160"/>
          </w:tcPr>
          <w:p>
            <w:pPr>
              <w:spacing w:after="20"/>
              <w:jc w:val="right"/>
            </w:pPr>
            <w:r>
              <w:rPr>
                <w:color w:val="1C3A36"/>
                <w:sz w:val="17"/>
              </w:rPr>
              <w:t>17.3% (full top-up)</w:t>
            </w:r>
          </w:p>
        </w:tc>
      </w:tr>
      <w:tr>
        <w:tc>
          <w:tcPr>
            <w:tcW w:type="dxa" w:w="3600"/>
          </w:tcPr>
          <w:p>
            <w:pPr>
              <w:spacing w:after="20"/>
            </w:pPr>
            <w:r>
              <w:rPr>
                <w:b/>
                <w:color w:val="1C3A36"/>
                <w:sz w:val="17"/>
              </w:rPr>
              <w:t>The Fed / CBUAE path → net profit margin</w:t>
            </w:r>
          </w:p>
        </w:tc>
        <w:tc>
          <w:tcPr>
            <w:tcW w:type="dxa" w:w="2160"/>
          </w:tcPr>
          <w:p>
            <w:pPr>
              <w:spacing w:after="20"/>
              <w:jc w:val="right"/>
            </w:pPr>
            <w:r>
              <w:rPr>
                <w:color w:val="1C3A36"/>
                <w:sz w:val="17"/>
              </w:rPr>
              <w:t>Stable ~3.9%</w:t>
            </w:r>
          </w:p>
        </w:tc>
        <w:tc>
          <w:tcPr>
            <w:tcW w:type="dxa" w:w="2160"/>
          </w:tcPr>
          <w:p>
            <w:pPr>
              <w:spacing w:after="20"/>
              <w:jc w:val="right"/>
            </w:pPr>
            <w:r>
              <w:rPr>
                <w:color w:val="1C3A36"/>
                <w:sz w:val="17"/>
              </w:rPr>
              <w:t>Glides to 3.70%</w:t>
            </w:r>
          </w:p>
        </w:tc>
        <w:tc>
          <w:tcPr>
            <w:tcW w:type="dxa" w:w="2160"/>
          </w:tcPr>
          <w:p>
            <w:pPr>
              <w:spacing w:after="20"/>
              <w:jc w:val="right"/>
            </w:pPr>
            <w:r>
              <w:rPr>
                <w:color w:val="1C3A36"/>
                <w:sz w:val="17"/>
              </w:rPr>
              <w:t>Glides to 3.70%</w:t>
            </w:r>
          </w:p>
        </w:tc>
      </w:tr>
      <w:tr>
        <w:tc>
          <w:tcPr>
            <w:tcW w:type="dxa" w:w="3600"/>
          </w:tcPr>
          <w:p>
            <w:pPr>
              <w:spacing w:after="20"/>
            </w:pPr>
            <w:r>
              <w:rPr>
                <w:b/>
                <w:color w:val="1C3A36"/>
                <w:sz w:val="17"/>
              </w:rPr>
              <w:t>UAE credit growth → financing</w:t>
            </w:r>
          </w:p>
        </w:tc>
        <w:tc>
          <w:tcPr>
            <w:tcW w:type="dxa" w:w="2160"/>
          </w:tcPr>
          <w:p>
            <w:pPr>
              <w:spacing w:after="20"/>
              <w:jc w:val="right"/>
            </w:pPr>
            <w:r>
              <w:rPr>
                <w:color w:val="1C3A36"/>
                <w:sz w:val="17"/>
              </w:rPr>
              <w:t>Guidance +1pt</w:t>
            </w:r>
          </w:p>
        </w:tc>
        <w:tc>
          <w:tcPr>
            <w:tcW w:type="dxa" w:w="2160"/>
          </w:tcPr>
          <w:p>
            <w:pPr>
              <w:spacing w:after="20"/>
              <w:jc w:val="right"/>
            </w:pPr>
            <w:r>
              <w:rPr>
                <w:color w:val="1C3A36"/>
                <w:sz w:val="17"/>
              </w:rPr>
              <w:t>Guidance</w:t>
            </w:r>
          </w:p>
        </w:tc>
        <w:tc>
          <w:tcPr>
            <w:tcW w:type="dxa" w:w="2160"/>
          </w:tcPr>
          <w:p>
            <w:pPr>
              <w:spacing w:after="20"/>
              <w:jc w:val="right"/>
            </w:pPr>
            <w:r>
              <w:rPr>
                <w:color w:val="1C3A36"/>
                <w:sz w:val="17"/>
              </w:rPr>
              <w:t>Guidance −3pt; CoR 75bp</w:t>
            </w:r>
          </w:p>
        </w:tc>
      </w:tr>
      <w:tr>
        <w:tc>
          <w:tcPr>
            <w:tcW w:type="dxa" w:w="3600"/>
          </w:tcPr>
          <w:p>
            <w:pPr>
              <w:spacing w:after="20"/>
            </w:pPr>
            <w:r>
              <w:rPr>
                <w:b/>
                <w:color w:val="1C3A36"/>
                <w:sz w:val="17"/>
              </w:rPr>
              <w:t>Cost of equity</w:t>
            </w:r>
          </w:p>
        </w:tc>
        <w:tc>
          <w:tcPr>
            <w:tcW w:type="dxa" w:w="2160"/>
          </w:tcPr>
          <w:p>
            <w:pPr>
              <w:spacing w:after="20"/>
              <w:jc w:val="right"/>
            </w:pPr>
            <w:r>
              <w:rPr>
                <w:color w:val="1C3A36"/>
                <w:sz w:val="17"/>
              </w:rPr>
              <w:t>9.57%</w:t>
            </w:r>
          </w:p>
        </w:tc>
        <w:tc>
          <w:tcPr>
            <w:tcW w:type="dxa" w:w="2160"/>
          </w:tcPr>
          <w:p>
            <w:pPr>
              <w:spacing w:after="20"/>
              <w:jc w:val="right"/>
            </w:pPr>
            <w:r>
              <w:rPr>
                <w:color w:val="1C3A36"/>
                <w:sz w:val="17"/>
              </w:rPr>
              <w:t>10.57%</w:t>
            </w:r>
          </w:p>
        </w:tc>
        <w:tc>
          <w:tcPr>
            <w:tcW w:type="dxa" w:w="2160"/>
          </w:tcPr>
          <w:p>
            <w:pPr>
              <w:spacing w:after="20"/>
              <w:jc w:val="right"/>
            </w:pPr>
            <w:r>
              <w:rPr>
                <w:color w:val="1C3A36"/>
                <w:sz w:val="17"/>
              </w:rPr>
              <w:t>12.07%</w:t>
            </w:r>
          </w:p>
        </w:tc>
      </w:tr>
      <w:tr>
        <w:tc>
          <w:tcPr>
            <w:tcW w:type="dxa" w:w="3600"/>
            <w:shd w:val="clear" w:color="auto" w:fill="F6F1E6"/>
          </w:tcPr>
          <w:p>
            <w:pPr>
              <w:spacing w:after="20"/>
            </w:pPr>
            <w:r>
              <w:rPr>
                <w:b/>
                <w:color w:val="1C3A36"/>
                <w:sz w:val="17"/>
              </w:rPr>
              <w:t>Derived value</w:t>
            </w:r>
          </w:p>
        </w:tc>
        <w:tc>
          <w:tcPr>
            <w:tcW w:type="dxa" w:w="2160"/>
            <w:shd w:val="clear" w:color="auto" w:fill="F6F1E6"/>
          </w:tcPr>
          <w:p>
            <w:pPr>
              <w:spacing w:after="20"/>
              <w:jc w:val="right"/>
            </w:pPr>
            <w:r>
              <w:rPr>
                <w:b/>
                <w:color w:val="1C3A36"/>
                <w:sz w:val="17"/>
              </w:rPr>
              <w:t>AED 25.34</w:t>
            </w:r>
          </w:p>
        </w:tc>
        <w:tc>
          <w:tcPr>
            <w:tcW w:type="dxa" w:w="2160"/>
            <w:shd w:val="clear" w:color="auto" w:fill="F6F1E6"/>
          </w:tcPr>
          <w:p>
            <w:pPr>
              <w:spacing w:after="20"/>
              <w:jc w:val="right"/>
            </w:pPr>
            <w:r>
              <w:rPr>
                <w:b/>
                <w:color w:val="1C3A36"/>
                <w:sz w:val="17"/>
              </w:rPr>
              <w:t>AED 21.23</w:t>
            </w:r>
          </w:p>
        </w:tc>
        <w:tc>
          <w:tcPr>
            <w:tcW w:type="dxa" w:w="2160"/>
            <w:shd w:val="clear" w:color="auto" w:fill="F6F1E6"/>
          </w:tcPr>
          <w:p>
            <w:pPr>
              <w:spacing w:after="20"/>
              <w:jc w:val="right"/>
            </w:pPr>
            <w:r>
              <w:rPr>
                <w:b/>
                <w:color w:val="1C3A36"/>
                <w:sz w:val="17"/>
              </w:rPr>
              <w:t>AED 16.77</w:t>
            </w:r>
          </w:p>
        </w:tc>
      </w:tr>
    </w:tbl>
    <w:p>
      <w:pPr>
        <w:spacing w:after="40"/>
      </w:pPr>
    </w:p>
    <w:p>
      <w:pPr>
        <w:spacing w:after="120" w:before="0"/>
      </w:pPr>
      <w:r>
        <w:rPr>
          <w:b w:val="0"/>
          <w:i w:val="0"/>
          <w:color w:val="1C3A36"/>
          <w:sz w:val="21"/>
        </w:rPr>
        <w:t>The weights, and where they come from. He sets them from the news, not from hope. On 17 June a US–Iran memorandum reopened the strait and Brent fell to $70.82 by 2 July — the day before this study's spot price was set. Then strikes resumed on 4–6 July, Brent went back to roughly $76, and on 10 July the US President described the ceasefire as "effectively over" while saying talks remain open. The 60-day negotiating window closes on 21 August. A signed peace is therefore LESS likely than it looked on the very day the market set the price this study is anchored to. He takes 20% bull, 50% base, 30% bear: 0.20 × 25.34 + 0.50 × 21.23 + 0.30 × 16.77 = AED 20.71.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Sensitivity — his real swing input: the WEIGHTS, not the scenario values</w:t>
            </w:r>
          </w:p>
        </w:tc>
        <w:tc>
          <w:tcPr>
            <w:tcW w:type="dxa" w:w="3888"/>
            <w:shd w:val="clear" w:color="auto" w:fill="EAF0EE"/>
          </w:tcPr>
          <w:p>
            <w:pPr>
              <w:spacing w:after="20"/>
            </w:pPr>
            <w:r>
              <w:rPr>
                <w:b/>
                <w:color w:val="1C3A36"/>
                <w:sz w:val="18"/>
              </w:rPr>
              <w:t>Fair value (AED)</w:t>
            </w:r>
          </w:p>
        </w:tc>
      </w:tr>
      <w:tr>
        <w:tc>
          <w:tcPr>
            <w:tcW w:type="dxa" w:w="6192"/>
          </w:tcPr>
          <w:p>
            <w:pPr>
              <w:spacing w:after="20"/>
            </w:pPr>
            <w:r>
              <w:rPr>
                <w:b/>
                <w:color w:val="1C3A36"/>
                <w:sz w:val="18"/>
              </w:rPr>
              <w:t>35/50/15  peace holds</w:t>
            </w:r>
          </w:p>
        </w:tc>
        <w:tc>
          <w:tcPr>
            <w:tcW w:type="dxa" w:w="3888"/>
          </w:tcPr>
          <w:p>
            <w:pPr>
              <w:spacing w:after="20"/>
              <w:jc w:val="right"/>
            </w:pPr>
            <w:r>
              <w:rPr>
                <w:color w:val="1C3A36"/>
                <w:sz w:val="18"/>
              </w:rPr>
              <w:t>22.00</w:t>
            </w:r>
          </w:p>
        </w:tc>
      </w:tr>
      <w:tr>
        <w:tc>
          <w:tcPr>
            <w:tcW w:type="dxa" w:w="6192"/>
          </w:tcPr>
          <w:p>
            <w:pPr>
              <w:spacing w:after="20"/>
            </w:pPr>
            <w:r>
              <w:rPr>
                <w:b/>
                <w:color w:val="1C3A36"/>
                <w:sz w:val="18"/>
              </w:rPr>
              <w:t>25/50/25  neutral</w:t>
            </w:r>
          </w:p>
        </w:tc>
        <w:tc>
          <w:tcPr>
            <w:tcW w:type="dxa" w:w="3888"/>
          </w:tcPr>
          <w:p>
            <w:pPr>
              <w:spacing w:after="20"/>
              <w:jc w:val="right"/>
            </w:pPr>
            <w:r>
              <w:rPr>
                <w:color w:val="1C3A36"/>
                <w:sz w:val="18"/>
              </w:rPr>
              <w:t>21.14</w:t>
            </w:r>
          </w:p>
        </w:tc>
      </w:tr>
      <w:tr>
        <w:tc>
          <w:tcPr>
            <w:tcW w:type="dxa" w:w="6192"/>
            <w:shd w:val="clear" w:color="auto" w:fill="F6F1E6"/>
          </w:tcPr>
          <w:p>
            <w:pPr>
              <w:spacing w:after="20"/>
            </w:pPr>
            <w:r>
              <w:rPr>
                <w:b/>
                <w:color w:val="1C3A36"/>
                <w:sz w:val="18"/>
              </w:rPr>
              <w:t>20/50/30  his call</w:t>
            </w:r>
          </w:p>
        </w:tc>
        <w:tc>
          <w:tcPr>
            <w:tcW w:type="dxa" w:w="3888"/>
            <w:shd w:val="clear" w:color="auto" w:fill="F6F1E6"/>
          </w:tcPr>
          <w:p>
            <w:pPr>
              <w:spacing w:after="20"/>
              <w:jc w:val="right"/>
            </w:pPr>
            <w:r>
              <w:rPr>
                <w:b/>
                <w:color w:val="1C3A36"/>
                <w:sz w:val="18"/>
              </w:rPr>
              <w:t>20.71</w:t>
            </w:r>
          </w:p>
        </w:tc>
      </w:tr>
      <w:tr>
        <w:tc>
          <w:tcPr>
            <w:tcW w:type="dxa" w:w="6192"/>
          </w:tcPr>
          <w:p>
            <w:pPr>
              <w:spacing w:after="20"/>
            </w:pPr>
            <w:r>
              <w:rPr>
                <w:b/>
                <w:color w:val="1C3A36"/>
                <w:sz w:val="18"/>
              </w:rPr>
              <w:t>10/40/50  the deal collapses</w:t>
            </w:r>
          </w:p>
        </w:tc>
        <w:tc>
          <w:tcPr>
            <w:tcW w:type="dxa" w:w="3888"/>
          </w:tcPr>
          <w:p>
            <w:pPr>
              <w:spacing w:after="20"/>
              <w:jc w:val="right"/>
            </w:pPr>
            <w:r>
              <w:rPr>
                <w:color w:val="1C3A36"/>
                <w:sz w:val="18"/>
              </w:rPr>
              <w:t>19.41</w:t>
            </w:r>
          </w:p>
        </w:tc>
      </w:tr>
    </w:tbl>
    <w:p>
      <w:pPr>
        <w:spacing w:after="40"/>
      </w:pPr>
    </w:p>
    <w:p>
      <w:pPr>
        <w:spacing w:after="120" w:before="0"/>
      </w:pPr>
      <w:r>
        <w:rPr>
          <w:b w:val="0"/>
          <w:i w:val="0"/>
          <w:color w:val="1C3A36"/>
          <w:sz w:val="21"/>
        </w:rPr>
        <w:t>Verdict: AED 20.71. What the market price implies on his method: weights of roughly 30/50/20 — i.e. the market is pricing a materially higher chance of a signed peace than the 10 July news supports. What would prove him wrong: a formal agreement signed inside the 21 August window, at which point his bear branch collapses and his own bull value of AED 25.34 becomes the reference — a 16% move on a piece of paper, which is exactly his point about this market.</w:t>
      </w:r>
    </w:p>
    <w:p>
      <w:pPr>
        <w:spacing w:after="120" w:before="0"/>
      </w:pPr>
      <w:r>
        <w:rPr>
          <w:b w:val="0"/>
          <w:i w:val="0"/>
          <w:color w:val="1C3A36"/>
          <w:sz w:val="21"/>
        </w:rPr>
        <w:t>How he cross-examines the others. To Expert 1: "Your 'sustainable' return assumes a tax rate. The UAE has just introduced a 15% floor and ADIB has not told anyone whether it applies to them. That is not a rounding error — it is three points of return on equity." To Expert 2: "Your through-cycle cost of risk is a UAE-domestic number. A fifth of ADIB's pre-tax profit and most of its tax bill come from Egypt. You are stressing the wrong balance sheet."</w:t>
      </w:r>
    </w:p>
    <w:p>
      <w:pPr>
        <w:spacing w:after="80" w:before="200"/>
      </w:pPr>
      <w:r>
        <w:rPr>
          <w:b/>
          <w:i w:val="0"/>
          <w:color w:val="1C3A36"/>
          <w:sz w:val="24"/>
        </w:rPr>
        <w:t>The three in one room</w:t>
      </w:r>
    </w:p>
    <w:p>
      <w:pPr>
        <w:spacing w:after="120" w:before="0"/>
      </w:pPr>
      <w:r>
        <w:rPr>
          <w:b w:val="0"/>
          <w:i w:val="0"/>
          <w:color w:val="1C3A36"/>
          <w:sz w:val="21"/>
        </w:rPr>
        <w:t>Put them in a room and the argument narrows to one thing within about ninety seconds. It is not credit, and it is not the war. It is whether a 28.8% return on equity is a moat or a moment.</w:t>
      </w:r>
    </w:p>
    <w:p>
      <w:pPr>
        <w:spacing w:after="120" w:before="0"/>
      </w:pPr>
      <w:r>
        <w:rPr>
          <w:b w:val="0"/>
          <w:i w:val="0"/>
          <w:color w:val="1C3A36"/>
          <w:sz w:val="21"/>
        </w:rPr>
        <w:t>Expert 1 says the fade is mechanical and modest: the equity base compounds, the return drifts to 24%, and at that level the bank is worth AED 20 and the price is 9% too high. Expert 2 says her 24% has never been tested — it was earned on a 44 basis-point cost of risk against a book that grew a quarter in twelve months, and one bad vintage takes it to 22% and the value to AED 18. Expert 3 tells them both that they are arguing about the third decimal place of a number that a single headline out of the Strait of Hormuz moves by four dirhams, and that the only intellectually honest position is to hold all three worlds at once and weight them.</w:t>
      </w:r>
    </w:p>
    <w:p>
      <w:pPr>
        <w:spacing w:after="120" w:before="0"/>
      </w:pPr>
      <w:r>
        <w:rPr>
          <w:b w:val="0"/>
          <w:i w:val="0"/>
          <w:color w:val="1C3A36"/>
          <w:sz w:val="21"/>
        </w:rPr>
        <w:t>The interesting thing is what they agree on. All three land below the market price. They disagree about how much, not about the direction — and none of them is a bear. Each of them, in their own frame, is describing an excellent bank that is fully paid for.</w:t>
      </w:r>
    </w:p>
    <w:p>
      <w:pPr>
        <w:spacing w:after="80" w:before="200"/>
      </w:pPr>
      <w:r>
        <w:rPr>
          <w:b/>
          <w:i w:val="0"/>
          <w:color w:val="1C3A36"/>
          <w:sz w:val="24"/>
        </w:rPr>
        <w:t>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656"/>
            <w:shd w:val="clear" w:color="auto" w:fill="EAF0EE"/>
          </w:tcPr>
          <w:p>
            <w:pPr>
              <w:spacing w:after="20"/>
            </w:pPr>
            <w:r>
              <w:rPr>
                <w:b/>
                <w:color w:val="1C3A36"/>
                <w:sz w:val="17"/>
              </w:rPr>
              <w:t>Expert</w:t>
            </w:r>
          </w:p>
        </w:tc>
        <w:tc>
          <w:tcPr>
            <w:tcW w:type="dxa" w:w="4320"/>
            <w:shd w:val="clear" w:color="auto" w:fill="EAF0EE"/>
          </w:tcPr>
          <w:p>
            <w:pPr>
              <w:spacing w:after="20"/>
            </w:pPr>
            <w:r>
              <w:rPr>
                <w:b/>
                <w:color w:val="1C3A36"/>
                <w:sz w:val="17"/>
              </w:rPr>
              <w:t>Method in one line</w:t>
            </w:r>
          </w:p>
        </w:tc>
        <w:tc>
          <w:tcPr>
            <w:tcW w:type="dxa" w:w="1512"/>
            <w:shd w:val="clear" w:color="auto" w:fill="EAF0EE"/>
          </w:tcPr>
          <w:p>
            <w:pPr>
              <w:spacing w:after="20"/>
            </w:pPr>
            <w:r>
              <w:rPr>
                <w:b/>
                <w:color w:val="1C3A36"/>
                <w:sz w:val="17"/>
              </w:rPr>
              <w:t>Value (AED)</w:t>
            </w:r>
          </w:p>
        </w:tc>
        <w:tc>
          <w:tcPr>
            <w:tcW w:type="dxa" w:w="2592"/>
            <w:shd w:val="clear" w:color="auto" w:fill="EAF0EE"/>
          </w:tcPr>
          <w:p>
            <w:pPr>
              <w:spacing w:after="20"/>
            </w:pPr>
            <w:r>
              <w:rPr>
                <w:b/>
                <w:color w:val="1C3A36"/>
                <w:sz w:val="17"/>
              </w:rPr>
              <w:t>The one assumption driving it</w:t>
            </w:r>
          </w:p>
        </w:tc>
      </w:tr>
      <w:tr>
        <w:tc>
          <w:tcPr>
            <w:tcW w:type="dxa" w:w="1656"/>
          </w:tcPr>
          <w:p>
            <w:pPr>
              <w:spacing w:after="20"/>
            </w:pPr>
            <w:r>
              <w:rPr>
                <w:b/>
                <w:color w:val="1C3A36"/>
                <w:sz w:val="17"/>
              </w:rPr>
              <w:t>Expert 1</w:t>
            </w:r>
          </w:p>
        </w:tc>
        <w:tc>
          <w:tcPr>
            <w:tcW w:type="dxa" w:w="4320"/>
          </w:tcPr>
          <w:p>
            <w:pPr>
              <w:spacing w:after="20"/>
              <w:jc w:val="right"/>
            </w:pPr>
            <w:r>
              <w:rPr>
                <w:color w:val="1C3A36"/>
                <w:sz w:val="17"/>
              </w:rPr>
              <w:t>Steady-state justified P/B — no credit for the transition</w:t>
            </w:r>
          </w:p>
        </w:tc>
        <w:tc>
          <w:tcPr>
            <w:tcW w:type="dxa" w:w="1512"/>
          </w:tcPr>
          <w:p>
            <w:pPr>
              <w:spacing w:after="20"/>
              <w:jc w:val="right"/>
            </w:pPr>
            <w:r>
              <w:rPr>
                <w:color w:val="1C3A36"/>
                <w:sz w:val="17"/>
              </w:rPr>
              <w:t>20.00</w:t>
            </w:r>
          </w:p>
        </w:tc>
        <w:tc>
          <w:tcPr>
            <w:tcW w:type="dxa" w:w="2592"/>
          </w:tcPr>
          <w:p>
            <w:pPr>
              <w:spacing w:after="20"/>
              <w:jc w:val="right"/>
            </w:pPr>
            <w:r>
              <w:rPr>
                <w:color w:val="1C3A36"/>
                <w:sz w:val="17"/>
              </w:rPr>
              <w:t>Sustainable ROE of 24%</w:t>
            </w:r>
          </w:p>
        </w:tc>
      </w:tr>
      <w:tr>
        <w:tc>
          <w:tcPr>
            <w:tcW w:type="dxa" w:w="1656"/>
          </w:tcPr>
          <w:p>
            <w:pPr>
              <w:spacing w:after="20"/>
            </w:pPr>
            <w:r>
              <w:rPr>
                <w:b/>
                <w:color w:val="1C3A36"/>
                <w:sz w:val="17"/>
              </w:rPr>
              <w:t>Expert 2</w:t>
            </w:r>
          </w:p>
        </w:tc>
        <w:tc>
          <w:tcPr>
            <w:tcW w:type="dxa" w:w="4320"/>
          </w:tcPr>
          <w:p>
            <w:pPr>
              <w:spacing w:after="20"/>
              <w:jc w:val="right"/>
            </w:pPr>
            <w:r>
              <w:rPr>
                <w:color w:val="1C3A36"/>
                <w:sz w:val="17"/>
              </w:rPr>
              <w:t>Stressed earnings on a written-down book</w:t>
            </w:r>
          </w:p>
        </w:tc>
        <w:tc>
          <w:tcPr>
            <w:tcW w:type="dxa" w:w="1512"/>
          </w:tcPr>
          <w:p>
            <w:pPr>
              <w:spacing w:after="20"/>
              <w:jc w:val="right"/>
            </w:pPr>
            <w:r>
              <w:rPr>
                <w:color w:val="1C3A36"/>
                <w:sz w:val="17"/>
              </w:rPr>
              <w:t>18.03</w:t>
            </w:r>
          </w:p>
        </w:tc>
        <w:tc>
          <w:tcPr>
            <w:tcW w:type="dxa" w:w="2592"/>
          </w:tcPr>
          <w:p>
            <w:pPr>
              <w:spacing w:after="20"/>
              <w:jc w:val="right"/>
            </w:pPr>
            <w:r>
              <w:rPr>
                <w:color w:val="1C3A36"/>
                <w:sz w:val="17"/>
              </w:rPr>
              <w:t>Through-cycle cost of risk of 65bp</w:t>
            </w:r>
          </w:p>
        </w:tc>
      </w:tr>
      <w:tr>
        <w:tc>
          <w:tcPr>
            <w:tcW w:type="dxa" w:w="1656"/>
          </w:tcPr>
          <w:p>
            <w:pPr>
              <w:spacing w:after="20"/>
            </w:pPr>
            <w:r>
              <w:rPr>
                <w:b/>
                <w:color w:val="1C3A36"/>
                <w:sz w:val="17"/>
              </w:rPr>
              <w:t>Expert 3</w:t>
            </w:r>
          </w:p>
        </w:tc>
        <w:tc>
          <w:tcPr>
            <w:tcW w:type="dxa" w:w="4320"/>
          </w:tcPr>
          <w:p>
            <w:pPr>
              <w:spacing w:after="20"/>
              <w:jc w:val="right"/>
            </w:pPr>
            <w:r>
              <w:rPr>
                <w:color w:val="1C3A36"/>
                <w:sz w:val="17"/>
              </w:rPr>
              <w:t>Policy levers priced as options, probability-weighted</w:t>
            </w:r>
          </w:p>
        </w:tc>
        <w:tc>
          <w:tcPr>
            <w:tcW w:type="dxa" w:w="1512"/>
          </w:tcPr>
          <w:p>
            <w:pPr>
              <w:spacing w:after="20"/>
              <w:jc w:val="right"/>
            </w:pPr>
            <w:r>
              <w:rPr>
                <w:color w:val="1C3A36"/>
                <w:sz w:val="17"/>
              </w:rPr>
              <w:t>20.71</w:t>
            </w:r>
          </w:p>
        </w:tc>
        <w:tc>
          <w:tcPr>
            <w:tcW w:type="dxa" w:w="2592"/>
          </w:tcPr>
          <w:p>
            <w:pPr>
              <w:spacing w:after="20"/>
              <w:jc w:val="right"/>
            </w:pPr>
            <w:r>
              <w:rPr>
                <w:color w:val="1C3A36"/>
                <w:sz w:val="17"/>
              </w:rPr>
              <w:t>Scenario weights of 20 / 50 / 30</w:t>
            </w:r>
          </w:p>
        </w:tc>
      </w:tr>
      <w:tr>
        <w:tc>
          <w:tcPr>
            <w:tcW w:type="dxa" w:w="1656"/>
            <w:shd w:val="clear" w:color="auto" w:fill="F6F1E6"/>
          </w:tcPr>
          <w:p>
            <w:pPr>
              <w:spacing w:after="20"/>
            </w:pPr>
            <w:r>
              <w:rPr>
                <w:b/>
                <w:color w:val="1C3A36"/>
                <w:sz w:val="17"/>
              </w:rPr>
              <w:t>— study weighted central</w:t>
            </w:r>
          </w:p>
        </w:tc>
        <w:tc>
          <w:tcPr>
            <w:tcW w:type="dxa" w:w="4320"/>
            <w:shd w:val="clear" w:color="auto" w:fill="F6F1E6"/>
          </w:tcPr>
          <w:p>
            <w:pPr>
              <w:spacing w:after="20"/>
              <w:jc w:val="right"/>
            </w:pPr>
            <w:r>
              <w:rPr>
                <w:b/>
                <w:color w:val="1C3A36"/>
                <w:sz w:val="17"/>
              </w:rPr>
              <w:t>Five lenses, weighted</w:t>
            </w:r>
          </w:p>
        </w:tc>
        <w:tc>
          <w:tcPr>
            <w:tcW w:type="dxa" w:w="1512"/>
            <w:shd w:val="clear" w:color="auto" w:fill="F6F1E6"/>
          </w:tcPr>
          <w:p>
            <w:pPr>
              <w:spacing w:after="20"/>
              <w:jc w:val="right"/>
            </w:pPr>
            <w:r>
              <w:rPr>
                <w:b/>
                <w:color w:val="1C3A36"/>
                <w:sz w:val="17"/>
              </w:rPr>
              <w:t>21.23</w:t>
            </w:r>
          </w:p>
        </w:tc>
        <w:tc>
          <w:tcPr>
            <w:tcW w:type="dxa" w:w="2592"/>
            <w:shd w:val="clear" w:color="auto" w:fill="F6F1E6"/>
          </w:tcPr>
          <w:p>
            <w:pPr>
              <w:spacing w:after="20"/>
              <w:jc w:val="right"/>
            </w:pPr>
            <w:r>
              <w:rPr>
                <w:b/>
                <w:color w:val="1C3A36"/>
                <w:sz w:val="17"/>
              </w:rPr>
              <w:t>Terminal ROE of 20%</w:t>
            </w:r>
          </w:p>
        </w:tc>
      </w:tr>
      <w:tr>
        <w:tc>
          <w:tcPr>
            <w:tcW w:type="dxa" w:w="1656"/>
            <w:shd w:val="clear" w:color="auto" w:fill="F6F1E6"/>
          </w:tcPr>
          <w:p>
            <w:pPr>
              <w:spacing w:after="20"/>
            </w:pPr>
            <w:r>
              <w:rPr>
                <w:b/>
                <w:color w:val="1C3A36"/>
                <w:sz w:val="17"/>
              </w:rPr>
              <w:t>— spot</w:t>
            </w:r>
          </w:p>
        </w:tc>
        <w:tc>
          <w:tcPr>
            <w:tcW w:type="dxa" w:w="4320"/>
            <w:shd w:val="clear" w:color="auto" w:fill="F6F1E6"/>
          </w:tcPr>
          <w:p>
            <w:pPr>
              <w:spacing w:after="20"/>
              <w:jc w:val="right"/>
            </w:pPr>
            <w:r>
              <w:rPr>
                <w:b/>
                <w:color w:val="1C3A36"/>
                <w:sz w:val="17"/>
              </w:rPr>
              <w:t>03-Jul-2026 close</w:t>
            </w:r>
          </w:p>
        </w:tc>
        <w:tc>
          <w:tcPr>
            <w:tcW w:type="dxa" w:w="1512"/>
            <w:shd w:val="clear" w:color="auto" w:fill="F6F1E6"/>
          </w:tcPr>
          <w:p>
            <w:pPr>
              <w:spacing w:after="20"/>
              <w:jc w:val="right"/>
            </w:pPr>
            <w:r>
              <w:rPr>
                <w:b/>
                <w:color w:val="1C3A36"/>
                <w:sz w:val="17"/>
              </w:rPr>
              <w:t>21.76</w:t>
            </w:r>
          </w:p>
        </w:tc>
        <w:tc>
          <w:tcPr>
            <w:tcW w:type="dxa" w:w="2592"/>
            <w:shd w:val="clear" w:color="auto" w:fill="F6F1E6"/>
          </w:tcPr>
          <w:p>
            <w:pPr>
              <w:spacing w:after="20"/>
              <w:jc w:val="right"/>
            </w:pPr>
            <w:r>
              <w:rPr>
                <w:b/>
                <w:color w:val="1C3A36"/>
                <w:sz w:val="17"/>
              </w:rPr>
            </w:r>
          </w:p>
        </w:tc>
      </w:tr>
    </w:tbl>
    <w:p>
      <w:pPr>
        <w:spacing w:after="40"/>
      </w:pPr>
    </w:p>
    <w:p>
      <w:pPr>
        <w:spacing w:after="120" w:before="0"/>
      </w:pPr>
      <w:r>
        <w:rPr>
          <w:b w:val="0"/>
          <w:i w:val="0"/>
          <w:color w:val="1C3A36"/>
          <w:sz w:val="21"/>
        </w:rPr>
        <w:t>The three land at AED 20.00, 18.03 and 20.71 — a spread of AED 2.68, or 12% of the price. That spread is not noise. It measures the distance between three legitimate ways of pricing durability: as arithmetic (Expert 1), as credit risk (Expert 2), and as geopolitics (Expert 3). What is worth noticing is that all three sit BELOW the study's own weighted central of AED 21.23, and all three sit below the price. The reason they sit below the study is instructive: the study's cash-flow lenses give ADIB credit for the 22–24% return it earns during the five-year transition before fading to 20%, and none of the three experts does. That transition credit is worth roughly AED 2 a share. Whether you believe it is the difference between thinking this stock is fairly valued and thinking it is 10% expensive — which is, in the end, a fair summary of the entire disagreement about ADIB.</w:t>
      </w:r>
    </w:p>
    <w:p>
      <w:r>
        <w:br w:type="page"/>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on EGX equities, GCC and international equities, and metals. Every study integrates three reads of the same instrument — a fundamental valuation, a technical read, and a Monte Carlo distribution — and every published distribution is registered on a public Calibration Ledger with a maturity date and graded after the fact against a naive benchmark, win or lose. Every forecasting driver that is not sourced from a disclosure or a market quote is logged, openly, as a gut check. We publish fair-value ranges and probability distributions. We do not publish ratings, price targets, or opinions about what you should do.</w:t>
      </w:r>
    </w:p>
    <w:p>
      <w:pPr>
        <w:spacing w:after="120" w:before="280"/>
      </w:pPr>
      <w:r>
        <w:rPr>
          <w:b/>
          <w:i w:val="0"/>
          <w:color w:val="1C3A36"/>
          <w:sz w:val="30"/>
        </w:rPr>
        <w:t>Disclosure &amp; Disclaimer</w:t>
      </w:r>
    </w:p>
    <w:p>
      <w:pPr>
        <w:spacing w:after="100" w:before="0"/>
      </w:pPr>
      <w:r>
        <w:rPr>
          <w:b w:val="0"/>
          <w:i w:val="0"/>
          <w:color w:val="1C3A36"/>
          <w:sz w:val="19"/>
        </w:rPr>
        <w:t>1. This document is published by Testahil for educational purposes only. It is not investment advice, an offer, a solicitation, a recommendation, a rating, or a price target of any kind.</w:t>
      </w:r>
    </w:p>
    <w:p>
      <w:pPr>
        <w:spacing w:after="100" w:before="0"/>
      </w:pPr>
      <w:r>
        <w:rPr>
          <w:b w:val="0"/>
          <w:i w:val="0"/>
          <w:color w:val="1C3A36"/>
          <w:sz w:val="19"/>
        </w:rPr>
        <w:t>2. The preparer is not licensed or supervised by the Financial Regulatory Authority (Egypt), the Securities and Commodities Authority (UAE), or any other securities regulator, and holds no professional investment designation.</w:t>
      </w:r>
    </w:p>
    <w:p>
      <w:pPr>
        <w:spacing w:after="100" w:before="0"/>
      </w:pPr>
      <w:r>
        <w:rPr>
          <w:b w:val="0"/>
          <w:i w:val="0"/>
          <w:color w:val="1C3A36"/>
          <w:sz w:val="19"/>
        </w:rPr>
        <w:t>3. All figures are model outputs under stated assumptions and may be wrong. Financial-statement data was taken from ADIB's own published Management Discussion &amp; Analysis documents and earnings presentation, machine-read from adib.ae; market data (prices, yields, index levels, sector multiples) is sourced from market data providers and is identified as such.</w:t>
      </w:r>
    </w:p>
    <w:p>
      <w:pPr>
        <w:spacing w:after="100" w:before="0"/>
      </w:pPr>
      <w:r>
        <w:rPr>
          <w:b w:val="0"/>
          <w:i w:val="0"/>
          <w:color w:val="1C3A36"/>
          <w:sz w:val="19"/>
        </w:rPr>
        <w:t>4. Forecasts are probability distributions, not predictions; they are published in order to be graded, and the graded record on the public Calibration Ledger — including the failures — is part of this document's meaning.</w:t>
      </w:r>
    </w:p>
    <w:p>
      <w:pPr>
        <w:spacing w:after="100" w:before="0"/>
      </w:pPr>
      <w:r>
        <w:rPr>
          <w:b w:val="0"/>
          <w:i w:val="0"/>
          <w:color w:val="1C3A36"/>
          <w:sz w:val="19"/>
        </w:rPr>
        <w:t>5. Nothing here considers any person's objectives or circumstances. Anyone considering an investment should consult a licensed advisor and read the issuer's official filings.</w:t>
      </w:r>
    </w:p>
    <w:p>
      <w:pPr>
        <w:spacing w:after="100" w:before="0"/>
      </w:pPr>
      <w:r>
        <w:rPr>
          <w:b w:val="0"/>
          <w:i w:val="0"/>
          <w:color w:val="1C3A36"/>
          <w:sz w:val="19"/>
        </w:rPr>
        <w:t>6. The preparer may hold, and may in the future take or dispose of, a position in the security discussed in this report. Testahil accepts no liability for any loss arising from the use of this document.</w:t>
      </w:r>
    </w:p>
    <w:p>
      <w:pPr>
        <w:spacing w:after="120" w:before="200"/>
      </w:pPr>
      <w:r>
        <w:rPr>
          <w:b w:val="0"/>
          <w:i/>
          <w:color w:val="6E7B77"/>
          <w:sz w:val="17"/>
        </w:rPr>
        <w:t>Testahil · testahil.com · study date 11 July 2026 · spot AED 21.76 (03-Jul-2026 close) · all forecasts in this study are logged, with maturity dates, to the public Calibration Ledger and graded after the fact.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