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Alpha Dhabi Holding PJSC (ADX: ALPHADHABI)</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AED 8.22 (3 Jul 2026 close — see the READ FIRST note on the 7–9 Jul war escalation) · 10,000 mn shares · mkt cap AED 82.2 bn (~US$22.4 bn) · Abu Dhabi’s IHC-controlled investment holding across five verticals: </w:t>
      </w:r>
      <w:r>
        <w:rPr>
          <w:b/>
          <w:i w:val="0"/>
          <w:color w:val="1C3A36"/>
          <w:sz w:val="19"/>
        </w:rPr>
        <w:t>listed stakes</w:t>
      </w:r>
      <w:r>
        <w:rPr>
          <w:b w:val="0"/>
          <w:i w:val="0"/>
          <w:color w:val="1C3A36"/>
          <w:sz w:val="19"/>
        </w:rPr>
        <w:t xml:space="preserve"> (Aldar Properties 31.63%, NMDC Group 76.68%, PureHealth 35.06%, NCTH 73.73%), </w:t>
      </w:r>
      <w:r>
        <w:rPr>
          <w:b/>
          <w:i w:val="0"/>
          <w:color w:val="1C3A36"/>
          <w:sz w:val="19"/>
        </w:rPr>
        <w:t>construction</w:t>
      </w:r>
      <w:r>
        <w:rPr>
          <w:b w:val="0"/>
          <w:i w:val="0"/>
          <w:color w:val="1C3A36"/>
          <w:sz w:val="19"/>
        </w:rPr>
        <w:t xml:space="preserve"> (Trojan Construction Holding 51%, co-owned with ADQ), plus industrial, hospitality and services &amp; other portfolios · reporting currency AED (pegged to USD at 3.6725) · prices and probabilities computed from the attached daily history to 3 Jul 2026 · primary lens: mark-to-market sum-of-the-parts NAV, cross-checked by a consolidated FCFF DCF, look-through relative multiples and the stated dividend policy · the swing factor: the premium the market pays above marked NAV (§1.7), against a live Gulf-war tail.</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the audited FY2025 consolidated financial statements (Deloitte, released 10 Feb 2026), the FY2024 audited statements and management discussion &amp; analysis (alphadhabi.com), and the Q1-2026 results release (4 May 2026). One balance-sheet line — FY2025 total borrowings — is a derived figure (FY2024 base plus audited FY2025 financing cash flows) because the borrowings note page was not machine-extractable; it is flagged wherever used, and the derivation is known to omit non-cash additions — lease liabilities recognised at inception (IFRS 16), debt inherited on consolidating NCTH in Jan-2025 (IFRS 3) and FX/accrual effects — so it more likely UNDERstates gross debt than overstates it; the ±AED 5 bn stress columns in §1.9 bound the effect at ±AED 0.5/share, and the exposure is confined to the 15%-weight DCF (the NAV lens builds from book equity and subtracts no debt). Forward-looking inputs — growth, margins, working-capital absorption, the cost of capital, the multiples and the holdco discount — are the preparer’s judgments and are flagged throughout.</w:t>
            </w:r>
          </w:p>
          <w:p>
            <w:pPr>
              <w:spacing w:after="100"/>
            </w:pPr>
            <w:r>
              <w:rPr>
                <w:b/>
                <w:color w:val="1C3A36"/>
                <w:sz w:val="19"/>
              </w:rPr>
              <w:t xml:space="preserve">TIMING NOTE. </w:t>
            </w:r>
            <w:r>
              <w:rPr>
                <w:color w:val="1C3A36"/>
                <w:sz w:val="19"/>
              </w:rPr>
              <w:t>The price series ends 3 Jul 2026. On 7–8 Jul 2026 the April Iran–Israel/US ceasefire collapsed (renewed US strikes; Brent ~$77.5 after April’s $126 peak). Every price, percentile and probability in this study is computed as of the 3 Jul close and does not embed that escalation; §3 and §7 treat it explicitly as a live left-tail. Consult a licensed financial advisor before any investment decision.</w:t>
            </w:r>
          </w:p>
        </w:tc>
      </w:tr>
    </w:tbl>
    <w:p>
      <w:pPr>
        <w:spacing w:after="40"/>
      </w:pPr>
    </w:p>
    <w:p>
      <w:pPr>
        <w:spacing w:after="80" w:before="200"/>
      </w:pPr>
      <w:r>
        <w:rPr>
          <w:b/>
          <w:i w:val="0"/>
          <w:color w:val="1C3A36"/>
          <w:sz w:val="24"/>
        </w:rPr>
        <w:t>The company</w:t>
      </w:r>
    </w:p>
    <w:p>
      <w:pPr>
        <w:spacing w:after="120" w:before="0"/>
      </w:pPr>
      <w:r>
        <w:rPr>
          <w:b w:val="0"/>
          <w:i w:val="0"/>
          <w:color w:val="1C3A36"/>
          <w:sz w:val="21"/>
        </w:rPr>
        <w:t>Alpha Dhabi Holding is Abu Dhabi’s second-largest listed investment holding, assembled since 2021 under International Holding Company (IHC) as a permanent-capital owner of controlling and strategic stakes rather than an operating business in its own right. It makes money three ways: consolidated operating profits from the businesses it controls (Trojan’s construction backlog, NMDC’s marine-dredging and EPC book, NCTH’s hotels, an industrial portfolio), equity-method and dividend income from large minority stakes (31.6% of Aldar, the emirate’s dominant developer; 35.1% of PureHealth, the largest GCC healthcare platform), and fair-value gains on a growing financial-investment book that contributed AED 3.2 bn in FY2025 alone. Its moat is positional rather than operational: proximity to Abu Dhabi’s state-linked project pipeline through IHC and ADQ relationships, first-call access to capital, and board control of assets that themselves hold franchise positions (Aldar in Abu Dhabi real estate, NMDC in Gulf marine works, Trojan as the UAE’s largest contractor). The scale is substantial — FY2025 revenue of AED 78.8 bn, total assets of AED 214 bn, and roughly AED 46 bn of listed-stake value at current marks — which places it among the Gulf’s largest diversified holdings. Positioning is the tension this study prices: a 33% one-year de-rating has brought the shares from a large premium toward, but not yet below, the marked value of what the holding owns.</w:t>
      </w:r>
    </w:p>
    <w:p>
      <w:pPr>
        <w:spacing w:after="80" w:before="200"/>
      </w:pPr>
      <w:r>
        <w:rPr>
          <w:b/>
          <w:i w:val="0"/>
          <w:color w:val="1C3A36"/>
          <w:sz w:val="24"/>
        </w:rPr>
        <w:t>Alpha Dhabi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592"/>
            <w:shd w:val="clear" w:color="auto" w:fill="EAF0EE"/>
          </w:tcPr>
          <w:p>
            <w:pPr>
              <w:spacing w:after="20"/>
            </w:pPr>
            <w:r>
              <w:rPr>
                <w:b/>
                <w:color w:val="1C3A36"/>
                <w:sz w:val="18"/>
              </w:rPr>
              <w:t>Item</w:t>
            </w:r>
          </w:p>
        </w:tc>
        <w:tc>
          <w:tcPr>
            <w:tcW w:type="dxa" w:w="7632"/>
            <w:shd w:val="clear" w:color="auto" w:fill="EAF0EE"/>
          </w:tcPr>
          <w:p>
            <w:pPr>
              <w:spacing w:after="20"/>
            </w:pPr>
            <w:r>
              <w:rPr>
                <w:b/>
                <w:color w:val="1C3A36"/>
                <w:sz w:val="18"/>
              </w:rPr>
              <w:t>Value</w:t>
            </w:r>
          </w:p>
        </w:tc>
      </w:tr>
      <w:tr>
        <w:tc>
          <w:tcPr>
            <w:tcW w:type="dxa" w:w="2592"/>
          </w:tcPr>
          <w:p>
            <w:pPr>
              <w:spacing w:after="20"/>
            </w:pPr>
            <w:r>
              <w:rPr>
                <w:b/>
                <w:color w:val="1C3A36"/>
                <w:sz w:val="18"/>
              </w:rPr>
              <w:t>Listed entity</w:t>
            </w:r>
          </w:p>
        </w:tc>
        <w:tc>
          <w:tcPr>
            <w:tcW w:type="dxa" w:w="7632"/>
          </w:tcPr>
          <w:p>
            <w:pPr>
              <w:spacing w:after="20"/>
              <w:jc w:val="right"/>
            </w:pPr>
            <w:r>
              <w:rPr>
                <w:color w:val="1C3A36"/>
                <w:sz w:val="18"/>
              </w:rPr>
              <w:t>Alpha Dhabi Holding PJSC, ADX: ALPHADHABI · parent: International Holding Company (IHC)</w:t>
            </w:r>
          </w:p>
        </w:tc>
      </w:tr>
      <w:tr>
        <w:tc>
          <w:tcPr>
            <w:tcW w:type="dxa" w:w="2592"/>
          </w:tcPr>
          <w:p>
            <w:pPr>
              <w:spacing w:after="20"/>
            </w:pPr>
            <w:r>
              <w:rPr>
                <w:b/>
                <w:color w:val="1C3A36"/>
                <w:sz w:val="18"/>
              </w:rPr>
              <w:t>What it is</w:t>
            </w:r>
          </w:p>
        </w:tc>
        <w:tc>
          <w:tcPr>
            <w:tcW w:type="dxa" w:w="7632"/>
          </w:tcPr>
          <w:p>
            <w:pPr>
              <w:spacing w:after="20"/>
              <w:jc w:val="right"/>
            </w:pPr>
            <w:r>
              <w:rPr>
                <w:color w:val="1C3A36"/>
                <w:sz w:val="18"/>
              </w:rPr>
              <w:t>Investment holding: listed stakes (Aldar, NMDC, PureHealth, NCTH) + Trojan construction + industrial, hospitality, services &amp; other portfolios</w:t>
            </w:r>
          </w:p>
        </w:tc>
      </w:tr>
      <w:tr>
        <w:tc>
          <w:tcPr>
            <w:tcW w:type="dxa" w:w="2592"/>
          </w:tcPr>
          <w:p>
            <w:pPr>
              <w:spacing w:after="20"/>
            </w:pPr>
            <w:r>
              <w:rPr>
                <w:b/>
                <w:color w:val="1C3A36"/>
                <w:sz w:val="18"/>
              </w:rPr>
              <w:t>Spot / date</w:t>
            </w:r>
          </w:p>
        </w:tc>
        <w:tc>
          <w:tcPr>
            <w:tcW w:type="dxa" w:w="7632"/>
          </w:tcPr>
          <w:p>
            <w:pPr>
              <w:spacing w:after="20"/>
              <w:jc w:val="right"/>
            </w:pPr>
            <w:r>
              <w:rPr>
                <w:color w:val="1C3A36"/>
                <w:sz w:val="18"/>
              </w:rPr>
              <w:t>AED 8.22 · 3 Jul 2026 close (see READ FIRST timing note)</w:t>
            </w:r>
          </w:p>
        </w:tc>
      </w:tr>
      <w:tr>
        <w:tc>
          <w:tcPr>
            <w:tcW w:type="dxa" w:w="2592"/>
          </w:tcPr>
          <w:p>
            <w:pPr>
              <w:spacing w:after="20"/>
            </w:pPr>
            <w:r>
              <w:rPr>
                <w:b/>
                <w:color w:val="1C3A36"/>
                <w:sz w:val="18"/>
              </w:rPr>
              <w:t>Shares · market cap</w:t>
            </w:r>
          </w:p>
        </w:tc>
        <w:tc>
          <w:tcPr>
            <w:tcW w:type="dxa" w:w="7632"/>
          </w:tcPr>
          <w:p>
            <w:pPr>
              <w:spacing w:after="20"/>
              <w:jc w:val="right"/>
            </w:pPr>
            <w:r>
              <w:rPr>
                <w:color w:val="1C3A36"/>
                <w:sz w:val="18"/>
              </w:rPr>
              <w:t>10,000 mn · AED 82.2 bn (~US$22.4 bn)</w:t>
            </w:r>
          </w:p>
        </w:tc>
      </w:tr>
      <w:tr>
        <w:tc>
          <w:tcPr>
            <w:tcW w:type="dxa" w:w="2592"/>
          </w:tcPr>
          <w:p>
            <w:pPr>
              <w:spacing w:after="20"/>
            </w:pPr>
            <w:r>
              <w:rPr>
                <w:b/>
                <w:color w:val="1C3A36"/>
                <w:sz w:val="18"/>
              </w:rPr>
              <w:t>FY2025 revenue / adj. EBITDA / net profit</w:t>
            </w:r>
          </w:p>
        </w:tc>
        <w:tc>
          <w:tcPr>
            <w:tcW w:type="dxa" w:w="7632"/>
          </w:tcPr>
          <w:p>
            <w:pPr>
              <w:spacing w:after="20"/>
              <w:jc w:val="right"/>
            </w:pPr>
            <w:r>
              <w:rPr>
                <w:color w:val="1C3A36"/>
                <w:sz w:val="18"/>
              </w:rPr>
              <w:t>AED 78,775 mn (+24%) · AED ~17.7 bn adjusted · AED 15,032 mn total, of which AED 8,014 mn attributable (EPS 0.79, −10% y/y)</w:t>
            </w:r>
          </w:p>
        </w:tc>
      </w:tr>
      <w:tr>
        <w:tc>
          <w:tcPr>
            <w:tcW w:type="dxa" w:w="2592"/>
          </w:tcPr>
          <w:p>
            <w:pPr>
              <w:spacing w:after="20"/>
            </w:pPr>
            <w:r>
              <w:rPr>
                <w:b/>
                <w:color w:val="1C3A36"/>
                <w:sz w:val="18"/>
              </w:rPr>
              <w:t>Q1-2026 revenue / net profit</w:t>
            </w:r>
          </w:p>
        </w:tc>
        <w:tc>
          <w:tcPr>
            <w:tcW w:type="dxa" w:w="7632"/>
          </w:tcPr>
          <w:p>
            <w:pPr>
              <w:spacing w:after="20"/>
              <w:jc w:val="right"/>
            </w:pPr>
            <w:r>
              <w:rPr>
                <w:color w:val="1C3A36"/>
                <w:sz w:val="18"/>
              </w:rPr>
              <w:t>AED 18,790 mn (+8%) · AED 3,800 mn total (+81%, fair-value-gain driven; attributable split not yet published — derived estimate, flagged: AED 2.0–2.5 bn, spanning the FY25 proportional split (53.3%) and an FV-skew-to-parent scenario (65%))</w:t>
            </w:r>
          </w:p>
        </w:tc>
      </w:tr>
      <w:tr>
        <w:tc>
          <w:tcPr>
            <w:tcW w:type="dxa" w:w="2592"/>
          </w:tcPr>
          <w:p>
            <w:pPr>
              <w:spacing w:after="20"/>
            </w:pPr>
            <w:r>
              <w:rPr>
                <w:b/>
                <w:color w:val="1C3A36"/>
                <w:sz w:val="18"/>
              </w:rPr>
              <w:t>Segment revenue (FY2025)</w:t>
            </w:r>
          </w:p>
        </w:tc>
        <w:tc>
          <w:tcPr>
            <w:tcW w:type="dxa" w:w="7632"/>
          </w:tcPr>
          <w:p>
            <w:pPr>
              <w:spacing w:after="20"/>
              <w:jc w:val="right"/>
            </w:pPr>
            <w:r>
              <w:rPr>
                <w:color w:val="1C3A36"/>
                <w:sz w:val="18"/>
              </w:rPr>
              <w:t>Industrial AED 28.8 bn · Real estate 27.8 bn · Construction 13.1 bn · Services &amp; other 9.1 bn</w:t>
            </w:r>
          </w:p>
        </w:tc>
      </w:tr>
      <w:tr>
        <w:tc>
          <w:tcPr>
            <w:tcW w:type="dxa" w:w="2592"/>
          </w:tcPr>
          <w:p>
            <w:pPr>
              <w:spacing w:after="20"/>
            </w:pPr>
            <w:r>
              <w:rPr>
                <w:b/>
                <w:color w:val="1C3A36"/>
                <w:sz w:val="18"/>
              </w:rPr>
              <w:t>Balance sheet (FY2025)</w:t>
            </w:r>
          </w:p>
        </w:tc>
        <w:tc>
          <w:tcPr>
            <w:tcW w:type="dxa" w:w="7632"/>
          </w:tcPr>
          <w:p>
            <w:pPr>
              <w:spacing w:after="20"/>
              <w:jc w:val="right"/>
            </w:pPr>
            <w:r>
              <w:rPr>
                <w:color w:val="1C3A36"/>
                <w:sz w:val="18"/>
              </w:rPr>
              <w:t>Assets AED 214.4 bn · owners’ equity 60.1 bn · NCI 42.1 bn · hybrids 1.8 bn · cash &amp; bank 40.3 bn · borrowings ≈41.4 bn (derived — flagged) · net debt ≈ AED 1.1 bn</w:t>
            </w:r>
          </w:p>
        </w:tc>
      </w:tr>
      <w:tr>
        <w:tc>
          <w:tcPr>
            <w:tcW w:type="dxa" w:w="2592"/>
          </w:tcPr>
          <w:p>
            <w:pPr>
              <w:spacing w:after="20"/>
            </w:pPr>
            <w:r>
              <w:rPr>
                <w:b/>
                <w:color w:val="1C3A36"/>
                <w:sz w:val="18"/>
              </w:rPr>
              <w:t>Key stakes (audited FY25)</w:t>
            </w:r>
          </w:p>
        </w:tc>
        <w:tc>
          <w:tcPr>
            <w:tcW w:type="dxa" w:w="7632"/>
          </w:tcPr>
          <w:p>
            <w:pPr>
              <w:spacing w:after="20"/>
              <w:jc w:val="right"/>
            </w:pPr>
            <w:r>
              <w:rPr>
                <w:color w:val="1C3A36"/>
                <w:sz w:val="18"/>
              </w:rPr>
              <w:t>Aldar 31.63% (consolidated) · NMDC Group 76.68% (up from 66.91%) · PureHealth 35.06% (associate) · NCTH 73.73% (consolidated Jan-25) · Trojan 51% (ADQ 49%)</w:t>
            </w:r>
          </w:p>
        </w:tc>
      </w:tr>
      <w:tr>
        <w:tc>
          <w:tcPr>
            <w:tcW w:type="dxa" w:w="2592"/>
          </w:tcPr>
          <w:p>
            <w:pPr>
              <w:spacing w:after="20"/>
            </w:pPr>
            <w:r>
              <w:rPr>
                <w:b/>
                <w:color w:val="1C3A36"/>
                <w:sz w:val="18"/>
              </w:rPr>
              <w:t>Dividend</w:t>
            </w:r>
          </w:p>
        </w:tc>
        <w:tc>
          <w:tcPr>
            <w:tcW w:type="dxa" w:w="7632"/>
          </w:tcPr>
          <w:p>
            <w:pPr>
              <w:spacing w:after="20"/>
              <w:jc w:val="right"/>
            </w:pPr>
            <w:r>
              <w:rPr>
                <w:color w:val="1C3A36"/>
                <w:sz w:val="18"/>
              </w:rPr>
              <w:t>Stated 3-year policy from FY2025: AED 2 bn/yr (20 fils/sh, ~2.4% yield) growing +5%/yr; FY25 distribution paid Q1-2026</w:t>
            </w:r>
          </w:p>
        </w:tc>
      </w:tr>
      <w:tr>
        <w:tc>
          <w:tcPr>
            <w:tcW w:type="dxa" w:w="2592"/>
          </w:tcPr>
          <w:p>
            <w:pPr>
              <w:spacing w:after="20"/>
            </w:pPr>
            <w:r>
              <w:rPr>
                <w:b/>
                <w:color w:val="1C3A36"/>
                <w:sz w:val="18"/>
              </w:rPr>
              <w:t>52-week range</w:t>
            </w:r>
          </w:p>
        </w:tc>
        <w:tc>
          <w:tcPr>
            <w:tcW w:type="dxa" w:w="7632"/>
          </w:tcPr>
          <w:p>
            <w:pPr>
              <w:spacing w:after="20"/>
              <w:jc w:val="right"/>
            </w:pPr>
            <w:r>
              <w:rPr>
                <w:color w:val="1C3A36"/>
                <w:sz w:val="18"/>
              </w:rPr>
              <w:t>AED 6.84 (31 Mar 2026, war trough) – 12.58; 1-yr return −33%</w:t>
            </w:r>
          </w:p>
        </w:tc>
      </w:tr>
      <w:tr>
        <w:tc>
          <w:tcPr>
            <w:tcW w:type="dxa" w:w="2592"/>
          </w:tcPr>
          <w:p>
            <w:pPr>
              <w:spacing w:after="20"/>
            </w:pPr>
            <w:r>
              <w:rPr>
                <w:b/>
                <w:color w:val="1C3A36"/>
                <w:sz w:val="18"/>
              </w:rPr>
              <w:t>Ownership</w:t>
            </w:r>
          </w:p>
        </w:tc>
        <w:tc>
          <w:tcPr>
            <w:tcW w:type="dxa" w:w="7632"/>
          </w:tcPr>
          <w:p>
            <w:pPr>
              <w:spacing w:after="20"/>
              <w:jc w:val="right"/>
            </w:pPr>
            <w:r>
              <w:rPr>
                <w:color w:val="1C3A36"/>
                <w:sz w:val="18"/>
              </w:rPr>
              <w:t>IHC Capital Holding 75.76% direct; with West Investments SPV 8.36% and Connaissance Investment 6.56%, disclosed anchor holders total ~90.7% (ADX registry via Mubasher profile) — free float ~9%, thinner than the ~87% press figure the first edition carried</w:t>
            </w:r>
          </w:p>
        </w:tc>
      </w:tr>
      <w:tr>
        <w:tc>
          <w:tcPr>
            <w:tcW w:type="dxa" w:w="2592"/>
          </w:tcPr>
          <w:p>
            <w:pPr>
              <w:spacing w:after="20"/>
            </w:pPr>
            <w:r>
              <w:rPr>
                <w:b/>
                <w:color w:val="1C3A36"/>
                <w:sz w:val="18"/>
              </w:rPr>
              <w:t>Corporate events</w:t>
            </w:r>
          </w:p>
        </w:tc>
        <w:tc>
          <w:tcPr>
            <w:tcW w:type="dxa" w:w="7632"/>
          </w:tcPr>
          <w:p>
            <w:pPr>
              <w:spacing w:after="20"/>
              <w:jc w:val="right"/>
            </w:pPr>
            <w:r>
              <w:rPr>
                <w:color w:val="1C3A36"/>
                <w:sz w:val="18"/>
              </w:rPr>
              <w:t>NMDC buy-up to 76.68% — the AD Ports 9.77% block (82.5 mn sh) for AED 1.6 bn, 27-Nov-25 · NCTH consolidation (Jan-25) · dividend policy adopted (GA 12 Jan 2026) · buyback running · Q2-26 results due ~Aug 2026</w:t>
            </w:r>
          </w:p>
        </w:tc>
      </w:tr>
    </w:tbl>
    <w:p>
      <w:pPr>
        <w:spacing w:after="40"/>
      </w:pPr>
    </w:p>
    <w:p>
      <w:pPr>
        <w:spacing w:after="200" w:before="0"/>
      </w:pPr>
      <w:r>
        <w:rPr>
          <w:b w:val="0"/>
          <w:i/>
          <w:color w:val="6E7B77"/>
          <w:sz w:val="17"/>
        </w:rPr>
        <w:t>Source: audited FY2025 consolidated FS (Deloitte, 10 Feb 2026); FY2024 audited FS + MD&amp;A (alphadhabi.com); Q1-2026 release (4 May 2026); ADX quotes. Values rounded; the borrowings line is derived and flagged.</w:t>
      </w:r>
    </w:p>
    <w:p>
      <w:pPr>
        <w:spacing w:after="80" w:before="200"/>
      </w:pPr>
      <w:r>
        <w:rPr>
          <w:b/>
          <w:i w:val="0"/>
          <w:color w:val="1C3A36"/>
          <w:sz w:val="24"/>
        </w:rPr>
        <w:t>Headline</w:t>
      </w:r>
    </w:p>
    <w:p>
      <w:pPr>
        <w:spacing w:after="160" w:before="0"/>
      </w:pPr>
      <w:r>
        <w:rPr>
          <w:b/>
          <w:i w:val="0"/>
          <w:color w:val="1C3A36"/>
          <w:sz w:val="21"/>
        </w:rPr>
        <w:t xml:space="preserve">The model’s read: fully valued — after a 33% one-year de-rating the market still pays a premium to what the holding’s parts are worth at today’s marks. </w:t>
      </w:r>
      <w:r>
        <w:rPr>
          <w:b w:val="0"/>
          <w:i w:val="0"/>
          <w:color w:val="1C3A36"/>
          <w:sz w:val="21"/>
        </w:rPr>
        <w:t>At AED 8.22 the shares sit about 15% above our weighted central estimate of AED 7.13, and roughly 10% above the undiscounted mark-to-market NAV of AED 7.44 — before applying any holdco discount at all. The primary lens is the sum-of-the-parts: marking the four listed stakes at exchange prices (AED 20.5 bn Aldar, 14.4 bn NMDC, 8.6 bn PureHealth, 2.4 bn NCTH), Trojan at the price ADQ actually paid for its 49% (AED 5.2 bn for ADH’s 51%), and the rest of the parent’s audited book at carrying value gives AED 74.4 bn, or 7.44/share at par and 6.32 at a 15% holdco discount. A consolidated FCFF DCF lands far higher at 11.72 — but four-fifths of it is terminal value and it credits the owners with cash that today is being swallowed by working capital (FY2025: AED 7.5 bn absorbed, roughly half of every incremental revenue dirham), so it is weighted as a ceiling, not an anchor. Look-through earnings multiples give 8.07; the stated dividend policy discounts to just 4.55, a reminder of how little of the group’s AED 15 bn profit actually leaves the holdco. The crux is concrete (§1.7): the AED 8 bn the market pays above marked NAV is a bet that IHC-ecosystem deal flow and fair-value gains keep compounding book value faster than a standalone owner could — defensible in 2023–24, harder after two straight years of falling attributable earnings. Technically the tape has bounced hard off the March war trough (RSI 64, price above the 20/50/100-day stack but still 7% below the 200-day). Over three months the Monte Carlo — carry-anchored, zero equity drift, the configuration that passed Step-0 calibration at parity — puts the 5th–95th band at AED 6.30–10.93 with the median at 8.29 and the 50% core at 7.42–9.27; the 7–8 Jul war re-escalation is a live left-tail on top of that map, not inside it.</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holding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7"/>
              </w:rPr>
              <w:t>Lens / read</w:t>
            </w:r>
          </w:p>
        </w:tc>
        <w:tc>
          <w:tcPr>
            <w:tcW w:type="dxa" w:w="3528"/>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2952"/>
            <w:shd w:val="clear" w:color="auto" w:fill="F6F1E6"/>
          </w:tcPr>
          <w:p>
            <w:pPr>
              <w:spacing w:after="20"/>
            </w:pPr>
            <w:r>
              <w:rPr>
                <w:b/>
                <w:color w:val="1C3A36"/>
                <w:sz w:val="17"/>
              </w:rPr>
              <w:t>FUNDAMENTAL — what the holding is worth (the anchor)</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SOTP / NAV (primary)</w:t>
            </w:r>
          </w:p>
        </w:tc>
        <w:tc>
          <w:tcPr>
            <w:tcW w:type="dxa" w:w="3528"/>
          </w:tcPr>
          <w:p>
            <w:pPr>
              <w:spacing w:after="20"/>
              <w:jc w:val="right"/>
            </w:pPr>
            <w:r>
              <w:rPr>
                <w:color w:val="1C3A36"/>
                <w:sz w:val="17"/>
              </w:rPr>
              <w:t>Listed stakes at market + Trojan at the ADQ mark + residual audited book, less a 0–25% holdco discount</w:t>
            </w:r>
          </w:p>
        </w:tc>
        <w:tc>
          <w:tcPr>
            <w:tcW w:type="dxa" w:w="2088"/>
          </w:tcPr>
          <w:p>
            <w:pPr>
              <w:spacing w:after="20"/>
              <w:jc w:val="right"/>
            </w:pPr>
            <w:r>
              <w:rPr>
                <w:color w:val="1C3A36"/>
                <w:sz w:val="17"/>
              </w:rPr>
              <w:t>AED 5.58–7.44 (base 6.32)</w:t>
            </w:r>
          </w:p>
        </w:tc>
        <w:tc>
          <w:tcPr>
            <w:tcW w:type="dxa" w:w="1656"/>
          </w:tcPr>
          <w:p>
            <w:pPr>
              <w:spacing w:after="20"/>
              <w:jc w:val="right"/>
            </w:pPr>
            <w:r>
              <w:rPr>
                <w:color w:val="1C3A36"/>
                <w:sz w:val="17"/>
              </w:rPr>
              <w:t>-23% vs spot</w:t>
            </w:r>
          </w:p>
        </w:tc>
      </w:tr>
      <w:tr>
        <w:tc>
          <w:tcPr>
            <w:tcW w:type="dxa" w:w="2952"/>
          </w:tcPr>
          <w:p>
            <w:pPr>
              <w:spacing w:after="20"/>
            </w:pPr>
            <w:r>
              <w:rPr>
                <w:color w:val="1C3A36"/>
                <w:sz w:val="17"/>
              </w:rPr>
              <w:t>Consolidated FCFF DCF</w:t>
            </w:r>
          </w:p>
        </w:tc>
        <w:tc>
          <w:tcPr>
            <w:tcW w:type="dxa" w:w="3528"/>
          </w:tcPr>
          <w:p>
            <w:pPr>
              <w:spacing w:after="20"/>
              <w:jc w:val="right"/>
            </w:pPr>
            <w:r>
              <w:rPr>
                <w:color w:val="1C3A36"/>
                <w:sz w:val="17"/>
              </w:rPr>
              <w:t>Group operating cash engine, owners’ 53.3% share</w:t>
            </w:r>
          </w:p>
        </w:tc>
        <w:tc>
          <w:tcPr>
            <w:tcW w:type="dxa" w:w="2088"/>
          </w:tcPr>
          <w:p>
            <w:pPr>
              <w:spacing w:after="20"/>
              <w:jc w:val="right"/>
            </w:pPr>
            <w:r>
              <w:rPr>
                <w:color w:val="1C3A36"/>
                <w:sz w:val="17"/>
              </w:rPr>
              <w:t>AED 11.72</w:t>
            </w:r>
          </w:p>
        </w:tc>
        <w:tc>
          <w:tcPr>
            <w:tcW w:type="dxa" w:w="1656"/>
          </w:tcPr>
          <w:p>
            <w:pPr>
              <w:spacing w:after="20"/>
              <w:jc w:val="right"/>
            </w:pPr>
            <w:r>
              <w:rPr>
                <w:color w:val="1C3A36"/>
                <w:sz w:val="17"/>
              </w:rPr>
              <w:t>+43% · the ceiling</w:t>
            </w:r>
          </w:p>
        </w:tc>
      </w:tr>
      <w:tr>
        <w:tc>
          <w:tcPr>
            <w:tcW w:type="dxa" w:w="2952"/>
          </w:tcPr>
          <w:p>
            <w:pPr>
              <w:spacing w:after="20"/>
            </w:pPr>
            <w:r>
              <w:rPr>
                <w:color w:val="1C3A36"/>
                <w:sz w:val="17"/>
              </w:rPr>
              <w:t>Relative (look-through P/E)</w:t>
            </w:r>
          </w:p>
        </w:tc>
        <w:tc>
          <w:tcPr>
            <w:tcW w:type="dxa" w:w="3528"/>
          </w:tcPr>
          <w:p>
            <w:pPr>
              <w:spacing w:after="20"/>
              <w:jc w:val="right"/>
            </w:pPr>
            <w:r>
              <w:rPr>
                <w:color w:val="1C3A36"/>
                <w:sz w:val="17"/>
              </w:rPr>
              <w:t>FY26E attributable EPS × justified 8–11×</w:t>
            </w:r>
          </w:p>
        </w:tc>
        <w:tc>
          <w:tcPr>
            <w:tcW w:type="dxa" w:w="2088"/>
          </w:tcPr>
          <w:p>
            <w:pPr>
              <w:spacing w:after="20"/>
              <w:jc w:val="right"/>
            </w:pPr>
            <w:r>
              <w:rPr>
                <w:color w:val="1C3A36"/>
                <w:sz w:val="17"/>
              </w:rPr>
              <w:t>AED 8.07</w:t>
            </w:r>
          </w:p>
        </w:tc>
        <w:tc>
          <w:tcPr>
            <w:tcW w:type="dxa" w:w="1656"/>
          </w:tcPr>
          <w:p>
            <w:pPr>
              <w:spacing w:after="20"/>
              <w:jc w:val="right"/>
            </w:pPr>
            <w:r>
              <w:rPr>
                <w:color w:val="1C3A36"/>
                <w:sz w:val="17"/>
              </w:rPr>
              <w:t>-2%</w:t>
            </w:r>
          </w:p>
        </w:tc>
      </w:tr>
      <w:tr>
        <w:tc>
          <w:tcPr>
            <w:tcW w:type="dxa" w:w="2952"/>
          </w:tcPr>
          <w:p>
            <w:pPr>
              <w:spacing w:after="20"/>
            </w:pPr>
            <w:r>
              <w:rPr>
                <w:color w:val="1C3A36"/>
                <w:sz w:val="17"/>
              </w:rPr>
              <w:t>Dividend policy (DDM)</w:t>
            </w:r>
          </w:p>
        </w:tc>
        <w:tc>
          <w:tcPr>
            <w:tcW w:type="dxa" w:w="3528"/>
          </w:tcPr>
          <w:p>
            <w:pPr>
              <w:spacing w:after="20"/>
              <w:jc w:val="right"/>
            </w:pPr>
            <w:r>
              <w:rPr>
                <w:color w:val="1C3A36"/>
                <w:sz w:val="17"/>
              </w:rPr>
              <w:t>AED 2 bn/yr +5% policy, discounted at Ke</w:t>
            </w:r>
          </w:p>
        </w:tc>
        <w:tc>
          <w:tcPr>
            <w:tcW w:type="dxa" w:w="2088"/>
          </w:tcPr>
          <w:p>
            <w:pPr>
              <w:spacing w:after="20"/>
              <w:jc w:val="right"/>
            </w:pPr>
            <w:r>
              <w:rPr>
                <w:color w:val="1C3A36"/>
                <w:sz w:val="17"/>
              </w:rPr>
              <w:t>AED 4.55</w:t>
            </w:r>
          </w:p>
        </w:tc>
        <w:tc>
          <w:tcPr>
            <w:tcW w:type="dxa" w:w="1656"/>
          </w:tcPr>
          <w:p>
            <w:pPr>
              <w:spacing w:after="20"/>
              <w:jc w:val="right"/>
            </w:pPr>
            <w:r>
              <w:rPr>
                <w:color w:val="1C3A36"/>
                <w:sz w:val="17"/>
              </w:rPr>
              <w:t>-45% · cash that leaves</w:t>
            </w:r>
          </w:p>
        </w:tc>
      </w:tr>
      <w:tr>
        <w:tc>
          <w:tcPr>
            <w:tcW w:type="dxa" w:w="2952"/>
          </w:tcPr>
          <w:p>
            <w:pPr>
              <w:spacing w:after="20"/>
            </w:pPr>
            <w:r>
              <w:rPr>
                <w:color w:val="1C3A36"/>
                <w:sz w:val="17"/>
              </w:rPr>
              <w:t>Weighted central</w:t>
            </w:r>
          </w:p>
        </w:tc>
        <w:tc>
          <w:tcPr>
            <w:tcW w:type="dxa" w:w="3528"/>
          </w:tcPr>
          <w:p>
            <w:pPr>
              <w:spacing w:after="20"/>
              <w:jc w:val="right"/>
            </w:pPr>
            <w:r>
              <w:rPr>
                <w:color w:val="1C3A36"/>
                <w:sz w:val="17"/>
              </w:rPr>
              <w:t>Blend 55 / 15 / 15 / 15</w:t>
            </w:r>
          </w:p>
        </w:tc>
        <w:tc>
          <w:tcPr>
            <w:tcW w:type="dxa" w:w="2088"/>
          </w:tcPr>
          <w:p>
            <w:pPr>
              <w:spacing w:after="20"/>
              <w:jc w:val="right"/>
            </w:pPr>
            <w:r>
              <w:rPr>
                <w:color w:val="1C3A36"/>
                <w:sz w:val="17"/>
              </w:rPr>
              <w:t>AED 7.13 (5.95–8.63)</w:t>
            </w:r>
          </w:p>
        </w:tc>
        <w:tc>
          <w:tcPr>
            <w:tcW w:type="dxa" w:w="1656"/>
          </w:tcPr>
          <w:p>
            <w:pPr>
              <w:spacing w:after="20"/>
              <w:jc w:val="right"/>
            </w:pPr>
            <w:r>
              <w:rPr>
                <w:color w:val="1C3A36"/>
                <w:sz w:val="17"/>
              </w:rPr>
              <w:t>-13% vs AED 8.22</w:t>
            </w:r>
          </w:p>
        </w:tc>
      </w:tr>
      <w:tr>
        <w:tc>
          <w:tcPr>
            <w:tcW w:type="dxa" w:w="2952"/>
            <w:shd w:val="clear" w:color="auto" w:fill="F6F1E6"/>
          </w:tcPr>
          <w:p>
            <w:pPr>
              <w:spacing w:after="20"/>
            </w:pPr>
            <w:r>
              <w:rPr>
                <w:b/>
                <w:color w:val="1C3A36"/>
                <w:sz w:val="17"/>
              </w:rPr>
              <w:t>TECHNICAL — what the tape is doing (timing, not value)</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Trend &amp; momentum</w:t>
            </w:r>
          </w:p>
        </w:tc>
        <w:tc>
          <w:tcPr>
            <w:tcW w:type="dxa" w:w="3528"/>
          </w:tcPr>
          <w:p>
            <w:pPr>
              <w:spacing w:after="20"/>
              <w:jc w:val="right"/>
            </w:pPr>
            <w:r>
              <w:rPr>
                <w:color w:val="1C3A36"/>
                <w:sz w:val="17"/>
              </w:rPr>
              <w:t>Price vs the 20/50/100/200-day averages</w:t>
            </w:r>
          </w:p>
        </w:tc>
        <w:tc>
          <w:tcPr>
            <w:tcW w:type="dxa" w:w="2088"/>
          </w:tcPr>
          <w:p>
            <w:pPr>
              <w:spacing w:after="20"/>
              <w:jc w:val="right"/>
            </w:pPr>
            <w:r>
              <w:rPr>
                <w:color w:val="1C3A36"/>
                <w:sz w:val="17"/>
              </w:rPr>
              <w:t>Above 20/50/100-day; ~7% below the 200-day</w:t>
            </w:r>
          </w:p>
        </w:tc>
        <w:tc>
          <w:tcPr>
            <w:tcW w:type="dxa" w:w="1656"/>
          </w:tcPr>
          <w:p>
            <w:pPr>
              <w:spacing w:after="20"/>
              <w:jc w:val="right"/>
            </w:pPr>
            <w:r>
              <w:rPr>
                <w:color w:val="1C3A36"/>
                <w:sz w:val="17"/>
              </w:rPr>
              <w:t>War-trough recovery</w:t>
            </w:r>
          </w:p>
        </w:tc>
      </w:tr>
      <w:tr>
        <w:tc>
          <w:tcPr>
            <w:tcW w:type="dxa" w:w="2952"/>
          </w:tcPr>
          <w:p>
            <w:pPr>
              <w:spacing w:after="20"/>
            </w:pPr>
            <w:r>
              <w:rPr>
                <w:color w:val="1C3A36"/>
                <w:sz w:val="17"/>
              </w:rPr>
              <w:t>Momentum / range</w:t>
            </w:r>
          </w:p>
        </w:tc>
        <w:tc>
          <w:tcPr>
            <w:tcW w:type="dxa" w:w="3528"/>
          </w:tcPr>
          <w:p>
            <w:pPr>
              <w:spacing w:after="20"/>
              <w:jc w:val="right"/>
            </w:pPr>
            <w:r>
              <w:rPr>
                <w:color w:val="1C3A36"/>
                <w:sz w:val="17"/>
              </w:rPr>
              <w:t>RSI · MACD · 52-week range</w:t>
            </w:r>
          </w:p>
        </w:tc>
        <w:tc>
          <w:tcPr>
            <w:tcW w:type="dxa" w:w="2088"/>
          </w:tcPr>
          <w:p>
            <w:pPr>
              <w:spacing w:after="20"/>
              <w:jc w:val="right"/>
            </w:pPr>
            <w:r>
              <w:rPr>
                <w:color w:val="1C3A36"/>
                <w:sz w:val="17"/>
              </w:rPr>
              <w:t>RSI 64 · MACD hist -0.004 · 6.84–12.58</w:t>
            </w:r>
          </w:p>
        </w:tc>
        <w:tc>
          <w:tcPr>
            <w:tcW w:type="dxa" w:w="1656"/>
          </w:tcPr>
          <w:p>
            <w:pPr>
              <w:spacing w:after="20"/>
              <w:jc w:val="right"/>
            </w:pPr>
            <w:r>
              <w:rPr>
                <w:color w:val="1C3A36"/>
                <w:sz w:val="17"/>
              </w:rPr>
              <w:t>Warm, extended</w:t>
            </w:r>
          </w:p>
        </w:tc>
      </w:tr>
      <w:tr>
        <w:tc>
          <w:tcPr>
            <w:tcW w:type="dxa" w:w="2952"/>
            <w:shd w:val="clear" w:color="auto" w:fill="F6F1E6"/>
          </w:tcPr>
          <w:p>
            <w:pPr>
              <w:spacing w:after="20"/>
            </w:pPr>
            <w:r>
              <w:rPr>
                <w:b/>
                <w:color w:val="1C3A36"/>
                <w:sz w:val="17"/>
              </w:rPr>
              <w:t>MONTE CARLO — where price could go in 3 months (paths from spot)</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T+20 sessions</w:t>
            </w:r>
          </w:p>
        </w:tc>
        <w:tc>
          <w:tcPr>
            <w:tcW w:type="dxa" w:w="3528"/>
          </w:tcPr>
          <w:p>
            <w:pPr>
              <w:spacing w:after="20"/>
              <w:jc w:val="right"/>
            </w:pPr>
            <w:r>
              <w:rPr>
                <w:color w:val="1C3A36"/>
                <w:sz w:val="17"/>
              </w:rPr>
              <w:t>50,000 paths · carry-anchored, zero equity drift</w:t>
            </w:r>
          </w:p>
        </w:tc>
        <w:tc>
          <w:tcPr>
            <w:tcW w:type="dxa" w:w="2088"/>
          </w:tcPr>
          <w:p>
            <w:pPr>
              <w:spacing w:after="20"/>
              <w:jc w:val="right"/>
            </w:pPr>
            <w:r>
              <w:rPr>
                <w:color w:val="1C3A36"/>
                <w:sz w:val="17"/>
              </w:rPr>
              <w:t>p5 7.04 · p50 8.24 · p95 9.67</w:t>
            </w:r>
          </w:p>
        </w:tc>
        <w:tc>
          <w:tcPr>
            <w:tcW w:type="dxa" w:w="1656"/>
          </w:tcPr>
          <w:p>
            <w:pPr>
              <w:spacing w:after="20"/>
              <w:jc w:val="right"/>
            </w:pPr>
            <w:r>
              <w:rPr>
                <w:color w:val="1C3A36"/>
                <w:sz w:val="17"/>
              </w:rPr>
              <w:t>Median ≈ spot</w:t>
            </w:r>
          </w:p>
        </w:tc>
      </w:tr>
      <w:tr>
        <w:tc>
          <w:tcPr>
            <w:tcW w:type="dxa" w:w="2952"/>
          </w:tcPr>
          <w:p>
            <w:pPr>
              <w:spacing w:after="20"/>
            </w:pPr>
            <w:r>
              <w:rPr>
                <w:color w:val="1C3A36"/>
                <w:sz w:val="17"/>
              </w:rPr>
              <w:t>T+60 sessions</w:t>
            </w:r>
          </w:p>
        </w:tc>
        <w:tc>
          <w:tcPr>
            <w:tcW w:type="dxa" w:w="3528"/>
          </w:tcPr>
          <w:p>
            <w:pPr>
              <w:spacing w:after="20"/>
              <w:jc w:val="right"/>
            </w:pPr>
            <w:r>
              <w:rPr>
                <w:color w:val="1C3A36"/>
                <w:sz w:val="17"/>
              </w:rPr>
              <w:t>same engine, longer horizon</w:t>
            </w:r>
          </w:p>
        </w:tc>
        <w:tc>
          <w:tcPr>
            <w:tcW w:type="dxa" w:w="2088"/>
          </w:tcPr>
          <w:p>
            <w:pPr>
              <w:spacing w:after="20"/>
              <w:jc w:val="right"/>
            </w:pPr>
            <w:r>
              <w:rPr>
                <w:color w:val="1C3A36"/>
                <w:sz w:val="17"/>
              </w:rPr>
              <w:t>p5 6.30 · p50 8.29 · p95 10.93</w:t>
            </w:r>
          </w:p>
        </w:tc>
        <w:tc>
          <w:tcPr>
            <w:tcW w:type="dxa" w:w="1656"/>
          </w:tcPr>
          <w:p>
            <w:pPr>
              <w:spacing w:after="20"/>
              <w:jc w:val="right"/>
            </w:pPr>
            <w:r>
              <w:rPr>
                <w:color w:val="1C3A36"/>
                <w:sz w:val="17"/>
              </w:rPr>
              <w:t>P(up) 52%</w:t>
            </w:r>
          </w:p>
        </w:tc>
      </w:tr>
      <w:tr>
        <w:tc>
          <w:tcPr>
            <w:tcW w:type="dxa" w:w="2952"/>
            <w:shd w:val="clear" w:color="auto" w:fill="F6F1E6"/>
          </w:tcPr>
          <w:p>
            <w:pPr>
              <w:spacing w:after="20"/>
            </w:pPr>
            <w:r>
              <w:rPr>
                <w:b/>
                <w:color w:val="1C3A36"/>
                <w:sz w:val="17"/>
              </w:rPr>
              <w:t>EXPERT PANEL — three independent methods (Appendix C)</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Expert 1 — NAV &amp; the discount</w:t>
            </w:r>
          </w:p>
        </w:tc>
        <w:tc>
          <w:tcPr>
            <w:tcW w:type="dxa" w:w="3528"/>
          </w:tcPr>
          <w:p>
            <w:pPr>
              <w:spacing w:after="20"/>
              <w:jc w:val="right"/>
            </w:pPr>
            <w:r>
              <w:rPr>
                <w:color w:val="1C3A36"/>
                <w:sz w:val="17"/>
              </w:rPr>
              <w:t>Marked NAV with the empirical holdco-discount band</w:t>
            </w:r>
          </w:p>
        </w:tc>
        <w:tc>
          <w:tcPr>
            <w:tcW w:type="dxa" w:w="2088"/>
          </w:tcPr>
          <w:p>
            <w:pPr>
              <w:spacing w:after="20"/>
              <w:jc w:val="right"/>
            </w:pPr>
            <w:r>
              <w:rPr>
                <w:color w:val="1C3A36"/>
                <w:sz w:val="17"/>
              </w:rPr>
              <w:t>AED 6.3</w:t>
            </w:r>
          </w:p>
        </w:tc>
        <w:tc>
          <w:tcPr>
            <w:tcW w:type="dxa" w:w="1656"/>
          </w:tcPr>
          <w:p>
            <w:pPr>
              <w:spacing w:after="20"/>
              <w:jc w:val="right"/>
            </w:pPr>
            <w:r>
              <w:rPr>
                <w:color w:val="1C3A36"/>
                <w:sz w:val="17"/>
              </w:rPr>
              <w:t>The anchor restated</w:t>
            </w:r>
          </w:p>
        </w:tc>
      </w:tr>
      <w:tr>
        <w:tc>
          <w:tcPr>
            <w:tcW w:type="dxa" w:w="2952"/>
          </w:tcPr>
          <w:p>
            <w:pPr>
              <w:spacing w:after="20"/>
            </w:pPr>
            <w:r>
              <w:rPr>
                <w:color w:val="1C3A36"/>
                <w:sz w:val="17"/>
              </w:rPr>
              <w:t>Expert 2 — look-through earnings</w:t>
            </w:r>
          </w:p>
        </w:tc>
        <w:tc>
          <w:tcPr>
            <w:tcW w:type="dxa" w:w="3528"/>
          </w:tcPr>
          <w:p>
            <w:pPr>
              <w:spacing w:after="20"/>
              <w:jc w:val="right"/>
            </w:pPr>
            <w:r>
              <w:rPr>
                <w:color w:val="1C3A36"/>
                <w:sz w:val="17"/>
              </w:rPr>
              <w:t>Owners’ share of each asset’s profit × through-cycle multiple</w:t>
            </w:r>
          </w:p>
        </w:tc>
        <w:tc>
          <w:tcPr>
            <w:tcW w:type="dxa" w:w="2088"/>
          </w:tcPr>
          <w:p>
            <w:pPr>
              <w:spacing w:after="20"/>
              <w:jc w:val="right"/>
            </w:pPr>
            <w:r>
              <w:rPr>
                <w:color w:val="1C3A36"/>
                <w:sz w:val="17"/>
              </w:rPr>
              <w:t>AED 6.78</w:t>
            </w:r>
          </w:p>
        </w:tc>
        <w:tc>
          <w:tcPr>
            <w:tcW w:type="dxa" w:w="1656"/>
          </w:tcPr>
          <w:p>
            <w:pPr>
              <w:spacing w:after="20"/>
              <w:jc w:val="right"/>
            </w:pPr>
            <w:r>
              <w:rPr>
                <w:color w:val="1C3A36"/>
                <w:sz w:val="17"/>
              </w:rPr>
              <w:t>The earnings floor</w:t>
            </w:r>
          </w:p>
        </w:tc>
      </w:tr>
      <w:tr>
        <w:tc>
          <w:tcPr>
            <w:tcW w:type="dxa" w:w="2952"/>
          </w:tcPr>
          <w:p>
            <w:pPr>
              <w:spacing w:after="20"/>
            </w:pPr>
            <w:r>
              <w:rPr>
                <w:color w:val="1C3A36"/>
                <w:sz w:val="17"/>
              </w:rPr>
              <w:t>Expert 3 — regime scenario tree</w:t>
            </w:r>
          </w:p>
        </w:tc>
        <w:tc>
          <w:tcPr>
            <w:tcW w:type="dxa" w:w="3528"/>
          </w:tcPr>
          <w:p>
            <w:pPr>
              <w:spacing w:after="20"/>
              <w:jc w:val="right"/>
            </w:pPr>
            <w:r>
              <w:rPr>
                <w:color w:val="1C3A36"/>
                <w:sz w:val="17"/>
              </w:rPr>
              <w:t>Risk-on / NAV-gravity / war-stress states</w:t>
            </w:r>
          </w:p>
        </w:tc>
        <w:tc>
          <w:tcPr>
            <w:tcW w:type="dxa" w:w="2088"/>
          </w:tcPr>
          <w:p>
            <w:pPr>
              <w:spacing w:after="20"/>
              <w:jc w:val="right"/>
            </w:pPr>
            <w:r>
              <w:rPr>
                <w:color w:val="1C3A36"/>
                <w:sz w:val="17"/>
              </w:rPr>
              <w:t>AED 7.03</w:t>
            </w:r>
          </w:p>
        </w:tc>
        <w:tc>
          <w:tcPr>
            <w:tcW w:type="dxa" w:w="1656"/>
          </w:tcPr>
          <w:p>
            <w:pPr>
              <w:spacing w:after="20"/>
              <w:jc w:val="right"/>
            </w:pPr>
            <w:r>
              <w:rPr>
                <w:color w:val="1C3A36"/>
                <w:sz w:val="17"/>
              </w:rPr>
              <w:t>Probability-weighted</w:t>
            </w:r>
          </w:p>
        </w:tc>
      </w:tr>
      <w:tr>
        <w:tc>
          <w:tcPr>
            <w:tcW w:type="dxa" w:w="2952"/>
          </w:tcPr>
          <w:p>
            <w:pPr>
              <w:spacing w:after="20"/>
            </w:pPr>
            <w:r>
              <w:rPr>
                <w:color w:val="1C3A36"/>
                <w:sz w:val="17"/>
              </w:rPr>
              <w:t>Panel range</w:t>
            </w:r>
          </w:p>
        </w:tc>
        <w:tc>
          <w:tcPr>
            <w:tcW w:type="dxa" w:w="3528"/>
          </w:tcPr>
          <w:p>
            <w:pPr>
              <w:spacing w:after="20"/>
              <w:jc w:val="right"/>
            </w:pPr>
            <w:r>
              <w:rPr>
                <w:color w:val="1C3A36"/>
                <w:sz w:val="17"/>
              </w:rPr>
              <w:t>Spread = how fast the premium closes</w:t>
            </w:r>
          </w:p>
        </w:tc>
        <w:tc>
          <w:tcPr>
            <w:tcW w:type="dxa" w:w="2088"/>
          </w:tcPr>
          <w:p>
            <w:pPr>
              <w:spacing w:after="20"/>
              <w:jc w:val="right"/>
            </w:pPr>
            <w:r>
              <w:rPr>
                <w:color w:val="1C3A36"/>
                <w:sz w:val="17"/>
              </w:rPr>
              <w:t>AED 6.3–7.0</w:t>
            </w:r>
          </w:p>
        </w:tc>
        <w:tc>
          <w:tcPr>
            <w:tcW w:type="dxa" w:w="1656"/>
          </w:tcPr>
          <w:p>
            <w:pPr>
              <w:spacing w:after="20"/>
              <w:jc w:val="right"/>
            </w:pPr>
            <w:r>
              <w:rPr>
                <w:color w:val="1C3A36"/>
                <w:sz w:val="17"/>
              </w:rPr>
              <w:t>All below spot</w:t>
            </w:r>
          </w:p>
        </w:tc>
      </w:tr>
    </w:tbl>
    <w:p>
      <w:pPr>
        <w:spacing w:after="40"/>
      </w:pPr>
    </w:p>
    <w:p>
      <w:pPr>
        <w:spacing w:after="160" w:before="0"/>
      </w:pPr>
      <w:r>
        <w:rPr>
          <w:b/>
          <w:i w:val="0"/>
          <w:color w:val="1C3A36"/>
          <w:sz w:val="19"/>
        </w:rPr>
        <w:t xml:space="preserve">Bottom line. </w:t>
      </w:r>
      <w:r>
        <w:rPr>
          <w:b w:val="0"/>
          <w:i w:val="0"/>
          <w:color w:val="1C3A36"/>
          <w:sz w:val="19"/>
        </w:rPr>
        <w:t>Three of the four fundamental lenses — and all three independent experts — land below the AED 8.22 spot; only the consolidated DCF sits above it, and §1.2 explains why that lens flatters a holdco. The weighted central of AED 7.13 is 13% below spot. This is not a broken story — the parts are real, the listed marks are observable, book value has compounded at ~19% a year since 2023 — it is a pricing question: after the de-rating the shares still trade at roughly 1.37× the parent’s audited book and ~10% above marked NAV, levels that assume the FV-gain engine and the IHC deal pipeline keep delivering. The three-month distribution centres at spot with a mild upside tilt from the carry anchor and the post-trough tape — with the July war re-escalation as the explicit, unpriced left-tail.</w:t>
      </w:r>
    </w:p>
    <w:p>
      <w:pPr>
        <w:spacing w:after="120" w:before="280"/>
      </w:pPr>
      <w:r>
        <w:rPr>
          <w:b/>
          <w:i w:val="0"/>
          <w:color w:val="1C3A36"/>
          <w:sz w:val="30"/>
        </w:rPr>
        <w:t>1  Fundamental valuation</w:t>
      </w:r>
    </w:p>
    <w:p>
      <w:pPr>
        <w:spacing w:after="120" w:before="0"/>
      </w:pPr>
      <w:r>
        <w:rPr>
          <w:b w:val="0"/>
          <w:i w:val="0"/>
          <w:color w:val="1C3A36"/>
          <w:sz w:val="21"/>
        </w:rPr>
        <w:t>We value Alpha Dhabi as what it is — a holding company — and triangulate four lenses. The primary lens is a mark-to-market sum-of-the-parts NAV, because a holdco is ultimately worth what its assets would fetch, and four of its largest assets are quoted every day on the ADX while a fifth (Trojan) was priced by an arm’s-length transaction with ADQ. A consolidated FCFF DCF is retained as a cross-check on the group’s cash engine but weighted lightly: it consolidates cash that belongs 47% to minorities, and its value is dominated by a terminal assumption. A look-through relative read and the stated dividend policy complete the set. The weights and the range are in §1.5; the segments and the per-driver sourcing gate in §1.6; the crux — the premium over NAV, in real dirhams — in §1.7; the sourced cost of capital (both ERP bases published) in §1.8; the sensitivity grids in §1.9. One lens-selection note: Trojan and NMDC give the group a genuine contractor leg, but the group discloses no contractor-grade orderbook/burn detail at the parent level, so the FCFF+SOTP contractor treatment is applied through the stake marks rather than a bottom-up backlog build — a justified N/A recorded in the driver gate. Throughout, the cost of equity is published explicitly as Ke = rf + β × ERP = 4.75% + 1.0 × 4.87% = 9.62% (rating basis; 9.68% on the CDS basis), with β = 1.0 a disclosed default after the regression failed its usability gate (no usable ADX index series), not an assumption smuggled in.</w:t>
      </w:r>
    </w:p>
    <w:p>
      <w:pPr>
        <w:spacing w:after="80" w:before="200"/>
      </w:pPr>
      <w:r>
        <w:rPr>
          <w:b/>
          <w:i w:val="0"/>
          <w:color w:val="1C3A36"/>
          <w:sz w:val="24"/>
        </w:rPr>
        <w:t>1.1  Sum-of-the-parts NAV — the primary lens</w:t>
      </w:r>
    </w:p>
    <w:p>
      <w:pPr>
        <w:spacing w:after="120" w:before="0"/>
      </w:pPr>
      <w:r>
        <w:rPr>
          <w:b w:val="0"/>
          <w:i w:val="0"/>
          <w:color w:val="1C3A36"/>
          <w:sz w:val="19"/>
        </w:rPr>
        <w:t>The construction is deliberately boring: take the parent’s audited FY2025 book equity of AED 60.1 bn, strip out the carrying values of the five assets we can price externally, replace them with their market or transaction marks, and keep everything else at book. Two of the five (Aldar, PureHealth) are liquid ADX large-caps; NMDC and NCTH are quoted but with ADH holding most of the float; Trojan is marked on the buyer-outlay basis of the FY2024 ADQ transaction — ≈ AED 5.0 bn for 49% (AED 4,997 mn on ADH’s audited FY24 cash-flow proceeds line; ~5,043 mn on ADQ’s side per its FY24 statements and GMTN prospectus) — a real price from a sophisticated buyer, aged eighteen months and flagged as such. The transaction has a second legitimate framing, stated per house rule: ADH’s own disposal note records consideration of AED 3,562 mn for the 49%, with AED 1,456 mn credited to non-controlling interests and ~2,105 mn to retained earnings (the IFRS-10 no-loss-of-control mechanics). On that seller-note basis Trojan at 100% is AED 7.3 bn, not 10.2 — the sensitivity below the table carries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376"/>
            <w:shd w:val="clear" w:color="auto" w:fill="EAF0EE"/>
          </w:tcPr>
          <w:p>
            <w:pPr>
              <w:spacing w:after="20"/>
            </w:pPr>
            <w:r>
              <w:rPr>
                <w:b/>
                <w:color w:val="1C3A36"/>
                <w:sz w:val="17"/>
              </w:rPr>
              <w:t>Asset</w:t>
            </w:r>
          </w:p>
        </w:tc>
        <w:tc>
          <w:tcPr>
            <w:tcW w:type="dxa" w:w="936"/>
            <w:shd w:val="clear" w:color="auto" w:fill="EAF0EE"/>
          </w:tcPr>
          <w:p>
            <w:pPr>
              <w:spacing w:after="20"/>
            </w:pPr>
            <w:r>
              <w:rPr>
                <w:b/>
                <w:color w:val="1C3A36"/>
                <w:sz w:val="17"/>
              </w:rPr>
              <w:t>Stake</w:t>
            </w:r>
          </w:p>
        </w:tc>
        <w:tc>
          <w:tcPr>
            <w:tcW w:type="dxa" w:w="2808"/>
            <w:shd w:val="clear" w:color="auto" w:fill="EAF0EE"/>
          </w:tcPr>
          <w:p>
            <w:pPr>
              <w:spacing w:after="20"/>
            </w:pPr>
            <w:r>
              <w:rPr>
                <w:b/>
                <w:color w:val="1C3A36"/>
                <w:sz w:val="17"/>
              </w:rPr>
              <w:t>Mark basis</w:t>
            </w:r>
          </w:p>
        </w:tc>
        <w:tc>
          <w:tcPr>
            <w:tcW w:type="dxa" w:w="1512"/>
            <w:shd w:val="clear" w:color="auto" w:fill="EAF0EE"/>
          </w:tcPr>
          <w:p>
            <w:pPr>
              <w:spacing w:after="20"/>
            </w:pPr>
            <w:r>
              <w:rPr>
                <w:b/>
                <w:color w:val="1C3A36"/>
                <w:sz w:val="17"/>
              </w:rPr>
              <w:t>100% value (AED bn)</w:t>
            </w:r>
          </w:p>
        </w:tc>
        <w:tc>
          <w:tcPr>
            <w:tcW w:type="dxa" w:w="1440"/>
            <w:shd w:val="clear" w:color="auto" w:fill="EAF0EE"/>
          </w:tcPr>
          <w:p>
            <w:pPr>
              <w:spacing w:after="20"/>
            </w:pPr>
            <w:r>
              <w:rPr>
                <w:b/>
                <w:color w:val="1C3A36"/>
                <w:sz w:val="17"/>
              </w:rPr>
              <w:t>ADH share (AED bn)</w:t>
            </w:r>
          </w:p>
        </w:tc>
        <w:tc>
          <w:tcPr>
            <w:tcW w:type="dxa" w:w="1224"/>
            <w:shd w:val="clear" w:color="auto" w:fill="EAF0EE"/>
          </w:tcPr>
          <w:p>
            <w:pPr>
              <w:spacing w:after="20"/>
            </w:pPr>
            <w:r>
              <w:rPr>
                <w:b/>
                <w:color w:val="1C3A36"/>
                <w:sz w:val="17"/>
              </w:rPr>
              <w:t>Carried (est., AED bn)</w:t>
            </w:r>
          </w:p>
        </w:tc>
      </w:tr>
      <w:tr>
        <w:tc>
          <w:tcPr>
            <w:tcW w:type="dxa" w:w="2376"/>
          </w:tcPr>
          <w:p>
            <w:pPr>
              <w:spacing w:after="20"/>
            </w:pPr>
            <w:r>
              <w:rPr>
                <w:color w:val="1C3A36"/>
                <w:sz w:val="17"/>
              </w:rPr>
              <w:t>Aldar Properties</w:t>
            </w:r>
          </w:p>
        </w:tc>
        <w:tc>
          <w:tcPr>
            <w:tcW w:type="dxa" w:w="936"/>
          </w:tcPr>
          <w:p>
            <w:pPr>
              <w:spacing w:after="20"/>
              <w:jc w:val="right"/>
            </w:pPr>
            <w:r>
              <w:rPr>
                <w:color w:val="1C3A36"/>
                <w:sz w:val="17"/>
              </w:rPr>
              <w:t>31.63%</w:t>
            </w:r>
          </w:p>
        </w:tc>
        <w:tc>
          <w:tcPr>
            <w:tcW w:type="dxa" w:w="2808"/>
          </w:tcPr>
          <w:p>
            <w:pPr>
              <w:spacing w:after="20"/>
              <w:jc w:val="right"/>
            </w:pPr>
            <w:r>
              <w:rPr>
                <w:color w:val="1C3A36"/>
                <w:sz w:val="17"/>
              </w:rPr>
              <w:t>ADX mcap 64.87 bn (Jul-26)</w:t>
            </w:r>
          </w:p>
        </w:tc>
        <w:tc>
          <w:tcPr>
            <w:tcW w:type="dxa" w:w="1512"/>
          </w:tcPr>
          <w:p>
            <w:pPr>
              <w:spacing w:after="20"/>
              <w:jc w:val="right"/>
            </w:pPr>
            <w:r>
              <w:rPr>
                <w:color w:val="1C3A36"/>
                <w:sz w:val="17"/>
              </w:rPr>
              <w:t>64.87</w:t>
            </w:r>
          </w:p>
        </w:tc>
        <w:tc>
          <w:tcPr>
            <w:tcW w:type="dxa" w:w="1440"/>
          </w:tcPr>
          <w:p>
            <w:pPr>
              <w:spacing w:after="20"/>
              <w:jc w:val="right"/>
            </w:pPr>
            <w:r>
              <w:rPr>
                <w:color w:val="1C3A36"/>
                <w:sz w:val="17"/>
              </w:rPr>
              <w:t>20.52</w:t>
            </w:r>
          </w:p>
        </w:tc>
        <w:tc>
          <w:tcPr>
            <w:tcW w:type="dxa" w:w="1224"/>
          </w:tcPr>
          <w:p>
            <w:pPr>
              <w:spacing w:after="20"/>
              <w:jc w:val="right"/>
            </w:pPr>
            <w:r>
              <w:rPr>
                <w:color w:val="1C3A36"/>
                <w:sz w:val="17"/>
              </w:rPr>
              <w:t>11.07</w:t>
            </w:r>
          </w:p>
        </w:tc>
      </w:tr>
      <w:tr>
        <w:tc>
          <w:tcPr>
            <w:tcW w:type="dxa" w:w="2376"/>
          </w:tcPr>
          <w:p>
            <w:pPr>
              <w:spacing w:after="20"/>
            </w:pPr>
            <w:r>
              <w:rPr>
                <w:color w:val="1C3A36"/>
                <w:sz w:val="17"/>
              </w:rPr>
              <w:t>NMDC Group</w:t>
            </w:r>
          </w:p>
        </w:tc>
        <w:tc>
          <w:tcPr>
            <w:tcW w:type="dxa" w:w="936"/>
          </w:tcPr>
          <w:p>
            <w:pPr>
              <w:spacing w:after="20"/>
              <w:jc w:val="right"/>
            </w:pPr>
            <w:r>
              <w:rPr>
                <w:color w:val="1C3A36"/>
                <w:sz w:val="17"/>
              </w:rPr>
              <w:t>76.68%</w:t>
            </w:r>
          </w:p>
        </w:tc>
        <w:tc>
          <w:tcPr>
            <w:tcW w:type="dxa" w:w="2808"/>
          </w:tcPr>
          <w:p>
            <w:pPr>
              <w:spacing w:after="20"/>
              <w:jc w:val="right"/>
            </w:pPr>
            <w:r>
              <w:rPr>
                <w:color w:val="1C3A36"/>
                <w:sz w:val="17"/>
              </w:rPr>
              <w:t>ADX mcap 18.79 bn</w:t>
            </w:r>
          </w:p>
        </w:tc>
        <w:tc>
          <w:tcPr>
            <w:tcW w:type="dxa" w:w="1512"/>
          </w:tcPr>
          <w:p>
            <w:pPr>
              <w:spacing w:after="20"/>
              <w:jc w:val="right"/>
            </w:pPr>
            <w:r>
              <w:rPr>
                <w:color w:val="1C3A36"/>
                <w:sz w:val="17"/>
              </w:rPr>
              <w:t>18.79</w:t>
            </w:r>
          </w:p>
        </w:tc>
        <w:tc>
          <w:tcPr>
            <w:tcW w:type="dxa" w:w="1440"/>
          </w:tcPr>
          <w:p>
            <w:pPr>
              <w:spacing w:after="20"/>
              <w:jc w:val="right"/>
            </w:pPr>
            <w:r>
              <w:rPr>
                <w:color w:val="1C3A36"/>
                <w:sz w:val="17"/>
              </w:rPr>
              <w:t>14.41</w:t>
            </w:r>
          </w:p>
        </w:tc>
        <w:tc>
          <w:tcPr>
            <w:tcW w:type="dxa" w:w="1224"/>
          </w:tcPr>
          <w:p>
            <w:pPr>
              <w:spacing w:after="20"/>
              <w:jc w:val="right"/>
            </w:pPr>
            <w:r>
              <w:rPr>
                <w:color w:val="1C3A36"/>
                <w:sz w:val="17"/>
              </w:rPr>
              <w:t>8.82</w:t>
            </w:r>
          </w:p>
        </w:tc>
      </w:tr>
      <w:tr>
        <w:tc>
          <w:tcPr>
            <w:tcW w:type="dxa" w:w="2376"/>
          </w:tcPr>
          <w:p>
            <w:pPr>
              <w:spacing w:after="20"/>
            </w:pPr>
            <w:r>
              <w:rPr>
                <w:color w:val="1C3A36"/>
                <w:sz w:val="17"/>
              </w:rPr>
              <w:t>PureHealth</w:t>
            </w:r>
          </w:p>
        </w:tc>
        <w:tc>
          <w:tcPr>
            <w:tcW w:type="dxa" w:w="936"/>
          </w:tcPr>
          <w:p>
            <w:pPr>
              <w:spacing w:after="20"/>
              <w:jc w:val="right"/>
            </w:pPr>
            <w:r>
              <w:rPr>
                <w:color w:val="1C3A36"/>
                <w:sz w:val="17"/>
              </w:rPr>
              <w:t>35.06%</w:t>
            </w:r>
          </w:p>
        </w:tc>
        <w:tc>
          <w:tcPr>
            <w:tcW w:type="dxa" w:w="2808"/>
          </w:tcPr>
          <w:p>
            <w:pPr>
              <w:spacing w:after="20"/>
              <w:jc w:val="right"/>
            </w:pPr>
            <w:r>
              <w:rPr>
                <w:color w:val="1C3A36"/>
                <w:sz w:val="17"/>
              </w:rPr>
              <w:t>ADX mcap 24.56 bn</w:t>
            </w:r>
          </w:p>
        </w:tc>
        <w:tc>
          <w:tcPr>
            <w:tcW w:type="dxa" w:w="1512"/>
          </w:tcPr>
          <w:p>
            <w:pPr>
              <w:spacing w:after="20"/>
              <w:jc w:val="right"/>
            </w:pPr>
            <w:r>
              <w:rPr>
                <w:color w:val="1C3A36"/>
                <w:sz w:val="17"/>
              </w:rPr>
              <w:t>24.56</w:t>
            </w:r>
          </w:p>
        </w:tc>
        <w:tc>
          <w:tcPr>
            <w:tcW w:type="dxa" w:w="1440"/>
          </w:tcPr>
          <w:p>
            <w:pPr>
              <w:spacing w:after="20"/>
              <w:jc w:val="right"/>
            </w:pPr>
            <w:r>
              <w:rPr>
                <w:color w:val="1C3A36"/>
                <w:sz w:val="17"/>
              </w:rPr>
              <w:t>8.61</w:t>
            </w:r>
          </w:p>
        </w:tc>
        <w:tc>
          <w:tcPr>
            <w:tcW w:type="dxa" w:w="1224"/>
          </w:tcPr>
          <w:p>
            <w:pPr>
              <w:spacing w:after="20"/>
              <w:jc w:val="right"/>
            </w:pPr>
            <w:r>
              <w:rPr>
                <w:color w:val="1C3A36"/>
                <w:sz w:val="17"/>
              </w:rPr>
              <w:t>12.80</w:t>
            </w:r>
          </w:p>
        </w:tc>
      </w:tr>
      <w:tr>
        <w:tc>
          <w:tcPr>
            <w:tcW w:type="dxa" w:w="2376"/>
          </w:tcPr>
          <w:p>
            <w:pPr>
              <w:spacing w:after="20"/>
            </w:pPr>
            <w:r>
              <w:rPr>
                <w:color w:val="1C3A36"/>
                <w:sz w:val="17"/>
              </w:rPr>
              <w:t>NCTH</w:t>
            </w:r>
          </w:p>
        </w:tc>
        <w:tc>
          <w:tcPr>
            <w:tcW w:type="dxa" w:w="936"/>
          </w:tcPr>
          <w:p>
            <w:pPr>
              <w:spacing w:after="20"/>
              <w:jc w:val="right"/>
            </w:pPr>
            <w:r>
              <w:rPr>
                <w:color w:val="1C3A36"/>
                <w:sz w:val="17"/>
              </w:rPr>
              <w:t>73.73%</w:t>
            </w:r>
          </w:p>
        </w:tc>
        <w:tc>
          <w:tcPr>
            <w:tcW w:type="dxa" w:w="2808"/>
          </w:tcPr>
          <w:p>
            <w:pPr>
              <w:spacing w:after="20"/>
              <w:jc w:val="right"/>
            </w:pPr>
            <w:r>
              <w:rPr>
                <w:color w:val="1C3A36"/>
                <w:sz w:val="17"/>
              </w:rPr>
              <w:t>ADX mcap ~3.27 bn (thin float)</w:t>
            </w:r>
          </w:p>
        </w:tc>
        <w:tc>
          <w:tcPr>
            <w:tcW w:type="dxa" w:w="1512"/>
          </w:tcPr>
          <w:p>
            <w:pPr>
              <w:spacing w:after="20"/>
              <w:jc w:val="right"/>
            </w:pPr>
            <w:r>
              <w:rPr>
                <w:color w:val="1C3A36"/>
                <w:sz w:val="17"/>
              </w:rPr>
              <w:t>3.27</w:t>
            </w:r>
          </w:p>
        </w:tc>
        <w:tc>
          <w:tcPr>
            <w:tcW w:type="dxa" w:w="1440"/>
          </w:tcPr>
          <w:p>
            <w:pPr>
              <w:spacing w:after="20"/>
              <w:jc w:val="right"/>
            </w:pPr>
            <w:r>
              <w:rPr>
                <w:color w:val="1C3A36"/>
                <w:sz w:val="17"/>
              </w:rPr>
              <w:t>2.41</w:t>
            </w:r>
          </w:p>
        </w:tc>
        <w:tc>
          <w:tcPr>
            <w:tcW w:type="dxa" w:w="1224"/>
          </w:tcPr>
          <w:p>
            <w:pPr>
              <w:spacing w:after="20"/>
              <w:jc w:val="right"/>
            </w:pPr>
            <w:r>
              <w:rPr>
                <w:color w:val="1C3A36"/>
                <w:sz w:val="17"/>
              </w:rPr>
              <w:t>2.21</w:t>
            </w:r>
          </w:p>
        </w:tc>
      </w:tr>
      <w:tr>
        <w:tc>
          <w:tcPr>
            <w:tcW w:type="dxa" w:w="2376"/>
          </w:tcPr>
          <w:p>
            <w:pPr>
              <w:spacing w:after="20"/>
            </w:pPr>
            <w:r>
              <w:rPr>
                <w:color w:val="1C3A36"/>
                <w:sz w:val="17"/>
              </w:rPr>
              <w:t>Trojan Construction</w:t>
            </w:r>
          </w:p>
        </w:tc>
        <w:tc>
          <w:tcPr>
            <w:tcW w:type="dxa" w:w="936"/>
          </w:tcPr>
          <w:p>
            <w:pPr>
              <w:spacing w:after="20"/>
              <w:jc w:val="right"/>
            </w:pPr>
            <w:r>
              <w:rPr>
                <w:color w:val="1C3A36"/>
                <w:sz w:val="17"/>
              </w:rPr>
              <w:t>51%</w:t>
            </w:r>
          </w:p>
        </w:tc>
        <w:tc>
          <w:tcPr>
            <w:tcW w:type="dxa" w:w="2808"/>
          </w:tcPr>
          <w:p>
            <w:pPr>
              <w:spacing w:after="20"/>
              <w:jc w:val="right"/>
            </w:pPr>
            <w:r>
              <w:rPr>
                <w:color w:val="1C3A36"/>
                <w:sz w:val="17"/>
              </w:rPr>
              <w:t>ADQ 49% deal, buyer-outlay ≈5.0 bn (FY24)</w:t>
            </w:r>
          </w:p>
        </w:tc>
        <w:tc>
          <w:tcPr>
            <w:tcW w:type="dxa" w:w="1512"/>
          </w:tcPr>
          <w:p>
            <w:pPr>
              <w:spacing w:after="20"/>
              <w:jc w:val="right"/>
            </w:pPr>
            <w:r>
              <w:rPr>
                <w:color w:val="1C3A36"/>
                <w:sz w:val="17"/>
              </w:rPr>
              <w:t>10.2</w:t>
            </w:r>
          </w:p>
        </w:tc>
        <w:tc>
          <w:tcPr>
            <w:tcW w:type="dxa" w:w="1440"/>
          </w:tcPr>
          <w:p>
            <w:pPr>
              <w:spacing w:after="20"/>
              <w:jc w:val="right"/>
            </w:pPr>
            <w:r>
              <w:rPr>
                <w:color w:val="1C3A36"/>
                <w:sz w:val="17"/>
              </w:rPr>
              <w:t>5.20</w:t>
            </w:r>
          </w:p>
        </w:tc>
        <w:tc>
          <w:tcPr>
            <w:tcW w:type="dxa" w:w="1224"/>
          </w:tcPr>
          <w:p>
            <w:pPr>
              <w:spacing w:after="20"/>
              <w:jc w:val="right"/>
            </w:pPr>
            <w:r>
              <w:rPr>
                <w:color w:val="1C3A36"/>
                <w:sz w:val="17"/>
              </w:rPr>
              <w:t>1.94</w:t>
            </w:r>
          </w:p>
        </w:tc>
      </w:tr>
      <w:tr>
        <w:tc>
          <w:tcPr>
            <w:tcW w:type="dxa" w:w="2376"/>
            <w:shd w:val="clear" w:color="auto" w:fill="F6F1E6"/>
          </w:tcPr>
          <w:p>
            <w:pPr>
              <w:spacing w:after="20"/>
            </w:pPr>
            <w:r>
              <w:rPr>
                <w:b/>
                <w:color w:val="1C3A36"/>
                <w:sz w:val="17"/>
              </w:rPr>
              <w:t>Marked assets subtotal</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51.15</w:t>
            </w:r>
          </w:p>
        </w:tc>
        <w:tc>
          <w:tcPr>
            <w:tcW w:type="dxa" w:w="1224"/>
            <w:shd w:val="clear" w:color="auto" w:fill="F6F1E6"/>
          </w:tcPr>
          <w:p>
            <w:pPr>
              <w:spacing w:after="20"/>
              <w:jc w:val="right"/>
            </w:pPr>
            <w:r>
              <w:rPr>
                <w:b/>
                <w:color w:val="1C3A36"/>
                <w:sz w:val="17"/>
              </w:rPr>
              <w:t>36.84</w:t>
            </w:r>
          </w:p>
        </w:tc>
      </w:tr>
      <w:tr>
        <w:tc>
          <w:tcPr>
            <w:tcW w:type="dxa" w:w="2376"/>
          </w:tcPr>
          <w:p>
            <w:pPr>
              <w:spacing w:after="20"/>
            </w:pPr>
            <w:r>
              <w:rPr>
                <w:color w:val="1C3A36"/>
                <w:sz w:val="17"/>
              </w:rPr>
              <w:t>Residual book (everything else, at carrying value)</w:t>
            </w:r>
          </w:p>
        </w:tc>
        <w:tc>
          <w:tcPr>
            <w:tcW w:type="dxa" w:w="936"/>
          </w:tcPr>
          <w:p>
            <w:pPr>
              <w:spacing w:after="20"/>
              <w:jc w:val="right"/>
            </w:pPr>
            <w:r>
              <w:rPr>
                <w:color w:val="1C3A36"/>
                <w:sz w:val="17"/>
              </w:rPr>
            </w:r>
          </w:p>
        </w:tc>
        <w:tc>
          <w:tcPr>
            <w:tcW w:type="dxa" w:w="2808"/>
          </w:tcPr>
          <w:p>
            <w:pPr>
              <w:spacing w:after="20"/>
              <w:jc w:val="right"/>
            </w:pPr>
            <w:r>
              <w:rPr>
                <w:color w:val="1C3A36"/>
                <w:sz w:val="17"/>
              </w:rPr>
              <w:t>Parent book 60.10 − carried stakes 36.84</w:t>
            </w:r>
          </w:p>
        </w:tc>
        <w:tc>
          <w:tcPr>
            <w:tcW w:type="dxa" w:w="1512"/>
          </w:tcPr>
          <w:p>
            <w:pPr>
              <w:spacing w:after="20"/>
              <w:jc w:val="right"/>
            </w:pPr>
            <w:r>
              <w:rPr>
                <w:color w:val="1C3A36"/>
                <w:sz w:val="17"/>
              </w:rPr>
            </w:r>
          </w:p>
        </w:tc>
        <w:tc>
          <w:tcPr>
            <w:tcW w:type="dxa" w:w="1440"/>
          </w:tcPr>
          <w:p>
            <w:pPr>
              <w:spacing w:after="20"/>
              <w:jc w:val="right"/>
            </w:pPr>
            <w:r>
              <w:rPr>
                <w:color w:val="1C3A36"/>
                <w:sz w:val="17"/>
              </w:rPr>
              <w:t>23.26</w:t>
            </w:r>
          </w:p>
        </w:tc>
        <w:tc>
          <w:tcPr>
            <w:tcW w:type="dxa" w:w="1224"/>
          </w:tcPr>
          <w:p>
            <w:pPr>
              <w:spacing w:after="20"/>
              <w:jc w:val="right"/>
            </w:pPr>
            <w:r>
              <w:rPr>
                <w:color w:val="1C3A36"/>
                <w:sz w:val="17"/>
              </w:rPr>
            </w:r>
          </w:p>
        </w:tc>
      </w:tr>
      <w:tr>
        <w:tc>
          <w:tcPr>
            <w:tcW w:type="dxa" w:w="2376"/>
            <w:shd w:val="clear" w:color="auto" w:fill="F6F1E6"/>
          </w:tcPr>
          <w:p>
            <w:pPr>
              <w:spacing w:after="20"/>
            </w:pPr>
            <w:r>
              <w:rPr>
                <w:b/>
                <w:color w:val="1C3A36"/>
                <w:sz w:val="17"/>
              </w:rPr>
              <w:t>Mark-to-market NAV</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74.4</w:t>
            </w:r>
          </w:p>
        </w:tc>
        <w:tc>
          <w:tcPr>
            <w:tcW w:type="dxa" w:w="1224"/>
            <w:shd w:val="clear" w:color="auto" w:fill="F6F1E6"/>
          </w:tcPr>
          <w:p>
            <w:pPr>
              <w:spacing w:after="20"/>
              <w:jc w:val="right"/>
            </w:pPr>
            <w:r>
              <w:rPr>
                <w:b/>
                <w:color w:val="1C3A36"/>
                <w:sz w:val="17"/>
              </w:rPr>
            </w:r>
          </w:p>
        </w:tc>
      </w:tr>
      <w:tr>
        <w:tc>
          <w:tcPr>
            <w:tcW w:type="dxa" w:w="2376"/>
            <w:shd w:val="clear" w:color="auto" w:fill="F6F1E6"/>
          </w:tcPr>
          <w:p>
            <w:pPr>
              <w:spacing w:after="20"/>
            </w:pPr>
            <w:r>
              <w:rPr>
                <w:b/>
                <w:color w:val="1C3A36"/>
                <w:sz w:val="17"/>
              </w:rPr>
              <w:t>NAV per share (10,000 mn sh)</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AED 7.44</w:t>
            </w:r>
          </w:p>
        </w:tc>
        <w:tc>
          <w:tcPr>
            <w:tcW w:type="dxa" w:w="1224"/>
            <w:shd w:val="clear" w:color="auto" w:fill="F6F1E6"/>
          </w:tcPr>
          <w:p>
            <w:pPr>
              <w:spacing w:after="20"/>
              <w:jc w:val="right"/>
            </w:pPr>
            <w:r>
              <w:rPr>
                <w:b/>
                <w:color w:val="1C3A36"/>
                <w:sz w:val="17"/>
              </w:rPr>
            </w:r>
          </w:p>
        </w:tc>
      </w:tr>
    </w:tbl>
    <w:p>
      <w:pPr>
        <w:spacing w:after="40"/>
      </w:pPr>
    </w:p>
    <w:p>
      <w:pPr>
        <w:spacing w:after="200" w:before="0"/>
      </w:pPr>
      <w:r>
        <w:rPr>
          <w:b w:val="0"/>
          <w:i/>
          <w:color w:val="6E7B77"/>
          <w:sz w:val="17"/>
        </w:rPr>
        <w:t>Stakes from the audited FY2025 subsidiaries/associates notes; marks from ADX quotes (early Jul-26) and the audited FY2024 ADQ transaction. Carried values are the preparer’s allocation of the parent book across the marked assets (recorded in the Fundamental Driver Ledger); the NAV total does not depend on that allocation, only on the parent book total and the external marks.</w:t>
      </w:r>
    </w:p>
    <w:p>
      <w:pPr>
        <w:spacing w:after="40"/>
        <w:jc w:val="center"/>
      </w:pPr>
      <w:r>
        <w:drawing>
          <wp:inline xmlns:a="http://schemas.openxmlformats.org/drawingml/2006/main" xmlns:pic="http://schemas.openxmlformats.org/drawingml/2006/picture">
            <wp:extent cx="5760720" cy="2277494"/>
            <wp:docPr id="1" name="Picture 1"/>
            <wp:cNvGraphicFramePr>
              <a:graphicFrameLocks noChangeAspect="1"/>
            </wp:cNvGraphicFramePr>
            <a:graphic>
              <a:graphicData uri="http://schemas.openxmlformats.org/drawingml/2006/picture">
                <pic:pic>
                  <pic:nvPicPr>
                    <pic:cNvPr id="0" name="fig_sotp.png"/>
                    <pic:cNvPicPr/>
                  </pic:nvPicPr>
                  <pic:blipFill>
                    <a:blip r:embed="rId9"/>
                    <a:stretch>
                      <a:fillRect/>
                    </a:stretch>
                  </pic:blipFill>
                  <pic:spPr>
                    <a:xfrm>
                      <a:off x="0" y="0"/>
                      <a:ext cx="5760720" cy="2277494"/>
                    </a:xfrm>
                    <a:prstGeom prst="rect"/>
                  </pic:spPr>
                </pic:pic>
              </a:graphicData>
            </a:graphic>
          </wp:inline>
        </w:drawing>
      </w:r>
    </w:p>
    <w:p>
      <w:pPr>
        <w:spacing w:after="200" w:before="0"/>
      </w:pPr>
      <w:r>
        <w:rPr>
          <w:b w:val="0"/>
          <w:i/>
          <w:color w:val="6E7B77"/>
          <w:sz w:val="17"/>
        </w:rPr>
        <w:t>Figure 1 — The SOTP waterfall: from the parent’s audited book to marked NAV, against the AED 82.2 bn market capitalisation. The gap between the last bar and the mcap line is the holdco premium of §1.7.</w:t>
      </w:r>
    </w:p>
    <w:p>
      <w:pPr>
        <w:spacing w:after="120" w:before="0"/>
      </w:pPr>
      <w:r>
        <w:rPr>
          <w:b w:val="0"/>
          <w:i w:val="0"/>
          <w:color w:val="1C3A36"/>
          <w:sz w:val="19"/>
        </w:rPr>
        <w:t>Trojan-basis sensitivity (dual framing): on the seller-note consideration of AED 3,562 mn the 100% value is AED 7.3 bn and the 51% mark AED 3.71 bn — marked NAV falls to AED 72.9 bn, par NAV to 7.29/share and the 15%-discount central to 6.20. Every verdict in this study survives that framing: spot would then sit ~13% above even par NAV rather than ~10%. The buyer-outlay basis is retained as central because it is the price a sophisticated arm’s-length buyer actually committed; both note extractions are logged as an open Fundamental Driver Ledger row.</w:t>
      </w:r>
    </w:p>
    <w:p>
      <w:pPr>
        <w:spacing w:after="120" w:before="0"/>
      </w:pPr>
      <w:r>
        <w:rPr>
          <w:b w:val="0"/>
          <w:i w:val="0"/>
          <w:color w:val="1C3A36"/>
          <w:sz w:val="19"/>
        </w:rPr>
        <w:t>Holdcos rarely trade at par: information asymmetry, capital-allocation risk, structural NCI leakage and thin floats justify a discount, and GCC/EM precedent runs roughly 10–25% for diversified holdings. We publish the band rather than pick a point: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Holdco discount</w:t>
            </w:r>
          </w:p>
        </w:tc>
        <w:tc>
          <w:tcPr>
            <w:tcW w:type="dxa" w:w="1440"/>
            <w:shd w:val="clear" w:color="auto" w:fill="EAF0EE"/>
          </w:tcPr>
          <w:p>
            <w:pPr>
              <w:spacing w:after="20"/>
            </w:pPr>
            <w:r>
              <w:rPr>
                <w:b/>
                <w:color w:val="1C3A36"/>
                <w:sz w:val="18"/>
              </w:rPr>
              <w:t>0% (par)</w:t>
            </w:r>
          </w:p>
        </w:tc>
        <w:tc>
          <w:tcPr>
            <w:tcW w:type="dxa" w:w="1440"/>
            <w:shd w:val="clear" w:color="auto" w:fill="EAF0EE"/>
          </w:tcPr>
          <w:p>
            <w:pPr>
              <w:spacing w:after="20"/>
            </w:pPr>
            <w:r>
              <w:rPr>
                <w:b/>
                <w:color w:val="1C3A36"/>
                <w:sz w:val="18"/>
              </w:rPr>
              <w:t>10%</w:t>
            </w:r>
          </w:p>
        </w:tc>
        <w:tc>
          <w:tcPr>
            <w:tcW w:type="dxa" w:w="1440"/>
            <w:shd w:val="clear" w:color="auto" w:fill="EAF0EE"/>
          </w:tcPr>
          <w:p>
            <w:pPr>
              <w:spacing w:after="20"/>
            </w:pPr>
            <w:r>
              <w:rPr>
                <w:b/>
                <w:color w:val="1C3A36"/>
                <w:sz w:val="18"/>
              </w:rPr>
              <w:t>15% (base)</w:t>
            </w:r>
          </w:p>
        </w:tc>
        <w:tc>
          <w:tcPr>
            <w:tcW w:type="dxa" w:w="1440"/>
            <w:shd w:val="clear" w:color="auto" w:fill="EAF0EE"/>
          </w:tcPr>
          <w:p>
            <w:pPr>
              <w:spacing w:after="20"/>
            </w:pPr>
            <w:r>
              <w:rPr>
                <w:b/>
                <w:color w:val="1C3A36"/>
                <w:sz w:val="18"/>
              </w:rPr>
              <w:t>20%</w:t>
            </w:r>
          </w:p>
        </w:tc>
        <w:tc>
          <w:tcPr>
            <w:tcW w:type="dxa" w:w="1440"/>
            <w:shd w:val="clear" w:color="auto" w:fill="EAF0EE"/>
          </w:tcPr>
          <w:p>
            <w:pPr>
              <w:spacing w:after="20"/>
            </w:pPr>
            <w:r>
              <w:rPr>
                <w:b/>
                <w:color w:val="1C3A36"/>
                <w:sz w:val="18"/>
              </w:rPr>
              <w:t>25%</w:t>
            </w:r>
          </w:p>
        </w:tc>
      </w:tr>
      <w:tr>
        <w:tc>
          <w:tcPr>
            <w:tcW w:type="dxa" w:w="2736"/>
          </w:tcPr>
          <w:p>
            <w:pPr>
              <w:spacing w:after="20"/>
            </w:pPr>
            <w:r>
              <w:rPr>
                <w:color w:val="1C3A36"/>
                <w:sz w:val="18"/>
              </w:rPr>
              <w:t>NAV per share (AED)</w:t>
            </w:r>
          </w:p>
        </w:tc>
        <w:tc>
          <w:tcPr>
            <w:tcW w:type="dxa" w:w="1440"/>
          </w:tcPr>
          <w:p>
            <w:pPr>
              <w:spacing w:after="20"/>
              <w:jc w:val="right"/>
            </w:pPr>
            <w:r>
              <w:rPr>
                <w:color w:val="1C3A36"/>
                <w:sz w:val="18"/>
              </w:rPr>
              <w:t>7.44</w:t>
            </w:r>
          </w:p>
        </w:tc>
        <w:tc>
          <w:tcPr>
            <w:tcW w:type="dxa" w:w="1440"/>
          </w:tcPr>
          <w:p>
            <w:pPr>
              <w:spacing w:after="20"/>
              <w:jc w:val="right"/>
            </w:pPr>
            <w:r>
              <w:rPr>
                <w:color w:val="1C3A36"/>
                <w:sz w:val="18"/>
              </w:rPr>
              <w:t>6.70</w:t>
            </w:r>
          </w:p>
        </w:tc>
        <w:tc>
          <w:tcPr>
            <w:tcW w:type="dxa" w:w="1440"/>
          </w:tcPr>
          <w:p>
            <w:pPr>
              <w:spacing w:after="20"/>
              <w:jc w:val="right"/>
            </w:pPr>
            <w:r>
              <w:rPr>
                <w:color w:val="1C3A36"/>
                <w:sz w:val="18"/>
              </w:rPr>
              <w:t>6.32</w:t>
            </w:r>
          </w:p>
        </w:tc>
        <w:tc>
          <w:tcPr>
            <w:tcW w:type="dxa" w:w="1440"/>
          </w:tcPr>
          <w:p>
            <w:pPr>
              <w:spacing w:after="20"/>
              <w:jc w:val="right"/>
            </w:pPr>
            <w:r>
              <w:rPr>
                <w:color w:val="1C3A36"/>
                <w:sz w:val="18"/>
              </w:rPr>
              <w:t>5.95</w:t>
            </w:r>
          </w:p>
        </w:tc>
        <w:tc>
          <w:tcPr>
            <w:tcW w:type="dxa" w:w="1440"/>
          </w:tcPr>
          <w:p>
            <w:pPr>
              <w:spacing w:after="20"/>
              <w:jc w:val="right"/>
            </w:pPr>
            <w:r>
              <w:rPr>
                <w:color w:val="1C3A36"/>
                <w:sz w:val="18"/>
              </w:rPr>
              <w:t>5.58</w:t>
            </w:r>
          </w:p>
        </w:tc>
      </w:tr>
      <w:tr>
        <w:tc>
          <w:tcPr>
            <w:tcW w:type="dxa" w:w="2736"/>
          </w:tcPr>
          <w:p>
            <w:pPr>
              <w:spacing w:after="20"/>
            </w:pPr>
            <w:r>
              <w:rPr>
                <w:color w:val="1C3A36"/>
                <w:sz w:val="18"/>
              </w:rPr>
              <w:t>vs spot 8.22</w:t>
            </w:r>
          </w:p>
        </w:tc>
        <w:tc>
          <w:tcPr>
            <w:tcW w:type="dxa" w:w="1440"/>
          </w:tcPr>
          <w:p>
            <w:pPr>
              <w:spacing w:after="20"/>
              <w:jc w:val="right"/>
            </w:pPr>
            <w:r>
              <w:rPr>
                <w:color w:val="1C3A36"/>
                <w:sz w:val="18"/>
              </w:rPr>
              <w:t>-9%</w:t>
            </w:r>
          </w:p>
        </w:tc>
        <w:tc>
          <w:tcPr>
            <w:tcW w:type="dxa" w:w="1440"/>
          </w:tcPr>
          <w:p>
            <w:pPr>
              <w:spacing w:after="20"/>
              <w:jc w:val="right"/>
            </w:pPr>
            <w:r>
              <w:rPr>
                <w:color w:val="1C3A36"/>
                <w:sz w:val="18"/>
              </w:rPr>
              <w:t>−18%</w:t>
            </w:r>
          </w:p>
        </w:tc>
        <w:tc>
          <w:tcPr>
            <w:tcW w:type="dxa" w:w="1440"/>
          </w:tcPr>
          <w:p>
            <w:pPr>
              <w:spacing w:after="20"/>
              <w:jc w:val="right"/>
            </w:pPr>
            <w:r>
              <w:rPr>
                <w:color w:val="1C3A36"/>
                <w:sz w:val="18"/>
              </w:rPr>
              <w:t>-23%</w:t>
            </w:r>
          </w:p>
        </w:tc>
        <w:tc>
          <w:tcPr>
            <w:tcW w:type="dxa" w:w="1440"/>
          </w:tcPr>
          <w:p>
            <w:pPr>
              <w:spacing w:after="20"/>
              <w:jc w:val="right"/>
            </w:pPr>
            <w:r>
              <w:rPr>
                <w:color w:val="1C3A36"/>
                <w:sz w:val="18"/>
              </w:rPr>
              <w:t>−28%</w:t>
            </w:r>
          </w:p>
        </w:tc>
        <w:tc>
          <w:tcPr>
            <w:tcW w:type="dxa" w:w="1440"/>
          </w:tcPr>
          <w:p>
            <w:pPr>
              <w:spacing w:after="20"/>
              <w:jc w:val="right"/>
            </w:pPr>
            <w:r>
              <w:rPr>
                <w:color w:val="1C3A36"/>
                <w:sz w:val="18"/>
              </w:rPr>
              <w:t>-32%</w:t>
            </w:r>
          </w:p>
        </w:tc>
      </w:tr>
    </w:tbl>
    <w:p>
      <w:pPr>
        <w:spacing w:after="40"/>
      </w:pPr>
    </w:p>
    <w:p>
      <w:pPr>
        <w:spacing w:after="120" w:before="0"/>
      </w:pPr>
      <w:r>
        <w:rPr>
          <w:b w:val="0"/>
          <w:i w:val="0"/>
          <w:color w:val="1C3A36"/>
          <w:sz w:val="19"/>
        </w:rPr>
        <w:t>Read it plainly: the market is not debating the size of the discount — it is paying a premium. Spot exceeds even the undiscounted NAV by ~10%. That is the number the rest of this study interrogates.</w:t>
      </w:r>
    </w:p>
    <w:p>
      <w:pPr>
        <w:spacing w:after="80" w:before="200"/>
      </w:pPr>
      <w:r>
        <w:rPr>
          <w:b/>
          <w:i w:val="0"/>
          <w:color w:val="1C3A36"/>
          <w:sz w:val="24"/>
        </w:rPr>
        <w:t>1.2  The consolidated FCFF DCF — the full waterfall, and why it is a ceiling</w:t>
      </w:r>
    </w:p>
    <w:p>
      <w:pPr>
        <w:spacing w:after="120" w:before="0"/>
      </w:pPr>
      <w:r>
        <w:rPr>
          <w:b w:val="0"/>
          <w:i w:val="0"/>
          <w:color w:val="1C3A36"/>
          <w:sz w:val="19"/>
        </w:rPr>
        <w:t>The DCF is built on the consolidated group because that is what the audited statements describe, then hands the owners their 53.3% (the FY2025 attributable share of profit, used as a proportional NCI proxy — a disclosed simplification). Revenue grows 9% fading to 5% (Q1-26 ran +8%; Aldar’s AED 71.7 bn backlog underwrites the near years), the adjusted EBITDA margin holds at FY2025’s 22.5%, capex fades from 7.1% of revenue toward 5.5%, tax glides from the 10.2% actual ETR to the statutory 15% DMTT, and — the driver that matters — incremental working capital absorbs 45% of each new revenue dirham in 2026, fading to 20% as collections catch up with the construction and development ramp. Every line of the waterfall is shown; a DCF that shows only its output is a hard QC fail under house rules.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232"/>
            <w:shd w:val="clear" w:color="auto" w:fill="EAF0EE"/>
          </w:tcPr>
          <w:p>
            <w:pPr>
              <w:spacing w:after="20"/>
            </w:pPr>
            <w:r>
              <w:rPr>
                <w:b/>
                <w:color w:val="1C3A36"/>
                <w:sz w:val="17"/>
              </w:rPr>
              <w:t>AED bn</w:t>
            </w:r>
          </w:p>
        </w:tc>
        <w:tc>
          <w:tcPr>
            <w:tcW w:type="dxa" w:w="1598"/>
            <w:shd w:val="clear" w:color="auto" w:fill="EAF0EE"/>
          </w:tcPr>
          <w:p>
            <w:pPr>
              <w:spacing w:after="20"/>
            </w:pPr>
            <w:r>
              <w:rPr>
                <w:b/>
                <w:color w:val="1C3A36"/>
                <w:sz w:val="17"/>
              </w:rPr>
              <w:t>2026E</w:t>
            </w:r>
          </w:p>
        </w:tc>
        <w:tc>
          <w:tcPr>
            <w:tcW w:type="dxa" w:w="1598"/>
            <w:shd w:val="clear" w:color="auto" w:fill="EAF0EE"/>
          </w:tcPr>
          <w:p>
            <w:pPr>
              <w:spacing w:after="20"/>
            </w:pPr>
            <w:r>
              <w:rPr>
                <w:b/>
                <w:color w:val="1C3A36"/>
                <w:sz w:val="17"/>
              </w:rPr>
              <w:t>2027E</w:t>
            </w:r>
          </w:p>
        </w:tc>
        <w:tc>
          <w:tcPr>
            <w:tcW w:type="dxa" w:w="1598"/>
            <w:shd w:val="clear" w:color="auto" w:fill="EAF0EE"/>
          </w:tcPr>
          <w:p>
            <w:pPr>
              <w:spacing w:after="20"/>
            </w:pPr>
            <w:r>
              <w:rPr>
                <w:b/>
                <w:color w:val="1C3A36"/>
                <w:sz w:val="17"/>
              </w:rPr>
              <w:t>2028E</w:t>
            </w:r>
          </w:p>
        </w:tc>
        <w:tc>
          <w:tcPr>
            <w:tcW w:type="dxa" w:w="1598"/>
            <w:shd w:val="clear" w:color="auto" w:fill="EAF0EE"/>
          </w:tcPr>
          <w:p>
            <w:pPr>
              <w:spacing w:after="20"/>
            </w:pPr>
            <w:r>
              <w:rPr>
                <w:b/>
                <w:color w:val="1C3A36"/>
                <w:sz w:val="17"/>
              </w:rPr>
              <w:t>2029E</w:t>
            </w:r>
          </w:p>
        </w:tc>
        <w:tc>
          <w:tcPr>
            <w:tcW w:type="dxa" w:w="1598"/>
            <w:shd w:val="clear" w:color="auto" w:fill="EAF0EE"/>
          </w:tcPr>
          <w:p>
            <w:pPr>
              <w:spacing w:after="20"/>
            </w:pPr>
            <w:r>
              <w:rPr>
                <w:b/>
                <w:color w:val="1C3A36"/>
                <w:sz w:val="17"/>
              </w:rPr>
              <w:t>2030E</w:t>
            </w:r>
          </w:p>
        </w:tc>
      </w:tr>
      <w:tr>
        <w:tc>
          <w:tcPr>
            <w:tcW w:type="dxa" w:w="2232"/>
          </w:tcPr>
          <w:p>
            <w:pPr>
              <w:spacing w:after="20"/>
            </w:pPr>
            <w:r>
              <w:rPr>
                <w:b/>
                <w:color w:val="1C3A36"/>
                <w:sz w:val="17"/>
              </w:rPr>
              <w:t>Revenue</w:t>
            </w:r>
          </w:p>
        </w:tc>
        <w:tc>
          <w:tcPr>
            <w:tcW w:type="dxa" w:w="1598"/>
          </w:tcPr>
          <w:p>
            <w:pPr>
              <w:spacing w:after="20"/>
              <w:jc w:val="right"/>
            </w:pPr>
            <w:r>
              <w:rPr>
                <w:color w:val="1C3A36"/>
                <w:sz w:val="17"/>
              </w:rPr>
              <w:t>85.86</w:t>
            </w:r>
          </w:p>
        </w:tc>
        <w:tc>
          <w:tcPr>
            <w:tcW w:type="dxa" w:w="1598"/>
          </w:tcPr>
          <w:p>
            <w:pPr>
              <w:spacing w:after="20"/>
              <w:jc w:val="right"/>
            </w:pPr>
            <w:r>
              <w:rPr>
                <w:color w:val="1C3A36"/>
                <w:sz w:val="17"/>
              </w:rPr>
              <w:t>92.73</w:t>
            </w:r>
          </w:p>
        </w:tc>
        <w:tc>
          <w:tcPr>
            <w:tcW w:type="dxa" w:w="1598"/>
          </w:tcPr>
          <w:p>
            <w:pPr>
              <w:spacing w:after="20"/>
              <w:jc w:val="right"/>
            </w:pPr>
            <w:r>
              <w:rPr>
                <w:color w:val="1C3A36"/>
                <w:sz w:val="17"/>
              </w:rPr>
              <w:t>99.22</w:t>
            </w:r>
          </w:p>
        </w:tc>
        <w:tc>
          <w:tcPr>
            <w:tcW w:type="dxa" w:w="1598"/>
          </w:tcPr>
          <w:p>
            <w:pPr>
              <w:spacing w:after="20"/>
              <w:jc w:val="right"/>
            </w:pPr>
            <w:r>
              <w:rPr>
                <w:color w:val="1C3A36"/>
                <w:sz w:val="17"/>
              </w:rPr>
              <w:t>105.18</w:t>
            </w:r>
          </w:p>
        </w:tc>
        <w:tc>
          <w:tcPr>
            <w:tcW w:type="dxa" w:w="1598"/>
          </w:tcPr>
          <w:p>
            <w:pPr>
              <w:spacing w:after="20"/>
              <w:jc w:val="right"/>
            </w:pPr>
            <w:r>
              <w:rPr>
                <w:color w:val="1C3A36"/>
                <w:sz w:val="17"/>
              </w:rPr>
              <w:t>110.44</w:t>
            </w:r>
          </w:p>
        </w:tc>
      </w:tr>
      <w:tr>
        <w:tc>
          <w:tcPr>
            <w:tcW w:type="dxa" w:w="2232"/>
          </w:tcPr>
          <w:p>
            <w:pPr>
              <w:spacing w:after="20"/>
            </w:pPr>
            <w:r>
              <w:rPr>
                <w:b/>
                <w:color w:val="1C3A36"/>
                <w:sz w:val="17"/>
              </w:rPr>
              <w:t>EBITDA</w:t>
            </w:r>
          </w:p>
        </w:tc>
        <w:tc>
          <w:tcPr>
            <w:tcW w:type="dxa" w:w="1598"/>
          </w:tcPr>
          <w:p>
            <w:pPr>
              <w:spacing w:after="20"/>
              <w:jc w:val="right"/>
            </w:pPr>
            <w:r>
              <w:rPr>
                <w:color w:val="1C3A36"/>
                <w:sz w:val="17"/>
              </w:rPr>
              <w:t>19.29</w:t>
            </w:r>
          </w:p>
        </w:tc>
        <w:tc>
          <w:tcPr>
            <w:tcW w:type="dxa" w:w="1598"/>
          </w:tcPr>
          <w:p>
            <w:pPr>
              <w:spacing w:after="20"/>
              <w:jc w:val="right"/>
            </w:pPr>
            <w:r>
              <w:rPr>
                <w:color w:val="1C3A36"/>
                <w:sz w:val="17"/>
              </w:rPr>
              <w:t>20.84</w:t>
            </w:r>
          </w:p>
        </w:tc>
        <w:tc>
          <w:tcPr>
            <w:tcW w:type="dxa" w:w="1598"/>
          </w:tcPr>
          <w:p>
            <w:pPr>
              <w:spacing w:after="20"/>
              <w:jc w:val="right"/>
            </w:pPr>
            <w:r>
              <w:rPr>
                <w:color w:val="1C3A36"/>
                <w:sz w:val="17"/>
              </w:rPr>
              <w:t>22.30</w:t>
            </w:r>
          </w:p>
        </w:tc>
        <w:tc>
          <w:tcPr>
            <w:tcW w:type="dxa" w:w="1598"/>
          </w:tcPr>
          <w:p>
            <w:pPr>
              <w:spacing w:after="20"/>
              <w:jc w:val="right"/>
            </w:pPr>
            <w:r>
              <w:rPr>
                <w:color w:val="1C3A36"/>
                <w:sz w:val="17"/>
              </w:rPr>
              <w:t>23.63</w:t>
            </w:r>
          </w:p>
        </w:tc>
        <w:tc>
          <w:tcPr>
            <w:tcW w:type="dxa" w:w="1598"/>
          </w:tcPr>
          <w:p>
            <w:pPr>
              <w:spacing w:after="20"/>
              <w:jc w:val="right"/>
            </w:pPr>
            <w:r>
              <w:rPr>
                <w:color w:val="1C3A36"/>
                <w:sz w:val="17"/>
              </w:rPr>
              <w:t>24.81</w:t>
            </w:r>
          </w:p>
        </w:tc>
      </w:tr>
      <w:tr>
        <w:tc>
          <w:tcPr>
            <w:tcW w:type="dxa" w:w="2232"/>
          </w:tcPr>
          <w:p>
            <w:pPr>
              <w:spacing w:after="20"/>
            </w:pPr>
            <w:r>
              <w:rPr>
                <w:b/>
                <w:color w:val="1C3A36"/>
                <w:sz w:val="17"/>
              </w:rPr>
              <w:t>less D&amp;A</w:t>
            </w:r>
          </w:p>
        </w:tc>
        <w:tc>
          <w:tcPr>
            <w:tcW w:type="dxa" w:w="1598"/>
          </w:tcPr>
          <w:p>
            <w:pPr>
              <w:spacing w:after="20"/>
              <w:jc w:val="right"/>
            </w:pPr>
            <w:r>
              <w:rPr>
                <w:color w:val="1C3A36"/>
                <w:sz w:val="17"/>
              </w:rPr>
              <w:t>−3.52</w:t>
            </w:r>
          </w:p>
        </w:tc>
        <w:tc>
          <w:tcPr>
            <w:tcW w:type="dxa" w:w="1598"/>
          </w:tcPr>
          <w:p>
            <w:pPr>
              <w:spacing w:after="20"/>
              <w:jc w:val="right"/>
            </w:pPr>
            <w:r>
              <w:rPr>
                <w:color w:val="1C3A36"/>
                <w:sz w:val="17"/>
              </w:rPr>
              <w:t>−3.80</w:t>
            </w:r>
          </w:p>
        </w:tc>
        <w:tc>
          <w:tcPr>
            <w:tcW w:type="dxa" w:w="1598"/>
          </w:tcPr>
          <w:p>
            <w:pPr>
              <w:spacing w:after="20"/>
              <w:jc w:val="right"/>
            </w:pPr>
            <w:r>
              <w:rPr>
                <w:color w:val="1C3A36"/>
                <w:sz w:val="17"/>
              </w:rPr>
              <w:t>−4.07</w:t>
            </w:r>
          </w:p>
        </w:tc>
        <w:tc>
          <w:tcPr>
            <w:tcW w:type="dxa" w:w="1598"/>
          </w:tcPr>
          <w:p>
            <w:pPr>
              <w:spacing w:after="20"/>
              <w:jc w:val="right"/>
            </w:pPr>
            <w:r>
              <w:rPr>
                <w:color w:val="1C3A36"/>
                <w:sz w:val="17"/>
              </w:rPr>
              <w:t>−4.31</w:t>
            </w:r>
          </w:p>
        </w:tc>
        <w:tc>
          <w:tcPr>
            <w:tcW w:type="dxa" w:w="1598"/>
          </w:tcPr>
          <w:p>
            <w:pPr>
              <w:spacing w:after="20"/>
              <w:jc w:val="right"/>
            </w:pPr>
            <w:r>
              <w:rPr>
                <w:color w:val="1C3A36"/>
                <w:sz w:val="17"/>
              </w:rPr>
              <w:t>−4.53</w:t>
            </w:r>
          </w:p>
        </w:tc>
      </w:tr>
      <w:tr>
        <w:tc>
          <w:tcPr>
            <w:tcW w:type="dxa" w:w="2232"/>
          </w:tcPr>
          <w:p>
            <w:pPr>
              <w:spacing w:after="20"/>
            </w:pPr>
            <w:r>
              <w:rPr>
                <w:b/>
                <w:color w:val="1C3A36"/>
                <w:sz w:val="17"/>
              </w:rPr>
              <w:t>EBIT</w:t>
            </w:r>
          </w:p>
        </w:tc>
        <w:tc>
          <w:tcPr>
            <w:tcW w:type="dxa" w:w="1598"/>
          </w:tcPr>
          <w:p>
            <w:pPr>
              <w:spacing w:after="20"/>
              <w:jc w:val="right"/>
            </w:pPr>
            <w:r>
              <w:rPr>
                <w:color w:val="1C3A36"/>
                <w:sz w:val="17"/>
              </w:rPr>
              <w:t>15.77</w:t>
            </w:r>
          </w:p>
        </w:tc>
        <w:tc>
          <w:tcPr>
            <w:tcW w:type="dxa" w:w="1598"/>
          </w:tcPr>
          <w:p>
            <w:pPr>
              <w:spacing w:after="20"/>
              <w:jc w:val="right"/>
            </w:pPr>
            <w:r>
              <w:rPr>
                <w:color w:val="1C3A36"/>
                <w:sz w:val="17"/>
              </w:rPr>
              <w:t>17.03</w:t>
            </w:r>
          </w:p>
        </w:tc>
        <w:tc>
          <w:tcPr>
            <w:tcW w:type="dxa" w:w="1598"/>
          </w:tcPr>
          <w:p>
            <w:pPr>
              <w:spacing w:after="20"/>
              <w:jc w:val="right"/>
            </w:pPr>
            <w:r>
              <w:rPr>
                <w:color w:val="1C3A36"/>
                <w:sz w:val="17"/>
              </w:rPr>
              <w:t>18.23</w:t>
            </w:r>
          </w:p>
        </w:tc>
        <w:tc>
          <w:tcPr>
            <w:tcW w:type="dxa" w:w="1598"/>
          </w:tcPr>
          <w:p>
            <w:pPr>
              <w:spacing w:after="20"/>
              <w:jc w:val="right"/>
            </w:pPr>
            <w:r>
              <w:rPr>
                <w:color w:val="1C3A36"/>
                <w:sz w:val="17"/>
              </w:rPr>
              <w:t>19.32</w:t>
            </w:r>
          </w:p>
        </w:tc>
        <w:tc>
          <w:tcPr>
            <w:tcW w:type="dxa" w:w="1598"/>
          </w:tcPr>
          <w:p>
            <w:pPr>
              <w:spacing w:after="20"/>
              <w:jc w:val="right"/>
            </w:pPr>
            <w:r>
              <w:rPr>
                <w:color w:val="1C3A36"/>
                <w:sz w:val="17"/>
              </w:rPr>
              <w:t>20.29</w:t>
            </w:r>
          </w:p>
        </w:tc>
      </w:tr>
      <w:tr>
        <w:tc>
          <w:tcPr>
            <w:tcW w:type="dxa" w:w="2232"/>
          </w:tcPr>
          <w:p>
            <w:pPr>
              <w:spacing w:after="20"/>
            </w:pPr>
            <w:r>
              <w:rPr>
                <w:b/>
                <w:color w:val="1C3A36"/>
                <w:sz w:val="17"/>
              </w:rPr>
              <w:t>NOPAT</w:t>
            </w:r>
          </w:p>
        </w:tc>
        <w:tc>
          <w:tcPr>
            <w:tcW w:type="dxa" w:w="1598"/>
          </w:tcPr>
          <w:p>
            <w:pPr>
              <w:spacing w:after="20"/>
              <w:jc w:val="right"/>
            </w:pPr>
            <w:r>
              <w:rPr>
                <w:color w:val="1C3A36"/>
                <w:sz w:val="17"/>
              </w:rPr>
              <w:t>13.88</w:t>
            </w:r>
          </w:p>
        </w:tc>
        <w:tc>
          <w:tcPr>
            <w:tcW w:type="dxa" w:w="1598"/>
          </w:tcPr>
          <w:p>
            <w:pPr>
              <w:spacing w:after="20"/>
              <w:jc w:val="right"/>
            </w:pPr>
            <w:r>
              <w:rPr>
                <w:color w:val="1C3A36"/>
                <w:sz w:val="17"/>
              </w:rPr>
              <w:t>14.82</w:t>
            </w:r>
          </w:p>
        </w:tc>
        <w:tc>
          <w:tcPr>
            <w:tcW w:type="dxa" w:w="1598"/>
          </w:tcPr>
          <w:p>
            <w:pPr>
              <w:spacing w:after="20"/>
              <w:jc w:val="right"/>
            </w:pPr>
            <w:r>
              <w:rPr>
                <w:color w:val="1C3A36"/>
                <w:sz w:val="17"/>
              </w:rPr>
              <w:t>15.68</w:t>
            </w:r>
          </w:p>
        </w:tc>
        <w:tc>
          <w:tcPr>
            <w:tcW w:type="dxa" w:w="1598"/>
          </w:tcPr>
          <w:p>
            <w:pPr>
              <w:spacing w:after="20"/>
              <w:jc w:val="right"/>
            </w:pPr>
            <w:r>
              <w:rPr>
                <w:color w:val="1C3A36"/>
                <w:sz w:val="17"/>
              </w:rPr>
              <w:t>16.42</w:t>
            </w:r>
          </w:p>
        </w:tc>
        <w:tc>
          <w:tcPr>
            <w:tcW w:type="dxa" w:w="1598"/>
          </w:tcPr>
          <w:p>
            <w:pPr>
              <w:spacing w:after="20"/>
              <w:jc w:val="right"/>
            </w:pPr>
            <w:r>
              <w:rPr>
                <w:color w:val="1C3A36"/>
                <w:sz w:val="17"/>
              </w:rPr>
              <w:t>17.24</w:t>
            </w:r>
          </w:p>
        </w:tc>
      </w:tr>
      <w:tr>
        <w:tc>
          <w:tcPr>
            <w:tcW w:type="dxa" w:w="2232"/>
          </w:tcPr>
          <w:p>
            <w:pPr>
              <w:spacing w:after="20"/>
            </w:pPr>
            <w:r>
              <w:rPr>
                <w:b/>
                <w:color w:val="1C3A36"/>
                <w:sz w:val="17"/>
              </w:rPr>
              <w:t>add D&amp;A</w:t>
            </w:r>
          </w:p>
        </w:tc>
        <w:tc>
          <w:tcPr>
            <w:tcW w:type="dxa" w:w="1598"/>
          </w:tcPr>
          <w:p>
            <w:pPr>
              <w:spacing w:after="20"/>
              <w:jc w:val="right"/>
            </w:pPr>
            <w:r>
              <w:rPr>
                <w:color w:val="1C3A36"/>
                <w:sz w:val="17"/>
              </w:rPr>
              <w:t>3.52</w:t>
            </w:r>
          </w:p>
        </w:tc>
        <w:tc>
          <w:tcPr>
            <w:tcW w:type="dxa" w:w="1598"/>
          </w:tcPr>
          <w:p>
            <w:pPr>
              <w:spacing w:after="20"/>
              <w:jc w:val="right"/>
            </w:pPr>
            <w:r>
              <w:rPr>
                <w:color w:val="1C3A36"/>
                <w:sz w:val="17"/>
              </w:rPr>
              <w:t>3.80</w:t>
            </w:r>
          </w:p>
        </w:tc>
        <w:tc>
          <w:tcPr>
            <w:tcW w:type="dxa" w:w="1598"/>
          </w:tcPr>
          <w:p>
            <w:pPr>
              <w:spacing w:after="20"/>
              <w:jc w:val="right"/>
            </w:pPr>
            <w:r>
              <w:rPr>
                <w:color w:val="1C3A36"/>
                <w:sz w:val="17"/>
              </w:rPr>
              <w:t>4.07</w:t>
            </w:r>
          </w:p>
        </w:tc>
        <w:tc>
          <w:tcPr>
            <w:tcW w:type="dxa" w:w="1598"/>
          </w:tcPr>
          <w:p>
            <w:pPr>
              <w:spacing w:after="20"/>
              <w:jc w:val="right"/>
            </w:pPr>
            <w:r>
              <w:rPr>
                <w:color w:val="1C3A36"/>
                <w:sz w:val="17"/>
              </w:rPr>
              <w:t>4.31</w:t>
            </w:r>
          </w:p>
        </w:tc>
        <w:tc>
          <w:tcPr>
            <w:tcW w:type="dxa" w:w="1598"/>
          </w:tcPr>
          <w:p>
            <w:pPr>
              <w:spacing w:after="20"/>
              <w:jc w:val="right"/>
            </w:pPr>
            <w:r>
              <w:rPr>
                <w:color w:val="1C3A36"/>
                <w:sz w:val="17"/>
              </w:rPr>
              <w:t>4.53</w:t>
            </w:r>
          </w:p>
        </w:tc>
      </w:tr>
      <w:tr>
        <w:tc>
          <w:tcPr>
            <w:tcW w:type="dxa" w:w="2232"/>
          </w:tcPr>
          <w:p>
            <w:pPr>
              <w:spacing w:after="20"/>
            </w:pPr>
            <w:r>
              <w:rPr>
                <w:b/>
                <w:color w:val="1C3A36"/>
                <w:sz w:val="17"/>
              </w:rPr>
              <w:t>less Capex</w:t>
            </w:r>
          </w:p>
        </w:tc>
        <w:tc>
          <w:tcPr>
            <w:tcW w:type="dxa" w:w="1598"/>
          </w:tcPr>
          <w:p>
            <w:pPr>
              <w:spacing w:after="20"/>
              <w:jc w:val="right"/>
            </w:pPr>
            <w:r>
              <w:rPr>
                <w:color w:val="1C3A36"/>
                <w:sz w:val="17"/>
              </w:rPr>
              <w:t>−5.58</w:t>
            </w:r>
          </w:p>
        </w:tc>
        <w:tc>
          <w:tcPr>
            <w:tcW w:type="dxa" w:w="1598"/>
          </w:tcPr>
          <w:p>
            <w:pPr>
              <w:spacing w:after="20"/>
              <w:jc w:val="right"/>
            </w:pPr>
            <w:r>
              <w:rPr>
                <w:color w:val="1C3A36"/>
                <w:sz w:val="17"/>
              </w:rPr>
              <w:t>−5.84</w:t>
            </w:r>
          </w:p>
        </w:tc>
        <w:tc>
          <w:tcPr>
            <w:tcW w:type="dxa" w:w="1598"/>
          </w:tcPr>
          <w:p>
            <w:pPr>
              <w:spacing w:after="20"/>
              <w:jc w:val="right"/>
            </w:pPr>
            <w:r>
              <w:rPr>
                <w:color w:val="1C3A36"/>
                <w:sz w:val="17"/>
              </w:rPr>
              <w:t>−5.95</w:t>
            </w:r>
          </w:p>
        </w:tc>
        <w:tc>
          <w:tcPr>
            <w:tcW w:type="dxa" w:w="1598"/>
          </w:tcPr>
          <w:p>
            <w:pPr>
              <w:spacing w:after="20"/>
              <w:jc w:val="right"/>
            </w:pPr>
            <w:r>
              <w:rPr>
                <w:color w:val="1C3A36"/>
                <w:sz w:val="17"/>
              </w:rPr>
              <w:t>−6.10</w:t>
            </w:r>
          </w:p>
        </w:tc>
        <w:tc>
          <w:tcPr>
            <w:tcW w:type="dxa" w:w="1598"/>
          </w:tcPr>
          <w:p>
            <w:pPr>
              <w:spacing w:after="20"/>
              <w:jc w:val="right"/>
            </w:pPr>
            <w:r>
              <w:rPr>
                <w:color w:val="1C3A36"/>
                <w:sz w:val="17"/>
              </w:rPr>
              <w:t>−6.07</w:t>
            </w:r>
          </w:p>
        </w:tc>
      </w:tr>
      <w:tr>
        <w:tc>
          <w:tcPr>
            <w:tcW w:type="dxa" w:w="2232"/>
          </w:tcPr>
          <w:p>
            <w:pPr>
              <w:spacing w:after="20"/>
            </w:pPr>
            <w:r>
              <w:rPr>
                <w:b/>
                <w:color w:val="1C3A36"/>
                <w:sz w:val="17"/>
              </w:rPr>
              <w:t>less ΔWC</w:t>
            </w:r>
          </w:p>
        </w:tc>
        <w:tc>
          <w:tcPr>
            <w:tcW w:type="dxa" w:w="1598"/>
          </w:tcPr>
          <w:p>
            <w:pPr>
              <w:spacing w:after="20"/>
              <w:jc w:val="right"/>
            </w:pPr>
            <w:r>
              <w:rPr>
                <w:color w:val="1C3A36"/>
                <w:sz w:val="17"/>
              </w:rPr>
              <w:t>−3.19</w:t>
            </w:r>
          </w:p>
        </w:tc>
        <w:tc>
          <w:tcPr>
            <w:tcW w:type="dxa" w:w="1598"/>
          </w:tcPr>
          <w:p>
            <w:pPr>
              <w:spacing w:after="20"/>
              <w:jc w:val="right"/>
            </w:pPr>
            <w:r>
              <w:rPr>
                <w:color w:val="1C3A36"/>
                <w:sz w:val="17"/>
              </w:rPr>
              <w:t>−2.61</w:t>
            </w:r>
          </w:p>
        </w:tc>
        <w:tc>
          <w:tcPr>
            <w:tcW w:type="dxa" w:w="1598"/>
          </w:tcPr>
          <w:p>
            <w:pPr>
              <w:spacing w:after="20"/>
              <w:jc w:val="right"/>
            </w:pPr>
            <w:r>
              <w:rPr>
                <w:color w:val="1C3A36"/>
                <w:sz w:val="17"/>
              </w:rPr>
              <w:t>−1.95</w:t>
            </w:r>
          </w:p>
        </w:tc>
        <w:tc>
          <w:tcPr>
            <w:tcW w:type="dxa" w:w="1598"/>
          </w:tcPr>
          <w:p>
            <w:pPr>
              <w:spacing w:after="20"/>
              <w:jc w:val="right"/>
            </w:pPr>
            <w:r>
              <w:rPr>
                <w:color w:val="1C3A36"/>
                <w:sz w:val="17"/>
              </w:rPr>
              <w:t>−1.49</w:t>
            </w:r>
          </w:p>
        </w:tc>
        <w:tc>
          <w:tcPr>
            <w:tcW w:type="dxa" w:w="1598"/>
          </w:tcPr>
          <w:p>
            <w:pPr>
              <w:spacing w:after="20"/>
              <w:jc w:val="right"/>
            </w:pPr>
            <w:r>
              <w:rPr>
                <w:color w:val="1C3A36"/>
                <w:sz w:val="17"/>
              </w:rPr>
              <w:t>−1.05</w:t>
            </w:r>
          </w:p>
        </w:tc>
      </w:tr>
      <w:tr>
        <w:tc>
          <w:tcPr>
            <w:tcW w:type="dxa" w:w="2232"/>
            <w:shd w:val="clear" w:color="auto" w:fill="F6F1E6"/>
          </w:tcPr>
          <w:p>
            <w:pPr>
              <w:spacing w:after="20"/>
            </w:pPr>
            <w:r>
              <w:rPr>
                <w:b/>
                <w:color w:val="1C3A36"/>
                <w:sz w:val="17"/>
              </w:rPr>
              <w:t>FCFF</w:t>
            </w:r>
          </w:p>
        </w:tc>
        <w:tc>
          <w:tcPr>
            <w:tcW w:type="dxa" w:w="1598"/>
            <w:shd w:val="clear" w:color="auto" w:fill="F6F1E6"/>
          </w:tcPr>
          <w:p>
            <w:pPr>
              <w:spacing w:after="20"/>
              <w:jc w:val="right"/>
            </w:pPr>
            <w:r>
              <w:rPr>
                <w:b/>
                <w:color w:val="1C3A36"/>
                <w:sz w:val="17"/>
              </w:rPr>
              <w:t>8.63</w:t>
            </w:r>
          </w:p>
        </w:tc>
        <w:tc>
          <w:tcPr>
            <w:tcW w:type="dxa" w:w="1598"/>
            <w:shd w:val="clear" w:color="auto" w:fill="F6F1E6"/>
          </w:tcPr>
          <w:p>
            <w:pPr>
              <w:spacing w:after="20"/>
              <w:jc w:val="right"/>
            </w:pPr>
            <w:r>
              <w:rPr>
                <w:b/>
                <w:color w:val="1C3A36"/>
                <w:sz w:val="17"/>
              </w:rPr>
              <w:t>10.17</w:t>
            </w:r>
          </w:p>
        </w:tc>
        <w:tc>
          <w:tcPr>
            <w:tcW w:type="dxa" w:w="1598"/>
            <w:shd w:val="clear" w:color="auto" w:fill="F6F1E6"/>
          </w:tcPr>
          <w:p>
            <w:pPr>
              <w:spacing w:after="20"/>
              <w:jc w:val="right"/>
            </w:pPr>
            <w:r>
              <w:rPr>
                <w:b/>
                <w:color w:val="1C3A36"/>
                <w:sz w:val="17"/>
              </w:rPr>
              <w:t>11.84</w:t>
            </w:r>
          </w:p>
        </w:tc>
        <w:tc>
          <w:tcPr>
            <w:tcW w:type="dxa" w:w="1598"/>
            <w:shd w:val="clear" w:color="auto" w:fill="F6F1E6"/>
          </w:tcPr>
          <w:p>
            <w:pPr>
              <w:spacing w:after="20"/>
              <w:jc w:val="right"/>
            </w:pPr>
            <w:r>
              <w:rPr>
                <w:b/>
                <w:color w:val="1C3A36"/>
                <w:sz w:val="17"/>
              </w:rPr>
              <w:t>13.15</w:t>
            </w:r>
          </w:p>
        </w:tc>
        <w:tc>
          <w:tcPr>
            <w:tcW w:type="dxa" w:w="1598"/>
            <w:shd w:val="clear" w:color="auto" w:fill="F6F1E6"/>
          </w:tcPr>
          <w:p>
            <w:pPr>
              <w:spacing w:after="20"/>
              <w:jc w:val="right"/>
            </w:pPr>
            <w:r>
              <w:rPr>
                <w:b/>
                <w:color w:val="1C3A36"/>
                <w:sz w:val="17"/>
              </w:rPr>
              <w:t>14.65</w:t>
            </w:r>
          </w:p>
        </w:tc>
      </w:tr>
      <w:tr>
        <w:tc>
          <w:tcPr>
            <w:tcW w:type="dxa" w:w="2232"/>
          </w:tcPr>
          <w:p>
            <w:pPr>
              <w:spacing w:after="20"/>
            </w:pPr>
            <w:r>
              <w:rPr>
                <w:b/>
                <w:color w:val="1C3A36"/>
                <w:sz w:val="17"/>
              </w:rPr>
              <w:t>Discount factor</w:t>
            </w:r>
          </w:p>
        </w:tc>
        <w:tc>
          <w:tcPr>
            <w:tcW w:type="dxa" w:w="1598"/>
          </w:tcPr>
          <w:p>
            <w:pPr>
              <w:spacing w:after="20"/>
              <w:jc w:val="right"/>
            </w:pPr>
            <w:r>
              <w:rPr>
                <w:color w:val="1C3A36"/>
                <w:sz w:val="17"/>
              </w:rPr>
              <w:t>0.921</w:t>
            </w:r>
          </w:p>
        </w:tc>
        <w:tc>
          <w:tcPr>
            <w:tcW w:type="dxa" w:w="1598"/>
          </w:tcPr>
          <w:p>
            <w:pPr>
              <w:spacing w:after="20"/>
              <w:jc w:val="right"/>
            </w:pPr>
            <w:r>
              <w:rPr>
                <w:color w:val="1C3A36"/>
                <w:sz w:val="17"/>
              </w:rPr>
              <w:t>0.848</w:t>
            </w:r>
          </w:p>
        </w:tc>
        <w:tc>
          <w:tcPr>
            <w:tcW w:type="dxa" w:w="1598"/>
          </w:tcPr>
          <w:p>
            <w:pPr>
              <w:spacing w:after="20"/>
              <w:jc w:val="right"/>
            </w:pPr>
            <w:r>
              <w:rPr>
                <w:color w:val="1C3A36"/>
                <w:sz w:val="17"/>
              </w:rPr>
              <w:t>0.780</w:t>
            </w:r>
          </w:p>
        </w:tc>
        <w:tc>
          <w:tcPr>
            <w:tcW w:type="dxa" w:w="1598"/>
          </w:tcPr>
          <w:p>
            <w:pPr>
              <w:spacing w:after="20"/>
              <w:jc w:val="right"/>
            </w:pPr>
            <w:r>
              <w:rPr>
                <w:color w:val="1C3A36"/>
                <w:sz w:val="17"/>
              </w:rPr>
              <w:t>0.719</w:t>
            </w:r>
          </w:p>
        </w:tc>
        <w:tc>
          <w:tcPr>
            <w:tcW w:type="dxa" w:w="1598"/>
          </w:tcPr>
          <w:p>
            <w:pPr>
              <w:spacing w:after="20"/>
              <w:jc w:val="right"/>
            </w:pPr>
            <w:r>
              <w:rPr>
                <w:color w:val="1C3A36"/>
                <w:sz w:val="17"/>
              </w:rPr>
              <w:t>0.662</w:t>
            </w:r>
          </w:p>
        </w:tc>
      </w:tr>
      <w:tr>
        <w:tc>
          <w:tcPr>
            <w:tcW w:type="dxa" w:w="2232"/>
          </w:tcPr>
          <w:p>
            <w:pPr>
              <w:spacing w:after="20"/>
            </w:pPr>
            <w:r>
              <w:rPr>
                <w:b/>
                <w:color w:val="1C3A36"/>
                <w:sz w:val="17"/>
              </w:rPr>
              <w:t>PV of FCFF</w:t>
            </w:r>
          </w:p>
        </w:tc>
        <w:tc>
          <w:tcPr>
            <w:tcW w:type="dxa" w:w="1598"/>
          </w:tcPr>
          <w:p>
            <w:pPr>
              <w:spacing w:after="20"/>
              <w:jc w:val="right"/>
            </w:pPr>
            <w:r>
              <w:rPr>
                <w:color w:val="1C3A36"/>
                <w:sz w:val="17"/>
              </w:rPr>
              <w:t>7.94</w:t>
            </w:r>
          </w:p>
        </w:tc>
        <w:tc>
          <w:tcPr>
            <w:tcW w:type="dxa" w:w="1598"/>
          </w:tcPr>
          <w:p>
            <w:pPr>
              <w:spacing w:after="20"/>
              <w:jc w:val="right"/>
            </w:pPr>
            <w:r>
              <w:rPr>
                <w:color w:val="1C3A36"/>
                <w:sz w:val="17"/>
              </w:rPr>
              <w:t>8.62</w:t>
            </w:r>
          </w:p>
        </w:tc>
        <w:tc>
          <w:tcPr>
            <w:tcW w:type="dxa" w:w="1598"/>
          </w:tcPr>
          <w:p>
            <w:pPr>
              <w:spacing w:after="20"/>
              <w:jc w:val="right"/>
            </w:pPr>
            <w:r>
              <w:rPr>
                <w:color w:val="1C3A36"/>
                <w:sz w:val="17"/>
              </w:rPr>
              <w:t>9.24</w:t>
            </w:r>
          </w:p>
        </w:tc>
        <w:tc>
          <w:tcPr>
            <w:tcW w:type="dxa" w:w="1598"/>
          </w:tcPr>
          <w:p>
            <w:pPr>
              <w:spacing w:after="20"/>
              <w:jc w:val="right"/>
            </w:pPr>
            <w:r>
              <w:rPr>
                <w:color w:val="1C3A36"/>
                <w:sz w:val="17"/>
              </w:rPr>
              <w:t>9.45</w:t>
            </w:r>
          </w:p>
        </w:tc>
        <w:tc>
          <w:tcPr>
            <w:tcW w:type="dxa" w:w="1598"/>
          </w:tcPr>
          <w:p>
            <w:pPr>
              <w:spacing w:after="20"/>
              <w:jc w:val="right"/>
            </w:pPr>
            <w:r>
              <w:rPr>
                <w:color w:val="1C3A36"/>
                <w:sz w:val="17"/>
              </w:rPr>
              <w:t>9.69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Bridge (AED bn unless noted)</w:t>
            </w:r>
          </w:p>
        </w:tc>
        <w:tc>
          <w:tcPr>
            <w:tcW w:type="dxa" w:w="2304"/>
            <w:shd w:val="clear" w:color="auto" w:fill="EAF0EE"/>
          </w:tcPr>
          <w:p>
            <w:pPr>
              <w:spacing w:after="20"/>
            </w:pPr>
            <w:r>
              <w:rPr>
                <w:b/>
                <w:color w:val="1C3A36"/>
                <w:sz w:val="18"/>
              </w:rPr>
              <w:t>Value</w:t>
            </w:r>
          </w:p>
        </w:tc>
      </w:tr>
      <w:tr>
        <w:tc>
          <w:tcPr>
            <w:tcW w:type="dxa" w:w="6192"/>
          </w:tcPr>
          <w:p>
            <w:pPr>
              <w:spacing w:after="20"/>
            </w:pPr>
            <w:r>
              <w:rPr>
                <w:b/>
                <w:color w:val="1C3A36"/>
                <w:sz w:val="18"/>
              </w:rPr>
              <w:t>Sum PV of FCFF (2026–30)</w:t>
            </w:r>
          </w:p>
        </w:tc>
        <w:tc>
          <w:tcPr>
            <w:tcW w:type="dxa" w:w="2304"/>
          </w:tcPr>
          <w:p>
            <w:pPr>
              <w:spacing w:after="20"/>
              <w:jc w:val="right"/>
            </w:pPr>
            <w:r>
              <w:rPr>
                <w:color w:val="1C3A36"/>
                <w:sz w:val="18"/>
              </w:rPr>
              <w:t>44.9</w:t>
            </w:r>
          </w:p>
        </w:tc>
      </w:tr>
      <w:tr>
        <w:tc>
          <w:tcPr>
            <w:tcW w:type="dxa" w:w="6192"/>
          </w:tcPr>
          <w:p>
            <w:pPr>
              <w:spacing w:after="20"/>
            </w:pPr>
            <w:r>
              <w:rPr>
                <w:b/>
                <w:color w:val="1C3A36"/>
                <w:sz w:val="18"/>
              </w:rPr>
              <w:t>Terminal value (g = 3.0%, WACC 8.61%)</w:t>
            </w:r>
          </w:p>
        </w:tc>
        <w:tc>
          <w:tcPr>
            <w:tcW w:type="dxa" w:w="2304"/>
          </w:tcPr>
          <w:p>
            <w:pPr>
              <w:spacing w:after="20"/>
              <w:jc w:val="right"/>
            </w:pPr>
            <w:r>
              <w:rPr>
                <w:color w:val="1C3A36"/>
                <w:sz w:val="18"/>
              </w:rPr>
              <w:t>268.7</w:t>
            </w:r>
          </w:p>
        </w:tc>
      </w:tr>
      <w:tr>
        <w:tc>
          <w:tcPr>
            <w:tcW w:type="dxa" w:w="6192"/>
          </w:tcPr>
          <w:p>
            <w:pPr>
              <w:spacing w:after="20"/>
            </w:pPr>
            <w:r>
              <w:rPr>
                <w:b/>
                <w:color w:val="1C3A36"/>
                <w:sz w:val="18"/>
              </w:rPr>
              <w:t>PV of terminal value</w:t>
            </w:r>
          </w:p>
        </w:tc>
        <w:tc>
          <w:tcPr>
            <w:tcW w:type="dxa" w:w="2304"/>
          </w:tcPr>
          <w:p>
            <w:pPr>
              <w:spacing w:after="20"/>
              <w:jc w:val="right"/>
            </w:pPr>
            <w:r>
              <w:rPr>
                <w:color w:val="1C3A36"/>
                <w:sz w:val="18"/>
              </w:rPr>
              <w:t>177.7</w:t>
            </w:r>
          </w:p>
        </w:tc>
      </w:tr>
      <w:tr>
        <w:tc>
          <w:tcPr>
            <w:tcW w:type="dxa" w:w="6192"/>
          </w:tcPr>
          <w:p>
            <w:pPr>
              <w:spacing w:after="20"/>
            </w:pPr>
            <w:r>
              <w:rPr>
                <w:b/>
                <w:color w:val="1C3A36"/>
                <w:sz w:val="18"/>
              </w:rPr>
              <w:t>Enterprise value</w:t>
            </w:r>
          </w:p>
        </w:tc>
        <w:tc>
          <w:tcPr>
            <w:tcW w:type="dxa" w:w="2304"/>
          </w:tcPr>
          <w:p>
            <w:pPr>
              <w:spacing w:after="20"/>
              <w:jc w:val="right"/>
            </w:pPr>
            <w:r>
              <w:rPr>
                <w:color w:val="1C3A36"/>
                <w:sz w:val="18"/>
              </w:rPr>
              <w:t>222.7</w:t>
            </w:r>
          </w:p>
        </w:tc>
      </w:tr>
      <w:tr>
        <w:tc>
          <w:tcPr>
            <w:tcW w:type="dxa" w:w="6192"/>
          </w:tcPr>
          <w:p>
            <w:pPr>
              <w:spacing w:after="20"/>
            </w:pPr>
            <w:r>
              <w:rPr>
                <w:b/>
                <w:color w:val="1C3A36"/>
                <w:sz w:val="18"/>
              </w:rPr>
              <w:t>Terminal value as % of EV — disclosed, not buried</w:t>
            </w:r>
          </w:p>
        </w:tc>
        <w:tc>
          <w:tcPr>
            <w:tcW w:type="dxa" w:w="2304"/>
          </w:tcPr>
          <w:p>
            <w:pPr>
              <w:spacing w:after="20"/>
              <w:jc w:val="right"/>
            </w:pPr>
            <w:r>
              <w:rPr>
                <w:color w:val="1C3A36"/>
                <w:sz w:val="18"/>
              </w:rPr>
              <w:t>80%</w:t>
            </w:r>
          </w:p>
        </w:tc>
      </w:tr>
      <w:tr>
        <w:tc>
          <w:tcPr>
            <w:tcW w:type="dxa" w:w="6192"/>
          </w:tcPr>
          <w:p>
            <w:pPr>
              <w:spacing w:after="20"/>
            </w:pPr>
            <w:r>
              <w:rPr>
                <w:b/>
                <w:color w:val="1C3A36"/>
                <w:sz w:val="18"/>
              </w:rPr>
              <w:t>less Net debt (derived — flagged)</w:t>
            </w:r>
          </w:p>
        </w:tc>
        <w:tc>
          <w:tcPr>
            <w:tcW w:type="dxa" w:w="2304"/>
          </w:tcPr>
          <w:p>
            <w:pPr>
              <w:spacing w:after="20"/>
              <w:jc w:val="right"/>
            </w:pPr>
            <w:r>
              <w:rPr>
                <w:color w:val="1C3A36"/>
                <w:sz w:val="18"/>
              </w:rPr>
              <w:t>−1.1</w:t>
            </w:r>
          </w:p>
        </w:tc>
      </w:tr>
      <w:tr>
        <w:tc>
          <w:tcPr>
            <w:tcW w:type="dxa" w:w="6192"/>
          </w:tcPr>
          <w:p>
            <w:pPr>
              <w:spacing w:after="20"/>
            </w:pPr>
            <w:r>
              <w:rPr>
                <w:b/>
                <w:color w:val="1C3A36"/>
                <w:sz w:val="18"/>
              </w:rPr>
              <w:t>less Hybrid perpetual notes</w:t>
            </w:r>
          </w:p>
        </w:tc>
        <w:tc>
          <w:tcPr>
            <w:tcW w:type="dxa" w:w="2304"/>
          </w:tcPr>
          <w:p>
            <w:pPr>
              <w:spacing w:after="20"/>
              <w:jc w:val="right"/>
            </w:pPr>
            <w:r>
              <w:rPr>
                <w:color w:val="1C3A36"/>
                <w:sz w:val="18"/>
              </w:rPr>
              <w:t>−1.82</w:t>
            </w:r>
          </w:p>
        </w:tc>
      </w:tr>
      <w:tr>
        <w:tc>
          <w:tcPr>
            <w:tcW w:type="dxa" w:w="6192"/>
          </w:tcPr>
          <w:p>
            <w:pPr>
              <w:spacing w:after="20"/>
            </w:pPr>
            <w:r>
              <w:rPr>
                <w:b/>
                <w:color w:val="1C3A36"/>
                <w:sz w:val="18"/>
              </w:rPr>
              <w:t>Equity value (owners + NCI)</w:t>
            </w:r>
          </w:p>
        </w:tc>
        <w:tc>
          <w:tcPr>
            <w:tcW w:type="dxa" w:w="2304"/>
          </w:tcPr>
          <w:p>
            <w:pPr>
              <w:spacing w:after="20"/>
              <w:jc w:val="right"/>
            </w:pPr>
            <w:r>
              <w:rPr>
                <w:color w:val="1C3A36"/>
                <w:sz w:val="18"/>
              </w:rPr>
              <w:t>219.8</w:t>
            </w:r>
          </w:p>
        </w:tc>
      </w:tr>
      <w:tr>
        <w:tc>
          <w:tcPr>
            <w:tcW w:type="dxa" w:w="6192"/>
          </w:tcPr>
          <w:p>
            <w:pPr>
              <w:spacing w:after="20"/>
            </w:pPr>
            <w:r>
              <w:rPr>
                <w:b/>
                <w:color w:val="1C3A36"/>
                <w:sz w:val="18"/>
              </w:rPr>
              <w:t>Owners’ share (attributable ratio 53.31%)</w:t>
            </w:r>
          </w:p>
        </w:tc>
        <w:tc>
          <w:tcPr>
            <w:tcW w:type="dxa" w:w="2304"/>
          </w:tcPr>
          <w:p>
            <w:pPr>
              <w:spacing w:after="20"/>
              <w:jc w:val="right"/>
            </w:pPr>
            <w:r>
              <w:rPr>
                <w:color w:val="1C3A36"/>
                <w:sz w:val="18"/>
              </w:rPr>
              <w:t>117.2</w:t>
            </w:r>
          </w:p>
        </w:tc>
      </w:tr>
      <w:tr>
        <w:tc>
          <w:tcPr>
            <w:tcW w:type="dxa" w:w="6192"/>
            <w:shd w:val="clear" w:color="auto" w:fill="F6F1E6"/>
          </w:tcPr>
          <w:p>
            <w:pPr>
              <w:spacing w:after="20"/>
            </w:pPr>
            <w:r>
              <w:rPr>
                <w:b/>
                <w:color w:val="1C3A36"/>
                <w:sz w:val="18"/>
              </w:rPr>
              <w:t>Per share (AED)</w:t>
            </w:r>
          </w:p>
        </w:tc>
        <w:tc>
          <w:tcPr>
            <w:tcW w:type="dxa" w:w="2304"/>
            <w:shd w:val="clear" w:color="auto" w:fill="F6F1E6"/>
          </w:tcPr>
          <w:p>
            <w:pPr>
              <w:spacing w:after="20"/>
              <w:jc w:val="right"/>
            </w:pPr>
            <w:r>
              <w:rPr>
                <w:b/>
                <w:color w:val="1C3A36"/>
                <w:sz w:val="18"/>
              </w:rPr>
              <w:t>11.72</w:t>
            </w:r>
          </w:p>
        </w:tc>
      </w:tr>
    </w:tbl>
    <w:p>
      <w:pPr>
        <w:spacing w:after="40"/>
      </w:pPr>
    </w:p>
    <w:p>
      <w:pPr>
        <w:spacing w:after="120" w:before="0"/>
      </w:pPr>
      <w:r>
        <w:rPr>
          <w:b w:val="0"/>
          <w:i w:val="0"/>
          <w:color w:val="1C3A36"/>
          <w:sz w:val="19"/>
        </w:rPr>
        <w:t>AED 11.72 is nearly 43% above spot — and it should be read as a multi-year ceiling, for three stated reasons. First, 80% of the value is a terminal assumption about a portfolio whose composition IHC can and does change. Second, the proportional-NCI simplification hands owners 53% of every subsidiary’s cash including businesses (NMDC at 77%, NCTH at 74%) where their true claim differs asset by asset. Third, and decisively for the near term, the group’s realized cash conversion is far below the model’s steady state: FY2025 CFO was AED 9.6 bn against AED 15.0 bn of profit, with AED 7.5 bn absorbed by working capital. The DCF describes what the engine could pay its owners once that absorption normalizes — a fair description of upside, a poor description of the next twelve months. It carries a 15% weight.</w:t>
      </w:r>
    </w:p>
    <w:p>
      <w:pPr>
        <w:spacing w:after="80" w:before="200"/>
      </w:pPr>
      <w:r>
        <w:rPr>
          <w:b/>
          <w:i w:val="0"/>
          <w:color w:val="1C3A36"/>
          <w:sz w:val="24"/>
        </w:rPr>
        <w:t>1.3  Relative value — the look-through multiple</w:t>
      </w:r>
    </w:p>
    <w:p>
      <w:pPr>
        <w:spacing w:after="120" w:before="0"/>
      </w:pPr>
      <w:r>
        <w:rPr>
          <w:b w:val="0"/>
          <w:i w:val="0"/>
          <w:color w:val="1C3A36"/>
          <w:sz w:val="19"/>
        </w:rPr>
        <w:t>For a holdco the honest relative question is not “what multiple does the wrapper trade at” but “what are you paying for the earnings you actually own, and what would those earnings cost you directly on the exchange?”</w:t>
      </w:r>
    </w:p>
    <w:p>
      <w:pPr>
        <w:spacing w:after="40"/>
        <w:jc w:val="center"/>
      </w:pPr>
      <w:r>
        <w:drawing>
          <wp:inline xmlns:a="http://schemas.openxmlformats.org/drawingml/2006/main" xmlns:pic="http://schemas.openxmlformats.org/drawingml/2006/picture">
            <wp:extent cx="5120640" cy="1786270"/>
            <wp:docPr id="2" name="Picture 2"/>
            <wp:cNvGraphicFramePr>
              <a:graphicFrameLocks noChangeAspect="1"/>
            </wp:cNvGraphicFramePr>
            <a:graphic>
              <a:graphicData uri="http://schemas.openxmlformats.org/drawingml/2006/picture">
                <pic:pic>
                  <pic:nvPicPr>
                    <pic:cNvPr id="0" name="fig_lookthrough.png"/>
                    <pic:cNvPicPr/>
                  </pic:nvPicPr>
                  <pic:blipFill>
                    <a:blip r:embed="rId10"/>
                    <a:stretch>
                      <a:fillRect/>
                    </a:stretch>
                  </pic:blipFill>
                  <pic:spPr>
                    <a:xfrm>
                      <a:off x="0" y="0"/>
                      <a:ext cx="5120640" cy="1786270"/>
                    </a:xfrm>
                    <a:prstGeom prst="rect"/>
                  </pic:spPr>
                </pic:pic>
              </a:graphicData>
            </a:graphic>
          </wp:inline>
        </w:drawing>
      </w:r>
    </w:p>
    <w:p>
      <w:pPr>
        <w:spacing w:after="200" w:before="0"/>
      </w:pPr>
      <w:r>
        <w:rPr>
          <w:b w:val="0"/>
          <w:i/>
          <w:color w:val="6E7B77"/>
          <w:sz w:val="17"/>
        </w:rPr>
        <w:t>Figure 2 — The look-through P/E: what the wrapper costs versus what its listed parts cost directly on the ADX (Aldar 8.6×, NMDC 5.2×, PureHealth 12.3× trailing).</w:t>
      </w:r>
    </w:p>
    <w:p>
      <w:pPr>
        <w:spacing w:after="120" w:before="0"/>
      </w:pPr>
      <w:r>
        <w:rPr>
          <w:b w:val="0"/>
          <w:i w:val="0"/>
          <w:color w:val="1C3A36"/>
          <w:sz w:val="19"/>
        </w:rPr>
        <w:t>At AED 82.2 bn against FY2025 attributable profit of AED 8.0 bn, the wrapper trades at 10.3× trailing — while its largest listed part (Aldar, ~AED 20.5 bn of the NAV) costs 8.6× directly and its second (NMDC) costs 5.2×. Paying more at the wrapper than at the window is the multiple-form of the NAV premium. Two EPS framings, both stated per house rule: on the reported basis — the one that includes the fair-value and associate contribution that is structural to this holdco’s P&amp;L (FY2025: +AED 3.2 bn of FVTPL gains) — FY2026E EPS is ~AED 0.85 (FY2025’s 0.79 grown ~7–8%, consistent with the Q1-26 run-rate); on the ex-FV operating build that drives Appendix A’s forecast table, FY2026E attributable EPS is ~AED 0.70. The lens uses the reported basis (this is what holders receive in stated earnings) across a justified 8.0–11.0× band — 9.5× base, set between Aldar’s 8.6× and the wrapper’s own 10.3× — giving AED 6.80 / 8.07 / 9.35. The operating framing at the same multiples would give AED 5.60 / 6.65 / 7.70; the gap between the two rows is the FV-gain dependence, quantified.</w:t>
      </w:r>
    </w:p>
    <w:p>
      <w:pPr>
        <w:spacing w:after="80" w:before="200"/>
      </w:pPr>
      <w:r>
        <w:rPr>
          <w:b/>
          <w:i w:val="0"/>
          <w:color w:val="1C3A36"/>
          <w:sz w:val="24"/>
        </w:rPr>
        <w:t>1.4  The dividend policy — pricing the cash that actually leaves</w:t>
      </w:r>
    </w:p>
    <w:p>
      <w:pPr>
        <w:spacing w:after="120" w:before="0"/>
      </w:pPr>
      <w:r>
        <w:rPr>
          <w:b w:val="0"/>
          <w:i w:val="0"/>
          <w:color w:val="1C3A36"/>
          <w:sz w:val="19"/>
        </w:rPr>
        <w:t>In January 2026 the general assembly approved a three-year policy: AED 2 bn a year (20 fils/share) growing 5% annually from FY2025. Discounting that stated stream as a growing perpetuity at Ke = 9.62% gives 0.20 × 1.05 / (0.0962 − 0.05) = AED 4.55 (band 3.50–5.68 across Ke 8.7–10.6% and g 4–6%). The point of this lens is not that ADH is worth 4.55 — a holdco retains earnings by design — it is the observation that only ~13% of FY2025 attributable profit leaves the structure as cash to shareholders, at a ~2.4% yield. Everything above AED 4.55 in the share price is a claim on retained compounding; the market currently pays AED 3.67/share for that claim. Weight: 15%.</w:t>
      </w:r>
    </w:p>
    <w:p>
      <w:pPr>
        <w:spacing w:after="80" w:before="200"/>
      </w:pPr>
      <w:r>
        <w:rPr>
          <w:b/>
          <w:i w:val="0"/>
          <w:color w:val="1C3A36"/>
          <w:sz w:val="24"/>
        </w:rPr>
        <w:t>1.5  Synthesis — four lenses, one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232"/>
            <w:shd w:val="clear" w:color="auto" w:fill="EAF0EE"/>
          </w:tcPr>
          <w:p>
            <w:pPr>
              <w:spacing w:after="20"/>
            </w:pPr>
            <w:r>
              <w:rPr>
                <w:b/>
                <w:color w:val="1C3A36"/>
                <w:sz w:val="17"/>
              </w:rPr>
              <w:t>Lens</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t>High</w:t>
            </w:r>
          </w:p>
        </w:tc>
        <w:tc>
          <w:tcPr>
            <w:tcW w:type="dxa" w:w="1008"/>
            <w:shd w:val="clear" w:color="auto" w:fill="EAF0EE"/>
          </w:tcPr>
          <w:p>
            <w:pPr>
              <w:spacing w:after="20"/>
            </w:pPr>
            <w:r>
              <w:rPr>
                <w:b/>
                <w:color w:val="1C3A36"/>
                <w:sz w:val="17"/>
              </w:rPr>
              <w:t>Weight</w:t>
            </w:r>
          </w:p>
        </w:tc>
        <w:tc>
          <w:tcPr>
            <w:tcW w:type="dxa" w:w="3744"/>
            <w:shd w:val="clear" w:color="auto" w:fill="EAF0EE"/>
          </w:tcPr>
          <w:p>
            <w:pPr>
              <w:spacing w:after="20"/>
            </w:pPr>
            <w:r>
              <w:rPr>
                <w:b/>
                <w:color w:val="1C3A36"/>
                <w:sz w:val="17"/>
              </w:rPr>
              <w:t>Why this weight</w:t>
            </w:r>
          </w:p>
        </w:tc>
      </w:tr>
      <w:tr>
        <w:tc>
          <w:tcPr>
            <w:tcW w:type="dxa" w:w="2232"/>
          </w:tcPr>
          <w:p>
            <w:pPr>
              <w:spacing w:after="20"/>
            </w:pPr>
            <w:r>
              <w:rPr>
                <w:color w:val="1C3A36"/>
                <w:sz w:val="17"/>
              </w:rPr>
              <w:t>SOTP / NAV</w:t>
            </w:r>
          </w:p>
        </w:tc>
        <w:tc>
          <w:tcPr>
            <w:tcW w:type="dxa" w:w="1080"/>
          </w:tcPr>
          <w:p>
            <w:pPr>
              <w:spacing w:after="20"/>
              <w:jc w:val="right"/>
            </w:pPr>
            <w:r>
              <w:rPr>
                <w:color w:val="1C3A36"/>
                <w:sz w:val="17"/>
              </w:rPr>
              <w:t>5.58</w:t>
            </w:r>
          </w:p>
        </w:tc>
        <w:tc>
          <w:tcPr>
            <w:tcW w:type="dxa" w:w="1080"/>
          </w:tcPr>
          <w:p>
            <w:pPr>
              <w:spacing w:after="20"/>
              <w:jc w:val="right"/>
            </w:pPr>
            <w:r>
              <w:rPr>
                <w:color w:val="1C3A36"/>
                <w:sz w:val="17"/>
              </w:rPr>
              <w:t>6.32</w:t>
            </w:r>
          </w:p>
        </w:tc>
        <w:tc>
          <w:tcPr>
            <w:tcW w:type="dxa" w:w="1080"/>
          </w:tcPr>
          <w:p>
            <w:pPr>
              <w:spacing w:after="20"/>
              <w:jc w:val="right"/>
            </w:pPr>
            <w:r>
              <w:rPr>
                <w:color w:val="1C3A36"/>
                <w:sz w:val="17"/>
              </w:rPr>
              <w:t>7.44</w:t>
            </w:r>
          </w:p>
        </w:tc>
        <w:tc>
          <w:tcPr>
            <w:tcW w:type="dxa" w:w="1008"/>
          </w:tcPr>
          <w:p>
            <w:pPr>
              <w:spacing w:after="20"/>
              <w:jc w:val="right"/>
            </w:pPr>
            <w:r>
              <w:rPr>
                <w:color w:val="1C3A36"/>
                <w:sz w:val="17"/>
              </w:rPr>
              <w:t>55%</w:t>
            </w:r>
          </w:p>
        </w:tc>
        <w:tc>
          <w:tcPr>
            <w:tcW w:type="dxa" w:w="3744"/>
          </w:tcPr>
          <w:p>
            <w:pPr>
              <w:spacing w:after="20"/>
              <w:jc w:val="right"/>
            </w:pPr>
            <w:r>
              <w:rPr>
                <w:color w:val="1C3A36"/>
                <w:sz w:val="17"/>
              </w:rPr>
              <w:t>Observable marks; the honest anchor for a holdco — raised 45%→55% 11-07-2026 (external audit)</w:t>
            </w:r>
          </w:p>
        </w:tc>
      </w:tr>
      <w:tr>
        <w:tc>
          <w:tcPr>
            <w:tcW w:type="dxa" w:w="2232"/>
          </w:tcPr>
          <w:p>
            <w:pPr>
              <w:spacing w:after="20"/>
            </w:pPr>
            <w:r>
              <w:rPr>
                <w:color w:val="1C3A36"/>
                <w:sz w:val="17"/>
              </w:rPr>
              <w:t>FCFF DCF</w:t>
            </w:r>
          </w:p>
        </w:tc>
        <w:tc>
          <w:tcPr>
            <w:tcW w:type="dxa" w:w="1080"/>
          </w:tcPr>
          <w:p>
            <w:pPr>
              <w:spacing w:after="20"/>
              <w:jc w:val="right"/>
            </w:pPr>
            <w:r>
              <w:rPr>
                <w:color w:val="1C3A36"/>
                <w:sz w:val="17"/>
              </w:rPr>
              <w:t>8.93</w:t>
            </w:r>
          </w:p>
        </w:tc>
        <w:tc>
          <w:tcPr>
            <w:tcW w:type="dxa" w:w="1080"/>
          </w:tcPr>
          <w:p>
            <w:pPr>
              <w:spacing w:after="20"/>
              <w:jc w:val="right"/>
            </w:pPr>
            <w:r>
              <w:rPr>
                <w:color w:val="1C3A36"/>
                <w:sz w:val="17"/>
              </w:rPr>
              <w:t>11.72</w:t>
            </w:r>
          </w:p>
        </w:tc>
        <w:tc>
          <w:tcPr>
            <w:tcW w:type="dxa" w:w="1080"/>
          </w:tcPr>
          <w:p>
            <w:pPr>
              <w:spacing w:after="20"/>
              <w:jc w:val="right"/>
            </w:pPr>
            <w:r>
              <w:rPr>
                <w:color w:val="1C3A36"/>
                <w:sz w:val="17"/>
              </w:rPr>
              <w:t>15.21</w:t>
            </w:r>
          </w:p>
        </w:tc>
        <w:tc>
          <w:tcPr>
            <w:tcW w:type="dxa" w:w="1008"/>
          </w:tcPr>
          <w:p>
            <w:pPr>
              <w:spacing w:after="20"/>
              <w:jc w:val="right"/>
            </w:pPr>
            <w:r>
              <w:rPr>
                <w:color w:val="1C3A36"/>
                <w:sz w:val="17"/>
              </w:rPr>
              <w:t>15%</w:t>
            </w:r>
          </w:p>
        </w:tc>
        <w:tc>
          <w:tcPr>
            <w:tcW w:type="dxa" w:w="3744"/>
          </w:tcPr>
          <w:p>
            <w:pPr>
              <w:spacing w:after="20"/>
              <w:jc w:val="right"/>
            </w:pPr>
            <w:r>
              <w:rPr>
                <w:color w:val="1C3A36"/>
                <w:sz w:val="17"/>
              </w:rPr>
              <w:t>80% terminal; NCI proxy; ΔWC gap — a ceiling</w:t>
            </w:r>
          </w:p>
        </w:tc>
      </w:tr>
      <w:tr>
        <w:tc>
          <w:tcPr>
            <w:tcW w:type="dxa" w:w="2232"/>
          </w:tcPr>
          <w:p>
            <w:pPr>
              <w:spacing w:after="20"/>
            </w:pPr>
            <w:r>
              <w:rPr>
                <w:color w:val="1C3A36"/>
                <w:sz w:val="17"/>
              </w:rPr>
              <w:t>Look-through relative</w:t>
            </w:r>
          </w:p>
        </w:tc>
        <w:tc>
          <w:tcPr>
            <w:tcW w:type="dxa" w:w="1080"/>
          </w:tcPr>
          <w:p>
            <w:pPr>
              <w:spacing w:after="20"/>
              <w:jc w:val="right"/>
            </w:pPr>
            <w:r>
              <w:rPr>
                <w:color w:val="1C3A36"/>
                <w:sz w:val="17"/>
              </w:rPr>
              <w:t>6.80</w:t>
            </w:r>
          </w:p>
        </w:tc>
        <w:tc>
          <w:tcPr>
            <w:tcW w:type="dxa" w:w="1080"/>
          </w:tcPr>
          <w:p>
            <w:pPr>
              <w:spacing w:after="20"/>
              <w:jc w:val="right"/>
            </w:pPr>
            <w:r>
              <w:rPr>
                <w:color w:val="1C3A36"/>
                <w:sz w:val="17"/>
              </w:rPr>
              <w:t>8.07</w:t>
            </w:r>
          </w:p>
        </w:tc>
        <w:tc>
          <w:tcPr>
            <w:tcW w:type="dxa" w:w="1080"/>
          </w:tcPr>
          <w:p>
            <w:pPr>
              <w:spacing w:after="20"/>
              <w:jc w:val="right"/>
            </w:pPr>
            <w:r>
              <w:rPr>
                <w:color w:val="1C3A36"/>
                <w:sz w:val="17"/>
              </w:rPr>
              <w:t>9.35</w:t>
            </w:r>
          </w:p>
        </w:tc>
        <w:tc>
          <w:tcPr>
            <w:tcW w:type="dxa" w:w="1008"/>
          </w:tcPr>
          <w:p>
            <w:pPr>
              <w:spacing w:after="20"/>
              <w:jc w:val="right"/>
            </w:pPr>
            <w:r>
              <w:rPr>
                <w:color w:val="1C3A36"/>
                <w:sz w:val="17"/>
              </w:rPr>
              <w:t>15%</w:t>
            </w:r>
          </w:p>
        </w:tc>
        <w:tc>
          <w:tcPr>
            <w:tcW w:type="dxa" w:w="3744"/>
          </w:tcPr>
          <w:p>
            <w:pPr>
              <w:spacing w:after="20"/>
              <w:jc w:val="right"/>
            </w:pPr>
            <w:r>
              <w:rPr>
                <w:color w:val="1C3A36"/>
                <w:sz w:val="17"/>
              </w:rPr>
              <w:t>Reported-EPS basis; cut 25%→15% 11-07-2026 — flagged double-count risk vs the marks (external audit)</w:t>
            </w:r>
          </w:p>
        </w:tc>
      </w:tr>
      <w:tr>
        <w:tc>
          <w:tcPr>
            <w:tcW w:type="dxa" w:w="2232"/>
          </w:tcPr>
          <w:p>
            <w:pPr>
              <w:spacing w:after="20"/>
            </w:pPr>
            <w:r>
              <w:rPr>
                <w:color w:val="1C3A36"/>
                <w:sz w:val="17"/>
              </w:rPr>
              <w:t>Dividend policy</w:t>
            </w:r>
          </w:p>
        </w:tc>
        <w:tc>
          <w:tcPr>
            <w:tcW w:type="dxa" w:w="1080"/>
          </w:tcPr>
          <w:p>
            <w:pPr>
              <w:spacing w:after="20"/>
              <w:jc w:val="right"/>
            </w:pPr>
            <w:r>
              <w:rPr>
                <w:color w:val="1C3A36"/>
                <w:sz w:val="17"/>
              </w:rPr>
              <w:t>3.50</w:t>
            </w:r>
          </w:p>
        </w:tc>
        <w:tc>
          <w:tcPr>
            <w:tcW w:type="dxa" w:w="1080"/>
          </w:tcPr>
          <w:p>
            <w:pPr>
              <w:spacing w:after="20"/>
              <w:jc w:val="right"/>
            </w:pPr>
            <w:r>
              <w:rPr>
                <w:color w:val="1C3A36"/>
                <w:sz w:val="17"/>
              </w:rPr>
              <w:t>4.55</w:t>
            </w:r>
          </w:p>
        </w:tc>
        <w:tc>
          <w:tcPr>
            <w:tcW w:type="dxa" w:w="1080"/>
          </w:tcPr>
          <w:p>
            <w:pPr>
              <w:spacing w:after="20"/>
              <w:jc w:val="right"/>
            </w:pPr>
            <w:r>
              <w:rPr>
                <w:color w:val="1C3A36"/>
                <w:sz w:val="17"/>
              </w:rPr>
              <w:t>5.68</w:t>
            </w:r>
          </w:p>
        </w:tc>
        <w:tc>
          <w:tcPr>
            <w:tcW w:type="dxa" w:w="1008"/>
          </w:tcPr>
          <w:p>
            <w:pPr>
              <w:spacing w:after="20"/>
              <w:jc w:val="right"/>
            </w:pPr>
            <w:r>
              <w:rPr>
                <w:color w:val="1C3A36"/>
                <w:sz w:val="17"/>
              </w:rPr>
              <w:t>15%</w:t>
            </w:r>
          </w:p>
        </w:tc>
        <w:tc>
          <w:tcPr>
            <w:tcW w:type="dxa" w:w="3744"/>
          </w:tcPr>
          <w:p>
            <w:pPr>
              <w:spacing w:after="20"/>
              <w:jc w:val="right"/>
            </w:pPr>
            <w:r>
              <w:rPr>
                <w:color w:val="1C3A36"/>
                <w:sz w:val="17"/>
              </w:rPr>
              <w:t>Prices only distributed cash — a floor</w:t>
            </w:r>
          </w:p>
        </w:tc>
      </w:tr>
      <w:tr>
        <w:tc>
          <w:tcPr>
            <w:tcW w:type="dxa" w:w="2232"/>
            <w:shd w:val="clear" w:color="auto" w:fill="F6F1E6"/>
          </w:tcPr>
          <w:p>
            <w:pPr>
              <w:spacing w:after="20"/>
            </w:pPr>
            <w:r>
              <w:rPr>
                <w:b/>
                <w:color w:val="1C3A36"/>
                <w:sz w:val="17"/>
              </w:rPr>
              <w:t>Weighted central</w:t>
            </w:r>
          </w:p>
        </w:tc>
        <w:tc>
          <w:tcPr>
            <w:tcW w:type="dxa" w:w="1080"/>
            <w:shd w:val="clear" w:color="auto" w:fill="F6F1E6"/>
          </w:tcPr>
          <w:p>
            <w:pPr>
              <w:spacing w:after="20"/>
              <w:jc w:val="right"/>
            </w:pPr>
            <w:r>
              <w:rPr>
                <w:b/>
                <w:color w:val="1C3A36"/>
                <w:sz w:val="17"/>
              </w:rPr>
              <w:t>5.95</w:t>
            </w:r>
          </w:p>
        </w:tc>
        <w:tc>
          <w:tcPr>
            <w:tcW w:type="dxa" w:w="1080"/>
            <w:shd w:val="clear" w:color="auto" w:fill="F6F1E6"/>
          </w:tcPr>
          <w:p>
            <w:pPr>
              <w:spacing w:after="20"/>
              <w:jc w:val="right"/>
            </w:pPr>
            <w:r>
              <w:rPr>
                <w:b/>
                <w:color w:val="1C3A36"/>
                <w:sz w:val="17"/>
              </w:rPr>
              <w:t>7.13</w:t>
            </w:r>
          </w:p>
        </w:tc>
        <w:tc>
          <w:tcPr>
            <w:tcW w:type="dxa" w:w="1080"/>
            <w:shd w:val="clear" w:color="auto" w:fill="F6F1E6"/>
          </w:tcPr>
          <w:p>
            <w:pPr>
              <w:spacing w:after="20"/>
              <w:jc w:val="right"/>
            </w:pPr>
            <w:r>
              <w:rPr>
                <w:b/>
                <w:color w:val="1C3A36"/>
                <w:sz w:val="17"/>
              </w:rPr>
              <w:t>8.63</w:t>
            </w:r>
          </w:p>
        </w:tc>
        <w:tc>
          <w:tcPr>
            <w:tcW w:type="dxa" w:w="1008"/>
            <w:shd w:val="clear" w:color="auto" w:fill="F6F1E6"/>
          </w:tcPr>
          <w:p>
            <w:pPr>
              <w:spacing w:after="20"/>
              <w:jc w:val="right"/>
            </w:pPr>
            <w:r>
              <w:rPr>
                <w:b/>
                <w:color w:val="1C3A36"/>
                <w:sz w:val="17"/>
              </w:rPr>
              <w:t>100%</w:t>
            </w:r>
          </w:p>
        </w:tc>
        <w:tc>
          <w:tcPr>
            <w:tcW w:type="dxa" w:w="3744"/>
            <w:shd w:val="clear" w:color="auto" w:fill="F6F1E6"/>
          </w:tcPr>
          <w:p>
            <w:pPr>
              <w:spacing w:after="20"/>
              <w:jc w:val="right"/>
            </w:pPr>
            <w:r>
              <w:rPr>
                <w:b/>
                <w:color w:val="1C3A36"/>
                <w:sz w:val="17"/>
              </w:rPr>
              <w:t>Spot 8.22 sits above the base and inside the upper band</w:t>
            </w:r>
          </w:p>
        </w:tc>
      </w:tr>
    </w:tbl>
    <w:p>
      <w:pPr>
        <w:spacing w:after="40"/>
      </w:pPr>
    </w:p>
    <w:p>
      <w:pPr>
        <w:spacing w:after="40"/>
        <w:jc w:val="center"/>
      </w:pPr>
      <w:r>
        <w:drawing>
          <wp:inline xmlns:a="http://schemas.openxmlformats.org/drawingml/2006/main" xmlns:pic="http://schemas.openxmlformats.org/drawingml/2006/picture">
            <wp:extent cx="5486400" cy="956930"/>
            <wp:docPr id="3" name="Picture 3"/>
            <wp:cNvGraphicFramePr>
              <a:graphicFrameLocks noChangeAspect="1"/>
            </wp:cNvGraphicFramePr>
            <a:graphic>
              <a:graphicData uri="http://schemas.openxmlformats.org/drawingml/2006/picture">
                <pic:pic>
                  <pic:nvPicPr>
                    <pic:cNvPr id="0" name="fig_pricebar.png"/>
                    <pic:cNvPicPr/>
                  </pic:nvPicPr>
                  <pic:blipFill>
                    <a:blip r:embed="rId11"/>
                    <a:stretch>
                      <a:fillRect/>
                    </a:stretch>
                  </pic:blipFill>
                  <pic:spPr>
                    <a:xfrm>
                      <a:off x="0" y="0"/>
                      <a:ext cx="5486400" cy="956930"/>
                    </a:xfrm>
                    <a:prstGeom prst="rect"/>
                  </pic:spPr>
                </pic:pic>
              </a:graphicData>
            </a:graphic>
          </wp:inline>
        </w:drawing>
      </w:r>
    </w:p>
    <w:p>
      <w:pPr>
        <w:spacing w:after="200" w:before="0"/>
      </w:pPr>
      <w:r>
        <w:rPr>
          <w:b w:val="0"/>
          <w:i/>
          <w:color w:val="6E7B77"/>
          <w:sz w:val="17"/>
        </w:rPr>
        <w:t>Figure 3 — The house price bar: 5th–95th (gold) and 25th–75th (brass) Monte-Carlo bands with the fundamental central range, the marked NAV, and the AED 8.22 spot dot.</w:t>
      </w:r>
    </w:p>
    <w:p>
      <w:pPr>
        <w:spacing w:after="120" w:before="0"/>
      </w:pPr>
      <w:r>
        <w:rPr>
          <w:b w:val="0"/>
          <w:i w:val="0"/>
          <w:color w:val="1C3A36"/>
          <w:sz w:val="19"/>
        </w:rPr>
        <w:t>The verdict in one sentence: fully valued — spot sits 13% above the weighted central and above par NAV, and the only lens that flatters it is the one built to describe a normalized future rather than the observable present.</w:t>
      </w:r>
    </w:p>
    <w:p>
      <w:pPr>
        <w:spacing w:after="80" w:before="200"/>
      </w:pPr>
      <w:r>
        <w:rPr>
          <w:b/>
          <w:i w:val="0"/>
          <w:color w:val="1C3A36"/>
          <w:sz w:val="24"/>
        </w:rPr>
        <w:t>1.6  Segments, the earnings mix — and the per-driver gate</w:t>
      </w:r>
    </w:p>
    <w:p>
      <w:pPr>
        <w:spacing w:after="120" w:before="0"/>
      </w:pPr>
      <w:r>
        <w:rPr>
          <w:b w:val="0"/>
          <w:i w:val="0"/>
          <w:color w:val="1C3A36"/>
          <w:sz w:val="19"/>
        </w:rPr>
        <w:t>House rule: §1.6 opens with the gate table — every forecast driver, its build (bottom-up only where the Step-2A sweep cleared a disclosed source or observable quote), and the sweep reference behind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Driver</w:t>
            </w:r>
          </w:p>
        </w:tc>
        <w:tc>
          <w:tcPr>
            <w:tcW w:type="dxa" w:w="1224"/>
            <w:shd w:val="clear" w:color="auto" w:fill="EAF0EE"/>
          </w:tcPr>
          <w:p>
            <w:pPr>
              <w:spacing w:after="20"/>
            </w:pPr>
            <w:r>
              <w:rPr>
                <w:b/>
                <w:color w:val="1C3A36"/>
                <w:sz w:val="17"/>
              </w:rPr>
              <w:t>Build</w:t>
            </w:r>
          </w:p>
        </w:tc>
        <w:tc>
          <w:tcPr>
            <w:tcW w:type="dxa" w:w="5112"/>
            <w:shd w:val="clear" w:color="auto" w:fill="EAF0EE"/>
          </w:tcPr>
          <w:p>
            <w:pPr>
              <w:spacing w:after="20"/>
            </w:pPr>
            <w:r>
              <w:rPr>
                <w:b/>
                <w:color w:val="1C3A36"/>
                <w:sz w:val="17"/>
              </w:rPr>
              <w:t>Justification</w:t>
            </w:r>
          </w:p>
        </w:tc>
        <w:tc>
          <w:tcPr>
            <w:tcW w:type="dxa" w:w="1728"/>
            <w:shd w:val="clear" w:color="auto" w:fill="EAF0EE"/>
          </w:tcPr>
          <w:p>
            <w:pPr>
              <w:spacing w:after="20"/>
            </w:pPr>
            <w:r>
              <w:rPr>
                <w:b/>
                <w:color w:val="1C3A36"/>
                <w:sz w:val="17"/>
              </w:rPr>
              <w:t>Sweep ref</w:t>
            </w:r>
          </w:p>
        </w:tc>
      </w:tr>
      <w:tr>
        <w:tc>
          <w:tcPr>
            <w:tcW w:type="dxa" w:w="2160"/>
          </w:tcPr>
          <w:p>
            <w:pPr>
              <w:spacing w:after="20"/>
            </w:pPr>
            <w:r>
              <w:rPr>
                <w:b/>
                <w:color w:val="1C3A36"/>
                <w:sz w:val="17"/>
              </w:rPr>
              <w:t>Revenue growth path</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No numeric guidance; Q1-26 +8% actual anchors year 1; Aldar’s 71.7 bn backlog the tailwind</w:t>
            </w:r>
          </w:p>
        </w:tc>
        <w:tc>
          <w:tcPr>
            <w:tcW w:type="dxa" w:w="1728"/>
          </w:tcPr>
          <w:p>
            <w:pPr>
              <w:spacing w:after="20"/>
              <w:jc w:val="right"/>
            </w:pPr>
            <w:r>
              <w:rPr>
                <w:color w:val="1C3A36"/>
                <w:sz w:val="17"/>
              </w:rPr>
              <w:t>R4-01</w:t>
            </w:r>
          </w:p>
        </w:tc>
      </w:tr>
      <w:tr>
        <w:tc>
          <w:tcPr>
            <w:tcW w:type="dxa" w:w="2160"/>
          </w:tcPr>
          <w:p>
            <w:pPr>
              <w:spacing w:after="20"/>
            </w:pPr>
            <w:r>
              <w:rPr>
                <w:b/>
                <w:color w:val="1C3A36"/>
                <w:sz w:val="17"/>
              </w:rPr>
              <w:t>Adj. EBITDA margin</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FY25’s 22.5% held flat; mix-shift unmodelled</w:t>
            </w:r>
          </w:p>
        </w:tc>
        <w:tc>
          <w:tcPr>
            <w:tcW w:type="dxa" w:w="1728"/>
          </w:tcPr>
          <w:p>
            <w:pPr>
              <w:spacing w:after="20"/>
              <w:jc w:val="right"/>
            </w:pPr>
            <w:r>
              <w:rPr>
                <w:color w:val="1C3A36"/>
                <w:sz w:val="17"/>
              </w:rPr>
              <w:t>R4-02</w:t>
            </w:r>
          </w:p>
        </w:tc>
      </w:tr>
      <w:tr>
        <w:tc>
          <w:tcPr>
            <w:tcW w:type="dxa" w:w="2160"/>
          </w:tcPr>
          <w:p>
            <w:pPr>
              <w:spacing w:after="20"/>
            </w:pPr>
            <w:r>
              <w:rPr>
                <w:b/>
                <w:color w:val="1C3A36"/>
                <w:sz w:val="17"/>
              </w:rPr>
              <w:t>Capex % revenue</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 7.1% fading to 5.5%; no disclosed capex plan</w:t>
            </w:r>
          </w:p>
        </w:tc>
        <w:tc>
          <w:tcPr>
            <w:tcW w:type="dxa" w:w="1728"/>
          </w:tcPr>
          <w:p>
            <w:pPr>
              <w:spacing w:after="20"/>
              <w:jc w:val="right"/>
            </w:pPr>
            <w:r>
              <w:rPr>
                <w:color w:val="1C3A36"/>
                <w:sz w:val="17"/>
              </w:rPr>
              <w:t>R4-02</w:t>
            </w:r>
          </w:p>
        </w:tc>
      </w:tr>
      <w:tr>
        <w:tc>
          <w:tcPr>
            <w:tcW w:type="dxa" w:w="2160"/>
          </w:tcPr>
          <w:p>
            <w:pPr>
              <w:spacing w:after="20"/>
            </w:pPr>
            <w:r>
              <w:rPr>
                <w:b/>
                <w:color w:val="1C3A36"/>
                <w:sz w:val="17"/>
              </w:rPr>
              <w:t>ΔWC % Δrevenue (crux)</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 absorbed ~48% of Δrev; fade to 20% as collections catch up</w:t>
            </w:r>
          </w:p>
        </w:tc>
        <w:tc>
          <w:tcPr>
            <w:tcW w:type="dxa" w:w="1728"/>
          </w:tcPr>
          <w:p>
            <w:pPr>
              <w:spacing w:after="20"/>
              <w:jc w:val="right"/>
            </w:pPr>
            <w:r>
              <w:rPr>
                <w:color w:val="1C3A36"/>
                <w:sz w:val="17"/>
              </w:rPr>
              <w:t>R4-03</w:t>
            </w:r>
          </w:p>
        </w:tc>
      </w:tr>
      <w:tr>
        <w:tc>
          <w:tcPr>
            <w:tcW w:type="dxa" w:w="2160"/>
          </w:tcPr>
          <w:p>
            <w:pPr>
              <w:spacing w:after="20"/>
            </w:pPr>
            <w:r>
              <w:rPr>
                <w:b/>
                <w:color w:val="1C3A36"/>
                <w:sz w:val="17"/>
              </w:rPr>
              <w:t>Tax rate</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Statutory: CT 9% + DMTT 15% from 1-Jan-2025; FY25 actual ETR 10.2% glides to 15%</w:t>
            </w:r>
          </w:p>
        </w:tc>
        <w:tc>
          <w:tcPr>
            <w:tcW w:type="dxa" w:w="1728"/>
          </w:tcPr>
          <w:p>
            <w:pPr>
              <w:spacing w:after="20"/>
              <w:jc w:val="right"/>
            </w:pPr>
            <w:r>
              <w:rPr>
                <w:color w:val="1C3A36"/>
                <w:sz w:val="17"/>
              </w:rPr>
              <w:t>R2-02</w:t>
            </w:r>
          </w:p>
        </w:tc>
      </w:tr>
      <w:tr>
        <w:tc>
          <w:tcPr>
            <w:tcW w:type="dxa" w:w="2160"/>
          </w:tcPr>
          <w:p>
            <w:pPr>
              <w:spacing w:after="20"/>
            </w:pPr>
            <w:r>
              <w:rPr>
                <w:b/>
                <w:color w:val="1C3A36"/>
                <w:sz w:val="17"/>
              </w:rPr>
              <w:t>Ownership stakes</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Audited FY25 notes; named transactions (NMDC buy-up; NCTH injection; ADQ/Trojan)</w:t>
            </w:r>
          </w:p>
        </w:tc>
        <w:tc>
          <w:tcPr>
            <w:tcW w:type="dxa" w:w="1728"/>
          </w:tcPr>
          <w:p>
            <w:pPr>
              <w:spacing w:after="20"/>
              <w:jc w:val="right"/>
            </w:pPr>
            <w:r>
              <w:rPr>
                <w:color w:val="1C3A36"/>
                <w:sz w:val="17"/>
              </w:rPr>
              <w:t>R4-04/05/06</w:t>
            </w:r>
          </w:p>
        </w:tc>
      </w:tr>
      <w:tr>
        <w:tc>
          <w:tcPr>
            <w:tcW w:type="dxa" w:w="2160"/>
          </w:tcPr>
          <w:p>
            <w:pPr>
              <w:spacing w:after="20"/>
            </w:pPr>
            <w:r>
              <w:rPr>
                <w:b/>
                <w:color w:val="1C3A36"/>
                <w:sz w:val="17"/>
              </w:rPr>
              <w:t>Listed marks</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ADX quotes × audited stakes</w:t>
            </w:r>
          </w:p>
        </w:tc>
        <w:tc>
          <w:tcPr>
            <w:tcW w:type="dxa" w:w="1728"/>
          </w:tcPr>
          <w:p>
            <w:pPr>
              <w:spacing w:after="20"/>
              <w:jc w:val="right"/>
            </w:pPr>
            <w:r>
              <w:rPr>
                <w:color w:val="1C3A36"/>
                <w:sz w:val="17"/>
              </w:rPr>
              <w:t>R4-07</w:t>
            </w:r>
          </w:p>
        </w:tc>
      </w:tr>
      <w:tr>
        <w:tc>
          <w:tcPr>
            <w:tcW w:type="dxa" w:w="2160"/>
          </w:tcPr>
          <w:p>
            <w:pPr>
              <w:spacing w:after="20"/>
            </w:pPr>
            <w:r>
              <w:rPr>
                <w:b/>
                <w:color w:val="1C3A36"/>
                <w:sz w:val="17"/>
              </w:rPr>
              <w:t>Trojan mark</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ADQ 49% deal: buyer-outlay ≈AED 5.0 bn (ADH FY24 CF 4,997; ADQ-side ~5,043); seller-note 3,562 + 1,456 NCI — dual-framed in §1.1</w:t>
            </w:r>
          </w:p>
        </w:tc>
        <w:tc>
          <w:tcPr>
            <w:tcW w:type="dxa" w:w="1728"/>
          </w:tcPr>
          <w:p>
            <w:pPr>
              <w:spacing w:after="20"/>
              <w:jc w:val="right"/>
            </w:pPr>
            <w:r>
              <w:rPr>
                <w:color w:val="1C3A36"/>
                <w:sz w:val="17"/>
              </w:rPr>
              <w:t>R4-06</w:t>
            </w:r>
          </w:p>
        </w:tc>
      </w:tr>
      <w:tr>
        <w:tc>
          <w:tcPr>
            <w:tcW w:type="dxa" w:w="2160"/>
          </w:tcPr>
          <w:p>
            <w:pPr>
              <w:spacing w:after="20"/>
            </w:pPr>
            <w:r>
              <w:rPr>
                <w:b/>
                <w:color w:val="1C3A36"/>
                <w:sz w:val="17"/>
              </w:rPr>
              <w:t>rf / carry</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3M EIBOR 3.93% (carry); AED T-bond ≤16 bp over UST (rf-long 4.75%)</w:t>
            </w:r>
          </w:p>
        </w:tc>
        <w:tc>
          <w:tcPr>
            <w:tcW w:type="dxa" w:w="1728"/>
          </w:tcPr>
          <w:p>
            <w:pPr>
              <w:spacing w:after="20"/>
              <w:jc w:val="right"/>
            </w:pPr>
            <w:r>
              <w:rPr>
                <w:color w:val="1C3A36"/>
                <w:sz w:val="17"/>
              </w:rPr>
              <w:t>R2-03</w:t>
            </w:r>
          </w:p>
        </w:tc>
      </w:tr>
      <w:tr>
        <w:tc>
          <w:tcPr>
            <w:tcW w:type="dxa" w:w="2160"/>
          </w:tcPr>
          <w:p>
            <w:pPr>
              <w:spacing w:after="20"/>
            </w:pPr>
            <w:r>
              <w:rPr>
                <w:b/>
                <w:color w:val="1C3A36"/>
                <w:sz w:val="17"/>
              </w:rPr>
              <w:t>ERP</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Damodaran ORIGINAL Jan-26: UAE 4.87% (rating) / 4.93% (CDS) — both published</w:t>
            </w:r>
          </w:p>
        </w:tc>
        <w:tc>
          <w:tcPr>
            <w:tcW w:type="dxa" w:w="1728"/>
          </w:tcPr>
          <w:p>
            <w:pPr>
              <w:spacing w:after="20"/>
              <w:jc w:val="right"/>
            </w:pPr>
            <w:r>
              <w:rPr>
                <w:color w:val="1C3A36"/>
                <w:sz w:val="17"/>
              </w:rPr>
              <w:t>R1-02</w:t>
            </w:r>
          </w:p>
        </w:tc>
      </w:tr>
      <w:tr>
        <w:tc>
          <w:tcPr>
            <w:tcW w:type="dxa" w:w="2160"/>
          </w:tcPr>
          <w:p>
            <w:pPr>
              <w:spacing w:after="20"/>
            </w:pPr>
            <w:r>
              <w:rPr>
                <w:b/>
                <w:color w:val="1C3A36"/>
                <w:sz w:val="17"/>
              </w:rPr>
              <w:t>Beta</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Regression FAILED the usability gate (no usable ADX index series) → 1.0, band 0.8–1.3</w:t>
            </w:r>
          </w:p>
        </w:tc>
        <w:tc>
          <w:tcPr>
            <w:tcW w:type="dxa" w:w="1728"/>
          </w:tcPr>
          <w:p>
            <w:pPr>
              <w:spacing w:after="20"/>
              <w:jc w:val="right"/>
            </w:pPr>
            <w:r>
              <w:rPr>
                <w:color w:val="1C3A36"/>
                <w:sz w:val="17"/>
              </w:rPr>
              <w:t>—</w:t>
            </w:r>
          </w:p>
        </w:tc>
      </w:tr>
      <w:tr>
        <w:tc>
          <w:tcPr>
            <w:tcW w:type="dxa" w:w="2160"/>
          </w:tcPr>
          <w:p>
            <w:pPr>
              <w:spacing w:after="20"/>
            </w:pPr>
            <w:r>
              <w:rPr>
                <w:b/>
                <w:color w:val="1C3A36"/>
                <w:sz w:val="17"/>
              </w:rPr>
              <w:t>Holdco discount</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GCC/EM precedent 10–25%; spot implies a premium — the crux, not an input</w:t>
            </w:r>
          </w:p>
        </w:tc>
        <w:tc>
          <w:tcPr>
            <w:tcW w:type="dxa" w:w="1728"/>
          </w:tcPr>
          <w:p>
            <w:pPr>
              <w:spacing w:after="20"/>
              <w:jc w:val="right"/>
            </w:pPr>
            <w:r>
              <w:rPr>
                <w:color w:val="1C3A36"/>
                <w:sz w:val="17"/>
              </w:rPr>
              <w:t>R4-08</w:t>
            </w:r>
          </w:p>
        </w:tc>
      </w:tr>
      <w:tr>
        <w:tc>
          <w:tcPr>
            <w:tcW w:type="dxa" w:w="2160"/>
          </w:tcPr>
          <w:p>
            <w:pPr>
              <w:spacing w:after="20"/>
            </w:pPr>
            <w:r>
              <w:rPr>
                <w:b/>
                <w:color w:val="1C3A36"/>
                <w:sz w:val="17"/>
              </w:rPr>
              <w:t>Dividend path</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Stated policy AED 2 bn (20 fils) +5%/yr from FY2025, GA-approved 12-Jan-26</w:t>
            </w:r>
          </w:p>
        </w:tc>
        <w:tc>
          <w:tcPr>
            <w:tcW w:type="dxa" w:w="1728"/>
          </w:tcPr>
          <w:p>
            <w:pPr>
              <w:spacing w:after="20"/>
              <w:jc w:val="right"/>
            </w:pPr>
            <w:r>
              <w:rPr>
                <w:color w:val="1C3A36"/>
                <w:sz w:val="17"/>
              </w:rPr>
              <w:t>R4-09</w:t>
            </w:r>
          </w:p>
        </w:tc>
      </w:tr>
    </w:tbl>
    <w:p>
      <w:pPr>
        <w:spacing w:after="40"/>
      </w:pPr>
    </w:p>
    <w:p>
      <w:pPr>
        <w:spacing w:after="200" w:before="0"/>
      </w:pPr>
      <w:r>
        <w:rPr>
          <w:b w:val="0"/>
          <w:i/>
          <w:color w:val="6E7B77"/>
          <w:sz w:val="17"/>
        </w:rPr>
        <w:t>Bottom-up is the default wherever the sweep cleared it; every top-down row is a disclosed judgment. The full Sweep Register — including the negative searches — closes Appendix B.</w:t>
      </w:r>
    </w:p>
    <w:p>
      <w:pPr>
        <w:spacing w:after="40"/>
        <w:jc w:val="center"/>
      </w:pPr>
      <w:r>
        <w:drawing>
          <wp:inline xmlns:a="http://schemas.openxmlformats.org/drawingml/2006/main" xmlns:pic="http://schemas.openxmlformats.org/drawingml/2006/picture">
            <wp:extent cx="5760720" cy="1942568"/>
            <wp:docPr id="4" name="Picture 4"/>
            <wp:cNvGraphicFramePr>
              <a:graphicFrameLocks noChangeAspect="1"/>
            </wp:cNvGraphicFramePr>
            <a:graphic>
              <a:graphicData uri="http://schemas.openxmlformats.org/drawingml/2006/picture">
                <pic:pic>
                  <pic:nvPicPr>
                    <pic:cNvPr id="0" name="fig_segments.png"/>
                    <pic:cNvPicPr/>
                  </pic:nvPicPr>
                  <pic:blipFill>
                    <a:blip r:embed="rId12"/>
                    <a:stretch>
                      <a:fillRect/>
                    </a:stretch>
                  </pic:blipFill>
                  <pic:spPr>
                    <a:xfrm>
                      <a:off x="0" y="0"/>
                      <a:ext cx="5760720" cy="1942568"/>
                    </a:xfrm>
                    <a:prstGeom prst="rect"/>
                  </pic:spPr>
                </pic:pic>
              </a:graphicData>
            </a:graphic>
          </wp:inline>
        </w:drawing>
      </w:r>
    </w:p>
    <w:p>
      <w:pPr>
        <w:spacing w:after="200" w:before="0"/>
      </w:pPr>
      <w:r>
        <w:rPr>
          <w:b w:val="0"/>
          <w:i/>
          <w:color w:val="6E7B77"/>
          <w:sz w:val="17"/>
        </w:rPr>
        <w:t>Figure 4 — Segment revenue mix (FY2025) and the group revenue / profit history, FY2021–FY2025.</w:t>
      </w:r>
    </w:p>
    <w:p>
      <w:pPr>
        <w:spacing w:after="120" w:before="0"/>
      </w:pPr>
      <w:r>
        <w:rPr>
          <w:b w:val="0"/>
          <w:i w:val="0"/>
          <w:color w:val="1C3A36"/>
          <w:sz w:val="19"/>
        </w:rPr>
        <w:t>What the mix says: Industrial (AED 28.8 bn) and Real estate (27.8 bn) now dominate revenue, Construction (13.1 bn) and Services &amp; other (9.1 bn) complete it — but profit tells a different story. On FY2024 segment disclosure, Real estate earned AED 5.2 bn and Services &amp; other AED 4.4 bn of net profit against Construction’s 0.9 bn: the group’s earnings are Aldar plus the investment book, with construction the revenue-heavy, margin-light leg. That is why the SOTP — which prices Aldar and the stakes directly — is the primary lens, and why a consolidated margin model is the wrong primary tool.</w:t>
      </w:r>
    </w:p>
    <w:p>
      <w:pPr>
        <w:spacing w:after="80" w:before="200"/>
      </w:pPr>
      <w:r>
        <w:rPr>
          <w:b/>
          <w:i w:val="0"/>
          <w:color w:val="1C3A36"/>
          <w:sz w:val="24"/>
        </w:rPr>
        <w:t>1.7  The crux — the holdco premium, in real dirhams</w:t>
      </w:r>
    </w:p>
    <w:p>
      <w:pPr>
        <w:spacing w:after="120" w:before="0"/>
      </w:pPr>
      <w:r>
        <w:rPr>
          <w:b w:val="0"/>
          <w:i w:val="0"/>
          <w:color w:val="1C3A36"/>
          <w:sz w:val="19"/>
        </w:rPr>
        <w:t>Strip the study to one observable number. Marked NAV is AED 7.44/share; the market pays AED 8.22. The difference — AED 0.78/share, AED 7.8 bn across the company — is the price of believing this holdco creates value above the sum of what it owns. Each 5 points of holdco discount is worth AED 0.37/share; the spot price sits roughly two discount-notches above par. What could justify a premium: the FV-gain engine (AED +3.2 bn in FY2025 alone) persisting; IHC-ecosystem deal access that a minority investor cannot replicate; the buyback shrinking a thin float. What argues against it: attributable earnings fell 10% in FY2025 and EPS has declined two years running; the residual (unlisted) third of the book compounds only if new deals keep landing; and a live war tail sits under every ADX mark simultaneously. The premium is the trade. Everything else in this document is context for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If the market applied…</w:t>
            </w:r>
          </w:p>
        </w:tc>
        <w:tc>
          <w:tcPr>
            <w:tcW w:type="dxa" w:w="1368"/>
            <w:shd w:val="clear" w:color="auto" w:fill="EAF0EE"/>
          </w:tcPr>
          <w:p>
            <w:pPr>
              <w:spacing w:after="20"/>
            </w:pPr>
            <w:r>
              <w:rPr>
                <w:b/>
                <w:color w:val="1C3A36"/>
                <w:sz w:val="17"/>
              </w:rPr>
              <w:t>Par (0%)</w:t>
            </w:r>
          </w:p>
        </w:tc>
        <w:tc>
          <w:tcPr>
            <w:tcW w:type="dxa" w:w="1368"/>
            <w:shd w:val="clear" w:color="auto" w:fill="EAF0EE"/>
          </w:tcPr>
          <w:p>
            <w:pPr>
              <w:spacing w:after="20"/>
            </w:pPr>
            <w:r>
              <w:rPr>
                <w:b/>
                <w:color w:val="1C3A36"/>
                <w:sz w:val="17"/>
              </w:rPr>
              <w:t>10% disc.</w:t>
            </w:r>
          </w:p>
        </w:tc>
        <w:tc>
          <w:tcPr>
            <w:tcW w:type="dxa" w:w="1368"/>
            <w:shd w:val="clear" w:color="auto" w:fill="EAF0EE"/>
          </w:tcPr>
          <w:p>
            <w:pPr>
              <w:spacing w:after="20"/>
            </w:pPr>
            <w:r>
              <w:rPr>
                <w:b/>
                <w:color w:val="1C3A36"/>
                <w:sz w:val="17"/>
              </w:rPr>
              <w:t>15% disc.</w:t>
            </w:r>
          </w:p>
        </w:tc>
        <w:tc>
          <w:tcPr>
            <w:tcW w:type="dxa" w:w="1368"/>
            <w:shd w:val="clear" w:color="auto" w:fill="EAF0EE"/>
          </w:tcPr>
          <w:p>
            <w:pPr>
              <w:spacing w:after="20"/>
            </w:pPr>
            <w:r>
              <w:rPr>
                <w:b/>
                <w:color w:val="1C3A36"/>
                <w:sz w:val="17"/>
              </w:rPr>
              <w:t>25% disc.</w:t>
            </w:r>
          </w:p>
        </w:tc>
        <w:tc>
          <w:tcPr>
            <w:tcW w:type="dxa" w:w="1440"/>
            <w:shd w:val="clear" w:color="auto" w:fill="EAF0EE"/>
          </w:tcPr>
          <w:p>
            <w:pPr>
              <w:spacing w:after="20"/>
            </w:pPr>
            <w:r>
              <w:rPr>
                <w:b/>
                <w:color w:val="1C3A36"/>
                <w:sz w:val="17"/>
              </w:rPr>
              <w:t>Spot implies</w:t>
            </w:r>
          </w:p>
        </w:tc>
      </w:tr>
      <w:tr>
        <w:tc>
          <w:tcPr>
            <w:tcW w:type="dxa" w:w="3024"/>
          </w:tcPr>
          <w:p>
            <w:pPr>
              <w:spacing w:after="20"/>
            </w:pPr>
            <w:r>
              <w:rPr>
                <w:b/>
                <w:color w:val="1C3A36"/>
                <w:sz w:val="17"/>
              </w:rPr>
              <w:t>Share price (AED)</w:t>
            </w:r>
          </w:p>
        </w:tc>
        <w:tc>
          <w:tcPr>
            <w:tcW w:type="dxa" w:w="1368"/>
          </w:tcPr>
          <w:p>
            <w:pPr>
              <w:spacing w:after="20"/>
              <w:jc w:val="right"/>
            </w:pPr>
            <w:r>
              <w:rPr>
                <w:color w:val="1C3A36"/>
                <w:sz w:val="17"/>
              </w:rPr>
              <w:t>7.44</w:t>
            </w:r>
          </w:p>
        </w:tc>
        <w:tc>
          <w:tcPr>
            <w:tcW w:type="dxa" w:w="1368"/>
          </w:tcPr>
          <w:p>
            <w:pPr>
              <w:spacing w:after="20"/>
              <w:jc w:val="right"/>
            </w:pPr>
            <w:r>
              <w:rPr>
                <w:color w:val="1C3A36"/>
                <w:sz w:val="17"/>
              </w:rPr>
              <w:t>6.70</w:t>
            </w:r>
          </w:p>
        </w:tc>
        <w:tc>
          <w:tcPr>
            <w:tcW w:type="dxa" w:w="1368"/>
          </w:tcPr>
          <w:p>
            <w:pPr>
              <w:spacing w:after="20"/>
              <w:jc w:val="right"/>
            </w:pPr>
            <w:r>
              <w:rPr>
                <w:color w:val="1C3A36"/>
                <w:sz w:val="17"/>
              </w:rPr>
              <w:t>6.32</w:t>
            </w:r>
          </w:p>
        </w:tc>
        <w:tc>
          <w:tcPr>
            <w:tcW w:type="dxa" w:w="1368"/>
          </w:tcPr>
          <w:p>
            <w:pPr>
              <w:spacing w:after="20"/>
              <w:jc w:val="right"/>
            </w:pPr>
            <w:r>
              <w:rPr>
                <w:color w:val="1C3A36"/>
                <w:sz w:val="17"/>
              </w:rPr>
              <w:t>5.58</w:t>
            </w:r>
          </w:p>
        </w:tc>
        <w:tc>
          <w:tcPr>
            <w:tcW w:type="dxa" w:w="1440"/>
          </w:tcPr>
          <w:p>
            <w:pPr>
              <w:spacing w:after="20"/>
              <w:jc w:val="right"/>
            </w:pPr>
            <w:r>
              <w:rPr>
                <w:color w:val="1C3A36"/>
                <w:sz w:val="17"/>
              </w:rPr>
              <w:t>8.22</w:t>
            </w:r>
          </w:p>
        </w:tc>
      </w:tr>
      <w:tr>
        <w:tc>
          <w:tcPr>
            <w:tcW w:type="dxa" w:w="3024"/>
          </w:tcPr>
          <w:p>
            <w:pPr>
              <w:spacing w:after="20"/>
            </w:pPr>
            <w:r>
              <w:rPr>
                <w:b/>
                <w:color w:val="1C3A36"/>
                <w:sz w:val="17"/>
              </w:rPr>
              <w:t>Premium/(discount) to NAV</w:t>
            </w:r>
          </w:p>
        </w:tc>
        <w:tc>
          <w:tcPr>
            <w:tcW w:type="dxa" w:w="1368"/>
          </w:tcPr>
          <w:p>
            <w:pPr>
              <w:spacing w:after="20"/>
              <w:jc w:val="right"/>
            </w:pPr>
            <w:r>
              <w:rPr>
                <w:color w:val="1C3A36"/>
                <w:sz w:val="17"/>
              </w:rPr>
              <w:t>0%</w:t>
            </w:r>
          </w:p>
        </w:tc>
        <w:tc>
          <w:tcPr>
            <w:tcW w:type="dxa" w:w="1368"/>
          </w:tcPr>
          <w:p>
            <w:pPr>
              <w:spacing w:after="20"/>
              <w:jc w:val="right"/>
            </w:pPr>
            <w:r>
              <w:rPr>
                <w:color w:val="1C3A36"/>
                <w:sz w:val="17"/>
              </w:rPr>
              <w:t>−10%</w:t>
            </w:r>
          </w:p>
        </w:tc>
        <w:tc>
          <w:tcPr>
            <w:tcW w:type="dxa" w:w="1368"/>
          </w:tcPr>
          <w:p>
            <w:pPr>
              <w:spacing w:after="20"/>
              <w:jc w:val="right"/>
            </w:pPr>
            <w:r>
              <w:rPr>
                <w:color w:val="1C3A36"/>
                <w:sz w:val="17"/>
              </w:rPr>
              <w:t>−15%</w:t>
            </w:r>
          </w:p>
        </w:tc>
        <w:tc>
          <w:tcPr>
            <w:tcW w:type="dxa" w:w="1368"/>
          </w:tcPr>
          <w:p>
            <w:pPr>
              <w:spacing w:after="20"/>
              <w:jc w:val="right"/>
            </w:pPr>
            <w:r>
              <w:rPr>
                <w:color w:val="1C3A36"/>
                <w:sz w:val="17"/>
              </w:rPr>
              <w:t>−25%</w:t>
            </w:r>
          </w:p>
        </w:tc>
        <w:tc>
          <w:tcPr>
            <w:tcW w:type="dxa" w:w="1440"/>
          </w:tcPr>
          <w:p>
            <w:pPr>
              <w:spacing w:after="20"/>
              <w:jc w:val="right"/>
            </w:pPr>
            <w:r>
              <w:rPr>
                <w:color w:val="1C3A36"/>
                <w:sz w:val="17"/>
              </w:rPr>
              <w:t>+10%</w:t>
            </w:r>
          </w:p>
        </w:tc>
      </w:tr>
      <w:tr>
        <w:tc>
          <w:tcPr>
            <w:tcW w:type="dxa" w:w="3024"/>
          </w:tcPr>
          <w:p>
            <w:pPr>
              <w:spacing w:after="20"/>
            </w:pPr>
            <w:r>
              <w:rPr>
                <w:b/>
                <w:color w:val="1C3A36"/>
                <w:sz w:val="17"/>
              </w:rPr>
              <w:t>Value vs spot (AED bn)</w:t>
            </w:r>
          </w:p>
        </w:tc>
        <w:tc>
          <w:tcPr>
            <w:tcW w:type="dxa" w:w="1368"/>
          </w:tcPr>
          <w:p>
            <w:pPr>
              <w:spacing w:after="20"/>
              <w:jc w:val="right"/>
            </w:pPr>
            <w:r>
              <w:rPr>
                <w:color w:val="1C3A36"/>
                <w:sz w:val="17"/>
              </w:rPr>
              <w:t>-7.8</w:t>
            </w:r>
          </w:p>
        </w:tc>
        <w:tc>
          <w:tcPr>
            <w:tcW w:type="dxa" w:w="1368"/>
          </w:tcPr>
          <w:p>
            <w:pPr>
              <w:spacing w:after="20"/>
              <w:jc w:val="right"/>
            </w:pPr>
            <w:r>
              <w:rPr>
                <w:color w:val="1C3A36"/>
                <w:sz w:val="17"/>
              </w:rPr>
              <w:t>−15.2</w:t>
            </w:r>
          </w:p>
        </w:tc>
        <w:tc>
          <w:tcPr>
            <w:tcW w:type="dxa" w:w="1368"/>
          </w:tcPr>
          <w:p>
            <w:pPr>
              <w:spacing w:after="20"/>
              <w:jc w:val="right"/>
            </w:pPr>
            <w:r>
              <w:rPr>
                <w:color w:val="1C3A36"/>
                <w:sz w:val="17"/>
              </w:rPr>
              <w:t>-19.0</w:t>
            </w:r>
          </w:p>
        </w:tc>
        <w:tc>
          <w:tcPr>
            <w:tcW w:type="dxa" w:w="1368"/>
          </w:tcPr>
          <w:p>
            <w:pPr>
              <w:spacing w:after="20"/>
              <w:jc w:val="right"/>
            </w:pPr>
            <w:r>
              <w:rPr>
                <w:color w:val="1C3A36"/>
                <w:sz w:val="17"/>
              </w:rPr>
              <w:t>-26.4</w:t>
            </w:r>
          </w:p>
        </w:tc>
        <w:tc>
          <w:tcPr>
            <w:tcW w:type="dxa" w:w="1440"/>
          </w:tcPr>
          <w:p>
            <w:pPr>
              <w:spacing w:after="20"/>
              <w:jc w:val="right"/>
            </w:pPr>
            <w:r>
              <w:rPr>
                <w:color w:val="1C3A36"/>
                <w:sz w:val="17"/>
              </w:rPr>
              <w:t>—</w:t>
            </w:r>
          </w:p>
        </w:tc>
      </w:tr>
    </w:tbl>
    <w:p>
      <w:pPr>
        <w:spacing w:after="40"/>
      </w:pPr>
    </w:p>
    <w:p>
      <w:pPr>
        <w:spacing w:after="80" w:before="200"/>
      </w:pPr>
      <w:r>
        <w:rPr>
          <w:b/>
          <w:i w:val="0"/>
          <w:color w:val="1C3A36"/>
          <w:sz w:val="24"/>
        </w:rPr>
        <w:t>1.8  Macro, the war, and the sourced cost of capital</w:t>
      </w:r>
    </w:p>
    <w:p>
      <w:pPr>
        <w:spacing w:after="120" w:before="0"/>
      </w:pPr>
      <w:r>
        <w:rPr>
          <w:b w:val="0"/>
          <w:i w:val="0"/>
          <w:color w:val="1C3A36"/>
          <w:sz w:val="19"/>
        </w:rPr>
        <w:t>The macro frame is unusually binary this year. The UAE enters the 2026 Iran war as a bystander with exposure: the dirham peg imports Fed policy (mid-2026 target 3.50–3.75%, CBUAE base rate mirroring), the federal AED bond curve trades within ~16 bp of Treasuries, and Abu Dhabi’s Aa2 rating held through the spring escalation. The war matters through three channels ADH cannot hedge: ADX-wide risk premia (all four listed marks fall together in a stress), Gulf logistics and project timelines (NMDC’s marine works, Trojan’s sites), and the oil-linked fiscal pulse behind Abu Dhabi’s project pipeline. The March trough (AED 6.84 intraday, 31 Mar) and the April relief rally are both visible in the price series; the 7–8 Jul ceasefire collapse is not — it post-dates the data, and is carried here as an explicit tail rather than a modelled input. Domestically the DMTT (15% top-up tax from 1 Jan 2025) is a knowable, statutory headwind: the FY2025 ETR of 10.2% glides to 15% in the model, worth roughly −AED 0.4 bn of steady-state NOPAT versus the old regime.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Cost-of-capital input</w:t>
            </w:r>
          </w:p>
        </w:tc>
        <w:tc>
          <w:tcPr>
            <w:tcW w:type="dxa" w:w="1944"/>
            <w:shd w:val="clear" w:color="auto" w:fill="EAF0EE"/>
          </w:tcPr>
          <w:p>
            <w:pPr>
              <w:spacing w:after="20"/>
            </w:pPr>
            <w:r>
              <w:rPr>
                <w:b/>
                <w:color w:val="1C3A36"/>
                <w:sz w:val="17"/>
              </w:rPr>
              <w:t>Value</w:t>
            </w:r>
          </w:p>
        </w:tc>
        <w:tc>
          <w:tcPr>
            <w:tcW w:type="dxa" w:w="5544"/>
            <w:shd w:val="clear" w:color="auto" w:fill="EAF0EE"/>
          </w:tcPr>
          <w:p>
            <w:pPr>
              <w:spacing w:after="20"/>
            </w:pPr>
            <w:r>
              <w:rPr>
                <w:b/>
                <w:color w:val="1C3A36"/>
                <w:sz w:val="17"/>
              </w:rPr>
              <w:t>Source (Step-2A ring)</w:t>
            </w:r>
          </w:p>
        </w:tc>
      </w:tr>
      <w:tr>
        <w:tc>
          <w:tcPr>
            <w:tcW w:type="dxa" w:w="2736"/>
          </w:tcPr>
          <w:p>
            <w:pPr>
              <w:spacing w:after="20"/>
            </w:pPr>
            <w:r>
              <w:rPr>
                <w:b/>
                <w:color w:val="1C3A36"/>
                <w:sz w:val="17"/>
              </w:rPr>
              <w:t>Risk-free (AED, long)</w:t>
            </w:r>
          </w:p>
        </w:tc>
        <w:tc>
          <w:tcPr>
            <w:tcW w:type="dxa" w:w="1944"/>
          </w:tcPr>
          <w:p>
            <w:pPr>
              <w:spacing w:after="20"/>
              <w:jc w:val="right"/>
            </w:pPr>
            <w:r>
              <w:rPr>
                <w:color w:val="1C3A36"/>
                <w:sz w:val="17"/>
              </w:rPr>
              <w:t>4.75%</w:t>
            </w:r>
          </w:p>
        </w:tc>
        <w:tc>
          <w:tcPr>
            <w:tcW w:type="dxa" w:w="5544"/>
          </w:tcPr>
          <w:p>
            <w:pPr>
              <w:spacing w:after="20"/>
              <w:jc w:val="right"/>
            </w:pPr>
            <w:r>
              <w:rPr>
                <w:color w:val="1C3A36"/>
                <w:sz w:val="17"/>
              </w:rPr>
              <w:t>UAE federal AED T-bond, ≤16 bp over the 4.58% UST 10y — never the USD shortcut</w:t>
            </w:r>
          </w:p>
        </w:tc>
      </w:tr>
      <w:tr>
        <w:tc>
          <w:tcPr>
            <w:tcW w:type="dxa" w:w="2736"/>
          </w:tcPr>
          <w:p>
            <w:pPr>
              <w:spacing w:after="20"/>
            </w:pPr>
            <w:r>
              <w:rPr>
                <w:b/>
                <w:color w:val="1C3A36"/>
                <w:sz w:val="17"/>
              </w:rPr>
              <w:t>Carry rate (MC anchor)</w:t>
            </w:r>
          </w:p>
        </w:tc>
        <w:tc>
          <w:tcPr>
            <w:tcW w:type="dxa" w:w="1944"/>
          </w:tcPr>
          <w:p>
            <w:pPr>
              <w:spacing w:after="20"/>
              <w:jc w:val="right"/>
            </w:pPr>
            <w:r>
              <w:rPr>
                <w:color w:val="1C3A36"/>
                <w:sz w:val="17"/>
              </w:rPr>
              <w:t>3.93%</w:t>
            </w:r>
          </w:p>
        </w:tc>
        <w:tc>
          <w:tcPr>
            <w:tcW w:type="dxa" w:w="5544"/>
          </w:tcPr>
          <w:p>
            <w:pPr>
              <w:spacing w:after="20"/>
              <w:jc w:val="right"/>
            </w:pPr>
            <w:r>
              <w:rPr>
                <w:color w:val="1C3A36"/>
                <w:sz w:val="17"/>
              </w:rPr>
              <w:t>3M EIBOR, CBUAE</w:t>
            </w:r>
          </w:p>
        </w:tc>
      </w:tr>
      <w:tr>
        <w:tc>
          <w:tcPr>
            <w:tcW w:type="dxa" w:w="2736"/>
          </w:tcPr>
          <w:p>
            <w:pPr>
              <w:spacing w:after="20"/>
            </w:pPr>
            <w:r>
              <w:rPr>
                <w:b/>
                <w:color w:val="1C3A36"/>
                <w:sz w:val="17"/>
              </w:rPr>
              <w:t>ERP — rating basis</w:t>
            </w:r>
          </w:p>
        </w:tc>
        <w:tc>
          <w:tcPr>
            <w:tcW w:type="dxa" w:w="1944"/>
          </w:tcPr>
          <w:p>
            <w:pPr>
              <w:spacing w:after="20"/>
              <w:jc w:val="right"/>
            </w:pPr>
            <w:r>
              <w:rPr>
                <w:color w:val="1C3A36"/>
                <w:sz w:val="17"/>
              </w:rPr>
              <w:t>4.87%</w:t>
            </w:r>
          </w:p>
        </w:tc>
        <w:tc>
          <w:tcPr>
            <w:tcW w:type="dxa" w:w="5544"/>
          </w:tcPr>
          <w:p>
            <w:pPr>
              <w:spacing w:after="20"/>
              <w:jc w:val="right"/>
            </w:pPr>
            <w:r>
              <w:rPr>
                <w:color w:val="1C3A36"/>
                <w:sz w:val="17"/>
              </w:rPr>
              <w:t>Damodaran ORIGINAL file, Jan-2026 (UAE Aa2)</w:t>
            </w:r>
          </w:p>
        </w:tc>
      </w:tr>
      <w:tr>
        <w:tc>
          <w:tcPr>
            <w:tcW w:type="dxa" w:w="2736"/>
          </w:tcPr>
          <w:p>
            <w:pPr>
              <w:spacing w:after="20"/>
            </w:pPr>
            <w:r>
              <w:rPr>
                <w:b/>
                <w:color w:val="1C3A36"/>
                <w:sz w:val="17"/>
              </w:rPr>
              <w:t>ERP — CDS basis</w:t>
            </w:r>
          </w:p>
        </w:tc>
        <w:tc>
          <w:tcPr>
            <w:tcW w:type="dxa" w:w="1944"/>
          </w:tcPr>
          <w:p>
            <w:pPr>
              <w:spacing w:after="20"/>
              <w:jc w:val="right"/>
            </w:pPr>
            <w:r>
              <w:rPr>
                <w:color w:val="1C3A36"/>
                <w:sz w:val="17"/>
              </w:rPr>
              <w:t>4.93%</w:t>
            </w:r>
          </w:p>
        </w:tc>
        <w:tc>
          <w:tcPr>
            <w:tcW w:type="dxa" w:w="5544"/>
          </w:tcPr>
          <w:p>
            <w:pPr>
              <w:spacing w:after="20"/>
              <w:jc w:val="right"/>
            </w:pPr>
            <w:r>
              <w:rPr>
                <w:color w:val="1C3A36"/>
                <w:sz w:val="17"/>
              </w:rPr>
              <w:t>Damodaran ORIGINAL file, Jan-2026 (Abu Dhabi CDS 49 bp)</w:t>
            </w:r>
          </w:p>
        </w:tc>
      </w:tr>
      <w:tr>
        <w:tc>
          <w:tcPr>
            <w:tcW w:type="dxa" w:w="2736"/>
          </w:tcPr>
          <w:p>
            <w:pPr>
              <w:spacing w:after="20"/>
            </w:pPr>
            <w:r>
              <w:rPr>
                <w:b/>
                <w:color w:val="1C3A36"/>
                <w:sz w:val="17"/>
              </w:rPr>
              <w:t>Beta</w:t>
            </w:r>
          </w:p>
        </w:tc>
        <w:tc>
          <w:tcPr>
            <w:tcW w:type="dxa" w:w="1944"/>
          </w:tcPr>
          <w:p>
            <w:pPr>
              <w:spacing w:after="20"/>
              <w:jc w:val="right"/>
            </w:pPr>
            <w:r>
              <w:rPr>
                <w:color w:val="1C3A36"/>
                <w:sz w:val="17"/>
              </w:rPr>
              <w:t>1.00 (band 0.8–1.3)</w:t>
            </w:r>
          </w:p>
        </w:tc>
        <w:tc>
          <w:tcPr>
            <w:tcW w:type="dxa" w:w="5544"/>
          </w:tcPr>
          <w:p>
            <w:pPr>
              <w:spacing w:after="20"/>
              <w:jc w:val="right"/>
            </w:pPr>
            <w:r>
              <w:rPr>
                <w:color w:val="1C3A36"/>
                <w:sz w:val="17"/>
              </w:rPr>
              <w:t>Regression failed usability gate — no usable ADX index series; ledger row</w:t>
            </w:r>
          </w:p>
        </w:tc>
      </w:tr>
      <w:tr>
        <w:tc>
          <w:tcPr>
            <w:tcW w:type="dxa" w:w="2736"/>
          </w:tcPr>
          <w:p>
            <w:pPr>
              <w:spacing w:after="20"/>
            </w:pPr>
            <w:r>
              <w:rPr>
                <w:b/>
                <w:color w:val="1C3A36"/>
                <w:sz w:val="17"/>
              </w:rPr>
              <w:t>Ke — rating / CDS basis</w:t>
            </w:r>
          </w:p>
        </w:tc>
        <w:tc>
          <w:tcPr>
            <w:tcW w:type="dxa" w:w="1944"/>
          </w:tcPr>
          <w:p>
            <w:pPr>
              <w:spacing w:after="20"/>
              <w:jc w:val="right"/>
            </w:pPr>
            <w:r>
              <w:rPr>
                <w:color w:val="1C3A36"/>
                <w:sz w:val="17"/>
              </w:rPr>
              <w:t>9.62% / 9.68%</w:t>
            </w:r>
          </w:p>
        </w:tc>
        <w:tc>
          <w:tcPr>
            <w:tcW w:type="dxa" w:w="5544"/>
          </w:tcPr>
          <w:p>
            <w:pPr>
              <w:spacing w:after="20"/>
              <w:jc w:val="right"/>
            </w:pPr>
            <w:r>
              <w:rPr>
                <w:color w:val="1C3A36"/>
                <w:sz w:val="17"/>
              </w:rPr>
              <w:t>rf + β·ERP, both published per house rule</w:t>
            </w:r>
          </w:p>
        </w:tc>
      </w:tr>
      <w:tr>
        <w:tc>
          <w:tcPr>
            <w:tcW w:type="dxa" w:w="2736"/>
          </w:tcPr>
          <w:p>
            <w:pPr>
              <w:spacing w:after="20"/>
            </w:pPr>
            <w:r>
              <w:rPr>
                <w:b/>
                <w:color w:val="1C3A36"/>
                <w:sz w:val="17"/>
              </w:rPr>
              <w:t>Kd (pre-tax)</w:t>
            </w:r>
          </w:p>
        </w:tc>
        <w:tc>
          <w:tcPr>
            <w:tcW w:type="dxa" w:w="1944"/>
          </w:tcPr>
          <w:p>
            <w:pPr>
              <w:spacing w:after="20"/>
              <w:jc w:val="right"/>
            </w:pPr>
            <w:r>
              <w:rPr>
                <w:color w:val="1C3A36"/>
                <w:sz w:val="17"/>
              </w:rPr>
              <w:t>6.0%</w:t>
            </w:r>
          </w:p>
        </w:tc>
        <w:tc>
          <w:tcPr>
            <w:tcW w:type="dxa" w:w="5544"/>
          </w:tcPr>
          <w:p>
            <w:pPr>
              <w:spacing w:after="20"/>
              <w:jc w:val="right"/>
            </w:pPr>
            <w:r>
              <w:rPr>
                <w:color w:val="1C3A36"/>
                <w:sz w:val="17"/>
              </w:rPr>
              <w:t>EIBOR + ~200 bp holdco spread; AED-denominated book</w:t>
            </w:r>
          </w:p>
        </w:tc>
      </w:tr>
      <w:tr>
        <w:tc>
          <w:tcPr>
            <w:tcW w:type="dxa" w:w="2736"/>
          </w:tcPr>
          <w:p>
            <w:pPr>
              <w:spacing w:after="20"/>
            </w:pPr>
            <w:r>
              <w:rPr>
                <w:b/>
                <w:color w:val="1C3A36"/>
                <w:sz w:val="17"/>
              </w:rPr>
              <w:t>WACC</w:t>
            </w:r>
          </w:p>
        </w:tc>
        <w:tc>
          <w:tcPr>
            <w:tcW w:type="dxa" w:w="1944"/>
          </w:tcPr>
          <w:p>
            <w:pPr>
              <w:spacing w:after="20"/>
              <w:jc w:val="right"/>
            </w:pPr>
            <w:r>
              <w:rPr>
                <w:color w:val="1C3A36"/>
                <w:sz w:val="17"/>
              </w:rPr>
              <w:t>8.61%</w:t>
            </w:r>
          </w:p>
        </w:tc>
        <w:tc>
          <w:tcPr>
            <w:tcW w:type="dxa" w:w="5544"/>
          </w:tcPr>
          <w:p>
            <w:pPr>
              <w:spacing w:after="20"/>
              <w:jc w:val="right"/>
            </w:pPr>
            <w:r>
              <w:rPr>
                <w:color w:val="1C3A36"/>
                <w:sz w:val="17"/>
              </w:rPr>
              <w:t>D/(D+E) ≈ 25% at market values; tax 15% terminal</w:t>
            </w:r>
          </w:p>
        </w:tc>
      </w:tr>
    </w:tbl>
    <w:p>
      <w:pPr>
        <w:spacing w:after="40"/>
      </w:pPr>
    </w:p>
    <w:p>
      <w:pPr>
        <w:spacing w:after="80" w:before="200"/>
      </w:pPr>
      <w:r>
        <w:rPr>
          <w:b/>
          <w:i w:val="0"/>
          <w:color w:val="1C3A36"/>
          <w:sz w:val="24"/>
        </w:rPr>
        <w:t>1.9  Sensitivity — the rate, the terminal, the discount, and the book</w:t>
      </w:r>
    </w:p>
    <w:p>
      <w:pPr>
        <w:spacing w:after="40"/>
        <w:jc w:val="center"/>
      </w:pPr>
      <w:r>
        <w:drawing>
          <wp:inline xmlns:a="http://schemas.openxmlformats.org/drawingml/2006/main" xmlns:pic="http://schemas.openxmlformats.org/drawingml/2006/picture">
            <wp:extent cx="5852160" cy="3388093"/>
            <wp:docPr id="5" name="Picture 5"/>
            <wp:cNvGraphicFramePr>
              <a:graphicFrameLocks noChangeAspect="1"/>
            </wp:cNvGraphicFramePr>
            <a:graphic>
              <a:graphicData uri="http://schemas.openxmlformats.org/drawingml/2006/picture">
                <pic:pic>
                  <pic:nvPicPr>
                    <pic:cNvPr id="0" name="fig_sens.png"/>
                    <pic:cNvPicPr/>
                  </pic:nvPicPr>
                  <pic:blipFill>
                    <a:blip r:embed="rId13"/>
                    <a:stretch>
                      <a:fillRect/>
                    </a:stretch>
                  </pic:blipFill>
                  <pic:spPr>
                    <a:xfrm>
                      <a:off x="0" y="0"/>
                      <a:ext cx="5852160" cy="3388093"/>
                    </a:xfrm>
                    <a:prstGeom prst="rect"/>
                  </pic:spPr>
                </pic:pic>
              </a:graphicData>
            </a:graphic>
          </wp:inline>
        </w:drawing>
      </w:r>
    </w:p>
    <w:p>
      <w:pPr>
        <w:spacing w:after="200" w:before="0"/>
      </w:pPr>
      <w:r>
        <w:rPr>
          <w:b w:val="0"/>
          <w:i/>
          <w:color w:val="6E7B77"/>
          <w:sz w:val="17"/>
        </w:rPr>
        <w:t>Figure 5 — DCF fair value (AED/share, owners’ 53.3%) across WACC × terminal growth. The base cell (8.6%, 3.0%) reads 11.75.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448"/>
            <w:shd w:val="clear" w:color="auto" w:fill="EAF0EE"/>
          </w:tcPr>
          <w:p>
            <w:pPr>
              <w:spacing w:after="20"/>
            </w:pPr>
            <w:r>
              <w:rPr>
                <w:b/>
                <w:color w:val="1C3A36"/>
                <w:sz w:val="17"/>
              </w:rPr>
              <w:t>DCF /sh: WACC ↓ × g →</w:t>
            </w:r>
          </w:p>
        </w:tc>
        <w:tc>
          <w:tcPr>
            <w:tcW w:type="dxa" w:w="1512"/>
            <w:shd w:val="clear" w:color="auto" w:fill="EAF0EE"/>
          </w:tcPr>
          <w:p>
            <w:pPr>
              <w:spacing w:after="20"/>
            </w:pPr>
            <w:r>
              <w:rPr>
                <w:b/>
                <w:color w:val="1C3A36"/>
                <w:sz w:val="17"/>
              </w:rPr>
              <w:t>2.0%</w:t>
            </w:r>
          </w:p>
        </w:tc>
        <w:tc>
          <w:tcPr>
            <w:tcW w:type="dxa" w:w="1512"/>
            <w:shd w:val="clear" w:color="auto" w:fill="EAF0EE"/>
          </w:tcPr>
          <w:p>
            <w:pPr>
              <w:spacing w:after="20"/>
            </w:pPr>
            <w:r>
              <w:rPr>
                <w:b/>
                <w:color w:val="1C3A36"/>
                <w:sz w:val="17"/>
              </w:rPr>
              <w:t>2.5%</w:t>
            </w:r>
          </w:p>
        </w:tc>
        <w:tc>
          <w:tcPr>
            <w:tcW w:type="dxa" w:w="1512"/>
            <w:shd w:val="clear" w:color="auto" w:fill="EAF0EE"/>
          </w:tcPr>
          <w:p>
            <w:pPr>
              <w:spacing w:after="20"/>
            </w:pPr>
            <w:r>
              <w:rPr>
                <w:b/>
                <w:color w:val="1C3A36"/>
                <w:sz w:val="17"/>
              </w:rPr>
              <w:t>3.0%</w:t>
            </w:r>
          </w:p>
        </w:tc>
        <w:tc>
          <w:tcPr>
            <w:tcW w:type="dxa" w:w="1512"/>
            <w:shd w:val="clear" w:color="auto" w:fill="EAF0EE"/>
          </w:tcPr>
          <w:p>
            <w:pPr>
              <w:spacing w:after="20"/>
            </w:pPr>
            <w:r>
              <w:rPr>
                <w:b/>
                <w:color w:val="1C3A36"/>
                <w:sz w:val="17"/>
              </w:rPr>
              <w:t>3.5%</w:t>
            </w:r>
          </w:p>
        </w:tc>
        <w:tc>
          <w:tcPr>
            <w:tcW w:type="dxa" w:w="1512"/>
            <w:shd w:val="clear" w:color="auto" w:fill="EAF0EE"/>
          </w:tcPr>
          <w:p>
            <w:pPr>
              <w:spacing w:after="20"/>
            </w:pPr>
            <w:r>
              <w:rPr>
                <w:b/>
                <w:color w:val="1C3A36"/>
                <w:sz w:val="17"/>
              </w:rPr>
              <w:t>4.0%</w:t>
            </w:r>
          </w:p>
        </w:tc>
      </w:tr>
      <w:tr>
        <w:tc>
          <w:tcPr>
            <w:tcW w:type="dxa" w:w="2448"/>
          </w:tcPr>
          <w:p>
            <w:pPr>
              <w:spacing w:after="20"/>
            </w:pPr>
            <w:r>
              <w:rPr>
                <w:color w:val="1C3A36"/>
                <w:sz w:val="17"/>
              </w:rPr>
              <w:t>7.8%</w:t>
            </w:r>
          </w:p>
        </w:tc>
        <w:tc>
          <w:tcPr>
            <w:tcW w:type="dxa" w:w="1512"/>
          </w:tcPr>
          <w:p>
            <w:pPr>
              <w:spacing w:after="20"/>
              <w:jc w:val="right"/>
            </w:pPr>
            <w:r>
              <w:rPr>
                <w:color w:val="1C3A36"/>
                <w:sz w:val="17"/>
              </w:rPr>
              <w:t>11.73</w:t>
            </w:r>
          </w:p>
        </w:tc>
        <w:tc>
          <w:tcPr>
            <w:tcW w:type="dxa" w:w="1512"/>
          </w:tcPr>
          <w:p>
            <w:pPr>
              <w:spacing w:after="20"/>
              <w:jc w:val="right"/>
            </w:pPr>
            <w:r>
              <w:rPr>
                <w:color w:val="1C3A36"/>
                <w:sz w:val="17"/>
              </w:rPr>
              <w:t>12.67</w:t>
            </w:r>
          </w:p>
        </w:tc>
        <w:tc>
          <w:tcPr>
            <w:tcW w:type="dxa" w:w="1512"/>
          </w:tcPr>
          <w:p>
            <w:pPr>
              <w:spacing w:after="20"/>
              <w:jc w:val="right"/>
            </w:pPr>
            <w:r>
              <w:rPr>
                <w:color w:val="1C3A36"/>
                <w:sz w:val="17"/>
              </w:rPr>
              <w:t>13.81</w:t>
            </w:r>
          </w:p>
        </w:tc>
        <w:tc>
          <w:tcPr>
            <w:tcW w:type="dxa" w:w="1512"/>
          </w:tcPr>
          <w:p>
            <w:pPr>
              <w:spacing w:after="20"/>
              <w:jc w:val="right"/>
            </w:pPr>
            <w:r>
              <w:rPr>
                <w:color w:val="1C3A36"/>
                <w:sz w:val="17"/>
              </w:rPr>
              <w:t>15.21</w:t>
            </w:r>
          </w:p>
        </w:tc>
        <w:tc>
          <w:tcPr>
            <w:tcW w:type="dxa" w:w="1512"/>
          </w:tcPr>
          <w:p>
            <w:pPr>
              <w:spacing w:after="20"/>
              <w:jc w:val="right"/>
            </w:pPr>
            <w:r>
              <w:rPr>
                <w:color w:val="1C3A36"/>
                <w:sz w:val="17"/>
              </w:rPr>
              <w:t>16.98</w:t>
            </w:r>
          </w:p>
        </w:tc>
      </w:tr>
      <w:tr>
        <w:tc>
          <w:tcPr>
            <w:tcW w:type="dxa" w:w="2448"/>
          </w:tcPr>
          <w:p>
            <w:pPr>
              <w:spacing w:after="20"/>
            </w:pPr>
            <w:r>
              <w:rPr>
                <w:color w:val="1C3A36"/>
                <w:sz w:val="17"/>
              </w:rPr>
              <w:t>8.2%</w:t>
            </w:r>
          </w:p>
        </w:tc>
        <w:tc>
          <w:tcPr>
            <w:tcW w:type="dxa" w:w="1512"/>
          </w:tcPr>
          <w:p>
            <w:pPr>
              <w:spacing w:after="20"/>
              <w:jc w:val="right"/>
            </w:pPr>
            <w:r>
              <w:rPr>
                <w:color w:val="1C3A36"/>
                <w:sz w:val="17"/>
              </w:rPr>
              <w:t>10.93</w:t>
            </w:r>
          </w:p>
        </w:tc>
        <w:tc>
          <w:tcPr>
            <w:tcW w:type="dxa" w:w="1512"/>
          </w:tcPr>
          <w:p>
            <w:pPr>
              <w:spacing w:after="20"/>
              <w:jc w:val="right"/>
            </w:pPr>
            <w:r>
              <w:rPr>
                <w:color w:val="1C3A36"/>
                <w:sz w:val="17"/>
              </w:rPr>
              <w:t>11.74</w:t>
            </w:r>
          </w:p>
        </w:tc>
        <w:tc>
          <w:tcPr>
            <w:tcW w:type="dxa" w:w="1512"/>
          </w:tcPr>
          <w:p>
            <w:pPr>
              <w:spacing w:after="20"/>
              <w:jc w:val="right"/>
            </w:pPr>
            <w:r>
              <w:rPr>
                <w:color w:val="1C3A36"/>
                <w:sz w:val="17"/>
              </w:rPr>
              <w:t>12.70</w:t>
            </w:r>
          </w:p>
        </w:tc>
        <w:tc>
          <w:tcPr>
            <w:tcW w:type="dxa" w:w="1512"/>
          </w:tcPr>
          <w:p>
            <w:pPr>
              <w:spacing w:after="20"/>
              <w:jc w:val="right"/>
            </w:pPr>
            <w:r>
              <w:rPr>
                <w:color w:val="1C3A36"/>
                <w:sz w:val="17"/>
              </w:rPr>
              <w:t>13.86</w:t>
            </w:r>
          </w:p>
        </w:tc>
        <w:tc>
          <w:tcPr>
            <w:tcW w:type="dxa" w:w="1512"/>
          </w:tcPr>
          <w:p>
            <w:pPr>
              <w:spacing w:after="20"/>
              <w:jc w:val="right"/>
            </w:pPr>
            <w:r>
              <w:rPr>
                <w:color w:val="1C3A36"/>
                <w:sz w:val="17"/>
              </w:rPr>
              <w:t>15.31</w:t>
            </w:r>
          </w:p>
        </w:tc>
      </w:tr>
      <w:tr>
        <w:tc>
          <w:tcPr>
            <w:tcW w:type="dxa" w:w="2448"/>
            <w:shd w:val="clear" w:color="auto" w:fill="F6F1E6"/>
          </w:tcPr>
          <w:p>
            <w:pPr>
              <w:spacing w:after="20"/>
            </w:pPr>
            <w:r>
              <w:rPr>
                <w:b/>
                <w:color w:val="1C3A36"/>
                <w:sz w:val="17"/>
              </w:rPr>
              <w:t>8.6%</w:t>
            </w:r>
          </w:p>
        </w:tc>
        <w:tc>
          <w:tcPr>
            <w:tcW w:type="dxa" w:w="1512"/>
            <w:shd w:val="clear" w:color="auto" w:fill="F6F1E6"/>
          </w:tcPr>
          <w:p>
            <w:pPr>
              <w:spacing w:after="20"/>
              <w:jc w:val="right"/>
            </w:pPr>
            <w:r>
              <w:rPr>
                <w:b/>
                <w:color w:val="1C3A36"/>
                <w:sz w:val="17"/>
              </w:rPr>
              <w:t>10.23</w:t>
            </w:r>
          </w:p>
        </w:tc>
        <w:tc>
          <w:tcPr>
            <w:tcW w:type="dxa" w:w="1512"/>
            <w:shd w:val="clear" w:color="auto" w:fill="F6F1E6"/>
          </w:tcPr>
          <w:p>
            <w:pPr>
              <w:spacing w:after="20"/>
              <w:jc w:val="right"/>
            </w:pPr>
            <w:r>
              <w:rPr>
                <w:b/>
                <w:color w:val="1C3A36"/>
                <w:sz w:val="17"/>
              </w:rPr>
              <w:t>10.93</w:t>
            </w:r>
          </w:p>
        </w:tc>
        <w:tc>
          <w:tcPr>
            <w:tcW w:type="dxa" w:w="1512"/>
            <w:shd w:val="clear" w:color="auto" w:fill="F6F1E6"/>
          </w:tcPr>
          <w:p>
            <w:pPr>
              <w:spacing w:after="20"/>
              <w:jc w:val="right"/>
            </w:pPr>
            <w:r>
              <w:rPr>
                <w:b/>
                <w:color w:val="1C3A36"/>
                <w:sz w:val="17"/>
              </w:rPr>
              <w:t>11.75</w:t>
            </w:r>
          </w:p>
        </w:tc>
        <w:tc>
          <w:tcPr>
            <w:tcW w:type="dxa" w:w="1512"/>
            <w:shd w:val="clear" w:color="auto" w:fill="F6F1E6"/>
          </w:tcPr>
          <w:p>
            <w:pPr>
              <w:spacing w:after="20"/>
              <w:jc w:val="right"/>
            </w:pPr>
            <w:r>
              <w:rPr>
                <w:b/>
                <w:color w:val="1C3A36"/>
                <w:sz w:val="17"/>
              </w:rPr>
              <w:t>12.73</w:t>
            </w:r>
          </w:p>
        </w:tc>
        <w:tc>
          <w:tcPr>
            <w:tcW w:type="dxa" w:w="1512"/>
            <w:shd w:val="clear" w:color="auto" w:fill="F6F1E6"/>
          </w:tcPr>
          <w:p>
            <w:pPr>
              <w:spacing w:after="20"/>
              <w:jc w:val="right"/>
            </w:pPr>
            <w:r>
              <w:rPr>
                <w:b/>
                <w:color w:val="1C3A36"/>
                <w:sz w:val="17"/>
              </w:rPr>
              <w:t>13.93</w:t>
            </w:r>
          </w:p>
        </w:tc>
      </w:tr>
      <w:tr>
        <w:tc>
          <w:tcPr>
            <w:tcW w:type="dxa" w:w="2448"/>
          </w:tcPr>
          <w:p>
            <w:pPr>
              <w:spacing w:after="20"/>
            </w:pPr>
            <w:r>
              <w:rPr>
                <w:color w:val="1C3A36"/>
                <w:sz w:val="17"/>
              </w:rPr>
              <w:t>9.0%</w:t>
            </w:r>
          </w:p>
        </w:tc>
        <w:tc>
          <w:tcPr>
            <w:tcW w:type="dxa" w:w="1512"/>
          </w:tcPr>
          <w:p>
            <w:pPr>
              <w:spacing w:after="20"/>
              <w:jc w:val="right"/>
            </w:pPr>
            <w:r>
              <w:rPr>
                <w:color w:val="1C3A36"/>
                <w:sz w:val="17"/>
              </w:rPr>
              <w:t>9.61</w:t>
            </w:r>
          </w:p>
        </w:tc>
        <w:tc>
          <w:tcPr>
            <w:tcW w:type="dxa" w:w="1512"/>
          </w:tcPr>
          <w:p>
            <w:pPr>
              <w:spacing w:after="20"/>
              <w:jc w:val="right"/>
            </w:pPr>
            <w:r>
              <w:rPr>
                <w:color w:val="1C3A36"/>
                <w:sz w:val="17"/>
              </w:rPr>
              <w:t>10.22</w:t>
            </w:r>
          </w:p>
        </w:tc>
        <w:tc>
          <w:tcPr>
            <w:tcW w:type="dxa" w:w="1512"/>
          </w:tcPr>
          <w:p>
            <w:pPr>
              <w:spacing w:after="20"/>
              <w:jc w:val="right"/>
            </w:pPr>
            <w:r>
              <w:rPr>
                <w:color w:val="1C3A36"/>
                <w:sz w:val="17"/>
              </w:rPr>
              <w:t>10.93</w:t>
            </w:r>
          </w:p>
        </w:tc>
        <w:tc>
          <w:tcPr>
            <w:tcW w:type="dxa" w:w="1512"/>
          </w:tcPr>
          <w:p>
            <w:pPr>
              <w:spacing w:after="20"/>
              <w:jc w:val="right"/>
            </w:pPr>
            <w:r>
              <w:rPr>
                <w:color w:val="1C3A36"/>
                <w:sz w:val="17"/>
              </w:rPr>
              <w:t>11.76</w:t>
            </w:r>
          </w:p>
        </w:tc>
        <w:tc>
          <w:tcPr>
            <w:tcW w:type="dxa" w:w="1512"/>
          </w:tcPr>
          <w:p>
            <w:pPr>
              <w:spacing w:after="20"/>
              <w:jc w:val="right"/>
            </w:pPr>
            <w:r>
              <w:rPr>
                <w:color w:val="1C3A36"/>
                <w:sz w:val="17"/>
              </w:rPr>
              <w:t>12.77</w:t>
            </w:r>
          </w:p>
        </w:tc>
      </w:tr>
      <w:tr>
        <w:tc>
          <w:tcPr>
            <w:tcW w:type="dxa" w:w="2448"/>
          </w:tcPr>
          <w:p>
            <w:pPr>
              <w:spacing w:after="20"/>
            </w:pPr>
            <w:r>
              <w:rPr>
                <w:color w:val="1C3A36"/>
                <w:sz w:val="17"/>
              </w:rPr>
              <w:t>9.5%</w:t>
            </w:r>
          </w:p>
        </w:tc>
        <w:tc>
          <w:tcPr>
            <w:tcW w:type="dxa" w:w="1512"/>
          </w:tcPr>
          <w:p>
            <w:pPr>
              <w:spacing w:after="20"/>
              <w:jc w:val="right"/>
            </w:pPr>
            <w:r>
              <w:rPr>
                <w:color w:val="1C3A36"/>
                <w:sz w:val="17"/>
              </w:rPr>
              <w:t>8.93</w:t>
            </w:r>
          </w:p>
        </w:tc>
        <w:tc>
          <w:tcPr>
            <w:tcW w:type="dxa" w:w="1512"/>
          </w:tcPr>
          <w:p>
            <w:pPr>
              <w:spacing w:after="20"/>
              <w:jc w:val="right"/>
            </w:pPr>
            <w:r>
              <w:rPr>
                <w:color w:val="1C3A36"/>
                <w:sz w:val="17"/>
              </w:rPr>
              <w:t>9.44</w:t>
            </w:r>
          </w:p>
        </w:tc>
        <w:tc>
          <w:tcPr>
            <w:tcW w:type="dxa" w:w="1512"/>
          </w:tcPr>
          <w:p>
            <w:pPr>
              <w:spacing w:after="20"/>
              <w:jc w:val="right"/>
            </w:pPr>
            <w:r>
              <w:rPr>
                <w:color w:val="1C3A36"/>
                <w:sz w:val="17"/>
              </w:rPr>
              <w:t>10.04</w:t>
            </w:r>
          </w:p>
        </w:tc>
        <w:tc>
          <w:tcPr>
            <w:tcW w:type="dxa" w:w="1512"/>
          </w:tcPr>
          <w:p>
            <w:pPr>
              <w:spacing w:after="20"/>
              <w:jc w:val="right"/>
            </w:pPr>
            <w:r>
              <w:rPr>
                <w:color w:val="1C3A36"/>
                <w:sz w:val="17"/>
              </w:rPr>
              <w:t>10.74</w:t>
            </w:r>
          </w:p>
        </w:tc>
        <w:tc>
          <w:tcPr>
            <w:tcW w:type="dxa" w:w="1512"/>
          </w:tcPr>
          <w:p>
            <w:pPr>
              <w:spacing w:after="20"/>
              <w:jc w:val="right"/>
            </w:pPr>
            <w:r>
              <w:rPr>
                <w:color w:val="1C3A36"/>
                <w:sz w:val="17"/>
              </w:rPr>
              <w:t>11.56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NAV /sh: discount ↓ × residual book →</w:t>
            </w:r>
          </w:p>
        </w:tc>
        <w:tc>
          <w:tcPr>
            <w:tcW w:type="dxa" w:w="1656"/>
            <w:shd w:val="clear" w:color="auto" w:fill="EAF0EE"/>
          </w:tcPr>
          <w:p>
            <w:pPr>
              <w:spacing w:after="20"/>
            </w:pPr>
            <w:r>
              <w:rPr>
                <w:b/>
                <w:color w:val="1C3A36"/>
                <w:sz w:val="17"/>
              </w:rPr>
              <w:t>−AED 5 bn</w:t>
            </w:r>
          </w:p>
        </w:tc>
        <w:tc>
          <w:tcPr>
            <w:tcW w:type="dxa" w:w="1656"/>
            <w:shd w:val="clear" w:color="auto" w:fill="EAF0EE"/>
          </w:tcPr>
          <w:p>
            <w:pPr>
              <w:spacing w:after="20"/>
            </w:pPr>
            <w:r>
              <w:rPr>
                <w:b/>
                <w:color w:val="1C3A36"/>
                <w:sz w:val="17"/>
              </w:rPr>
              <w:t>Base</w:t>
            </w:r>
          </w:p>
        </w:tc>
        <w:tc>
          <w:tcPr>
            <w:tcW w:type="dxa" w:w="1656"/>
            <w:shd w:val="clear" w:color="auto" w:fill="EAF0EE"/>
          </w:tcPr>
          <w:p>
            <w:pPr>
              <w:spacing w:after="20"/>
            </w:pPr>
            <w:r>
              <w:rPr>
                <w:b/>
                <w:color w:val="1C3A36"/>
                <w:sz w:val="17"/>
              </w:rPr>
              <w:t>+AED 5 bn</w:t>
            </w:r>
          </w:p>
        </w:tc>
      </w:tr>
      <w:tr>
        <w:tc>
          <w:tcPr>
            <w:tcW w:type="dxa" w:w="3744"/>
          </w:tcPr>
          <w:p>
            <w:pPr>
              <w:spacing w:after="20"/>
            </w:pPr>
            <w:r>
              <w:rPr>
                <w:color w:val="1C3A36"/>
                <w:sz w:val="17"/>
              </w:rPr>
              <w:t>0% (par)</w:t>
            </w:r>
          </w:p>
        </w:tc>
        <w:tc>
          <w:tcPr>
            <w:tcW w:type="dxa" w:w="1656"/>
          </w:tcPr>
          <w:p>
            <w:pPr>
              <w:spacing w:after="20"/>
              <w:jc w:val="right"/>
            </w:pPr>
            <w:r>
              <w:rPr>
                <w:color w:val="1C3A36"/>
                <w:sz w:val="17"/>
              </w:rPr>
              <w:t>6.94</w:t>
            </w:r>
          </w:p>
        </w:tc>
        <w:tc>
          <w:tcPr>
            <w:tcW w:type="dxa" w:w="1656"/>
          </w:tcPr>
          <w:p>
            <w:pPr>
              <w:spacing w:after="20"/>
              <w:jc w:val="right"/>
            </w:pPr>
            <w:r>
              <w:rPr>
                <w:color w:val="1C3A36"/>
                <w:sz w:val="17"/>
              </w:rPr>
              <w:t>7.44</w:t>
            </w:r>
          </w:p>
        </w:tc>
        <w:tc>
          <w:tcPr>
            <w:tcW w:type="dxa" w:w="1656"/>
          </w:tcPr>
          <w:p>
            <w:pPr>
              <w:spacing w:after="20"/>
              <w:jc w:val="right"/>
            </w:pPr>
            <w:r>
              <w:rPr>
                <w:color w:val="1C3A36"/>
                <w:sz w:val="17"/>
              </w:rPr>
              <w:t>7.94</w:t>
            </w:r>
          </w:p>
        </w:tc>
      </w:tr>
      <w:tr>
        <w:tc>
          <w:tcPr>
            <w:tcW w:type="dxa" w:w="3744"/>
            <w:shd w:val="clear" w:color="auto" w:fill="F6F1E6"/>
          </w:tcPr>
          <w:p>
            <w:pPr>
              <w:spacing w:after="20"/>
            </w:pPr>
            <w:r>
              <w:rPr>
                <w:b/>
                <w:color w:val="1C3A36"/>
                <w:sz w:val="17"/>
              </w:rPr>
              <w:t>15% (base)</w:t>
            </w:r>
          </w:p>
        </w:tc>
        <w:tc>
          <w:tcPr>
            <w:tcW w:type="dxa" w:w="1656"/>
            <w:shd w:val="clear" w:color="auto" w:fill="F6F1E6"/>
          </w:tcPr>
          <w:p>
            <w:pPr>
              <w:spacing w:after="20"/>
              <w:jc w:val="right"/>
            </w:pPr>
            <w:r>
              <w:rPr>
                <w:b/>
                <w:color w:val="1C3A36"/>
                <w:sz w:val="17"/>
              </w:rPr>
              <w:t>5.90</w:t>
            </w:r>
          </w:p>
        </w:tc>
        <w:tc>
          <w:tcPr>
            <w:tcW w:type="dxa" w:w="1656"/>
            <w:shd w:val="clear" w:color="auto" w:fill="F6F1E6"/>
          </w:tcPr>
          <w:p>
            <w:pPr>
              <w:spacing w:after="20"/>
              <w:jc w:val="right"/>
            </w:pPr>
            <w:r>
              <w:rPr>
                <w:b/>
                <w:color w:val="1C3A36"/>
                <w:sz w:val="17"/>
              </w:rPr>
              <w:t>6.32</w:t>
            </w:r>
          </w:p>
        </w:tc>
        <w:tc>
          <w:tcPr>
            <w:tcW w:type="dxa" w:w="1656"/>
            <w:shd w:val="clear" w:color="auto" w:fill="F6F1E6"/>
          </w:tcPr>
          <w:p>
            <w:pPr>
              <w:spacing w:after="20"/>
              <w:jc w:val="right"/>
            </w:pPr>
            <w:r>
              <w:rPr>
                <w:b/>
                <w:color w:val="1C3A36"/>
                <w:sz w:val="17"/>
              </w:rPr>
              <w:t>6.75</w:t>
            </w:r>
          </w:p>
        </w:tc>
      </w:tr>
      <w:tr>
        <w:tc>
          <w:tcPr>
            <w:tcW w:type="dxa" w:w="3744"/>
          </w:tcPr>
          <w:p>
            <w:pPr>
              <w:spacing w:after="20"/>
            </w:pPr>
            <w:r>
              <w:rPr>
                <w:color w:val="1C3A36"/>
                <w:sz w:val="17"/>
              </w:rPr>
              <w:t>25%</w:t>
            </w:r>
          </w:p>
        </w:tc>
        <w:tc>
          <w:tcPr>
            <w:tcW w:type="dxa" w:w="1656"/>
          </w:tcPr>
          <w:p>
            <w:pPr>
              <w:spacing w:after="20"/>
              <w:jc w:val="right"/>
            </w:pPr>
            <w:r>
              <w:rPr>
                <w:color w:val="1C3A36"/>
                <w:sz w:val="17"/>
              </w:rPr>
              <w:t>5.21</w:t>
            </w:r>
          </w:p>
        </w:tc>
        <w:tc>
          <w:tcPr>
            <w:tcW w:type="dxa" w:w="1656"/>
          </w:tcPr>
          <w:p>
            <w:pPr>
              <w:spacing w:after="20"/>
              <w:jc w:val="right"/>
            </w:pPr>
            <w:r>
              <w:rPr>
                <w:color w:val="1C3A36"/>
                <w:sz w:val="17"/>
              </w:rPr>
              <w:t>5.58</w:t>
            </w:r>
          </w:p>
        </w:tc>
        <w:tc>
          <w:tcPr>
            <w:tcW w:type="dxa" w:w="1656"/>
          </w:tcPr>
          <w:p>
            <w:pPr>
              <w:spacing w:after="20"/>
              <w:jc w:val="right"/>
            </w:pPr>
            <w:r>
              <w:rPr>
                <w:color w:val="1C3A36"/>
                <w:sz w:val="17"/>
              </w:rPr>
              <w:t>5.96</w:t>
            </w:r>
          </w:p>
        </w:tc>
      </w:tr>
    </w:tbl>
    <w:p>
      <w:pPr>
        <w:spacing w:after="40"/>
      </w:pPr>
    </w:p>
    <w:p>
      <w:pPr>
        <w:spacing w:after="120" w:before="0"/>
      </w:pPr>
      <w:r>
        <w:rPr>
          <w:b w:val="0"/>
          <w:i w:val="0"/>
          <w:color w:val="1C3A36"/>
          <w:sz w:val="19"/>
        </w:rPr>
        <w:t>The NAV grid doubles as the flagged-borrowings stress: because net debt is a derived figure, the ±AED 5 bn residual-book columns bound the effect of a borrowings error at roughly ±AED 0.5/share — material to the decimal, immaterial to the verdict. The two grids together bracket every fundamental read in this study between AED 5.2 and AED 17.0; the weighted central of 7.13 sits in the lower third of that space because the weights sit where the observable marks are — more so since 11-07-2026, when the look-through weight was cut from 25% to 15% (double-count risk vs the marks) and the freed 10 points moved onto the SOTP anchor (45%→55%), following an external audit.</w:t>
      </w:r>
    </w:p>
    <w:p>
      <w:pPr>
        <w:spacing w:after="120" w:before="280"/>
      </w:pPr>
      <w:r>
        <w:rPr>
          <w:b/>
          <w:i w:val="0"/>
          <w:color w:val="1C3A36"/>
          <w:sz w:val="30"/>
        </w:rPr>
        <w:t>2  Technical and price structure</w:t>
      </w:r>
    </w:p>
    <w:p>
      <w:pPr>
        <w:spacing w:after="120" w:before="0"/>
      </w:pPr>
      <w:r>
        <w:rPr>
          <w:b w:val="0"/>
          <w:i w:val="0"/>
          <w:color w:val="1C3A36"/>
          <w:sz w:val="19"/>
        </w:rPr>
        <w:t>The five-year chart is a round trip with a violent coda: AED 27–30 through 2022, a two-year controlled de-rating to the AED 9–12 shelf, then the war gap — a slide to the AED 6.84 intraday low on 31 Mar 2026 as Hormuz closed, and a fast partial recovery on the April ceasefire. As of 3 Jul the tape reads: price 8.22 above the 20-day (7.84), 50-day (7.54) and 100-day (7.85), but still 7% below the 200-day (8.84) — the signature of a recovery inside a downtrend, not a new uptrend. RSI at 64 is warm but not overbought; the MACD lines have gone flat (line +0.159 vs signal +0.163, histogram -0.004 — effectively zero), i.e. the post-trough momentum impulse has been spent and price is deciding. The 52-week range (6.84–12.58) frames the levels that matter: the 200-day at ~8.84 is the overhead test, the April–June congestion at 7.4–7.8 the first support shelf, and the war low the line under everything. One-year return: -33%. Timing note, not value: nothing in the tape contradicts the fundamental read — a bounce toward a declining long-term average is exactly what “recovered but still above NAV” looks like.</w:t>
      </w:r>
    </w:p>
    <w:p>
      <w:pPr>
        <w:spacing w:after="40"/>
        <w:jc w:val="center"/>
      </w:pPr>
      <w:r>
        <w:drawing>
          <wp:inline xmlns:a="http://schemas.openxmlformats.org/drawingml/2006/main" xmlns:pic="http://schemas.openxmlformats.org/drawingml/2006/picture">
            <wp:extent cx="5852160" cy="2313645"/>
            <wp:docPr id="6" name="Picture 6"/>
            <wp:cNvGraphicFramePr>
              <a:graphicFrameLocks noChangeAspect="1"/>
            </wp:cNvGraphicFramePr>
            <a:graphic>
              <a:graphicData uri="http://schemas.openxmlformats.org/drawingml/2006/picture">
                <pic:pic>
                  <pic:nvPicPr>
                    <pic:cNvPr id="0" name="fig_price.png"/>
                    <pic:cNvPicPr/>
                  </pic:nvPicPr>
                  <pic:blipFill>
                    <a:blip r:embed="rId14"/>
                    <a:stretch>
                      <a:fillRect/>
                    </a:stretch>
                  </pic:blipFill>
                  <pic:spPr>
                    <a:xfrm>
                      <a:off x="0" y="0"/>
                      <a:ext cx="5852160" cy="2313645"/>
                    </a:xfrm>
                    <a:prstGeom prst="rect"/>
                  </pic:spPr>
                </pic:pic>
              </a:graphicData>
            </a:graphic>
          </wp:inline>
        </w:drawing>
      </w:r>
    </w:p>
    <w:p>
      <w:pPr>
        <w:spacing w:after="200" w:before="0"/>
      </w:pPr>
      <w:r>
        <w:rPr>
          <w:b w:val="0"/>
          <w:i/>
          <w:color w:val="6E7B77"/>
          <w:sz w:val="17"/>
        </w:rPr>
        <w:t>Figure 6 — Five years of daily closes with the 50/200-day averages; the shaded band marks the Feb–Apr 2026 war window (28 Feb outbreak → 8 Apr ceasefire).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160"/>
            <w:shd w:val="clear" w:color="auto" w:fill="EAF0EE"/>
          </w:tcPr>
          <w:p>
            <w:pPr>
              <w:spacing w:after="20"/>
            </w:pPr>
            <w:r>
              <w:rPr>
                <w:b/>
                <w:color w:val="1C3A36"/>
                <w:sz w:val="17"/>
              </w:rPr>
              <w:t>Indicator</w:t>
            </w:r>
          </w:p>
        </w:tc>
        <w:tc>
          <w:tcPr>
            <w:tcW w:type="dxa" w:w="4320"/>
            <w:shd w:val="clear" w:color="auto" w:fill="EAF0EE"/>
          </w:tcPr>
          <w:p>
            <w:pPr>
              <w:spacing w:after="20"/>
            </w:pPr>
            <w:r>
              <w:rPr>
                <w:b/>
                <w:color w:val="1C3A36"/>
                <w:sz w:val="17"/>
              </w:rPr>
              <w:t>Reading (3 Jul 2026)</w:t>
            </w:r>
          </w:p>
        </w:tc>
        <w:tc>
          <w:tcPr>
            <w:tcW w:type="dxa" w:w="3744"/>
            <w:shd w:val="clear" w:color="auto" w:fill="EAF0EE"/>
          </w:tcPr>
          <w:p>
            <w:pPr>
              <w:spacing w:after="20"/>
            </w:pPr>
            <w:r>
              <w:rPr>
                <w:b/>
                <w:color w:val="1C3A36"/>
                <w:sz w:val="17"/>
              </w:rPr>
              <w:t>Interpretation</w:t>
            </w:r>
          </w:p>
        </w:tc>
      </w:tr>
      <w:tr>
        <w:tc>
          <w:tcPr>
            <w:tcW w:type="dxa" w:w="2160"/>
          </w:tcPr>
          <w:p>
            <w:pPr>
              <w:spacing w:after="20"/>
            </w:pPr>
            <w:r>
              <w:rPr>
                <w:b/>
                <w:color w:val="1C3A36"/>
                <w:sz w:val="17"/>
              </w:rPr>
              <w:t>Price vs MAs</w:t>
            </w:r>
          </w:p>
        </w:tc>
        <w:tc>
          <w:tcPr>
            <w:tcW w:type="dxa" w:w="4320"/>
          </w:tcPr>
          <w:p>
            <w:pPr>
              <w:spacing w:after="20"/>
              <w:jc w:val="right"/>
            </w:pPr>
            <w:r>
              <w:rPr>
                <w:color w:val="1C3A36"/>
                <w:sz w:val="17"/>
              </w:rPr>
              <w:t>&gt; 20d 7.84 · &gt; 50d 7.54 · &gt; 100d 7.85 · &lt; 200d 8.84</w:t>
            </w:r>
          </w:p>
        </w:tc>
        <w:tc>
          <w:tcPr>
            <w:tcW w:type="dxa" w:w="3744"/>
          </w:tcPr>
          <w:p>
            <w:pPr>
              <w:spacing w:after="20"/>
              <w:jc w:val="right"/>
            </w:pPr>
            <w:r>
              <w:rPr>
                <w:color w:val="1C3A36"/>
                <w:sz w:val="17"/>
              </w:rPr>
              <w:t>Recovery inside a downtrend</w:t>
            </w:r>
          </w:p>
        </w:tc>
      </w:tr>
      <w:tr>
        <w:tc>
          <w:tcPr>
            <w:tcW w:type="dxa" w:w="2160"/>
          </w:tcPr>
          <w:p>
            <w:pPr>
              <w:spacing w:after="20"/>
            </w:pPr>
            <w:r>
              <w:rPr>
                <w:b/>
                <w:color w:val="1C3A36"/>
                <w:sz w:val="17"/>
              </w:rPr>
              <w:t>RSI (14)</w:t>
            </w:r>
          </w:p>
        </w:tc>
        <w:tc>
          <w:tcPr>
            <w:tcW w:type="dxa" w:w="4320"/>
          </w:tcPr>
          <w:p>
            <w:pPr>
              <w:spacing w:after="20"/>
              <w:jc w:val="right"/>
            </w:pPr>
            <w:r>
              <w:rPr>
                <w:color w:val="1C3A36"/>
                <w:sz w:val="17"/>
              </w:rPr>
              <w:t>64.0</w:t>
            </w:r>
          </w:p>
        </w:tc>
        <w:tc>
          <w:tcPr>
            <w:tcW w:type="dxa" w:w="3744"/>
          </w:tcPr>
          <w:p>
            <w:pPr>
              <w:spacing w:after="20"/>
              <w:jc w:val="right"/>
            </w:pPr>
            <w:r>
              <w:rPr>
                <w:color w:val="1C3A36"/>
                <w:sz w:val="17"/>
              </w:rPr>
              <w:t>Warm; room before overbought</w:t>
            </w:r>
          </w:p>
        </w:tc>
      </w:tr>
      <w:tr>
        <w:tc>
          <w:tcPr>
            <w:tcW w:type="dxa" w:w="2160"/>
          </w:tcPr>
          <w:p>
            <w:pPr>
              <w:spacing w:after="20"/>
            </w:pPr>
            <w:r>
              <w:rPr>
                <w:b/>
                <w:color w:val="1C3A36"/>
                <w:sz w:val="17"/>
              </w:rPr>
              <w:t>MACD (12,26,9)</w:t>
            </w:r>
          </w:p>
        </w:tc>
        <w:tc>
          <w:tcPr>
            <w:tcW w:type="dxa" w:w="4320"/>
          </w:tcPr>
          <w:p>
            <w:pPr>
              <w:spacing w:after="20"/>
              <w:jc w:val="right"/>
            </w:pPr>
            <w:r>
              <w:rPr>
                <w:color w:val="1C3A36"/>
                <w:sz w:val="17"/>
              </w:rPr>
              <w:t>line +0.159 · signal +0.163 · hist -0.004</w:t>
            </w:r>
          </w:p>
        </w:tc>
        <w:tc>
          <w:tcPr>
            <w:tcW w:type="dxa" w:w="3744"/>
          </w:tcPr>
          <w:p>
            <w:pPr>
              <w:spacing w:after="20"/>
              <w:jc w:val="right"/>
            </w:pPr>
            <w:r>
              <w:rPr>
                <w:color w:val="1C3A36"/>
                <w:sz w:val="17"/>
              </w:rPr>
              <w:t>Momentum impulse spent — flat</w:t>
            </w:r>
          </w:p>
        </w:tc>
      </w:tr>
      <w:tr>
        <w:tc>
          <w:tcPr>
            <w:tcW w:type="dxa" w:w="2160"/>
          </w:tcPr>
          <w:p>
            <w:pPr>
              <w:spacing w:after="20"/>
            </w:pPr>
            <w:r>
              <w:rPr>
                <w:b/>
                <w:color w:val="1C3A36"/>
                <w:sz w:val="17"/>
              </w:rPr>
              <w:t>52-week range</w:t>
            </w:r>
          </w:p>
        </w:tc>
        <w:tc>
          <w:tcPr>
            <w:tcW w:type="dxa" w:w="4320"/>
          </w:tcPr>
          <w:p>
            <w:pPr>
              <w:spacing w:after="20"/>
              <w:jc w:val="right"/>
            </w:pPr>
            <w:r>
              <w:rPr>
                <w:color w:val="1C3A36"/>
                <w:sz w:val="17"/>
              </w:rPr>
              <w:t>6.84 – 12.58</w:t>
            </w:r>
          </w:p>
        </w:tc>
        <w:tc>
          <w:tcPr>
            <w:tcW w:type="dxa" w:w="3744"/>
          </w:tcPr>
          <w:p>
            <w:pPr>
              <w:spacing w:after="20"/>
              <w:jc w:val="right"/>
            </w:pPr>
            <w:r>
              <w:rPr>
                <w:color w:val="1C3A36"/>
                <w:sz w:val="17"/>
              </w:rPr>
              <w:t>Spot in the lower third</w:t>
            </w:r>
          </w:p>
        </w:tc>
      </w:tr>
      <w:tr>
        <w:tc>
          <w:tcPr>
            <w:tcW w:type="dxa" w:w="2160"/>
          </w:tcPr>
          <w:p>
            <w:pPr>
              <w:spacing w:after="20"/>
            </w:pPr>
            <w:r>
              <w:rPr>
                <w:b/>
                <w:color w:val="1C3A36"/>
                <w:sz w:val="17"/>
              </w:rPr>
              <w:t>Key levels</w:t>
            </w:r>
          </w:p>
        </w:tc>
        <w:tc>
          <w:tcPr>
            <w:tcW w:type="dxa" w:w="4320"/>
          </w:tcPr>
          <w:p>
            <w:pPr>
              <w:spacing w:after="20"/>
              <w:jc w:val="right"/>
            </w:pPr>
            <w:r>
              <w:rPr>
                <w:color w:val="1C3A36"/>
                <w:sz w:val="17"/>
              </w:rPr>
              <w:t>8.84 (200d) overhead · 7.4–7.8 shelf · 6.84 war low</w:t>
            </w:r>
          </w:p>
        </w:tc>
        <w:tc>
          <w:tcPr>
            <w:tcW w:type="dxa" w:w="3744"/>
          </w:tcPr>
          <w:p>
            <w:pPr>
              <w:spacing w:after="20"/>
              <w:jc w:val="right"/>
            </w:pPr>
            <w:r>
              <w:rPr>
                <w:color w:val="1C3A36"/>
                <w:sz w:val="17"/>
              </w:rPr>
              <w:t>The map for §3’s ladder</w:t>
            </w:r>
          </w:p>
        </w:tc>
      </w:tr>
    </w:tbl>
    <w:p>
      <w:pPr>
        <w:spacing w:after="40"/>
      </w:pPr>
    </w:p>
    <w:p>
      <w:pPr>
        <w:spacing w:after="120" w:before="280"/>
      </w:pPr>
      <w:r>
        <w:rPr>
          <w:b/>
          <w:i w:val="0"/>
          <w:color w:val="1C3A36"/>
          <w:sz w:val="30"/>
        </w:rPr>
        <w:t>3  Monte Carlo — a probabilistic price map</w:t>
      </w:r>
    </w:p>
    <w:p>
      <w:pPr>
        <w:spacing w:after="120" w:before="0"/>
      </w:pPr>
      <w:r>
        <w:rPr>
          <w:b w:val="0"/>
          <w:i w:val="0"/>
          <w:color w:val="1C3A36"/>
          <w:sz w:val="19"/>
        </w:rPr>
        <w:t>House rule: this section opens with the probability read — the five numbers most people actually want — before any machinery.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184"/>
            <w:shd w:val="clear" w:color="auto" w:fill="EAF0EE"/>
          </w:tcPr>
          <w:p>
            <w:pPr>
              <w:spacing w:after="20"/>
            </w:pPr>
            <w:r>
              <w:rPr>
                <w:b/>
                <w:color w:val="1C3A36"/>
                <w:sz w:val="18"/>
              </w:rPr>
              <w:t>The probability read (T+60 sessions ≈ 3 months)</w:t>
            </w:r>
          </w:p>
        </w:tc>
        <w:tc>
          <w:tcPr>
            <w:tcW w:type="dxa" w:w="3312"/>
            <w:shd w:val="clear" w:color="auto" w:fill="EAF0EE"/>
          </w:tcPr>
          <w:p>
            <w:pPr>
              <w:spacing w:after="20"/>
            </w:pPr>
            <w:r>
              <w:rPr>
                <w:b/>
                <w:color w:val="1C3A36"/>
                <w:sz w:val="18"/>
              </w:rPr>
            </w:r>
          </w:p>
        </w:tc>
      </w:tr>
      <w:tr>
        <w:tc>
          <w:tcPr>
            <w:tcW w:type="dxa" w:w="5184"/>
            <w:shd w:val="clear" w:color="auto" w:fill="F6F1E6"/>
          </w:tcPr>
          <w:p>
            <w:pPr>
              <w:spacing w:after="20"/>
            </w:pPr>
            <w:r>
              <w:rPr>
                <w:b/>
                <w:color w:val="1C3A36"/>
                <w:sz w:val="18"/>
              </w:rPr>
              <w:t>P(price above spot 8.22)</w:t>
            </w:r>
          </w:p>
        </w:tc>
        <w:tc>
          <w:tcPr>
            <w:tcW w:type="dxa" w:w="3312"/>
            <w:shd w:val="clear" w:color="auto" w:fill="F6F1E6"/>
          </w:tcPr>
          <w:p>
            <w:pPr>
              <w:spacing w:after="20"/>
              <w:jc w:val="right"/>
            </w:pPr>
            <w:r>
              <w:rPr>
                <w:b/>
                <w:color w:val="1C3A36"/>
                <w:sz w:val="18"/>
              </w:rPr>
              <w:t>52%</w:t>
            </w:r>
          </w:p>
        </w:tc>
      </w:tr>
      <w:tr>
        <w:tc>
          <w:tcPr>
            <w:tcW w:type="dxa" w:w="5184"/>
          </w:tcPr>
          <w:p>
            <w:pPr>
              <w:spacing w:after="20"/>
            </w:pPr>
            <w:r>
              <w:rPr>
                <w:b/>
                <w:color w:val="1C3A36"/>
                <w:sz w:val="18"/>
              </w:rPr>
              <w:t>P(+10%, above 9.04) vs P(−10%, below 7.40)</w:t>
            </w:r>
          </w:p>
        </w:tc>
        <w:tc>
          <w:tcPr>
            <w:tcW w:type="dxa" w:w="3312"/>
          </w:tcPr>
          <w:p>
            <w:pPr>
              <w:spacing w:after="20"/>
              <w:jc w:val="right"/>
            </w:pPr>
            <w:r>
              <w:rPr>
                <w:color w:val="1C3A36"/>
                <w:sz w:val="18"/>
              </w:rPr>
              <w:t>30% / 25% — odds 1.2:1 up</w:t>
            </w:r>
          </w:p>
        </w:tc>
      </w:tr>
      <w:tr>
        <w:tc>
          <w:tcPr>
            <w:tcW w:type="dxa" w:w="5184"/>
          </w:tcPr>
          <w:p>
            <w:pPr>
              <w:spacing w:after="20"/>
            </w:pPr>
            <w:r>
              <w:rPr>
                <w:b/>
                <w:color w:val="1C3A36"/>
                <w:sz w:val="18"/>
              </w:rPr>
              <w:t>Median level and its % move</w:t>
            </w:r>
          </w:p>
        </w:tc>
        <w:tc>
          <w:tcPr>
            <w:tcW w:type="dxa" w:w="3312"/>
          </w:tcPr>
          <w:p>
            <w:pPr>
              <w:spacing w:after="20"/>
              <w:jc w:val="right"/>
            </w:pPr>
            <w:r>
              <w:rPr>
                <w:color w:val="1C3A36"/>
                <w:sz w:val="18"/>
              </w:rPr>
              <w:t>AED 8.29 (+0.8% — the EIBOR carry, an explained drift)</w:t>
            </w:r>
          </w:p>
        </w:tc>
      </w:tr>
      <w:tr>
        <w:tc>
          <w:tcPr>
            <w:tcW w:type="dxa" w:w="5184"/>
          </w:tcPr>
          <w:p>
            <w:pPr>
              <w:spacing w:after="20"/>
            </w:pPr>
            <w:r>
              <w:rPr>
                <w:b/>
                <w:color w:val="1C3A36"/>
                <w:sz w:val="18"/>
              </w:rPr>
              <w:t>50% band (25th–75th)</w:t>
            </w:r>
          </w:p>
        </w:tc>
        <w:tc>
          <w:tcPr>
            <w:tcW w:type="dxa" w:w="3312"/>
          </w:tcPr>
          <w:p>
            <w:pPr>
              <w:spacing w:after="20"/>
              <w:jc w:val="right"/>
            </w:pPr>
            <w:r>
              <w:rPr>
                <w:color w:val="1C3A36"/>
                <w:sz w:val="18"/>
              </w:rPr>
              <w:t>AED 7.42 – 9.27  (90%–113% of spot)</w:t>
            </w:r>
          </w:p>
        </w:tc>
      </w:tr>
      <w:tr>
        <w:tc>
          <w:tcPr>
            <w:tcW w:type="dxa" w:w="5184"/>
          </w:tcPr>
          <w:p>
            <w:pPr>
              <w:spacing w:after="20"/>
            </w:pPr>
            <w:r>
              <w:rPr>
                <w:b/>
                <w:color w:val="1C3A36"/>
                <w:sz w:val="18"/>
              </w:rPr>
              <w:t>Touch(+10%) / touch(−10%) at any point</w:t>
            </w:r>
          </w:p>
        </w:tc>
        <w:tc>
          <w:tcPr>
            <w:tcW w:type="dxa" w:w="3312"/>
          </w:tcPr>
          <w:p>
            <w:pPr>
              <w:spacing w:after="20"/>
              <w:jc w:val="right"/>
            </w:pPr>
            <w:r>
              <w:rPr>
                <w:color w:val="1C3A36"/>
                <w:sz w:val="18"/>
              </w:rPr>
              <w:t>54% / 46%</w:t>
            </w:r>
          </w:p>
        </w:tc>
      </w:tr>
    </w:tbl>
    <w:p>
      <w:pPr>
        <w:spacing w:after="40"/>
      </w:pPr>
    </w:p>
    <w:p>
      <w:pPr>
        <w:spacing w:after="120" w:before="0"/>
      </w:pPr>
      <w:r>
        <w:rPr>
          <w:b w:val="0"/>
          <w:i w:val="0"/>
          <w:color w:val="1C3A36"/>
          <w:sz w:val="18"/>
        </w:rPr>
        <w:t>Two supplementary reads outside the canonical five: P(−20%+, below ~6.58) = 8%, and P(finish within ±10% of spot) = 45%.</w:t>
      </w:r>
    </w:p>
    <w:p>
      <w:pPr>
        <w:spacing w:after="120" w:before="0"/>
      </w:pPr>
      <w:r>
        <w:rPr>
          <w:b w:val="0"/>
          <w:i w:val="0"/>
          <w:color w:val="1C3A36"/>
          <w:sz w:val="19"/>
        </w:rPr>
        <w:t>Lens-independence note (house rule): the simulation’s drift is the carry anchor only — it does not embed the fundamental NAV gap of §1. The −13% distance to the weighted central lives in §1 and nowhere else; if it also leaked into the drift, the two lenses would double-count one opinion. The MC answers a narrower question: given how this stock has actually moved, where can price be in 20 and 60 sessions?</w:t>
      </w:r>
    </w:p>
    <w:p>
      <w:pPr>
        <w:spacing w:after="120" w:before="0"/>
      </w:pPr>
      <w:r>
        <w:rPr>
          <w:b w:val="0"/>
          <w:i w:val="0"/>
          <w:color w:val="1C3A36"/>
          <w:sz w:val="19"/>
        </w:rPr>
        <w:t>The engine: 50,000 paths, seed 42, gap-aware Yang–Zhang volatility with HAR dynamics, calibrated on this share’s own post-2022 history (the ADX workweek change is honoured). Step-0 calibration fitted the shape to Gaussian innovations with a width calibration of 1.042 on 14 non-overlapping 60-day windows — the configuration passed at parity (details live in the public Calibration Ledger, never in this document). Drift is the 3M EIBOR carry (3.93%) with no dividend inside the window (the FY25 distribution was paid in Q1; q = 0); annualized anchor volatility 34.1%. One honest caveat stated twice in this study: the Gaussian shape was fitted through 3 Jul — a pre-re-escalation regime. The 7–8 Jul ceasefire collapse is a live left-tail event of exactly the kind a thin-tailed fit understates; read the downside percentiles as floors on risk, not ceilings.</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520"/>
            <w:shd w:val="clear" w:color="auto" w:fill="EAF0EE"/>
          </w:tcPr>
          <w:p>
            <w:pPr>
              <w:spacing w:after="20"/>
            </w:pPr>
            <w:r>
              <w:rPr>
                <w:b/>
                <w:color w:val="1C3A36"/>
                <w:sz w:val="17"/>
              </w:rPr>
              <w:t>Horizon</w:t>
            </w:r>
          </w:p>
        </w:tc>
        <w:tc>
          <w:tcPr>
            <w:tcW w:type="dxa" w:w="1080"/>
            <w:shd w:val="clear" w:color="auto" w:fill="EAF0EE"/>
          </w:tcPr>
          <w:p>
            <w:pPr>
              <w:spacing w:after="20"/>
            </w:pPr>
            <w:r>
              <w:rPr>
                <w:b/>
                <w:color w:val="1C3A36"/>
                <w:sz w:val="17"/>
              </w:rPr>
              <w:t>p5</w:t>
            </w:r>
          </w:p>
        </w:tc>
        <w:tc>
          <w:tcPr>
            <w:tcW w:type="dxa" w:w="1080"/>
            <w:shd w:val="clear" w:color="auto" w:fill="EAF0EE"/>
          </w:tcPr>
          <w:p>
            <w:pPr>
              <w:spacing w:after="20"/>
            </w:pPr>
            <w:r>
              <w:rPr>
                <w:b/>
                <w:color w:val="1C3A36"/>
                <w:sz w:val="17"/>
              </w:rPr>
              <w:t>p10</w:t>
            </w:r>
          </w:p>
        </w:tc>
        <w:tc>
          <w:tcPr>
            <w:tcW w:type="dxa" w:w="1080"/>
            <w:shd w:val="clear" w:color="auto" w:fill="EAF0EE"/>
          </w:tcPr>
          <w:p>
            <w:pPr>
              <w:spacing w:after="20"/>
            </w:pPr>
            <w:r>
              <w:rPr>
                <w:b/>
                <w:color w:val="1C3A36"/>
                <w:sz w:val="17"/>
              </w:rPr>
              <w:t>p25</w:t>
            </w:r>
          </w:p>
        </w:tc>
        <w:tc>
          <w:tcPr>
            <w:tcW w:type="dxa" w:w="1080"/>
            <w:shd w:val="clear" w:color="auto" w:fill="EAF0EE"/>
          </w:tcPr>
          <w:p>
            <w:pPr>
              <w:spacing w:after="20"/>
            </w:pPr>
            <w:r>
              <w:rPr>
                <w:b/>
                <w:color w:val="1C3A36"/>
                <w:sz w:val="17"/>
              </w:rPr>
              <w:t>p50</w:t>
            </w:r>
          </w:p>
        </w:tc>
        <w:tc>
          <w:tcPr>
            <w:tcW w:type="dxa" w:w="1080"/>
            <w:shd w:val="clear" w:color="auto" w:fill="EAF0EE"/>
          </w:tcPr>
          <w:p>
            <w:pPr>
              <w:spacing w:after="20"/>
            </w:pPr>
            <w:r>
              <w:rPr>
                <w:b/>
                <w:color w:val="1C3A36"/>
                <w:sz w:val="17"/>
              </w:rPr>
              <w:t>p75</w:t>
            </w:r>
          </w:p>
        </w:tc>
        <w:tc>
          <w:tcPr>
            <w:tcW w:type="dxa" w:w="1080"/>
            <w:shd w:val="clear" w:color="auto" w:fill="EAF0EE"/>
          </w:tcPr>
          <w:p>
            <w:pPr>
              <w:spacing w:after="20"/>
            </w:pPr>
            <w:r>
              <w:rPr>
                <w:b/>
                <w:color w:val="1C3A36"/>
                <w:sz w:val="17"/>
              </w:rPr>
              <w:t>p90</w:t>
            </w:r>
          </w:p>
        </w:tc>
        <w:tc>
          <w:tcPr>
            <w:tcW w:type="dxa" w:w="1080"/>
            <w:shd w:val="clear" w:color="auto" w:fill="EAF0EE"/>
          </w:tcPr>
          <w:p>
            <w:pPr>
              <w:spacing w:after="20"/>
            </w:pPr>
            <w:r>
              <w:rPr>
                <w:b/>
                <w:color w:val="1C3A36"/>
                <w:sz w:val="17"/>
              </w:rPr>
              <w:t>p95</w:t>
            </w:r>
          </w:p>
        </w:tc>
      </w:tr>
      <w:tr>
        <w:tc>
          <w:tcPr>
            <w:tcW w:type="dxa" w:w="2520"/>
          </w:tcPr>
          <w:p>
            <w:pPr>
              <w:spacing w:after="20"/>
            </w:pPr>
            <w:r>
              <w:rPr>
                <w:color w:val="1C3A36"/>
                <w:sz w:val="17"/>
              </w:rPr>
              <w:t>T+20 (~1 month)</w:t>
            </w:r>
          </w:p>
        </w:tc>
        <w:tc>
          <w:tcPr>
            <w:tcW w:type="dxa" w:w="1080"/>
          </w:tcPr>
          <w:p>
            <w:pPr>
              <w:spacing w:after="20"/>
              <w:jc w:val="right"/>
            </w:pPr>
            <w:r>
              <w:rPr>
                <w:color w:val="1C3A36"/>
                <w:sz w:val="17"/>
              </w:rPr>
              <w:t>7.04</w:t>
            </w:r>
          </w:p>
        </w:tc>
        <w:tc>
          <w:tcPr>
            <w:tcW w:type="dxa" w:w="1080"/>
          </w:tcPr>
          <w:p>
            <w:pPr>
              <w:spacing w:after="20"/>
              <w:jc w:val="right"/>
            </w:pPr>
            <w:r>
              <w:rPr>
                <w:color w:val="1C3A36"/>
                <w:sz w:val="17"/>
              </w:rPr>
              <w:t>7.29</w:t>
            </w:r>
          </w:p>
        </w:tc>
        <w:tc>
          <w:tcPr>
            <w:tcW w:type="dxa" w:w="1080"/>
          </w:tcPr>
          <w:p>
            <w:pPr>
              <w:spacing w:after="20"/>
              <w:jc w:val="right"/>
            </w:pPr>
            <w:r>
              <w:rPr>
                <w:color w:val="1C3A36"/>
                <w:sz w:val="17"/>
              </w:rPr>
              <w:t>7.73</w:t>
            </w:r>
          </w:p>
        </w:tc>
        <w:tc>
          <w:tcPr>
            <w:tcW w:type="dxa" w:w="1080"/>
          </w:tcPr>
          <w:p>
            <w:pPr>
              <w:spacing w:after="20"/>
              <w:jc w:val="right"/>
            </w:pPr>
            <w:r>
              <w:rPr>
                <w:color w:val="1C3A36"/>
                <w:sz w:val="17"/>
              </w:rPr>
              <w:t>8.24</w:t>
            </w:r>
          </w:p>
        </w:tc>
        <w:tc>
          <w:tcPr>
            <w:tcW w:type="dxa" w:w="1080"/>
          </w:tcPr>
          <w:p>
            <w:pPr>
              <w:spacing w:after="20"/>
              <w:jc w:val="right"/>
            </w:pPr>
            <w:r>
              <w:rPr>
                <w:color w:val="1C3A36"/>
                <w:sz w:val="17"/>
              </w:rPr>
              <w:t>8.79</w:t>
            </w:r>
          </w:p>
        </w:tc>
        <w:tc>
          <w:tcPr>
            <w:tcW w:type="dxa" w:w="1080"/>
          </w:tcPr>
          <w:p>
            <w:pPr>
              <w:spacing w:after="20"/>
              <w:jc w:val="right"/>
            </w:pPr>
            <w:r>
              <w:rPr>
                <w:color w:val="1C3A36"/>
                <w:sz w:val="17"/>
              </w:rPr>
              <w:t>9.33</w:t>
            </w:r>
          </w:p>
        </w:tc>
        <w:tc>
          <w:tcPr>
            <w:tcW w:type="dxa" w:w="1080"/>
          </w:tcPr>
          <w:p>
            <w:pPr>
              <w:spacing w:after="20"/>
              <w:jc w:val="right"/>
            </w:pPr>
            <w:r>
              <w:rPr>
                <w:color w:val="1C3A36"/>
                <w:sz w:val="17"/>
              </w:rPr>
              <w:t>9.67</w:t>
            </w:r>
          </w:p>
        </w:tc>
      </w:tr>
      <w:tr>
        <w:tc>
          <w:tcPr>
            <w:tcW w:type="dxa" w:w="2520"/>
            <w:shd w:val="clear" w:color="auto" w:fill="F6F1E6"/>
          </w:tcPr>
          <w:p>
            <w:pPr>
              <w:spacing w:after="20"/>
            </w:pPr>
            <w:r>
              <w:rPr>
                <w:b/>
                <w:color w:val="1C3A36"/>
                <w:sz w:val="17"/>
              </w:rPr>
              <w:t>T+60 (~3 months)</w:t>
            </w:r>
          </w:p>
        </w:tc>
        <w:tc>
          <w:tcPr>
            <w:tcW w:type="dxa" w:w="1080"/>
            <w:shd w:val="clear" w:color="auto" w:fill="F6F1E6"/>
          </w:tcPr>
          <w:p>
            <w:pPr>
              <w:spacing w:after="20"/>
              <w:jc w:val="right"/>
            </w:pPr>
            <w:r>
              <w:rPr>
                <w:b/>
                <w:color w:val="1C3A36"/>
                <w:sz w:val="17"/>
              </w:rPr>
              <w:t>6.30</w:t>
            </w:r>
          </w:p>
        </w:tc>
        <w:tc>
          <w:tcPr>
            <w:tcW w:type="dxa" w:w="1080"/>
            <w:shd w:val="clear" w:color="auto" w:fill="F6F1E6"/>
          </w:tcPr>
          <w:p>
            <w:pPr>
              <w:spacing w:after="20"/>
              <w:jc w:val="right"/>
            </w:pPr>
            <w:r>
              <w:rPr>
                <w:b/>
                <w:color w:val="1C3A36"/>
                <w:sz w:val="17"/>
              </w:rPr>
              <w:t>6.70</w:t>
            </w:r>
          </w:p>
        </w:tc>
        <w:tc>
          <w:tcPr>
            <w:tcW w:type="dxa" w:w="1080"/>
            <w:shd w:val="clear" w:color="auto" w:fill="F6F1E6"/>
          </w:tcPr>
          <w:p>
            <w:pPr>
              <w:spacing w:after="20"/>
              <w:jc w:val="right"/>
            </w:pPr>
            <w:r>
              <w:rPr>
                <w:b/>
                <w:color w:val="1C3A36"/>
                <w:sz w:val="17"/>
              </w:rPr>
              <w:t>7.42</w:t>
            </w:r>
          </w:p>
        </w:tc>
        <w:tc>
          <w:tcPr>
            <w:tcW w:type="dxa" w:w="1080"/>
            <w:shd w:val="clear" w:color="auto" w:fill="F6F1E6"/>
          </w:tcPr>
          <w:p>
            <w:pPr>
              <w:spacing w:after="20"/>
              <w:jc w:val="right"/>
            </w:pPr>
            <w:r>
              <w:rPr>
                <w:b/>
                <w:color w:val="1C3A36"/>
                <w:sz w:val="17"/>
              </w:rPr>
              <w:t>8.29</w:t>
            </w:r>
          </w:p>
        </w:tc>
        <w:tc>
          <w:tcPr>
            <w:tcW w:type="dxa" w:w="1080"/>
            <w:shd w:val="clear" w:color="auto" w:fill="F6F1E6"/>
          </w:tcPr>
          <w:p>
            <w:pPr>
              <w:spacing w:after="20"/>
              <w:jc w:val="right"/>
            </w:pPr>
            <w:r>
              <w:rPr>
                <w:b/>
                <w:color w:val="1C3A36"/>
                <w:sz w:val="17"/>
              </w:rPr>
              <w:t>9.27</w:t>
            </w:r>
          </w:p>
        </w:tc>
        <w:tc>
          <w:tcPr>
            <w:tcW w:type="dxa" w:w="1080"/>
            <w:shd w:val="clear" w:color="auto" w:fill="F6F1E6"/>
          </w:tcPr>
          <w:p>
            <w:pPr>
              <w:spacing w:after="20"/>
              <w:jc w:val="right"/>
            </w:pPr>
            <w:r>
              <w:rPr>
                <w:b/>
                <w:color w:val="1C3A36"/>
                <w:sz w:val="17"/>
              </w:rPr>
              <w:t>10.28</w:t>
            </w:r>
          </w:p>
        </w:tc>
        <w:tc>
          <w:tcPr>
            <w:tcW w:type="dxa" w:w="1080"/>
            <w:shd w:val="clear" w:color="auto" w:fill="F6F1E6"/>
          </w:tcPr>
          <w:p>
            <w:pPr>
              <w:spacing w:after="20"/>
              <w:jc w:val="right"/>
            </w:pPr>
            <w:r>
              <w:rPr>
                <w:b/>
                <w:color w:val="1C3A36"/>
                <w:sz w:val="17"/>
              </w:rPr>
              <w:t>10.93</w:t>
            </w:r>
          </w:p>
        </w:tc>
      </w:tr>
    </w:tbl>
    <w:p>
      <w:pPr>
        <w:spacing w:after="40"/>
      </w:pPr>
    </w:p>
    <w:p>
      <w:pPr>
        <w:spacing w:after="40"/>
        <w:jc w:val="center"/>
      </w:pPr>
      <w:r>
        <w:drawing>
          <wp:inline xmlns:a="http://schemas.openxmlformats.org/drawingml/2006/main" xmlns:pic="http://schemas.openxmlformats.org/drawingml/2006/picture">
            <wp:extent cx="5852160" cy="2449741"/>
            <wp:docPr id="7" name="Picture 7"/>
            <wp:cNvGraphicFramePr>
              <a:graphicFrameLocks noChangeAspect="1"/>
            </wp:cNvGraphicFramePr>
            <a:graphic>
              <a:graphicData uri="http://schemas.openxmlformats.org/drawingml/2006/picture">
                <pic:pic>
                  <pic:nvPicPr>
                    <pic:cNvPr id="0" name="fig_fan60.png"/>
                    <pic:cNvPicPr/>
                  </pic:nvPicPr>
                  <pic:blipFill>
                    <a:blip r:embed="rId15"/>
                    <a:stretch>
                      <a:fillRect/>
                    </a:stretch>
                  </pic:blipFill>
                  <pic:spPr>
                    <a:xfrm>
                      <a:off x="0" y="0"/>
                      <a:ext cx="5852160" cy="2449741"/>
                    </a:xfrm>
                    <a:prstGeom prst="rect"/>
                  </pic:spPr>
                </pic:pic>
              </a:graphicData>
            </a:graphic>
          </wp:inline>
        </w:drawing>
      </w:r>
    </w:p>
    <w:p>
      <w:pPr>
        <w:spacing w:after="200" w:before="0"/>
      </w:pPr>
      <w:r>
        <w:rPr>
          <w:b w:val="0"/>
          <w:i/>
          <w:color w:val="6E7B77"/>
          <w:sz w:val="17"/>
        </w:rPr>
        <w:t>Figure 7 — Forward price cone to T+60. The median drifts gently up on the carry anchor; the gold band is the 5th–95th, the brass band the 25th–75th. Dynamic y-axis per house style.</w:t>
      </w:r>
    </w:p>
    <w:p>
      <w:pPr>
        <w:spacing w:after="40"/>
        <w:jc w:val="center"/>
      </w:pPr>
      <w:r>
        <w:drawing>
          <wp:inline xmlns:a="http://schemas.openxmlformats.org/drawingml/2006/main" xmlns:pic="http://schemas.openxmlformats.org/drawingml/2006/picture">
            <wp:extent cx="4754880" cy="1769258"/>
            <wp:docPr id="8" name="Picture 8"/>
            <wp:cNvGraphicFramePr>
              <a:graphicFrameLocks noChangeAspect="1"/>
            </wp:cNvGraphicFramePr>
            <a:graphic>
              <a:graphicData uri="http://schemas.openxmlformats.org/drawingml/2006/picture">
                <pic:pic>
                  <pic:nvPicPr>
                    <pic:cNvPr id="0" name="fig_dist.png"/>
                    <pic:cNvPicPr/>
                  </pic:nvPicPr>
                  <pic:blipFill>
                    <a:blip r:embed="rId16"/>
                    <a:stretch>
                      <a:fillRect/>
                    </a:stretch>
                  </pic:blipFill>
                  <pic:spPr>
                    <a:xfrm>
                      <a:off x="0" y="0"/>
                      <a:ext cx="4754880" cy="1769258"/>
                    </a:xfrm>
                    <a:prstGeom prst="rect"/>
                  </pic:spPr>
                </pic:pic>
              </a:graphicData>
            </a:graphic>
          </wp:inline>
        </w:drawing>
      </w:r>
    </w:p>
    <w:p>
      <w:pPr>
        <w:spacing w:after="200" w:before="0"/>
      </w:pPr>
      <w:r>
        <w:rPr>
          <w:b w:val="0"/>
          <w:i/>
          <w:color w:val="6E7B77"/>
          <w:sz w:val="17"/>
        </w:rPr>
        <w:t>Figure 8 — Terminal price distribution at T+60: right-skewed as lognormal paths are, with the fundamental central (7.13) and marked NAV (7.44) both inside the left half of the 50% core.</w:t>
      </w:r>
    </w:p>
    <w:p>
      <w:pPr>
        <w:spacing w:after="120" w:before="0"/>
      </w:pPr>
      <w:r>
        <w:rPr>
          <w:b w:val="0"/>
          <w:i w:val="0"/>
          <w:color w:val="1C3A36"/>
          <w:sz w:val="19"/>
        </w:rPr>
        <w:t>How to hold the two horizons together: at T+20 the distribution is tight (p25–p75 = 7.73–8.79) — a month rarely resolves anything. At T+60 the core widens to 7.42–9.27, and note what sits inside it: the weighted central (7.13), par NAV (7.44), and the 200-day average (8.84) sit at or near the 50% band. The simulation is saying the market can travel to any of this study’s reference points within a quarter without doing anything statistically unusual.</w:t>
      </w:r>
    </w:p>
    <w:p>
      <w:pPr>
        <w:spacing w:after="80" w:before="200"/>
      </w:pPr>
      <w:r>
        <w:rPr>
          <w:b/>
          <w:i w:val="0"/>
          <w:color w:val="1C3A36"/>
          <w:sz w:val="24"/>
        </w:rPr>
        <w:t>Level-touch ladder</w:t>
      </w:r>
    </w:p>
    <w:p>
      <w:pPr>
        <w:spacing w:after="120" w:before="0"/>
      </w:pPr>
      <w:r>
        <w:rPr>
          <w:b w:val="0"/>
          <w:i w:val="0"/>
          <w:color w:val="1C3A36"/>
          <w:sz w:val="19"/>
        </w:rPr>
        <w:t>Probability that price finishes above each level at T+60 — the §2 map, quantified: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160"/>
            <w:shd w:val="clear" w:color="auto" w:fill="EAF0EE"/>
          </w:tcPr>
          <w:p>
            <w:pPr>
              <w:spacing w:after="20"/>
            </w:pPr>
            <w:r>
              <w:rPr>
                <w:b/>
                <w:color w:val="1C3A36"/>
                <w:sz w:val="17"/>
              </w:rPr>
              <w:t>Level (AED)</w:t>
            </w:r>
          </w:p>
        </w:tc>
        <w:tc>
          <w:tcPr>
            <w:tcW w:type="dxa" w:w="1080"/>
            <w:shd w:val="clear" w:color="auto" w:fill="EAF0EE"/>
          </w:tcPr>
          <w:p>
            <w:pPr>
              <w:spacing w:after="20"/>
            </w:pPr>
            <w:r>
              <w:rPr>
                <w:b/>
                <w:color w:val="1C3A36"/>
                <w:sz w:val="17"/>
              </w:rPr>
              <w:t>7.00</w:t>
            </w:r>
          </w:p>
        </w:tc>
        <w:tc>
          <w:tcPr>
            <w:tcW w:type="dxa" w:w="1080"/>
            <w:shd w:val="clear" w:color="auto" w:fill="EAF0EE"/>
          </w:tcPr>
          <w:p>
            <w:pPr>
              <w:spacing w:after="20"/>
            </w:pPr>
            <w:r>
              <w:rPr>
                <w:b/>
                <w:color w:val="1C3A36"/>
                <w:sz w:val="17"/>
              </w:rPr>
              <w:t>7.50</w:t>
            </w:r>
          </w:p>
        </w:tc>
        <w:tc>
          <w:tcPr>
            <w:tcW w:type="dxa" w:w="1080"/>
            <w:shd w:val="clear" w:color="auto" w:fill="EAF0EE"/>
          </w:tcPr>
          <w:p>
            <w:pPr>
              <w:spacing w:after="20"/>
            </w:pPr>
            <w:r>
              <w:rPr>
                <w:b/>
                <w:color w:val="1C3A36"/>
                <w:sz w:val="17"/>
              </w:rPr>
              <w:t>8.00</w:t>
            </w:r>
          </w:p>
        </w:tc>
        <w:tc>
          <w:tcPr>
            <w:tcW w:type="dxa" w:w="1080"/>
            <w:shd w:val="clear" w:color="auto" w:fill="EAF0EE"/>
          </w:tcPr>
          <w:p>
            <w:pPr>
              <w:spacing w:after="20"/>
            </w:pPr>
            <w:r>
              <w:rPr>
                <w:b/>
                <w:color w:val="1C3A36"/>
                <w:sz w:val="17"/>
              </w:rPr>
              <w:t>8.50</w:t>
            </w:r>
          </w:p>
        </w:tc>
        <w:tc>
          <w:tcPr>
            <w:tcW w:type="dxa" w:w="1080"/>
            <w:shd w:val="clear" w:color="auto" w:fill="EAF0EE"/>
          </w:tcPr>
          <w:p>
            <w:pPr>
              <w:spacing w:after="20"/>
            </w:pPr>
            <w:r>
              <w:rPr>
                <w:b/>
                <w:color w:val="1C3A36"/>
                <w:sz w:val="17"/>
              </w:rPr>
              <w:t>9.00</w:t>
            </w:r>
          </w:p>
        </w:tc>
        <w:tc>
          <w:tcPr>
            <w:tcW w:type="dxa" w:w="1080"/>
            <w:shd w:val="clear" w:color="auto" w:fill="EAF0EE"/>
          </w:tcPr>
          <w:p>
            <w:pPr>
              <w:spacing w:after="20"/>
            </w:pPr>
            <w:r>
              <w:rPr>
                <w:b/>
                <w:color w:val="1C3A36"/>
                <w:sz w:val="17"/>
              </w:rPr>
              <w:t>9.50</w:t>
            </w:r>
          </w:p>
        </w:tc>
        <w:tc>
          <w:tcPr>
            <w:tcW w:type="dxa" w:w="1080"/>
            <w:shd w:val="clear" w:color="auto" w:fill="EAF0EE"/>
          </w:tcPr>
          <w:p>
            <w:pPr>
              <w:spacing w:after="20"/>
            </w:pPr>
            <w:r>
              <w:rPr>
                <w:b/>
                <w:color w:val="1C3A36"/>
                <w:sz w:val="17"/>
              </w:rPr>
              <w:t>10.00</w:t>
            </w:r>
          </w:p>
        </w:tc>
      </w:tr>
      <w:tr>
        <w:tc>
          <w:tcPr>
            <w:tcW w:type="dxa" w:w="2160"/>
          </w:tcPr>
          <w:p>
            <w:pPr>
              <w:spacing w:after="20"/>
            </w:pPr>
            <w:r>
              <w:rPr>
                <w:b/>
                <w:color w:val="1C3A36"/>
                <w:sz w:val="17"/>
              </w:rPr>
              <w:t>P(finish above)</w:t>
            </w:r>
          </w:p>
        </w:tc>
        <w:tc>
          <w:tcPr>
            <w:tcW w:type="dxa" w:w="1080"/>
          </w:tcPr>
          <w:p>
            <w:pPr>
              <w:spacing w:after="20"/>
              <w:jc w:val="right"/>
            </w:pPr>
            <w:r>
              <w:rPr>
                <w:color w:val="1C3A36"/>
                <w:sz w:val="17"/>
              </w:rPr>
              <w:t>85%</w:t>
            </w:r>
          </w:p>
        </w:tc>
        <w:tc>
          <w:tcPr>
            <w:tcW w:type="dxa" w:w="1080"/>
          </w:tcPr>
          <w:p>
            <w:pPr>
              <w:spacing w:after="20"/>
              <w:jc w:val="right"/>
            </w:pPr>
            <w:r>
              <w:rPr>
                <w:color w:val="1C3A36"/>
                <w:sz w:val="17"/>
              </w:rPr>
              <w:t>73%</w:t>
            </w:r>
          </w:p>
        </w:tc>
        <w:tc>
          <w:tcPr>
            <w:tcW w:type="dxa" w:w="1080"/>
          </w:tcPr>
          <w:p>
            <w:pPr>
              <w:spacing w:after="20"/>
              <w:jc w:val="right"/>
            </w:pPr>
            <w:r>
              <w:rPr>
                <w:color w:val="1C3A36"/>
                <w:sz w:val="17"/>
              </w:rPr>
              <w:t>59%</w:t>
            </w:r>
          </w:p>
        </w:tc>
        <w:tc>
          <w:tcPr>
            <w:tcW w:type="dxa" w:w="1080"/>
          </w:tcPr>
          <w:p>
            <w:pPr>
              <w:spacing w:after="20"/>
              <w:jc w:val="right"/>
            </w:pPr>
            <w:r>
              <w:rPr>
                <w:color w:val="1C3A36"/>
                <w:sz w:val="17"/>
              </w:rPr>
              <w:t>44%</w:t>
            </w:r>
          </w:p>
        </w:tc>
        <w:tc>
          <w:tcPr>
            <w:tcW w:type="dxa" w:w="1080"/>
          </w:tcPr>
          <w:p>
            <w:pPr>
              <w:spacing w:after="20"/>
              <w:jc w:val="right"/>
            </w:pPr>
            <w:r>
              <w:rPr>
                <w:color w:val="1C3A36"/>
                <w:sz w:val="17"/>
              </w:rPr>
              <w:t>31%</w:t>
            </w:r>
          </w:p>
        </w:tc>
        <w:tc>
          <w:tcPr>
            <w:tcW w:type="dxa" w:w="1080"/>
          </w:tcPr>
          <w:p>
            <w:pPr>
              <w:spacing w:after="20"/>
              <w:jc w:val="right"/>
            </w:pPr>
            <w:r>
              <w:rPr>
                <w:color w:val="1C3A36"/>
                <w:sz w:val="17"/>
              </w:rPr>
              <w:t>21%</w:t>
            </w:r>
          </w:p>
        </w:tc>
        <w:tc>
          <w:tcPr>
            <w:tcW w:type="dxa" w:w="1080"/>
          </w:tcPr>
          <w:p>
            <w:pPr>
              <w:spacing w:after="20"/>
              <w:jc w:val="right"/>
            </w:pPr>
            <w:r>
              <w:rPr>
                <w:color w:val="1C3A36"/>
                <w:sz w:val="17"/>
              </w:rPr>
              <w:t>13%</w:t>
            </w:r>
          </w:p>
        </w:tc>
      </w:tr>
    </w:tbl>
    <w:p>
      <w:pPr>
        <w:spacing w:after="40"/>
      </w:pPr>
    </w:p>
    <w:p>
      <w:pPr>
        <w:spacing w:after="40"/>
        <w:jc w:val="center"/>
      </w:pPr>
      <w:r>
        <w:drawing>
          <wp:inline xmlns:a="http://schemas.openxmlformats.org/drawingml/2006/main" xmlns:pic="http://schemas.openxmlformats.org/drawingml/2006/picture">
            <wp:extent cx="4937760" cy="1492811"/>
            <wp:docPr id="9" name="Picture 9"/>
            <wp:cNvGraphicFramePr>
              <a:graphicFrameLocks noChangeAspect="1"/>
            </wp:cNvGraphicFramePr>
            <a:graphic>
              <a:graphicData uri="http://schemas.openxmlformats.org/drawingml/2006/picture">
                <pic:pic>
                  <pic:nvPicPr>
                    <pic:cNvPr id="0" name="fig_ladder.png"/>
                    <pic:cNvPicPr/>
                  </pic:nvPicPr>
                  <pic:blipFill>
                    <a:blip r:embed="rId17"/>
                    <a:stretch>
                      <a:fillRect/>
                    </a:stretch>
                  </pic:blipFill>
                  <pic:spPr>
                    <a:xfrm>
                      <a:off x="0" y="0"/>
                      <a:ext cx="4937760" cy="1492811"/>
                    </a:xfrm>
                    <a:prstGeom prst="rect"/>
                  </pic:spPr>
                </pic:pic>
              </a:graphicData>
            </a:graphic>
          </wp:inline>
        </w:drawing>
      </w:r>
    </w:p>
    <w:p>
      <w:pPr>
        <w:spacing w:after="200" w:before="0"/>
      </w:pPr>
      <w:r>
        <w:rPr>
          <w:b w:val="0"/>
          <w:i/>
          <w:color w:val="6E7B77"/>
          <w:sz w:val="17"/>
        </w:rPr>
        <w:t>Figure 9 — The level ladder. The 200-day (8.84) carries roughly a one-in-three finish-above probability; the war low (6.84) roughly a one-in-eight finish-below.</w:t>
      </w:r>
    </w:p>
    <w:p>
      <w:pPr>
        <w:spacing w:after="120" w:before="280"/>
      </w:pPr>
      <w:r>
        <w:rPr>
          <w:b/>
          <w:i w:val="0"/>
          <w:color w:val="1C3A36"/>
          <w:sz w:val="30"/>
        </w:rPr>
        <w:t>4  Comparison of the lenses, and a verdict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944"/>
            <w:shd w:val="clear" w:color="auto" w:fill="EAF0EE"/>
          </w:tcPr>
          <w:p>
            <w:pPr>
              <w:spacing w:after="20"/>
            </w:pPr>
            <w:r>
              <w:rPr>
                <w:b/>
                <w:color w:val="1C3A36"/>
                <w:sz w:val="17"/>
              </w:rPr>
              <w:t>Lens</w:t>
            </w:r>
          </w:p>
        </w:tc>
        <w:tc>
          <w:tcPr>
            <w:tcW w:type="dxa" w:w="2736"/>
            <w:shd w:val="clear" w:color="auto" w:fill="EAF0EE"/>
          </w:tcPr>
          <w:p>
            <w:pPr>
              <w:spacing w:after="20"/>
            </w:pPr>
            <w:r>
              <w:rPr>
                <w:b/>
                <w:color w:val="1C3A36"/>
                <w:sz w:val="17"/>
              </w:rPr>
              <w:t>Question it answers</w:t>
            </w:r>
          </w:p>
        </w:tc>
        <w:tc>
          <w:tcPr>
            <w:tcW w:type="dxa" w:w="3168"/>
            <w:shd w:val="clear" w:color="auto" w:fill="EAF0EE"/>
          </w:tcPr>
          <w:p>
            <w:pPr>
              <w:spacing w:after="20"/>
            </w:pPr>
            <w:r>
              <w:rPr>
                <w:b/>
                <w:color w:val="1C3A36"/>
                <w:sz w:val="17"/>
              </w:rPr>
              <w:t>Answer</w:t>
            </w:r>
          </w:p>
        </w:tc>
        <w:tc>
          <w:tcPr>
            <w:tcW w:type="dxa" w:w="2520"/>
            <w:shd w:val="clear" w:color="auto" w:fill="EAF0EE"/>
          </w:tcPr>
          <w:p>
            <w:pPr>
              <w:spacing w:after="20"/>
            </w:pPr>
            <w:r>
              <w:rPr>
                <w:b/>
                <w:color w:val="1C3A36"/>
                <w:sz w:val="17"/>
              </w:rPr>
              <w:t>Standing</w:t>
            </w:r>
          </w:p>
        </w:tc>
      </w:tr>
      <w:tr>
        <w:tc>
          <w:tcPr>
            <w:tcW w:type="dxa" w:w="1944"/>
          </w:tcPr>
          <w:p>
            <w:pPr>
              <w:spacing w:after="20"/>
            </w:pPr>
            <w:r>
              <w:rPr>
                <w:b/>
                <w:color w:val="1C3A36"/>
                <w:sz w:val="17"/>
              </w:rPr>
              <w:t>Fundamental (§1)</w:t>
            </w:r>
          </w:p>
        </w:tc>
        <w:tc>
          <w:tcPr>
            <w:tcW w:type="dxa" w:w="2736"/>
          </w:tcPr>
          <w:p>
            <w:pPr>
              <w:spacing w:after="20"/>
              <w:jc w:val="right"/>
            </w:pPr>
            <w:r>
              <w:rPr>
                <w:color w:val="1C3A36"/>
                <w:sz w:val="17"/>
              </w:rPr>
              <w:t>What is the holding worth?</w:t>
            </w:r>
          </w:p>
        </w:tc>
        <w:tc>
          <w:tcPr>
            <w:tcW w:type="dxa" w:w="3168"/>
          </w:tcPr>
          <w:p>
            <w:pPr>
              <w:spacing w:after="20"/>
              <w:jc w:val="right"/>
            </w:pPr>
            <w:r>
              <w:rPr>
                <w:color w:val="1C3A36"/>
                <w:sz w:val="17"/>
              </w:rPr>
              <w:t>AED 5.95–8.63, central 7.13; par NAV 7.44</w:t>
            </w:r>
          </w:p>
        </w:tc>
        <w:tc>
          <w:tcPr>
            <w:tcW w:type="dxa" w:w="2520"/>
          </w:tcPr>
          <w:p>
            <w:pPr>
              <w:spacing w:after="20"/>
              <w:jc w:val="right"/>
            </w:pPr>
            <w:r>
              <w:rPr>
                <w:color w:val="1C3A36"/>
                <w:sz w:val="17"/>
              </w:rPr>
              <w:t>Spot 13% above central — fully valued</w:t>
            </w:r>
          </w:p>
        </w:tc>
      </w:tr>
      <w:tr>
        <w:tc>
          <w:tcPr>
            <w:tcW w:type="dxa" w:w="1944"/>
          </w:tcPr>
          <w:p>
            <w:pPr>
              <w:spacing w:after="20"/>
            </w:pPr>
            <w:r>
              <w:rPr>
                <w:b/>
                <w:color w:val="1C3A36"/>
                <w:sz w:val="17"/>
              </w:rPr>
              <w:t>Technical (§2)</w:t>
            </w:r>
          </w:p>
        </w:tc>
        <w:tc>
          <w:tcPr>
            <w:tcW w:type="dxa" w:w="2736"/>
          </w:tcPr>
          <w:p>
            <w:pPr>
              <w:spacing w:after="20"/>
              <w:jc w:val="right"/>
            </w:pPr>
            <w:r>
              <w:rPr>
                <w:color w:val="1C3A36"/>
                <w:sz w:val="17"/>
              </w:rPr>
              <w:t>What is the tape doing?</w:t>
            </w:r>
          </w:p>
        </w:tc>
        <w:tc>
          <w:tcPr>
            <w:tcW w:type="dxa" w:w="3168"/>
          </w:tcPr>
          <w:p>
            <w:pPr>
              <w:spacing w:after="20"/>
              <w:jc w:val="right"/>
            </w:pPr>
            <w:r>
              <w:rPr>
                <w:color w:val="1C3A36"/>
                <w:sz w:val="17"/>
              </w:rPr>
              <w:t>Post-trough recovery; below the 200-day</w:t>
            </w:r>
          </w:p>
        </w:tc>
        <w:tc>
          <w:tcPr>
            <w:tcW w:type="dxa" w:w="2520"/>
          </w:tcPr>
          <w:p>
            <w:pPr>
              <w:spacing w:after="20"/>
              <w:jc w:val="right"/>
            </w:pPr>
            <w:r>
              <w:rPr>
                <w:color w:val="1C3A36"/>
                <w:sz w:val="17"/>
              </w:rPr>
              <w:t>Constructive short-term, bearish long-term structure</w:t>
            </w:r>
          </w:p>
        </w:tc>
      </w:tr>
      <w:tr>
        <w:tc>
          <w:tcPr>
            <w:tcW w:type="dxa" w:w="1944"/>
          </w:tcPr>
          <w:p>
            <w:pPr>
              <w:spacing w:after="20"/>
            </w:pPr>
            <w:r>
              <w:rPr>
                <w:b/>
                <w:color w:val="1C3A36"/>
                <w:sz w:val="17"/>
              </w:rPr>
              <w:t>Monte Carlo (§3)</w:t>
            </w:r>
          </w:p>
        </w:tc>
        <w:tc>
          <w:tcPr>
            <w:tcW w:type="dxa" w:w="2736"/>
          </w:tcPr>
          <w:p>
            <w:pPr>
              <w:spacing w:after="20"/>
              <w:jc w:val="right"/>
            </w:pPr>
            <w:r>
              <w:rPr>
                <w:color w:val="1C3A36"/>
                <w:sz w:val="17"/>
              </w:rPr>
              <w:t>Where can price go in 3 months?</w:t>
            </w:r>
          </w:p>
        </w:tc>
        <w:tc>
          <w:tcPr>
            <w:tcW w:type="dxa" w:w="3168"/>
          </w:tcPr>
          <w:p>
            <w:pPr>
              <w:spacing w:after="20"/>
              <w:jc w:val="right"/>
            </w:pPr>
            <w:r>
              <w:rPr>
                <w:color w:val="1C3A36"/>
                <w:sz w:val="17"/>
              </w:rPr>
              <w:t>5–95%: 6.30–10.93; P(up) 52%</w:t>
            </w:r>
          </w:p>
        </w:tc>
        <w:tc>
          <w:tcPr>
            <w:tcW w:type="dxa" w:w="2520"/>
          </w:tcPr>
          <w:p>
            <w:pPr>
              <w:spacing w:after="20"/>
              <w:jc w:val="right"/>
            </w:pPr>
            <w:r>
              <w:rPr>
                <w:color w:val="1C3A36"/>
                <w:sz w:val="17"/>
              </w:rPr>
              <w:t>Near coin-flip; both §1 anchors inside the core</w:t>
            </w:r>
          </w:p>
        </w:tc>
      </w:tr>
      <w:tr>
        <w:tc>
          <w:tcPr>
            <w:tcW w:type="dxa" w:w="1944"/>
          </w:tcPr>
          <w:p>
            <w:pPr>
              <w:spacing w:after="20"/>
            </w:pPr>
            <w:r>
              <w:rPr>
                <w:b/>
                <w:color w:val="1C3A36"/>
                <w:sz w:val="17"/>
              </w:rPr>
              <w:t>Expert panel (App. C)</w:t>
            </w:r>
          </w:p>
        </w:tc>
        <w:tc>
          <w:tcPr>
            <w:tcW w:type="dxa" w:w="2736"/>
          </w:tcPr>
          <w:p>
            <w:pPr>
              <w:spacing w:after="20"/>
              <w:jc w:val="right"/>
            </w:pPr>
            <w:r>
              <w:rPr>
                <w:color w:val="1C3A36"/>
                <w:sz w:val="17"/>
              </w:rPr>
              <w:t>What do the holdco-trio personas say?</w:t>
            </w:r>
          </w:p>
        </w:tc>
        <w:tc>
          <w:tcPr>
            <w:tcW w:type="dxa" w:w="3168"/>
          </w:tcPr>
          <w:p>
            <w:pPr>
              <w:spacing w:after="20"/>
              <w:jc w:val="right"/>
            </w:pPr>
            <w:r>
              <w:rPr>
                <w:color w:val="1C3A36"/>
                <w:sz w:val="17"/>
              </w:rPr>
              <w:t>AED 6.3 / 6.8 / 7.03</w:t>
            </w:r>
          </w:p>
        </w:tc>
        <w:tc>
          <w:tcPr>
            <w:tcW w:type="dxa" w:w="2520"/>
          </w:tcPr>
          <w:p>
            <w:pPr>
              <w:spacing w:after="20"/>
              <w:jc w:val="right"/>
            </w:pPr>
            <w:r>
              <w:rPr>
                <w:color w:val="1C3A36"/>
                <w:sz w:val="17"/>
              </w:rPr>
              <w:t>Unanimously below spot</w:t>
            </w:r>
          </w:p>
        </w:tc>
      </w:tr>
    </w:tbl>
    <w:p>
      <w:pPr>
        <w:spacing w:after="40"/>
      </w:pPr>
    </w:p>
    <w:p>
      <w:pPr>
        <w:spacing w:after="120" w:before="0"/>
      </w:pPr>
      <w:r>
        <w:rPr>
          <w:b w:val="0"/>
          <w:i w:val="0"/>
          <w:color w:val="1C3A36"/>
          <w:sz w:val="19"/>
        </w:rPr>
        <w:t>Where they agree and where they don’t: all four fundamental-family reads (three lenses plus the panel) put value below the AED 8.22 print — the disagreement is only about how far. The tape disagrees on timing: momentum since the war trough has been buyers’, and the MC accordingly gives a small edge to finishing higher over a quarter. That combination — value below, momentum above — is the classic anatomy of a premium being defended, and it resolves through §1.7’s number: either attributable earnings and deal flow re-accelerate to justify the premium, or the price completes its trip toward the marks. Verdict, in the only form this house publishes: fair value AED 5.95–8.63, central 7.13; the current price sits inside the upper half of that range and above every anchor in it. No rating, no target — a distribution and its reasons.</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512"/>
            <w:shd w:val="clear" w:color="auto" w:fill="EAF0EE"/>
          </w:tcPr>
          <w:p>
            <w:pPr>
              <w:spacing w:after="20"/>
            </w:pPr>
            <w:r>
              <w:rPr>
                <w:b/>
                <w:color w:val="1C3A36"/>
                <w:sz w:val="17"/>
              </w:rPr>
              <w:t>When</w:t>
            </w:r>
          </w:p>
        </w:tc>
        <w:tc>
          <w:tcPr>
            <w:tcW w:type="dxa" w:w="3096"/>
            <w:shd w:val="clear" w:color="auto" w:fill="EAF0EE"/>
          </w:tcPr>
          <w:p>
            <w:pPr>
              <w:spacing w:after="20"/>
            </w:pPr>
            <w:r>
              <w:rPr>
                <w:b/>
                <w:color w:val="1C3A36"/>
                <w:sz w:val="17"/>
              </w:rPr>
              <w:t>Event</w:t>
            </w:r>
          </w:p>
        </w:tc>
        <w:tc>
          <w:tcPr>
            <w:tcW w:type="dxa" w:w="5760"/>
            <w:shd w:val="clear" w:color="auto" w:fill="EAF0EE"/>
          </w:tcPr>
          <w:p>
            <w:pPr>
              <w:spacing w:after="20"/>
            </w:pPr>
            <w:r>
              <w:rPr>
                <w:b/>
                <w:color w:val="1C3A36"/>
                <w:sz w:val="17"/>
              </w:rPr>
              <w:t>Why it moves the read</w:t>
            </w:r>
          </w:p>
        </w:tc>
      </w:tr>
      <w:tr>
        <w:tc>
          <w:tcPr>
            <w:tcW w:type="dxa" w:w="1512"/>
          </w:tcPr>
          <w:p>
            <w:pPr>
              <w:spacing w:after="20"/>
            </w:pPr>
            <w:r>
              <w:rPr>
                <w:b/>
                <w:color w:val="1C3A36"/>
                <w:sz w:val="17"/>
              </w:rPr>
              <w:t>Ongoing (live)</w:t>
            </w:r>
          </w:p>
        </w:tc>
        <w:tc>
          <w:tcPr>
            <w:tcW w:type="dxa" w:w="3096"/>
          </w:tcPr>
          <w:p>
            <w:pPr>
              <w:spacing w:after="20"/>
              <w:jc w:val="right"/>
            </w:pPr>
            <w:r>
              <w:rPr>
                <w:color w:val="1C3A36"/>
                <w:sz w:val="17"/>
              </w:rPr>
              <w:t>Iran war re-escalation / de-escalation</w:t>
            </w:r>
          </w:p>
        </w:tc>
        <w:tc>
          <w:tcPr>
            <w:tcW w:type="dxa" w:w="5760"/>
          </w:tcPr>
          <w:p>
            <w:pPr>
              <w:spacing w:after="20"/>
              <w:jc w:val="right"/>
            </w:pPr>
            <w:r>
              <w:rPr>
                <w:color w:val="1C3A36"/>
                <w:sz w:val="17"/>
              </w:rPr>
              <w:t>The dominant tail both ways: all four ADX marks, Gulf logistics, and the oil-fiscal pulse move together</w:t>
            </w:r>
          </w:p>
        </w:tc>
      </w:tr>
      <w:tr>
        <w:tc>
          <w:tcPr>
            <w:tcW w:type="dxa" w:w="1512"/>
          </w:tcPr>
          <w:p>
            <w:pPr>
              <w:spacing w:after="20"/>
            </w:pPr>
            <w:r>
              <w:rPr>
                <w:b/>
                <w:color w:val="1C3A36"/>
                <w:sz w:val="17"/>
              </w:rPr>
              <w:t>~Aug 2026</w:t>
            </w:r>
          </w:p>
        </w:tc>
        <w:tc>
          <w:tcPr>
            <w:tcW w:type="dxa" w:w="3096"/>
          </w:tcPr>
          <w:p>
            <w:pPr>
              <w:spacing w:after="20"/>
              <w:jc w:val="right"/>
            </w:pPr>
            <w:r>
              <w:rPr>
                <w:color w:val="1C3A36"/>
                <w:sz w:val="17"/>
              </w:rPr>
              <w:t>Q2-2026 results + the missing attributable split</w:t>
            </w:r>
          </w:p>
        </w:tc>
        <w:tc>
          <w:tcPr>
            <w:tcW w:type="dxa" w:w="5760"/>
          </w:tcPr>
          <w:p>
            <w:pPr>
              <w:spacing w:after="20"/>
              <w:jc w:val="right"/>
            </w:pPr>
            <w:r>
              <w:rPr>
                <w:color w:val="1C3A36"/>
                <w:sz w:val="17"/>
              </w:rPr>
              <w:t>First test of whether Q1’s +81% (FV-driven) profit converts to owners’ EPS; also closes this study’s flagged data gap</w:t>
            </w:r>
          </w:p>
        </w:tc>
      </w:tr>
      <w:tr>
        <w:tc>
          <w:tcPr>
            <w:tcW w:type="dxa" w:w="1512"/>
          </w:tcPr>
          <w:p>
            <w:pPr>
              <w:spacing w:after="20"/>
            </w:pPr>
            <w:r>
              <w:rPr>
                <w:b/>
                <w:color w:val="1C3A36"/>
                <w:sz w:val="17"/>
              </w:rPr>
              <w:t>H2 2026</w:t>
            </w:r>
          </w:p>
        </w:tc>
        <w:tc>
          <w:tcPr>
            <w:tcW w:type="dxa" w:w="3096"/>
          </w:tcPr>
          <w:p>
            <w:pPr>
              <w:spacing w:after="20"/>
              <w:jc w:val="right"/>
            </w:pPr>
            <w:r>
              <w:rPr>
                <w:color w:val="1C3A36"/>
                <w:sz w:val="17"/>
              </w:rPr>
              <w:t>Working-capital trajectory</w:t>
            </w:r>
          </w:p>
        </w:tc>
        <w:tc>
          <w:tcPr>
            <w:tcW w:type="dxa" w:w="5760"/>
          </w:tcPr>
          <w:p>
            <w:pPr>
              <w:spacing w:after="20"/>
              <w:jc w:val="right"/>
            </w:pPr>
            <w:r>
              <w:rPr>
                <w:color w:val="1C3A36"/>
                <w:sz w:val="17"/>
              </w:rPr>
              <w:t>The DCF crux: if ΔWC absorption fades from 48% of Δrev, cash conversion — and the ceiling lens — become credible</w:t>
            </w:r>
          </w:p>
        </w:tc>
      </w:tr>
      <w:tr>
        <w:tc>
          <w:tcPr>
            <w:tcW w:type="dxa" w:w="1512"/>
          </w:tcPr>
          <w:p>
            <w:pPr>
              <w:spacing w:after="20"/>
            </w:pPr>
            <w:r>
              <w:rPr>
                <w:b/>
                <w:color w:val="1C3A36"/>
                <w:sz w:val="17"/>
              </w:rPr>
              <w:t>Rolling</w:t>
            </w:r>
          </w:p>
        </w:tc>
        <w:tc>
          <w:tcPr>
            <w:tcW w:type="dxa" w:w="3096"/>
          </w:tcPr>
          <w:p>
            <w:pPr>
              <w:spacing w:after="20"/>
              <w:jc w:val="right"/>
            </w:pPr>
            <w:r>
              <w:rPr>
                <w:color w:val="1C3A36"/>
                <w:sz w:val="17"/>
              </w:rPr>
              <w:t>Buyback execution &amp; float</w:t>
            </w:r>
          </w:p>
        </w:tc>
        <w:tc>
          <w:tcPr>
            <w:tcW w:type="dxa" w:w="5760"/>
          </w:tcPr>
          <w:p>
            <w:pPr>
              <w:spacing w:after="20"/>
              <w:jc w:val="right"/>
            </w:pPr>
            <w:r>
              <w:rPr>
                <w:color w:val="1C3A36"/>
                <w:sz w:val="17"/>
              </w:rPr>
              <w:t>A thin-float premium defended with repurchases is a mechanical support; disclosure of pace matters</w:t>
            </w:r>
          </w:p>
        </w:tc>
      </w:tr>
      <w:tr>
        <w:tc>
          <w:tcPr>
            <w:tcW w:type="dxa" w:w="1512"/>
          </w:tcPr>
          <w:p>
            <w:pPr>
              <w:spacing w:after="20"/>
            </w:pPr>
            <w:r>
              <w:rPr>
                <w:b/>
                <w:color w:val="1C3A36"/>
                <w:sz w:val="17"/>
              </w:rPr>
              <w:t>Rolling</w:t>
            </w:r>
          </w:p>
        </w:tc>
        <w:tc>
          <w:tcPr>
            <w:tcW w:type="dxa" w:w="3096"/>
          </w:tcPr>
          <w:p>
            <w:pPr>
              <w:spacing w:after="20"/>
              <w:jc w:val="right"/>
            </w:pPr>
            <w:r>
              <w:rPr>
                <w:color w:val="1C3A36"/>
                <w:sz w:val="17"/>
              </w:rPr>
              <w:t>IHC-ecosystem transactions</w:t>
            </w:r>
          </w:p>
        </w:tc>
        <w:tc>
          <w:tcPr>
            <w:tcW w:type="dxa" w:w="5760"/>
          </w:tcPr>
          <w:p>
            <w:pPr>
              <w:spacing w:after="20"/>
              <w:jc w:val="right"/>
            </w:pPr>
            <w:r>
              <w:rPr>
                <w:color w:val="1C3A36"/>
                <w:sz w:val="17"/>
              </w:rPr>
              <w:t>New injections/disposals re-price the residual book — the third of NAV that has no daily mark</w:t>
            </w:r>
          </w:p>
        </w:tc>
      </w:tr>
      <w:tr>
        <w:tc>
          <w:tcPr>
            <w:tcW w:type="dxa" w:w="1512"/>
          </w:tcPr>
          <w:p>
            <w:pPr>
              <w:spacing w:after="20"/>
            </w:pPr>
            <w:r>
              <w:rPr>
                <w:b/>
                <w:color w:val="1C3A36"/>
                <w:sz w:val="17"/>
              </w:rPr>
              <w:t>Q1 2027</w:t>
            </w:r>
          </w:p>
        </w:tc>
        <w:tc>
          <w:tcPr>
            <w:tcW w:type="dxa" w:w="3096"/>
          </w:tcPr>
          <w:p>
            <w:pPr>
              <w:spacing w:after="20"/>
              <w:jc w:val="right"/>
            </w:pPr>
            <w:r>
              <w:rPr>
                <w:color w:val="1C3A36"/>
                <w:sz w:val="17"/>
              </w:rPr>
              <w:t>FY2026 dividend (policy: 21 fils)</w:t>
            </w:r>
          </w:p>
        </w:tc>
        <w:tc>
          <w:tcPr>
            <w:tcW w:type="dxa" w:w="5760"/>
          </w:tcPr>
          <w:p>
            <w:pPr>
              <w:spacing w:after="20"/>
              <w:jc w:val="right"/>
            </w:pPr>
            <w:r>
              <w:rPr>
                <w:color w:val="1C3A36"/>
                <w:sz w:val="17"/>
              </w:rPr>
              <w:t>First +5% step of the stated policy; confirmation or breach is a direct DDM input</w:t>
            </w:r>
          </w:p>
        </w:tc>
      </w:tr>
      <w:tr>
        <w:tc>
          <w:tcPr>
            <w:tcW w:type="dxa" w:w="1512"/>
          </w:tcPr>
          <w:p>
            <w:pPr>
              <w:spacing w:after="20"/>
            </w:pPr>
            <w:r>
              <w:rPr>
                <w:b/>
                <w:color w:val="1C3A36"/>
                <w:sz w:val="17"/>
              </w:rPr>
              <w:t>Any time</w:t>
            </w:r>
          </w:p>
        </w:tc>
        <w:tc>
          <w:tcPr>
            <w:tcW w:type="dxa" w:w="3096"/>
          </w:tcPr>
          <w:p>
            <w:pPr>
              <w:spacing w:after="20"/>
              <w:jc w:val="right"/>
            </w:pPr>
            <w:r>
              <w:rPr>
                <w:color w:val="1C3A36"/>
                <w:sz w:val="17"/>
              </w:rPr>
              <w:t>Fed / CBUAE path</w:t>
            </w:r>
          </w:p>
        </w:tc>
        <w:tc>
          <w:tcPr>
            <w:tcW w:type="dxa" w:w="5760"/>
          </w:tcPr>
          <w:p>
            <w:pPr>
              <w:spacing w:after="20"/>
              <w:jc w:val="right"/>
            </w:pPr>
            <w:r>
              <w:rPr>
                <w:color w:val="1C3A36"/>
                <w:sz w:val="17"/>
              </w:rPr>
              <w:t>The peg imports every cut: carry anchor, Kd, and the DCF discount rate all reset together</w:t>
            </w:r>
          </w:p>
        </w:tc>
      </w:tr>
    </w:tbl>
    <w:p>
      <w:pPr>
        <w:spacing w:after="40"/>
      </w:pPr>
    </w:p>
    <w:p>
      <w:pPr>
        <w:spacing w:after="120" w:before="280"/>
      </w:pPr>
      <w:r>
        <w:rPr>
          <w:b/>
          <w:i w:val="0"/>
          <w:color w:val="1C3A36"/>
          <w:sz w:val="30"/>
        </w:rPr>
        <w:t>6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656"/>
            <w:shd w:val="clear" w:color="auto" w:fill="EAF0EE"/>
          </w:tcPr>
          <w:p>
            <w:pPr>
              <w:spacing w:after="20"/>
            </w:pPr>
            <w:r>
              <w:rPr>
                <w:b/>
                <w:color w:val="1C3A36"/>
                <w:sz w:val="17"/>
              </w:rPr>
              <w:t>Zone (T+60)</w:t>
            </w:r>
          </w:p>
        </w:tc>
        <w:tc>
          <w:tcPr>
            <w:tcW w:type="dxa" w:w="2232"/>
            <w:shd w:val="clear" w:color="auto" w:fill="EAF0EE"/>
          </w:tcPr>
          <w:p>
            <w:pPr>
              <w:spacing w:after="20"/>
            </w:pPr>
            <w:r>
              <w:rPr>
                <w:b/>
                <w:color w:val="1C3A36"/>
                <w:sz w:val="17"/>
              </w:rPr>
              <w:t>Range (AED)</w:t>
            </w:r>
          </w:p>
        </w:tc>
        <w:tc>
          <w:tcPr>
            <w:tcW w:type="dxa" w:w="1368"/>
            <w:shd w:val="clear" w:color="auto" w:fill="EAF0EE"/>
          </w:tcPr>
          <w:p>
            <w:pPr>
              <w:spacing w:after="20"/>
            </w:pPr>
            <w:r>
              <w:rPr>
                <w:b/>
                <w:color w:val="1C3A36"/>
                <w:sz w:val="17"/>
              </w:rPr>
              <w:t>Probability</w:t>
            </w:r>
          </w:p>
        </w:tc>
        <w:tc>
          <w:tcPr>
            <w:tcW w:type="dxa" w:w="5112"/>
            <w:shd w:val="clear" w:color="auto" w:fill="EAF0EE"/>
          </w:tcPr>
          <w:p>
            <w:pPr>
              <w:spacing w:after="20"/>
            </w:pPr>
            <w:r>
              <w:rPr>
                <w:b/>
                <w:color w:val="1C3A36"/>
                <w:sz w:val="17"/>
              </w:rPr>
              <w:t>What being there would mean</w:t>
            </w:r>
          </w:p>
        </w:tc>
      </w:tr>
      <w:tr>
        <w:tc>
          <w:tcPr>
            <w:tcW w:type="dxa" w:w="1656"/>
          </w:tcPr>
          <w:p>
            <w:pPr>
              <w:spacing w:after="20"/>
            </w:pPr>
            <w:r>
              <w:rPr>
                <w:b/>
                <w:color w:val="1C3A36"/>
                <w:sz w:val="17"/>
              </w:rPr>
              <w:t>Deep stress</w:t>
            </w:r>
          </w:p>
        </w:tc>
        <w:tc>
          <w:tcPr>
            <w:tcW w:type="dxa" w:w="2232"/>
          </w:tcPr>
          <w:p>
            <w:pPr>
              <w:spacing w:after="20"/>
              <w:jc w:val="right"/>
            </w:pPr>
            <w:r>
              <w:rPr>
                <w:color w:val="1C3A36"/>
                <w:sz w:val="17"/>
              </w:rPr>
              <w:t>&lt; 6.30</w:t>
            </w:r>
          </w:p>
        </w:tc>
        <w:tc>
          <w:tcPr>
            <w:tcW w:type="dxa" w:w="1368"/>
          </w:tcPr>
          <w:p>
            <w:pPr>
              <w:spacing w:after="20"/>
              <w:jc w:val="right"/>
            </w:pPr>
            <w:r>
              <w:rPr>
                <w:color w:val="1C3A36"/>
                <w:sz w:val="17"/>
              </w:rPr>
              <w:t>~5%</w:t>
            </w:r>
          </w:p>
        </w:tc>
        <w:tc>
          <w:tcPr>
            <w:tcW w:type="dxa" w:w="5112"/>
          </w:tcPr>
          <w:p>
            <w:pPr>
              <w:spacing w:after="20"/>
              <w:jc w:val="right"/>
            </w:pPr>
            <w:r>
              <w:rPr>
                <w:color w:val="1C3A36"/>
                <w:sz w:val="17"/>
              </w:rPr>
              <w:t>War-tail territory: below the fitted 5th percentile, in the regime the Gaussian understates</w:t>
            </w:r>
          </w:p>
        </w:tc>
      </w:tr>
      <w:tr>
        <w:tc>
          <w:tcPr>
            <w:tcW w:type="dxa" w:w="1656"/>
          </w:tcPr>
          <w:p>
            <w:pPr>
              <w:spacing w:after="20"/>
            </w:pPr>
            <w:r>
              <w:rPr>
                <w:b/>
                <w:color w:val="1C3A36"/>
                <w:sz w:val="17"/>
              </w:rPr>
              <w:t>Lower band</w:t>
            </w:r>
          </w:p>
        </w:tc>
        <w:tc>
          <w:tcPr>
            <w:tcW w:type="dxa" w:w="2232"/>
          </w:tcPr>
          <w:p>
            <w:pPr>
              <w:spacing w:after="20"/>
              <w:jc w:val="right"/>
            </w:pPr>
            <w:r>
              <w:rPr>
                <w:color w:val="1C3A36"/>
                <w:sz w:val="17"/>
              </w:rPr>
              <w:t>6.30 – 7.42</w:t>
            </w:r>
          </w:p>
        </w:tc>
        <w:tc>
          <w:tcPr>
            <w:tcW w:type="dxa" w:w="1368"/>
          </w:tcPr>
          <w:p>
            <w:pPr>
              <w:spacing w:after="20"/>
              <w:jc w:val="right"/>
            </w:pPr>
            <w:r>
              <w:rPr>
                <w:color w:val="1C3A36"/>
                <w:sz w:val="17"/>
              </w:rPr>
              <w:t>~20%</w:t>
            </w:r>
          </w:p>
        </w:tc>
        <w:tc>
          <w:tcPr>
            <w:tcW w:type="dxa" w:w="5112"/>
          </w:tcPr>
          <w:p>
            <w:pPr>
              <w:spacing w:after="20"/>
              <w:jc w:val="right"/>
            </w:pPr>
            <w:r>
              <w:rPr>
                <w:color w:val="1C3A36"/>
                <w:sz w:val="17"/>
              </w:rPr>
              <w:t>The trip toward NAV-with-a-discount; §1’s central (7.13) sits just below this zone</w:t>
            </w:r>
          </w:p>
        </w:tc>
      </w:tr>
      <w:tr>
        <w:tc>
          <w:tcPr>
            <w:tcW w:type="dxa" w:w="1656"/>
          </w:tcPr>
          <w:p>
            <w:pPr>
              <w:spacing w:after="20"/>
            </w:pPr>
            <w:r>
              <w:rPr>
                <w:b/>
                <w:color w:val="1C3A36"/>
                <w:sz w:val="17"/>
              </w:rPr>
              <w:t>The core</w:t>
            </w:r>
          </w:p>
        </w:tc>
        <w:tc>
          <w:tcPr>
            <w:tcW w:type="dxa" w:w="2232"/>
          </w:tcPr>
          <w:p>
            <w:pPr>
              <w:spacing w:after="20"/>
              <w:jc w:val="right"/>
            </w:pPr>
            <w:r>
              <w:rPr>
                <w:color w:val="1C3A36"/>
                <w:sz w:val="17"/>
              </w:rPr>
              <w:t>7.42 – 9.27</w:t>
            </w:r>
          </w:p>
        </w:tc>
        <w:tc>
          <w:tcPr>
            <w:tcW w:type="dxa" w:w="1368"/>
          </w:tcPr>
          <w:p>
            <w:pPr>
              <w:spacing w:after="20"/>
              <w:jc w:val="right"/>
            </w:pPr>
            <w:r>
              <w:rPr>
                <w:color w:val="1C3A36"/>
                <w:sz w:val="17"/>
              </w:rPr>
              <w:t>~50%</w:t>
            </w:r>
          </w:p>
        </w:tc>
        <w:tc>
          <w:tcPr>
            <w:tcW w:type="dxa" w:w="5112"/>
          </w:tcPr>
          <w:p>
            <w:pPr>
              <w:spacing w:after="20"/>
              <w:jc w:val="right"/>
            </w:pPr>
            <w:r>
              <w:rPr>
                <w:color w:val="1C3A36"/>
                <w:sz w:val="17"/>
              </w:rPr>
              <w:t>Par NAV (7.44) and spot live here — the premium debate unresolved</w:t>
            </w:r>
          </w:p>
        </w:tc>
      </w:tr>
      <w:tr>
        <w:tc>
          <w:tcPr>
            <w:tcW w:type="dxa" w:w="1656"/>
          </w:tcPr>
          <w:p>
            <w:pPr>
              <w:spacing w:after="20"/>
            </w:pPr>
            <w:r>
              <w:rPr>
                <w:b/>
                <w:color w:val="1C3A36"/>
                <w:sz w:val="17"/>
              </w:rPr>
              <w:t>Upper band</w:t>
            </w:r>
          </w:p>
        </w:tc>
        <w:tc>
          <w:tcPr>
            <w:tcW w:type="dxa" w:w="2232"/>
          </w:tcPr>
          <w:p>
            <w:pPr>
              <w:spacing w:after="20"/>
              <w:jc w:val="right"/>
            </w:pPr>
            <w:r>
              <w:rPr>
                <w:color w:val="1C3A36"/>
                <w:sz w:val="17"/>
              </w:rPr>
              <w:t>9.27 – 10.93</w:t>
            </w:r>
          </w:p>
        </w:tc>
        <w:tc>
          <w:tcPr>
            <w:tcW w:type="dxa" w:w="1368"/>
          </w:tcPr>
          <w:p>
            <w:pPr>
              <w:spacing w:after="20"/>
              <w:jc w:val="right"/>
            </w:pPr>
            <w:r>
              <w:rPr>
                <w:color w:val="1C3A36"/>
                <w:sz w:val="17"/>
              </w:rPr>
              <w:t>~20%</w:t>
            </w:r>
          </w:p>
        </w:tc>
        <w:tc>
          <w:tcPr>
            <w:tcW w:type="dxa" w:w="5112"/>
          </w:tcPr>
          <w:p>
            <w:pPr>
              <w:spacing w:after="20"/>
              <w:jc w:val="right"/>
            </w:pPr>
            <w:r>
              <w:rPr>
                <w:color w:val="1C3A36"/>
                <w:sz w:val="17"/>
              </w:rPr>
              <w:t>Through the 200-day (8.84): the recovery becomes a trend; premium widening, not closing</w:t>
            </w:r>
          </w:p>
        </w:tc>
      </w:tr>
      <w:tr>
        <w:tc>
          <w:tcPr>
            <w:tcW w:type="dxa" w:w="1656"/>
          </w:tcPr>
          <w:p>
            <w:pPr>
              <w:spacing w:after="20"/>
            </w:pPr>
            <w:r>
              <w:rPr>
                <w:b/>
                <w:color w:val="1C3A36"/>
                <w:sz w:val="17"/>
              </w:rPr>
              <w:t>Right tail</w:t>
            </w:r>
          </w:p>
        </w:tc>
        <w:tc>
          <w:tcPr>
            <w:tcW w:type="dxa" w:w="2232"/>
          </w:tcPr>
          <w:p>
            <w:pPr>
              <w:spacing w:after="20"/>
              <w:jc w:val="right"/>
            </w:pPr>
            <w:r>
              <w:rPr>
                <w:color w:val="1C3A36"/>
                <w:sz w:val="17"/>
              </w:rPr>
              <w:t>&gt; 10.93</w:t>
            </w:r>
          </w:p>
        </w:tc>
        <w:tc>
          <w:tcPr>
            <w:tcW w:type="dxa" w:w="1368"/>
          </w:tcPr>
          <w:p>
            <w:pPr>
              <w:spacing w:after="20"/>
              <w:jc w:val="right"/>
            </w:pPr>
            <w:r>
              <w:rPr>
                <w:color w:val="1C3A36"/>
                <w:sz w:val="17"/>
              </w:rPr>
              <w:t>~5%</w:t>
            </w:r>
          </w:p>
        </w:tc>
        <w:tc>
          <w:tcPr>
            <w:tcW w:type="dxa" w:w="5112"/>
          </w:tcPr>
          <w:p>
            <w:pPr>
              <w:spacing w:after="20"/>
              <w:jc w:val="right"/>
            </w:pPr>
            <w:r>
              <w:rPr>
                <w:color w:val="1C3A36"/>
                <w:sz w:val="17"/>
              </w:rPr>
              <w:t>Re-rating on a deal or de-escalation; back toward the 2025 shelf</w:t>
            </w:r>
          </w:p>
        </w:tc>
      </w:tr>
    </w:tbl>
    <w:p>
      <w:pPr>
        <w:spacing w:after="40"/>
      </w:pPr>
    </w:p>
    <w:p>
      <w:pPr>
        <w:spacing w:after="120" w:before="0"/>
      </w:pPr>
      <w:r>
        <w:rPr>
          <w:b w:val="0"/>
          <w:i w:val="0"/>
          <w:color w:val="1C3A36"/>
          <w:sz w:val="19"/>
        </w:rPr>
        <w:t>The practical use of the map is falsification: a sustained break below ~7.40 with the 200-day still falling says the market has started closing the premium (the fundamental read gaining); a close above ~8.84 that holds says the market is re-underwriting the compounder story (the fundamental read losing, and this study’s next update would have to say why).</w:t>
      </w:r>
    </w:p>
    <w:p>
      <w:pPr>
        <w:spacing w:after="120" w:before="280"/>
      </w:pPr>
      <w:r>
        <w:rPr>
          <w:b/>
          <w:i w:val="0"/>
          <w:color w:val="1C3A36"/>
          <w:sz w:val="30"/>
        </w:rPr>
        <w:t>7  Caveats and what would change our mind</w:t>
      </w:r>
    </w:p>
    <w:p>
      <w:pPr>
        <w:pStyle w:val="ListBullet"/>
        <w:spacing w:after="60"/>
      </w:pPr>
      <w:r>
        <w:rPr>
          <w:b/>
          <w:color w:val="1C3A36"/>
          <w:sz w:val="21"/>
        </w:rPr>
        <w:t xml:space="preserve">Timing. </w:t>
      </w:r>
      <w:r>
        <w:rPr>
          <w:color w:val="1C3A36"/>
          <w:sz w:val="21"/>
        </w:rPr>
        <w:t>The price series ends 3 Jul 2026; the 7–8 Jul ceasefire collapse post-dates every number here. A war-regime repricing would move spot, all four listed marks, and the MC anchor simultaneously — this study’s next scheduled grade (T+20, early Aug) will land inside that fog.</w:t>
      </w:r>
    </w:p>
    <w:p>
      <w:pPr>
        <w:pStyle w:val="ListBullet"/>
        <w:spacing w:after="60"/>
      </w:pPr>
      <w:r>
        <w:rPr>
          <w:b/>
          <w:color w:val="1C3A36"/>
          <w:sz w:val="21"/>
        </w:rPr>
        <w:t xml:space="preserve">The derived line. </w:t>
      </w:r>
      <w:r>
        <w:rPr>
          <w:color w:val="1C3A36"/>
          <w:sz w:val="21"/>
        </w:rPr>
        <w:t>FY2025 borrowings (≈AED 41.4 bn) are derived, not read off a note; net debt could differ by low single-digit billions. §1.9 bounds the NAV effect at roughly ±AED 0.5/share. A machine-readable FY25 annual report closes this.</w:t>
      </w:r>
    </w:p>
    <w:p>
      <w:pPr>
        <w:pStyle w:val="ListBullet"/>
        <w:spacing w:after="60"/>
      </w:pPr>
      <w:r>
        <w:rPr>
          <w:b/>
          <w:color w:val="1C3A36"/>
          <w:sz w:val="21"/>
        </w:rPr>
        <w:t xml:space="preserve">The missing split. </w:t>
      </w:r>
      <w:r>
        <w:rPr>
          <w:color w:val="1C3A36"/>
          <w:sz w:val="21"/>
        </w:rPr>
        <w:t>Q1-2026 attributable profit was not published in the sources retrieved; the +81% headline is total profit and is FV-gain-driven. If the owners’ share proves weak, the relative lens’s reported-EPS basis (0.85) is too high.</w:t>
      </w:r>
    </w:p>
    <w:p>
      <w:pPr>
        <w:pStyle w:val="ListBullet"/>
        <w:spacing w:after="60"/>
      </w:pPr>
      <w:r>
        <w:rPr>
          <w:b/>
          <w:color w:val="1C3A36"/>
          <w:sz w:val="21"/>
        </w:rPr>
        <w:t xml:space="preserve">Allocation. </w:t>
      </w:r>
      <w:r>
        <w:rPr>
          <w:color w:val="1C3A36"/>
          <w:sz w:val="21"/>
        </w:rPr>
        <w:t>The carried-value allocation of the parent book across the five marked assets is the preparer’s estimate (ledger-logged). The NAV total is insensitive to it, but per-asset premium/discount statements inherit its error.</w:t>
      </w:r>
    </w:p>
    <w:p>
      <w:pPr>
        <w:pStyle w:val="ListBullet"/>
        <w:spacing w:after="60"/>
      </w:pPr>
      <w:r>
        <w:rPr>
          <w:b/>
          <w:color w:val="1C3A36"/>
          <w:sz w:val="21"/>
        </w:rPr>
        <w:t xml:space="preserve">The Trojan mark. </w:t>
      </w:r>
      <w:r>
        <w:rPr>
          <w:color w:val="1C3A36"/>
          <w:sz w:val="21"/>
        </w:rPr>
        <w:t>Trojan’s mark is an eighteen-month-old transaction price. UAE construction has been strong since; the mark is more likely stale-low than stale-high, which would raise NAV modestly.</w:t>
      </w:r>
    </w:p>
    <w:p>
      <w:pPr>
        <w:pStyle w:val="ListBullet"/>
        <w:spacing w:after="60"/>
      </w:pPr>
      <w:r>
        <w:rPr>
          <w:b/>
          <w:color w:val="1C3A36"/>
          <w:sz w:val="21"/>
        </w:rPr>
        <w:t xml:space="preserve">Calibration humility. </w:t>
      </w:r>
      <w:r>
        <w:rPr>
          <w:color w:val="1C3A36"/>
          <w:sz w:val="21"/>
        </w:rPr>
        <w:t>The AE market fit behind Step-0 is single-name and provisional (house rule after the QGTS precedent: no AE name-level FAIL is treated as real until a ≥3-name panel exists). The engine passed at parity here; the fit will be re-estimated as UAE coverage grows.</w:t>
      </w:r>
    </w:p>
    <w:p>
      <w:pPr>
        <w:pStyle w:val="ListBullet"/>
        <w:spacing w:after="60"/>
      </w:pPr>
      <w:r>
        <w:rPr>
          <w:b/>
          <w:color w:val="1C3A36"/>
          <w:sz w:val="21"/>
        </w:rPr>
        <w:t xml:space="preserve">Mind-changers. </w:t>
      </w:r>
      <w:r>
        <w:rPr>
          <w:color w:val="1C3A36"/>
          <w:sz w:val="21"/>
        </w:rPr>
        <w:t>We would revise up on: two quarters of attributable-EPS growth with ΔWC absorption fading; a primary-source IHC float/ownership disclosure plus sustained buyback; disposal of an unlisted asset at or above carrying value (validating the residual book). We would revise down on: a dividend-policy breach; a large related-party injection at rich marks; war escalation that closes Gulf logistics for months.</w:t>
      </w:r>
    </w:p>
    <w:p>
      <w:pPr>
        <w:spacing w:after="120" w:before="280"/>
      </w:pPr>
      <w:r>
        <w:rPr>
          <w:b/>
          <w:i w:val="0"/>
          <w:color w:val="1C3A36"/>
          <w:sz w:val="30"/>
        </w:rPr>
        <w:t>Appendix A  Financial statements</w:t>
      </w:r>
    </w:p>
    <w:p>
      <w:pPr>
        <w:spacing w:after="120" w:before="0"/>
      </w:pPr>
      <w:r>
        <w:rPr>
          <w:b w:val="0"/>
          <w:i w:val="0"/>
          <w:color w:val="1C3A36"/>
          <w:sz w:val="19"/>
        </w:rPr>
        <w:t>Three years of history from the audited statements (FY2023 from the FY2024 comparatives), five years of forecast on the §1.2 drivers. All AED bn unless noted. The forecast attributable line is the ex-fair-value operating build (NOPAT × 53.3% × 0.95 minority-friction haircut) — deliberately more conservative than the reported basis used in §1.3; both framings are stated there per house rule.</w:t>
      </w:r>
    </w:p>
    <w:p>
      <w:pPr>
        <w:spacing w:after="80" w:before="200"/>
      </w:pPr>
      <w:r>
        <w:rPr>
          <w:b/>
          <w:i w:val="0"/>
          <w:color w:val="1C3A36"/>
          <w:sz w:val="24"/>
        </w:rPr>
        <w:t>A.1  Income statement — 3-year historical + 5-year forecast (consolidated, AED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232"/>
            <w:shd w:val="clear" w:color="auto" w:fill="EAF0EE"/>
          </w:tcPr>
          <w:p>
            <w:pPr>
              <w:spacing w:after="20"/>
            </w:pPr>
            <w:r>
              <w:rPr>
                <w:b/>
                <w:color w:val="1C3A36"/>
                <w:sz w:val="16"/>
              </w:rPr>
              <w:t>Line</w:t>
            </w:r>
          </w:p>
        </w:tc>
        <w:tc>
          <w:tcPr>
            <w:tcW w:type="dxa" w:w="979"/>
            <w:shd w:val="clear" w:color="auto" w:fill="EAF0EE"/>
          </w:tcPr>
          <w:p>
            <w:pPr>
              <w:spacing w:after="20"/>
            </w:pPr>
            <w:r>
              <w:rPr>
                <w:b/>
                <w:color w:val="1C3A36"/>
                <w:sz w:val="16"/>
              </w:rPr>
              <w:t>FY2023</w:t>
            </w:r>
          </w:p>
        </w:tc>
        <w:tc>
          <w:tcPr>
            <w:tcW w:type="dxa" w:w="979"/>
            <w:shd w:val="clear" w:color="auto" w:fill="EAF0EE"/>
          </w:tcPr>
          <w:p>
            <w:pPr>
              <w:spacing w:after="20"/>
            </w:pPr>
            <w:r>
              <w:rPr>
                <w:b/>
                <w:color w:val="1C3A36"/>
                <w:sz w:val="16"/>
              </w:rPr>
              <w:t>FY2024</w:t>
            </w:r>
          </w:p>
        </w:tc>
        <w:tc>
          <w:tcPr>
            <w:tcW w:type="dxa" w:w="979"/>
            <w:shd w:val="clear" w:color="auto" w:fill="EAF0EE"/>
          </w:tcPr>
          <w:p>
            <w:pPr>
              <w:spacing w:after="20"/>
            </w:pPr>
            <w:r>
              <w:rPr>
                <w:b/>
                <w:color w:val="1C3A36"/>
                <w:sz w:val="16"/>
              </w:rPr>
              <w:t>FY2025</w:t>
            </w:r>
          </w:p>
        </w:tc>
        <w:tc>
          <w:tcPr>
            <w:tcW w:type="dxa" w:w="979"/>
            <w:shd w:val="clear" w:color="auto" w:fill="EAF0EE"/>
          </w:tcPr>
          <w:p>
            <w:pPr>
              <w:spacing w:after="20"/>
            </w:pPr>
            <w:r>
              <w:rPr>
                <w:b/>
                <w:color w:val="1C3A36"/>
                <w:sz w:val="16"/>
              </w:rPr>
              <w:t>2026E</w:t>
            </w:r>
          </w:p>
        </w:tc>
        <w:tc>
          <w:tcPr>
            <w:tcW w:type="dxa" w:w="979"/>
            <w:shd w:val="clear" w:color="auto" w:fill="EAF0EE"/>
          </w:tcPr>
          <w:p>
            <w:pPr>
              <w:spacing w:after="20"/>
            </w:pPr>
            <w:r>
              <w:rPr>
                <w:b/>
                <w:color w:val="1C3A36"/>
                <w:sz w:val="16"/>
              </w:rPr>
              <w:t>2027E</w:t>
            </w:r>
          </w:p>
        </w:tc>
        <w:tc>
          <w:tcPr>
            <w:tcW w:type="dxa" w:w="979"/>
            <w:shd w:val="clear" w:color="auto" w:fill="EAF0EE"/>
          </w:tcPr>
          <w:p>
            <w:pPr>
              <w:spacing w:after="20"/>
            </w:pPr>
            <w:r>
              <w:rPr>
                <w:b/>
                <w:color w:val="1C3A36"/>
                <w:sz w:val="16"/>
              </w:rPr>
              <w:t>2028E</w:t>
            </w:r>
          </w:p>
        </w:tc>
        <w:tc>
          <w:tcPr>
            <w:tcW w:type="dxa" w:w="979"/>
            <w:shd w:val="clear" w:color="auto" w:fill="EAF0EE"/>
          </w:tcPr>
          <w:p>
            <w:pPr>
              <w:spacing w:after="20"/>
            </w:pPr>
            <w:r>
              <w:rPr>
                <w:b/>
                <w:color w:val="1C3A36"/>
                <w:sz w:val="16"/>
              </w:rPr>
              <w:t>2029E</w:t>
            </w:r>
          </w:p>
        </w:tc>
        <w:tc>
          <w:tcPr>
            <w:tcW w:type="dxa" w:w="979"/>
            <w:shd w:val="clear" w:color="auto" w:fill="EAF0EE"/>
          </w:tcPr>
          <w:p>
            <w:pPr>
              <w:spacing w:after="20"/>
            </w:pPr>
            <w:r>
              <w:rPr>
                <w:b/>
                <w:color w:val="1C3A36"/>
                <w:sz w:val="16"/>
              </w:rPr>
              <w:t>2030E</w:t>
            </w:r>
          </w:p>
        </w:tc>
      </w:tr>
      <w:tr>
        <w:tc>
          <w:tcPr>
            <w:tcW w:type="dxa" w:w="2232"/>
          </w:tcPr>
          <w:p>
            <w:pPr>
              <w:spacing w:after="20"/>
            </w:pPr>
            <w:r>
              <w:rPr>
                <w:b/>
                <w:color w:val="1C3A36"/>
                <w:sz w:val="16"/>
              </w:rPr>
              <w:t>Revenue</w:t>
            </w:r>
          </w:p>
        </w:tc>
        <w:tc>
          <w:tcPr>
            <w:tcW w:type="dxa" w:w="979"/>
          </w:tcPr>
          <w:p>
            <w:pPr>
              <w:spacing w:after="20"/>
              <w:jc w:val="right"/>
            </w:pPr>
            <w:r>
              <w:rPr>
                <w:color w:val="1C3A36"/>
                <w:sz w:val="16"/>
              </w:rPr>
              <w:t>45.4</w:t>
            </w:r>
          </w:p>
        </w:tc>
        <w:tc>
          <w:tcPr>
            <w:tcW w:type="dxa" w:w="979"/>
          </w:tcPr>
          <w:p>
            <w:pPr>
              <w:spacing w:after="20"/>
              <w:jc w:val="right"/>
            </w:pPr>
            <w:r>
              <w:rPr>
                <w:color w:val="1C3A36"/>
                <w:sz w:val="16"/>
              </w:rPr>
              <w:t>63.4</w:t>
            </w:r>
          </w:p>
        </w:tc>
        <w:tc>
          <w:tcPr>
            <w:tcW w:type="dxa" w:w="979"/>
          </w:tcPr>
          <w:p>
            <w:pPr>
              <w:spacing w:after="20"/>
              <w:jc w:val="right"/>
            </w:pPr>
            <w:r>
              <w:rPr>
                <w:color w:val="1C3A36"/>
                <w:sz w:val="16"/>
              </w:rPr>
              <w:t>78.8</w:t>
            </w:r>
          </w:p>
        </w:tc>
        <w:tc>
          <w:tcPr>
            <w:tcW w:type="dxa" w:w="979"/>
          </w:tcPr>
          <w:p>
            <w:pPr>
              <w:spacing w:after="20"/>
              <w:jc w:val="right"/>
            </w:pPr>
            <w:r>
              <w:rPr>
                <w:color w:val="1C3A36"/>
                <w:sz w:val="16"/>
              </w:rPr>
              <w:t>85.9</w:t>
            </w:r>
          </w:p>
        </w:tc>
        <w:tc>
          <w:tcPr>
            <w:tcW w:type="dxa" w:w="979"/>
          </w:tcPr>
          <w:p>
            <w:pPr>
              <w:spacing w:after="20"/>
              <w:jc w:val="right"/>
            </w:pPr>
            <w:r>
              <w:rPr>
                <w:color w:val="1C3A36"/>
                <w:sz w:val="16"/>
              </w:rPr>
              <w:t>92.7</w:t>
            </w:r>
          </w:p>
        </w:tc>
        <w:tc>
          <w:tcPr>
            <w:tcW w:type="dxa" w:w="979"/>
          </w:tcPr>
          <w:p>
            <w:pPr>
              <w:spacing w:after="20"/>
              <w:jc w:val="right"/>
            </w:pPr>
            <w:r>
              <w:rPr>
                <w:color w:val="1C3A36"/>
                <w:sz w:val="16"/>
              </w:rPr>
              <w:t>99.2</w:t>
            </w:r>
          </w:p>
        </w:tc>
        <w:tc>
          <w:tcPr>
            <w:tcW w:type="dxa" w:w="979"/>
          </w:tcPr>
          <w:p>
            <w:pPr>
              <w:spacing w:after="20"/>
              <w:jc w:val="right"/>
            </w:pPr>
            <w:r>
              <w:rPr>
                <w:color w:val="1C3A36"/>
                <w:sz w:val="16"/>
              </w:rPr>
              <w:t>105.2</w:t>
            </w:r>
          </w:p>
        </w:tc>
        <w:tc>
          <w:tcPr>
            <w:tcW w:type="dxa" w:w="979"/>
          </w:tcPr>
          <w:p>
            <w:pPr>
              <w:spacing w:after="20"/>
              <w:jc w:val="right"/>
            </w:pPr>
            <w:r>
              <w:rPr>
                <w:color w:val="1C3A36"/>
                <w:sz w:val="16"/>
              </w:rPr>
              <w:t>110.4</w:t>
            </w:r>
          </w:p>
        </w:tc>
      </w:tr>
      <w:tr>
        <w:tc>
          <w:tcPr>
            <w:tcW w:type="dxa" w:w="2232"/>
          </w:tcPr>
          <w:p>
            <w:pPr>
              <w:spacing w:after="20"/>
            </w:pPr>
            <w:r>
              <w:rPr>
                <w:b/>
                <w:color w:val="1C3A36"/>
                <w:sz w:val="16"/>
              </w:rPr>
              <w:t>Gross profit</w:t>
            </w:r>
          </w:p>
        </w:tc>
        <w:tc>
          <w:tcPr>
            <w:tcW w:type="dxa" w:w="979"/>
          </w:tcPr>
          <w:p>
            <w:pPr>
              <w:spacing w:after="20"/>
              <w:jc w:val="right"/>
            </w:pPr>
            <w:r>
              <w:rPr>
                <w:color w:val="1C3A36"/>
                <w:sz w:val="16"/>
              </w:rPr>
              <w:t>9.3</w:t>
            </w:r>
          </w:p>
        </w:tc>
        <w:tc>
          <w:tcPr>
            <w:tcW w:type="dxa" w:w="979"/>
          </w:tcPr>
          <w:p>
            <w:pPr>
              <w:spacing w:after="20"/>
              <w:jc w:val="right"/>
            </w:pPr>
            <w:r>
              <w:rPr>
                <w:color w:val="1C3A36"/>
                <w:sz w:val="16"/>
              </w:rPr>
              <w:t>13.4</w:t>
            </w:r>
          </w:p>
        </w:tc>
        <w:tc>
          <w:tcPr>
            <w:tcW w:type="dxa" w:w="979"/>
          </w:tcPr>
          <w:p>
            <w:pPr>
              <w:spacing w:after="20"/>
              <w:jc w:val="right"/>
            </w:pPr>
            <w:r>
              <w:rPr>
                <w:color w:val="1C3A36"/>
                <w:sz w:val="16"/>
              </w:rPr>
              <w:t>18.8</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tcPr>
          <w:p>
            <w:pPr>
              <w:spacing w:after="20"/>
            </w:pPr>
            <w:r>
              <w:rPr>
                <w:b/>
                <w:color w:val="1C3A36"/>
                <w:sz w:val="16"/>
              </w:rPr>
              <w:t>EBITDA (reported)</w:t>
            </w:r>
          </w:p>
        </w:tc>
        <w:tc>
          <w:tcPr>
            <w:tcW w:type="dxa" w:w="979"/>
          </w:tcPr>
          <w:p>
            <w:pPr>
              <w:spacing w:after="20"/>
              <w:jc w:val="right"/>
            </w:pPr>
            <w:r>
              <w:rPr>
                <w:color w:val="1C3A36"/>
                <w:sz w:val="16"/>
              </w:rPr>
              <w:t>16.5</w:t>
            </w:r>
          </w:p>
        </w:tc>
        <w:tc>
          <w:tcPr>
            <w:tcW w:type="dxa" w:w="979"/>
          </w:tcPr>
          <w:p>
            <w:pPr>
              <w:spacing w:after="20"/>
              <w:jc w:val="right"/>
            </w:pPr>
            <w:r>
              <w:rPr>
                <w:color w:val="1C3A36"/>
                <w:sz w:val="16"/>
              </w:rPr>
              <w:t>17.4</w:t>
            </w:r>
          </w:p>
        </w:tc>
        <w:tc>
          <w:tcPr>
            <w:tcW w:type="dxa" w:w="979"/>
          </w:tcPr>
          <w:p>
            <w:pPr>
              <w:spacing w:after="20"/>
              <w:jc w:val="right"/>
            </w:pPr>
            <w:r>
              <w:rPr>
                <w:color w:val="1C3A36"/>
                <w:sz w:val="16"/>
              </w:rPr>
              <w:t>20.9</w:t>
            </w:r>
          </w:p>
        </w:tc>
        <w:tc>
          <w:tcPr>
            <w:tcW w:type="dxa" w:w="979"/>
          </w:tcPr>
          <w:p>
            <w:pPr>
              <w:spacing w:after="20"/>
              <w:jc w:val="right"/>
            </w:pPr>
            <w:r>
              <w:rPr>
                <w:color w:val="1C3A36"/>
                <w:sz w:val="16"/>
              </w:rPr>
              <w:t>19.3</w:t>
            </w:r>
          </w:p>
        </w:tc>
        <w:tc>
          <w:tcPr>
            <w:tcW w:type="dxa" w:w="979"/>
          </w:tcPr>
          <w:p>
            <w:pPr>
              <w:spacing w:after="20"/>
              <w:jc w:val="right"/>
            </w:pPr>
            <w:r>
              <w:rPr>
                <w:color w:val="1C3A36"/>
                <w:sz w:val="16"/>
              </w:rPr>
              <w:t>20.8</w:t>
            </w:r>
          </w:p>
        </w:tc>
        <w:tc>
          <w:tcPr>
            <w:tcW w:type="dxa" w:w="979"/>
          </w:tcPr>
          <w:p>
            <w:pPr>
              <w:spacing w:after="20"/>
              <w:jc w:val="right"/>
            </w:pPr>
            <w:r>
              <w:rPr>
                <w:color w:val="1C3A36"/>
                <w:sz w:val="16"/>
              </w:rPr>
              <w:t>22.3</w:t>
            </w:r>
          </w:p>
        </w:tc>
        <w:tc>
          <w:tcPr>
            <w:tcW w:type="dxa" w:w="979"/>
          </w:tcPr>
          <w:p>
            <w:pPr>
              <w:spacing w:after="20"/>
              <w:jc w:val="right"/>
            </w:pPr>
            <w:r>
              <w:rPr>
                <w:color w:val="1C3A36"/>
                <w:sz w:val="16"/>
              </w:rPr>
              <w:t>23.6</w:t>
            </w:r>
          </w:p>
        </w:tc>
        <w:tc>
          <w:tcPr>
            <w:tcW w:type="dxa" w:w="979"/>
          </w:tcPr>
          <w:p>
            <w:pPr>
              <w:spacing w:after="20"/>
              <w:jc w:val="right"/>
            </w:pPr>
            <w:r>
              <w:rPr>
                <w:color w:val="1C3A36"/>
                <w:sz w:val="16"/>
              </w:rPr>
              <w:t>24.8</w:t>
            </w:r>
          </w:p>
        </w:tc>
      </w:tr>
      <w:tr>
        <w:tc>
          <w:tcPr>
            <w:tcW w:type="dxa" w:w="2232"/>
          </w:tcPr>
          <w:p>
            <w:pPr>
              <w:spacing w:after="20"/>
            </w:pPr>
            <w:r>
              <w:rPr>
                <w:b/>
                <w:color w:val="1C3A36"/>
                <w:sz w:val="16"/>
              </w:rPr>
              <w:t>EBITDA (adjusted)</w:t>
            </w:r>
          </w:p>
        </w:tc>
        <w:tc>
          <w:tcPr>
            <w:tcW w:type="dxa" w:w="979"/>
          </w:tcPr>
          <w:p>
            <w:pPr>
              <w:spacing w:after="20"/>
              <w:jc w:val="right"/>
            </w:pPr>
            <w:r>
              <w:rPr>
                <w:color w:val="1C3A36"/>
                <w:sz w:val="16"/>
              </w:rPr>
              <w:t>16.5</w:t>
            </w:r>
          </w:p>
        </w:tc>
        <w:tc>
          <w:tcPr>
            <w:tcW w:type="dxa" w:w="979"/>
          </w:tcPr>
          <w:p>
            <w:pPr>
              <w:spacing w:after="20"/>
              <w:jc w:val="right"/>
            </w:pPr>
            <w:r>
              <w:rPr>
                <w:color w:val="1C3A36"/>
                <w:sz w:val="16"/>
              </w:rPr>
              <w:t>13.6</w:t>
            </w:r>
          </w:p>
        </w:tc>
        <w:tc>
          <w:tcPr>
            <w:tcW w:type="dxa" w:w="979"/>
          </w:tcPr>
          <w:p>
            <w:pPr>
              <w:spacing w:after="20"/>
              <w:jc w:val="right"/>
            </w:pPr>
            <w:r>
              <w:rPr>
                <w:color w:val="1C3A36"/>
                <w:sz w:val="16"/>
              </w:rPr>
              <w:t>17.7</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tcPr>
          <w:p>
            <w:pPr>
              <w:spacing w:after="20"/>
            </w:pPr>
            <w:r>
              <w:rPr>
                <w:b/>
                <w:color w:val="1C3A36"/>
                <w:sz w:val="16"/>
              </w:rPr>
              <w:t>EBIT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15.8</w:t>
            </w:r>
          </w:p>
        </w:tc>
        <w:tc>
          <w:tcPr>
            <w:tcW w:type="dxa" w:w="979"/>
          </w:tcPr>
          <w:p>
            <w:pPr>
              <w:spacing w:after="20"/>
              <w:jc w:val="right"/>
            </w:pPr>
            <w:r>
              <w:rPr>
                <w:color w:val="1C3A36"/>
                <w:sz w:val="16"/>
              </w:rPr>
              <w:t>17.0</w:t>
            </w:r>
          </w:p>
        </w:tc>
        <w:tc>
          <w:tcPr>
            <w:tcW w:type="dxa" w:w="979"/>
          </w:tcPr>
          <w:p>
            <w:pPr>
              <w:spacing w:after="20"/>
              <w:jc w:val="right"/>
            </w:pPr>
            <w:r>
              <w:rPr>
                <w:color w:val="1C3A36"/>
                <w:sz w:val="16"/>
              </w:rPr>
              <w:t>18.2</w:t>
            </w:r>
          </w:p>
        </w:tc>
        <w:tc>
          <w:tcPr>
            <w:tcW w:type="dxa" w:w="979"/>
          </w:tcPr>
          <w:p>
            <w:pPr>
              <w:spacing w:after="20"/>
              <w:jc w:val="right"/>
            </w:pPr>
            <w:r>
              <w:rPr>
                <w:color w:val="1C3A36"/>
                <w:sz w:val="16"/>
              </w:rPr>
              <w:t>19.3</w:t>
            </w:r>
          </w:p>
        </w:tc>
        <w:tc>
          <w:tcPr>
            <w:tcW w:type="dxa" w:w="979"/>
          </w:tcPr>
          <w:p>
            <w:pPr>
              <w:spacing w:after="20"/>
              <w:jc w:val="right"/>
            </w:pPr>
            <w:r>
              <w:rPr>
                <w:color w:val="1C3A36"/>
                <w:sz w:val="16"/>
              </w:rPr>
              <w:t>20.3</w:t>
            </w:r>
          </w:p>
        </w:tc>
      </w:tr>
      <w:tr>
        <w:tc>
          <w:tcPr>
            <w:tcW w:type="dxa" w:w="2232"/>
          </w:tcPr>
          <w:p>
            <w:pPr>
              <w:spacing w:after="20"/>
            </w:pPr>
            <w:r>
              <w:rPr>
                <w:b/>
                <w:color w:val="1C3A36"/>
                <w:sz w:val="16"/>
              </w:rPr>
              <w:t>NOPAT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13.9</w:t>
            </w:r>
          </w:p>
        </w:tc>
        <w:tc>
          <w:tcPr>
            <w:tcW w:type="dxa" w:w="979"/>
          </w:tcPr>
          <w:p>
            <w:pPr>
              <w:spacing w:after="20"/>
              <w:jc w:val="right"/>
            </w:pPr>
            <w:r>
              <w:rPr>
                <w:color w:val="1C3A36"/>
                <w:sz w:val="16"/>
              </w:rPr>
              <w:t>14.8</w:t>
            </w:r>
          </w:p>
        </w:tc>
        <w:tc>
          <w:tcPr>
            <w:tcW w:type="dxa" w:w="979"/>
          </w:tcPr>
          <w:p>
            <w:pPr>
              <w:spacing w:after="20"/>
              <w:jc w:val="right"/>
            </w:pPr>
            <w:r>
              <w:rPr>
                <w:color w:val="1C3A36"/>
                <w:sz w:val="16"/>
              </w:rPr>
              <w:t>15.7</w:t>
            </w:r>
          </w:p>
        </w:tc>
        <w:tc>
          <w:tcPr>
            <w:tcW w:type="dxa" w:w="979"/>
          </w:tcPr>
          <w:p>
            <w:pPr>
              <w:spacing w:after="20"/>
              <w:jc w:val="right"/>
            </w:pPr>
            <w:r>
              <w:rPr>
                <w:color w:val="1C3A36"/>
                <w:sz w:val="16"/>
              </w:rPr>
              <w:t>16.4</w:t>
            </w:r>
          </w:p>
        </w:tc>
        <w:tc>
          <w:tcPr>
            <w:tcW w:type="dxa" w:w="979"/>
          </w:tcPr>
          <w:p>
            <w:pPr>
              <w:spacing w:after="20"/>
              <w:jc w:val="right"/>
            </w:pPr>
            <w:r>
              <w:rPr>
                <w:color w:val="1C3A36"/>
                <w:sz w:val="16"/>
              </w:rPr>
              <w:t>17.2</w:t>
            </w:r>
          </w:p>
        </w:tc>
      </w:tr>
      <w:tr>
        <w:tc>
          <w:tcPr>
            <w:tcW w:type="dxa" w:w="2232"/>
          </w:tcPr>
          <w:p>
            <w:pPr>
              <w:spacing w:after="20"/>
            </w:pPr>
            <w:r>
              <w:rPr>
                <w:b/>
                <w:color w:val="1C3A36"/>
                <w:sz w:val="16"/>
              </w:rPr>
              <w:t>Net profit — total</w:t>
            </w:r>
          </w:p>
        </w:tc>
        <w:tc>
          <w:tcPr>
            <w:tcW w:type="dxa" w:w="979"/>
          </w:tcPr>
          <w:p>
            <w:pPr>
              <w:spacing w:after="20"/>
              <w:jc w:val="right"/>
            </w:pPr>
            <w:r>
              <w:rPr>
                <w:color w:val="1C3A36"/>
                <w:sz w:val="16"/>
              </w:rPr>
              <w:t>13.3</w:t>
            </w:r>
          </w:p>
        </w:tc>
        <w:tc>
          <w:tcPr>
            <w:tcW w:type="dxa" w:w="979"/>
          </w:tcPr>
          <w:p>
            <w:pPr>
              <w:spacing w:after="20"/>
              <w:jc w:val="right"/>
            </w:pPr>
            <w:r>
              <w:rPr>
                <w:color w:val="1C3A36"/>
                <w:sz w:val="16"/>
              </w:rPr>
              <w:t>13.5</w:t>
            </w:r>
          </w:p>
        </w:tc>
        <w:tc>
          <w:tcPr>
            <w:tcW w:type="dxa" w:w="979"/>
          </w:tcPr>
          <w:p>
            <w:pPr>
              <w:spacing w:after="20"/>
              <w:jc w:val="right"/>
            </w:pPr>
            <w:r>
              <w:rPr>
                <w:color w:val="1C3A36"/>
                <w:sz w:val="16"/>
              </w:rPr>
              <w:t>15.0</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shd w:val="clear" w:color="auto" w:fill="F6F1E6"/>
          </w:tcPr>
          <w:p>
            <w:pPr>
              <w:spacing w:after="20"/>
            </w:pPr>
            <w:r>
              <w:rPr>
                <w:b/>
                <w:color w:val="1C3A36"/>
                <w:sz w:val="16"/>
              </w:rPr>
              <w:t>Net profit — attributable</w:t>
            </w:r>
          </w:p>
        </w:tc>
        <w:tc>
          <w:tcPr>
            <w:tcW w:type="dxa" w:w="979"/>
            <w:shd w:val="clear" w:color="auto" w:fill="F6F1E6"/>
          </w:tcPr>
          <w:p>
            <w:pPr>
              <w:spacing w:after="20"/>
              <w:jc w:val="right"/>
            </w:pPr>
            <w:r>
              <w:rPr>
                <w:b/>
                <w:color w:val="1C3A36"/>
                <w:sz w:val="16"/>
              </w:rPr>
              <w:t>—</w:t>
            </w:r>
          </w:p>
        </w:tc>
        <w:tc>
          <w:tcPr>
            <w:tcW w:type="dxa" w:w="979"/>
            <w:shd w:val="clear" w:color="auto" w:fill="F6F1E6"/>
          </w:tcPr>
          <w:p>
            <w:pPr>
              <w:spacing w:after="20"/>
              <w:jc w:val="right"/>
            </w:pPr>
            <w:r>
              <w:rPr>
                <w:b/>
                <w:color w:val="1C3A36"/>
                <w:sz w:val="16"/>
              </w:rPr>
              <w:t>8.9</w:t>
            </w:r>
          </w:p>
        </w:tc>
        <w:tc>
          <w:tcPr>
            <w:tcW w:type="dxa" w:w="979"/>
            <w:shd w:val="clear" w:color="auto" w:fill="F6F1E6"/>
          </w:tcPr>
          <w:p>
            <w:pPr>
              <w:spacing w:after="20"/>
              <w:jc w:val="right"/>
            </w:pPr>
            <w:r>
              <w:rPr>
                <w:b/>
                <w:color w:val="1C3A36"/>
                <w:sz w:val="16"/>
              </w:rPr>
              <w:t>8.0</w:t>
            </w:r>
          </w:p>
        </w:tc>
        <w:tc>
          <w:tcPr>
            <w:tcW w:type="dxa" w:w="979"/>
            <w:shd w:val="clear" w:color="auto" w:fill="F6F1E6"/>
          </w:tcPr>
          <w:p>
            <w:pPr>
              <w:spacing w:after="20"/>
              <w:jc w:val="right"/>
            </w:pPr>
            <w:r>
              <w:rPr>
                <w:b/>
                <w:color w:val="1C3A36"/>
                <w:sz w:val="16"/>
              </w:rPr>
              <w:t>7.0</w:t>
            </w:r>
          </w:p>
        </w:tc>
        <w:tc>
          <w:tcPr>
            <w:tcW w:type="dxa" w:w="979"/>
            <w:shd w:val="clear" w:color="auto" w:fill="F6F1E6"/>
          </w:tcPr>
          <w:p>
            <w:pPr>
              <w:spacing w:after="20"/>
              <w:jc w:val="right"/>
            </w:pPr>
            <w:r>
              <w:rPr>
                <w:b/>
                <w:color w:val="1C3A36"/>
                <w:sz w:val="16"/>
              </w:rPr>
              <w:t>7.5</w:t>
            </w:r>
          </w:p>
        </w:tc>
        <w:tc>
          <w:tcPr>
            <w:tcW w:type="dxa" w:w="979"/>
            <w:shd w:val="clear" w:color="auto" w:fill="F6F1E6"/>
          </w:tcPr>
          <w:p>
            <w:pPr>
              <w:spacing w:after="20"/>
              <w:jc w:val="right"/>
            </w:pPr>
            <w:r>
              <w:rPr>
                <w:b/>
                <w:color w:val="1C3A36"/>
                <w:sz w:val="16"/>
              </w:rPr>
              <w:t>7.9</w:t>
            </w:r>
          </w:p>
        </w:tc>
        <w:tc>
          <w:tcPr>
            <w:tcW w:type="dxa" w:w="979"/>
            <w:shd w:val="clear" w:color="auto" w:fill="F6F1E6"/>
          </w:tcPr>
          <w:p>
            <w:pPr>
              <w:spacing w:after="20"/>
              <w:jc w:val="right"/>
            </w:pPr>
            <w:r>
              <w:rPr>
                <w:b/>
                <w:color w:val="1C3A36"/>
                <w:sz w:val="16"/>
              </w:rPr>
              <w:t>8.3</w:t>
            </w:r>
          </w:p>
        </w:tc>
        <w:tc>
          <w:tcPr>
            <w:tcW w:type="dxa" w:w="979"/>
            <w:shd w:val="clear" w:color="auto" w:fill="F6F1E6"/>
          </w:tcPr>
          <w:p>
            <w:pPr>
              <w:spacing w:after="20"/>
              <w:jc w:val="right"/>
            </w:pPr>
            <w:r>
              <w:rPr>
                <w:b/>
                <w:color w:val="1C3A36"/>
                <w:sz w:val="16"/>
              </w:rPr>
              <w:t>8.7</w:t>
            </w:r>
          </w:p>
        </w:tc>
      </w:tr>
      <w:tr>
        <w:tc>
          <w:tcPr>
            <w:tcW w:type="dxa" w:w="2232"/>
          </w:tcPr>
          <w:p>
            <w:pPr>
              <w:spacing w:after="20"/>
            </w:pPr>
            <w:r>
              <w:rPr>
                <w:b/>
                <w:color w:val="1C3A36"/>
                <w:sz w:val="16"/>
              </w:rPr>
              <w:t>EPS (AED)</w:t>
            </w:r>
          </w:p>
        </w:tc>
        <w:tc>
          <w:tcPr>
            <w:tcW w:type="dxa" w:w="979"/>
          </w:tcPr>
          <w:p>
            <w:pPr>
              <w:spacing w:after="20"/>
              <w:jc w:val="right"/>
            </w:pPr>
            <w:r>
              <w:rPr>
                <w:color w:val="1C3A36"/>
                <w:sz w:val="16"/>
              </w:rPr>
              <w:t>—</w:t>
            </w:r>
          </w:p>
        </w:tc>
        <w:tc>
          <w:tcPr>
            <w:tcW w:type="dxa" w:w="979"/>
          </w:tcPr>
          <w:p>
            <w:pPr>
              <w:spacing w:after="20"/>
              <w:jc w:val="right"/>
            </w:pPr>
            <w:r>
              <w:rPr>
                <w:color w:val="1C3A36"/>
                <w:sz w:val="16"/>
              </w:rPr>
              <w:t>0.88</w:t>
            </w:r>
          </w:p>
        </w:tc>
        <w:tc>
          <w:tcPr>
            <w:tcW w:type="dxa" w:w="979"/>
          </w:tcPr>
          <w:p>
            <w:pPr>
              <w:spacing w:after="20"/>
              <w:jc w:val="right"/>
            </w:pPr>
            <w:r>
              <w:rPr>
                <w:color w:val="1C3A36"/>
                <w:sz w:val="16"/>
              </w:rPr>
              <w:t>0.79</w:t>
            </w:r>
          </w:p>
        </w:tc>
        <w:tc>
          <w:tcPr>
            <w:tcW w:type="dxa" w:w="979"/>
          </w:tcPr>
          <w:p>
            <w:pPr>
              <w:spacing w:after="20"/>
              <w:jc w:val="right"/>
            </w:pPr>
            <w:r>
              <w:rPr>
                <w:color w:val="1C3A36"/>
                <w:sz w:val="16"/>
              </w:rPr>
              <w:t>0.70</w:t>
            </w:r>
          </w:p>
        </w:tc>
        <w:tc>
          <w:tcPr>
            <w:tcW w:type="dxa" w:w="979"/>
          </w:tcPr>
          <w:p>
            <w:pPr>
              <w:spacing w:after="20"/>
              <w:jc w:val="right"/>
            </w:pPr>
            <w:r>
              <w:rPr>
                <w:color w:val="1C3A36"/>
                <w:sz w:val="16"/>
              </w:rPr>
              <w:t>0.75</w:t>
            </w:r>
          </w:p>
        </w:tc>
        <w:tc>
          <w:tcPr>
            <w:tcW w:type="dxa" w:w="979"/>
          </w:tcPr>
          <w:p>
            <w:pPr>
              <w:spacing w:after="20"/>
              <w:jc w:val="right"/>
            </w:pPr>
            <w:r>
              <w:rPr>
                <w:color w:val="1C3A36"/>
                <w:sz w:val="16"/>
              </w:rPr>
              <w:t>0.79</w:t>
            </w:r>
          </w:p>
        </w:tc>
        <w:tc>
          <w:tcPr>
            <w:tcW w:type="dxa" w:w="979"/>
          </w:tcPr>
          <w:p>
            <w:pPr>
              <w:spacing w:after="20"/>
              <w:jc w:val="right"/>
            </w:pPr>
            <w:r>
              <w:rPr>
                <w:color w:val="1C3A36"/>
                <w:sz w:val="16"/>
              </w:rPr>
              <w:t>0.83</w:t>
            </w:r>
          </w:p>
        </w:tc>
        <w:tc>
          <w:tcPr>
            <w:tcW w:type="dxa" w:w="979"/>
          </w:tcPr>
          <w:p>
            <w:pPr>
              <w:spacing w:after="20"/>
              <w:jc w:val="right"/>
            </w:pPr>
            <w:r>
              <w:rPr>
                <w:color w:val="1C3A36"/>
                <w:sz w:val="16"/>
              </w:rPr>
              <w:t>0.87</w:t>
            </w:r>
          </w:p>
        </w:tc>
      </w:tr>
    </w:tbl>
    <w:p>
      <w:pPr>
        <w:spacing w:after="40"/>
      </w:pPr>
    </w:p>
    <w:p>
      <w:pPr>
        <w:spacing w:after="200" w:before="0"/>
      </w:pPr>
      <w:r>
        <w:rPr>
          <w:b w:val="0"/>
          <w:i/>
          <w:color w:val="6E7B77"/>
          <w:sz w:val="17"/>
        </w:rPr>
        <w:t>FY2023 attributable profit was not separately restated in the retrieved FY2024 comparatives — shown as “—” rather than invented (Fundamental Driver Ledger row). FY2024–25 from the audited FY2025 statements.</w:t>
      </w:r>
    </w:p>
    <w:p>
      <w:pPr>
        <w:spacing w:after="80" w:before="200"/>
      </w:pPr>
      <w:r>
        <w:rPr>
          <w:b/>
          <w:i w:val="0"/>
          <w:color w:val="1C3A36"/>
          <w:sz w:val="24"/>
        </w:rPr>
        <w:t>A.2  Balance sheet — condensed house layout (consolidated, AED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12"/>
            <w:shd w:val="clear" w:color="auto" w:fill="EAF0EE"/>
          </w:tcPr>
          <w:p>
            <w:pPr>
              <w:spacing w:after="20"/>
            </w:pPr>
            <w:r>
              <w:rPr>
                <w:b/>
                <w:color w:val="1C3A36"/>
                <w:sz w:val="17"/>
              </w:rPr>
              <w:t>Line</w:t>
            </w:r>
          </w:p>
        </w:tc>
        <w:tc>
          <w:tcPr>
            <w:tcW w:type="dxa" w:w="1800"/>
            <w:shd w:val="clear" w:color="auto" w:fill="EAF0EE"/>
          </w:tcPr>
          <w:p>
            <w:pPr>
              <w:spacing w:after="20"/>
            </w:pPr>
            <w:r>
              <w:rPr>
                <w:b/>
                <w:color w:val="1C3A36"/>
                <w:sz w:val="17"/>
              </w:rPr>
              <w:t>FY2023</w:t>
            </w:r>
          </w:p>
        </w:tc>
        <w:tc>
          <w:tcPr>
            <w:tcW w:type="dxa" w:w="1800"/>
            <w:shd w:val="clear" w:color="auto" w:fill="EAF0EE"/>
          </w:tcPr>
          <w:p>
            <w:pPr>
              <w:spacing w:after="20"/>
            </w:pPr>
            <w:r>
              <w:rPr>
                <w:b/>
                <w:color w:val="1C3A36"/>
                <w:sz w:val="17"/>
              </w:rPr>
              <w:t>FY2024</w:t>
            </w:r>
          </w:p>
        </w:tc>
        <w:tc>
          <w:tcPr>
            <w:tcW w:type="dxa" w:w="2304"/>
            <w:shd w:val="clear" w:color="auto" w:fill="EAF0EE"/>
          </w:tcPr>
          <w:p>
            <w:pPr>
              <w:spacing w:after="20"/>
            </w:pPr>
            <w:r>
              <w:rPr>
                <w:b/>
                <w:color w:val="1C3A36"/>
                <w:sz w:val="17"/>
              </w:rPr>
              <w:t>FY2025</w:t>
            </w:r>
          </w:p>
        </w:tc>
      </w:tr>
      <w:tr>
        <w:tc>
          <w:tcPr>
            <w:tcW w:type="dxa" w:w="3312"/>
          </w:tcPr>
          <w:p>
            <w:pPr>
              <w:spacing w:after="20"/>
            </w:pPr>
            <w:r>
              <w:rPr>
                <w:b/>
                <w:color w:val="1C3A36"/>
                <w:sz w:val="17"/>
              </w:rPr>
              <w:t>Total assets</w:t>
            </w:r>
          </w:p>
        </w:tc>
        <w:tc>
          <w:tcPr>
            <w:tcW w:type="dxa" w:w="1800"/>
          </w:tcPr>
          <w:p>
            <w:pPr>
              <w:spacing w:after="20"/>
              <w:jc w:val="right"/>
            </w:pPr>
            <w:r>
              <w:rPr>
                <w:color w:val="1C3A36"/>
                <w:sz w:val="17"/>
              </w:rPr>
              <w:t>140.4</w:t>
            </w:r>
          </w:p>
        </w:tc>
        <w:tc>
          <w:tcPr>
            <w:tcW w:type="dxa" w:w="1800"/>
          </w:tcPr>
          <w:p>
            <w:pPr>
              <w:spacing w:after="20"/>
              <w:jc w:val="right"/>
            </w:pPr>
            <w:r>
              <w:rPr>
                <w:color w:val="1C3A36"/>
                <w:sz w:val="17"/>
              </w:rPr>
              <w:t>177.5</w:t>
            </w:r>
          </w:p>
        </w:tc>
        <w:tc>
          <w:tcPr>
            <w:tcW w:type="dxa" w:w="2304"/>
          </w:tcPr>
          <w:p>
            <w:pPr>
              <w:spacing w:after="20"/>
              <w:jc w:val="right"/>
            </w:pPr>
            <w:r>
              <w:rPr>
                <w:color w:val="1C3A36"/>
                <w:sz w:val="17"/>
              </w:rPr>
              <w:t>214.4</w:t>
            </w:r>
          </w:p>
        </w:tc>
      </w:tr>
      <w:tr>
        <w:tc>
          <w:tcPr>
            <w:tcW w:type="dxa" w:w="3312"/>
          </w:tcPr>
          <w:p>
            <w:pPr>
              <w:spacing w:after="20"/>
            </w:pPr>
            <w:r>
              <w:rPr>
                <w:b/>
                <w:color w:val="1C3A36"/>
                <w:sz w:val="17"/>
              </w:rPr>
              <w:t>Total liabilities</w:t>
            </w:r>
          </w:p>
        </w:tc>
        <w:tc>
          <w:tcPr>
            <w:tcW w:type="dxa" w:w="1800"/>
          </w:tcPr>
          <w:p>
            <w:pPr>
              <w:spacing w:after="20"/>
              <w:jc w:val="right"/>
            </w:pPr>
            <w:r>
              <w:rPr>
                <w:color w:val="1C3A36"/>
                <w:sz w:val="17"/>
              </w:rPr>
              <w:t>64.3</w:t>
            </w:r>
          </w:p>
        </w:tc>
        <w:tc>
          <w:tcPr>
            <w:tcW w:type="dxa" w:w="1800"/>
          </w:tcPr>
          <w:p>
            <w:pPr>
              <w:spacing w:after="20"/>
              <w:jc w:val="right"/>
            </w:pPr>
            <w:r>
              <w:rPr>
                <w:color w:val="1C3A36"/>
                <w:sz w:val="17"/>
              </w:rPr>
              <w:t>85.2</w:t>
            </w:r>
          </w:p>
        </w:tc>
        <w:tc>
          <w:tcPr>
            <w:tcW w:type="dxa" w:w="2304"/>
          </w:tcPr>
          <w:p>
            <w:pPr>
              <w:spacing w:after="20"/>
              <w:jc w:val="right"/>
            </w:pPr>
            <w:r>
              <w:rPr>
                <w:color w:val="1C3A36"/>
                <w:sz w:val="17"/>
              </w:rPr>
              <w:t>110.4</w:t>
            </w:r>
          </w:p>
        </w:tc>
      </w:tr>
      <w:tr>
        <w:tc>
          <w:tcPr>
            <w:tcW w:type="dxa" w:w="3312"/>
          </w:tcPr>
          <w:p>
            <w:pPr>
              <w:spacing w:after="20"/>
            </w:pPr>
            <w:r>
              <w:rPr>
                <w:b/>
                <w:color w:val="1C3A36"/>
                <w:sz w:val="17"/>
              </w:rPr>
              <w:t>— of which borrowings</w:t>
            </w:r>
          </w:p>
        </w:tc>
        <w:tc>
          <w:tcPr>
            <w:tcW w:type="dxa" w:w="1800"/>
          </w:tcPr>
          <w:p>
            <w:pPr>
              <w:spacing w:after="20"/>
              <w:jc w:val="right"/>
            </w:pPr>
            <w:r>
              <w:rPr>
                <w:color w:val="1C3A36"/>
                <w:sz w:val="17"/>
              </w:rPr>
              <w:t>24.2</w:t>
            </w:r>
          </w:p>
        </w:tc>
        <w:tc>
          <w:tcPr>
            <w:tcW w:type="dxa" w:w="1800"/>
          </w:tcPr>
          <w:p>
            <w:pPr>
              <w:spacing w:after="20"/>
              <w:jc w:val="right"/>
            </w:pPr>
            <w:r>
              <w:rPr>
                <w:color w:val="1C3A36"/>
                <w:sz w:val="17"/>
              </w:rPr>
              <w:t>30.1</w:t>
            </w:r>
          </w:p>
        </w:tc>
        <w:tc>
          <w:tcPr>
            <w:tcW w:type="dxa" w:w="2304"/>
          </w:tcPr>
          <w:p>
            <w:pPr>
              <w:spacing w:after="20"/>
              <w:jc w:val="right"/>
            </w:pPr>
            <w:r>
              <w:rPr>
                <w:color w:val="1C3A36"/>
                <w:sz w:val="17"/>
              </w:rPr>
              <w:t>41.4 (derived)</w:t>
            </w:r>
          </w:p>
        </w:tc>
      </w:tr>
      <w:tr>
        <w:tc>
          <w:tcPr>
            <w:tcW w:type="dxa" w:w="3312"/>
          </w:tcPr>
          <w:p>
            <w:pPr>
              <w:spacing w:after="20"/>
            </w:pPr>
            <w:r>
              <w:rPr>
                <w:b/>
                <w:color w:val="1C3A36"/>
                <w:sz w:val="17"/>
              </w:rPr>
              <w:t>Cash &amp; bank balances</w:t>
            </w:r>
          </w:p>
        </w:tc>
        <w:tc>
          <w:tcPr>
            <w:tcW w:type="dxa" w:w="1800"/>
          </w:tcPr>
          <w:p>
            <w:pPr>
              <w:spacing w:after="20"/>
              <w:jc w:val="right"/>
            </w:pPr>
            <w:r>
              <w:rPr>
                <w:color w:val="1C3A36"/>
                <w:sz w:val="17"/>
              </w:rPr>
              <w:t>20.2</w:t>
            </w:r>
          </w:p>
        </w:tc>
        <w:tc>
          <w:tcPr>
            <w:tcW w:type="dxa" w:w="1800"/>
          </w:tcPr>
          <w:p>
            <w:pPr>
              <w:spacing w:after="20"/>
              <w:jc w:val="right"/>
            </w:pPr>
            <w:r>
              <w:rPr>
                <w:color w:val="1C3A36"/>
                <w:sz w:val="17"/>
              </w:rPr>
              <w:t>28.8</w:t>
            </w:r>
          </w:p>
        </w:tc>
        <w:tc>
          <w:tcPr>
            <w:tcW w:type="dxa" w:w="2304"/>
          </w:tcPr>
          <w:p>
            <w:pPr>
              <w:spacing w:after="20"/>
              <w:jc w:val="right"/>
            </w:pPr>
            <w:r>
              <w:rPr>
                <w:color w:val="1C3A36"/>
                <w:sz w:val="17"/>
              </w:rPr>
              <w:t>40.3</w:t>
            </w:r>
          </w:p>
        </w:tc>
      </w:tr>
      <w:tr>
        <w:tc>
          <w:tcPr>
            <w:tcW w:type="dxa" w:w="3312"/>
          </w:tcPr>
          <w:p>
            <w:pPr>
              <w:spacing w:after="20"/>
            </w:pPr>
            <w:r>
              <w:rPr>
                <w:b/>
                <w:color w:val="1C3A36"/>
                <w:sz w:val="17"/>
              </w:rPr>
              <w:t>Net debt</w:t>
            </w:r>
          </w:p>
        </w:tc>
        <w:tc>
          <w:tcPr>
            <w:tcW w:type="dxa" w:w="1800"/>
          </w:tcPr>
          <w:p>
            <w:pPr>
              <w:spacing w:after="20"/>
              <w:jc w:val="right"/>
            </w:pPr>
            <w:r>
              <w:rPr>
                <w:color w:val="1C3A36"/>
                <w:sz w:val="17"/>
              </w:rPr>
              <w:t>3.98</w:t>
            </w:r>
          </w:p>
        </w:tc>
        <w:tc>
          <w:tcPr>
            <w:tcW w:type="dxa" w:w="1800"/>
          </w:tcPr>
          <w:p>
            <w:pPr>
              <w:spacing w:after="20"/>
              <w:jc w:val="right"/>
            </w:pPr>
            <w:r>
              <w:rPr>
                <w:color w:val="1C3A36"/>
                <w:sz w:val="17"/>
              </w:rPr>
              <w:t>1.30</w:t>
            </w:r>
          </w:p>
        </w:tc>
        <w:tc>
          <w:tcPr>
            <w:tcW w:type="dxa" w:w="2304"/>
          </w:tcPr>
          <w:p>
            <w:pPr>
              <w:spacing w:after="20"/>
              <w:jc w:val="right"/>
            </w:pPr>
            <w:r>
              <w:rPr>
                <w:color w:val="1C3A36"/>
                <w:sz w:val="17"/>
              </w:rPr>
              <w:t>1.14</w:t>
            </w:r>
          </w:p>
        </w:tc>
      </w:tr>
      <w:tr>
        <w:tc>
          <w:tcPr>
            <w:tcW w:type="dxa" w:w="3312"/>
          </w:tcPr>
          <w:p>
            <w:pPr>
              <w:spacing w:after="20"/>
            </w:pPr>
            <w:r>
              <w:rPr>
                <w:b/>
                <w:color w:val="1C3A36"/>
                <w:sz w:val="17"/>
              </w:rPr>
              <w:t>Owners’ equity</w:t>
            </w:r>
          </w:p>
        </w:tc>
        <w:tc>
          <w:tcPr>
            <w:tcW w:type="dxa" w:w="1800"/>
          </w:tcPr>
          <w:p>
            <w:pPr>
              <w:spacing w:after="20"/>
              <w:jc w:val="right"/>
            </w:pPr>
            <w:r>
              <w:rPr>
                <w:color w:val="1C3A36"/>
                <w:sz w:val="17"/>
              </w:rPr>
              <w:t>42.0</w:t>
            </w:r>
          </w:p>
        </w:tc>
        <w:tc>
          <w:tcPr>
            <w:tcW w:type="dxa" w:w="1800"/>
          </w:tcPr>
          <w:p>
            <w:pPr>
              <w:spacing w:after="20"/>
              <w:jc w:val="right"/>
            </w:pPr>
            <w:r>
              <w:rPr>
                <w:color w:val="1C3A36"/>
                <w:sz w:val="17"/>
              </w:rPr>
              <w:t>52.3</w:t>
            </w:r>
          </w:p>
        </w:tc>
        <w:tc>
          <w:tcPr>
            <w:tcW w:type="dxa" w:w="2304"/>
          </w:tcPr>
          <w:p>
            <w:pPr>
              <w:spacing w:after="20"/>
              <w:jc w:val="right"/>
            </w:pPr>
            <w:r>
              <w:rPr>
                <w:color w:val="1C3A36"/>
                <w:sz w:val="17"/>
              </w:rPr>
              <w:t>60.1</w:t>
            </w:r>
          </w:p>
        </w:tc>
      </w:tr>
      <w:tr>
        <w:tc>
          <w:tcPr>
            <w:tcW w:type="dxa" w:w="3312"/>
          </w:tcPr>
          <w:p>
            <w:pPr>
              <w:spacing w:after="20"/>
            </w:pPr>
            <w:r>
              <w:rPr>
                <w:b/>
                <w:color w:val="1C3A36"/>
                <w:sz w:val="17"/>
              </w:rPr>
              <w:t>Hybrid perpetual notes</w:t>
            </w:r>
          </w:p>
        </w:tc>
        <w:tc>
          <w:tcPr>
            <w:tcW w:type="dxa" w:w="1800"/>
          </w:tcPr>
          <w:p>
            <w:pPr>
              <w:spacing w:after="20"/>
              <w:jc w:val="right"/>
            </w:pPr>
            <w:r>
              <w:rPr>
                <w:color w:val="1C3A36"/>
                <w:sz w:val="17"/>
              </w:rPr>
              <w:t>1.80</w:t>
            </w:r>
          </w:p>
        </w:tc>
        <w:tc>
          <w:tcPr>
            <w:tcW w:type="dxa" w:w="1800"/>
          </w:tcPr>
          <w:p>
            <w:pPr>
              <w:spacing w:after="20"/>
              <w:jc w:val="right"/>
            </w:pPr>
            <w:r>
              <w:rPr>
                <w:color w:val="1C3A36"/>
                <w:sz w:val="17"/>
              </w:rPr>
              <w:t>1.82</w:t>
            </w:r>
          </w:p>
        </w:tc>
        <w:tc>
          <w:tcPr>
            <w:tcW w:type="dxa" w:w="2304"/>
          </w:tcPr>
          <w:p>
            <w:pPr>
              <w:spacing w:after="20"/>
              <w:jc w:val="right"/>
            </w:pPr>
            <w:r>
              <w:rPr>
                <w:color w:val="1C3A36"/>
                <w:sz w:val="17"/>
              </w:rPr>
              <w:t>1.82</w:t>
            </w:r>
          </w:p>
        </w:tc>
      </w:tr>
      <w:tr>
        <w:tc>
          <w:tcPr>
            <w:tcW w:type="dxa" w:w="3312"/>
          </w:tcPr>
          <w:p>
            <w:pPr>
              <w:spacing w:after="20"/>
            </w:pPr>
            <w:r>
              <w:rPr>
                <w:b/>
                <w:color w:val="1C3A36"/>
                <w:sz w:val="17"/>
              </w:rPr>
              <w:t>Non-controlling interests</w:t>
            </w:r>
          </w:p>
        </w:tc>
        <w:tc>
          <w:tcPr>
            <w:tcW w:type="dxa" w:w="1800"/>
          </w:tcPr>
          <w:p>
            <w:pPr>
              <w:spacing w:after="20"/>
              <w:jc w:val="right"/>
            </w:pPr>
            <w:r>
              <w:rPr>
                <w:color w:val="1C3A36"/>
                <w:sz w:val="17"/>
              </w:rPr>
              <w:t>32.1</w:t>
            </w:r>
          </w:p>
        </w:tc>
        <w:tc>
          <w:tcPr>
            <w:tcW w:type="dxa" w:w="1800"/>
          </w:tcPr>
          <w:p>
            <w:pPr>
              <w:spacing w:after="20"/>
              <w:jc w:val="right"/>
            </w:pPr>
            <w:r>
              <w:rPr>
                <w:color w:val="1C3A36"/>
                <w:sz w:val="17"/>
              </w:rPr>
              <w:t>38.2</w:t>
            </w:r>
          </w:p>
        </w:tc>
        <w:tc>
          <w:tcPr>
            <w:tcW w:type="dxa" w:w="2304"/>
          </w:tcPr>
          <w:p>
            <w:pPr>
              <w:spacing w:after="20"/>
              <w:jc w:val="right"/>
            </w:pPr>
            <w:r>
              <w:rPr>
                <w:color w:val="1C3A36"/>
                <w:sz w:val="17"/>
              </w:rPr>
              <w:t>42.1</w:t>
            </w:r>
          </w:p>
        </w:tc>
      </w:tr>
      <w:tr>
        <w:tc>
          <w:tcPr>
            <w:tcW w:type="dxa" w:w="3312"/>
            <w:shd w:val="clear" w:color="auto" w:fill="F6F1E6"/>
          </w:tcPr>
          <w:p>
            <w:pPr>
              <w:spacing w:after="20"/>
            </w:pPr>
            <w:r>
              <w:rPr>
                <w:b/>
                <w:color w:val="1C3A36"/>
                <w:sz w:val="17"/>
              </w:rPr>
              <w:t>Total equity</w:t>
            </w:r>
          </w:p>
        </w:tc>
        <w:tc>
          <w:tcPr>
            <w:tcW w:type="dxa" w:w="1800"/>
            <w:shd w:val="clear" w:color="auto" w:fill="F6F1E6"/>
          </w:tcPr>
          <w:p>
            <w:pPr>
              <w:spacing w:after="20"/>
              <w:jc w:val="right"/>
            </w:pPr>
            <w:r>
              <w:rPr>
                <w:b/>
                <w:color w:val="1C3A36"/>
                <w:sz w:val="17"/>
              </w:rPr>
              <w:t>75.9</w:t>
            </w:r>
          </w:p>
        </w:tc>
        <w:tc>
          <w:tcPr>
            <w:tcW w:type="dxa" w:w="1800"/>
            <w:shd w:val="clear" w:color="auto" w:fill="F6F1E6"/>
          </w:tcPr>
          <w:p>
            <w:pPr>
              <w:spacing w:after="20"/>
              <w:jc w:val="right"/>
            </w:pPr>
            <w:r>
              <w:rPr>
                <w:b/>
                <w:color w:val="1C3A36"/>
                <w:sz w:val="17"/>
              </w:rPr>
              <w:t>92.3</w:t>
            </w:r>
          </w:p>
        </w:tc>
        <w:tc>
          <w:tcPr>
            <w:tcW w:type="dxa" w:w="2304"/>
            <w:shd w:val="clear" w:color="auto" w:fill="F6F1E6"/>
          </w:tcPr>
          <w:p>
            <w:pPr>
              <w:spacing w:after="20"/>
              <w:jc w:val="right"/>
            </w:pPr>
            <w:r>
              <w:rPr>
                <w:b/>
                <w:color w:val="1C3A36"/>
                <w:sz w:val="17"/>
              </w:rPr>
              <w:t>104.0</w:t>
            </w:r>
          </w:p>
        </w:tc>
      </w:tr>
    </w:tbl>
    <w:p>
      <w:pPr>
        <w:spacing w:after="40"/>
      </w:pPr>
    </w:p>
    <w:p>
      <w:pPr>
        <w:spacing w:after="120" w:before="0"/>
      </w:pPr>
      <w:r>
        <w:rPr>
          <w:b w:val="0"/>
          <w:i w:val="0"/>
          <w:color w:val="1C3A36"/>
          <w:sz w:val="19"/>
        </w:rPr>
        <w:t>What the three columns say: assets up 53% in two years and owners’ equity up 43% (a ~19%/yr book compounding rate) while net debt stayed near zero — the group has funded its expansion with operating cash, NCI capital and asset injections rather than parent leverage. The counterweight: NCI is now 40% of total equity, so consolidated headlines overstate the owners’ economics by design. The FY2025 borrowings figure is the study’s one derived line — FY2024’s disclosed 30.1 plus audited FY2025 financing flows — flagged here and stress-bounded in §1.9.</w:t>
      </w:r>
    </w:p>
    <w:p>
      <w:pPr>
        <w:spacing w:after="80" w:before="200"/>
      </w:pPr>
      <w:r>
        <w:rPr>
          <w:b/>
          <w:i w:val="0"/>
          <w:color w:val="1C3A36"/>
          <w:sz w:val="24"/>
        </w:rPr>
        <w:t>A.3  Cash flow, the two FCF framings, and the distribution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7"/>
              </w:rPr>
              <w:t>FY2025 cash flow (AED bn)</w:t>
            </w:r>
          </w:p>
        </w:tc>
        <w:tc>
          <w:tcPr>
            <w:tcW w:type="dxa" w:w="2160"/>
            <w:shd w:val="clear" w:color="auto" w:fill="EAF0EE"/>
          </w:tcPr>
          <w:p>
            <w:pPr>
              <w:spacing w:after="20"/>
            </w:pPr>
            <w:r>
              <w:rPr>
                <w:b/>
                <w:color w:val="1C3A36"/>
                <w:sz w:val="17"/>
              </w:rPr>
              <w:t>Value</w:t>
            </w:r>
          </w:p>
        </w:tc>
      </w:tr>
      <w:tr>
        <w:tc>
          <w:tcPr>
            <w:tcW w:type="dxa" w:w="6336"/>
          </w:tcPr>
          <w:p>
            <w:pPr>
              <w:spacing w:after="20"/>
            </w:pPr>
            <w:r>
              <w:rPr>
                <w:b/>
                <w:color w:val="1C3A36"/>
                <w:sz w:val="17"/>
              </w:rPr>
              <w:t>Cash from operations (after the ΔWC absorption)</w:t>
            </w:r>
          </w:p>
        </w:tc>
        <w:tc>
          <w:tcPr>
            <w:tcW w:type="dxa" w:w="2160"/>
          </w:tcPr>
          <w:p>
            <w:pPr>
              <w:spacing w:after="20"/>
              <w:jc w:val="right"/>
            </w:pPr>
            <w:r>
              <w:rPr>
                <w:color w:val="1C3A36"/>
                <w:sz w:val="17"/>
              </w:rPr>
              <w:t>9.63</w:t>
            </w:r>
          </w:p>
        </w:tc>
      </w:tr>
      <w:tr>
        <w:tc>
          <w:tcPr>
            <w:tcW w:type="dxa" w:w="6336"/>
          </w:tcPr>
          <w:p>
            <w:pPr>
              <w:spacing w:after="20"/>
            </w:pPr>
            <w:r>
              <w:rPr>
                <w:b/>
                <w:color w:val="1C3A36"/>
                <w:sz w:val="17"/>
              </w:rPr>
              <w:t>— working capital absorbed within it</w:t>
            </w:r>
          </w:p>
        </w:tc>
        <w:tc>
          <w:tcPr>
            <w:tcW w:type="dxa" w:w="2160"/>
          </w:tcPr>
          <w:p>
            <w:pPr>
              <w:spacing w:after="20"/>
              <w:jc w:val="right"/>
            </w:pPr>
            <w:r>
              <w:rPr>
                <w:color w:val="1C3A36"/>
                <w:sz w:val="17"/>
              </w:rPr>
              <w:t>≈ −7.5</w:t>
            </w:r>
          </w:p>
        </w:tc>
      </w:tr>
      <w:tr>
        <w:tc>
          <w:tcPr>
            <w:tcW w:type="dxa" w:w="6336"/>
          </w:tcPr>
          <w:p>
            <w:pPr>
              <w:spacing w:after="20"/>
            </w:pPr>
            <w:r>
              <w:rPr>
                <w:b/>
                <w:color w:val="1C3A36"/>
                <w:sz w:val="17"/>
              </w:rPr>
              <w:t>Capex (PP&amp;E and investment property additions)</w:t>
            </w:r>
          </w:p>
        </w:tc>
        <w:tc>
          <w:tcPr>
            <w:tcW w:type="dxa" w:w="2160"/>
          </w:tcPr>
          <w:p>
            <w:pPr>
              <w:spacing w:after="20"/>
              <w:jc w:val="right"/>
            </w:pPr>
            <w:r>
              <w:rPr>
                <w:color w:val="1C3A36"/>
                <w:sz w:val="17"/>
              </w:rPr>
              <w:t>−5.57</w:t>
            </w:r>
          </w:p>
        </w:tc>
      </w:tr>
      <w:tr>
        <w:tc>
          <w:tcPr>
            <w:tcW w:type="dxa" w:w="6336"/>
            <w:shd w:val="clear" w:color="auto" w:fill="F6F1E6"/>
          </w:tcPr>
          <w:p>
            <w:pPr>
              <w:spacing w:after="20"/>
            </w:pPr>
            <w:r>
              <w:rPr>
                <w:b/>
                <w:color w:val="1C3A36"/>
                <w:sz w:val="17"/>
              </w:rPr>
              <w:t>Free cash flow — cash framing (CFO − capex)</w:t>
            </w:r>
          </w:p>
        </w:tc>
        <w:tc>
          <w:tcPr>
            <w:tcW w:type="dxa" w:w="2160"/>
            <w:shd w:val="clear" w:color="auto" w:fill="F6F1E6"/>
          </w:tcPr>
          <w:p>
            <w:pPr>
              <w:spacing w:after="20"/>
              <w:jc w:val="right"/>
            </w:pPr>
            <w:r>
              <w:rPr>
                <w:b/>
                <w:color w:val="1C3A36"/>
                <w:sz w:val="17"/>
              </w:rPr>
              <w:t>4.06</w:t>
            </w:r>
          </w:p>
        </w:tc>
      </w:tr>
      <w:tr>
        <w:tc>
          <w:tcPr>
            <w:tcW w:type="dxa" w:w="6336"/>
            <w:shd w:val="clear" w:color="auto" w:fill="F6F1E6"/>
          </w:tcPr>
          <w:p>
            <w:pPr>
              <w:spacing w:after="20"/>
            </w:pPr>
            <w:r>
              <w:rPr>
                <w:b/>
                <w:color w:val="1C3A36"/>
                <w:sz w:val="17"/>
              </w:rPr>
              <w:t>Free cash flow — normalized framing (ex-ΔWC)</w:t>
            </w:r>
          </w:p>
        </w:tc>
        <w:tc>
          <w:tcPr>
            <w:tcW w:type="dxa" w:w="2160"/>
            <w:shd w:val="clear" w:color="auto" w:fill="F6F1E6"/>
          </w:tcPr>
          <w:p>
            <w:pPr>
              <w:spacing w:after="20"/>
              <w:jc w:val="right"/>
            </w:pPr>
            <w:r>
              <w:rPr>
                <w:b/>
                <w:color w:val="1C3A36"/>
                <w:sz w:val="17"/>
              </w:rPr>
              <w:t>≈ 11.5</w:t>
            </w:r>
          </w:p>
        </w:tc>
      </w:tr>
      <w:tr>
        <w:tc>
          <w:tcPr>
            <w:tcW w:type="dxa" w:w="6336"/>
          </w:tcPr>
          <w:p>
            <w:pPr>
              <w:spacing w:after="20"/>
            </w:pPr>
            <w:r>
              <w:rPr>
                <w:b/>
                <w:color w:val="1C3A36"/>
                <w:sz w:val="17"/>
              </w:rPr>
              <w:t>Net finance costs (P&amp;L)</w:t>
            </w:r>
          </w:p>
        </w:tc>
        <w:tc>
          <w:tcPr>
            <w:tcW w:type="dxa" w:w="2160"/>
          </w:tcPr>
          <w:p>
            <w:pPr>
              <w:spacing w:after="20"/>
              <w:jc w:val="right"/>
            </w:pPr>
            <w:r>
              <w:rPr>
                <w:color w:val="1C3A36"/>
                <w:sz w:val="17"/>
              </w:rPr>
              <w:t>0.90</w:t>
            </w:r>
          </w:p>
        </w:tc>
      </w:tr>
      <w:tr>
        <w:tc>
          <w:tcPr>
            <w:tcW w:type="dxa" w:w="6336"/>
          </w:tcPr>
          <w:p>
            <w:pPr>
              <w:spacing w:after="20"/>
            </w:pPr>
            <w:r>
              <w:rPr>
                <w:b/>
                <w:color w:val="1C3A36"/>
                <w:sz w:val="17"/>
              </w:rPr>
              <w:t>Income tax paid basis (P&amp;L charge)</w:t>
            </w:r>
          </w:p>
        </w:tc>
        <w:tc>
          <w:tcPr>
            <w:tcW w:type="dxa" w:w="2160"/>
          </w:tcPr>
          <w:p>
            <w:pPr>
              <w:spacing w:after="20"/>
              <w:jc w:val="right"/>
            </w:pPr>
            <w:r>
              <w:rPr>
                <w:color w:val="1C3A36"/>
                <w:sz w:val="17"/>
              </w:rPr>
              <w:t>1.70</w:t>
            </w:r>
          </w:p>
        </w:tc>
      </w:tr>
    </w:tbl>
    <w:p>
      <w:pPr>
        <w:spacing w:after="40"/>
      </w:pPr>
    </w:p>
    <w:p>
      <w:pPr>
        <w:spacing w:after="120" w:before="0"/>
      </w:pPr>
      <w:r>
        <w:rPr>
          <w:b w:val="0"/>
          <w:i w:val="0"/>
          <w:color w:val="1C3A36"/>
          <w:sz w:val="19"/>
        </w:rPr>
        <w:t>Both FCF framings, per house rule: on the cash framing the group generated AED 4.1 bn of free cash in FY2025 — barely twice the dividend; on the normalized framing (adding back the working-capital build that the model fades over five years) it generated ≈AED 11.5 bn. The distance between those two numbers is the DCF debate of §1.2 in a single row.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7"/>
              </w:rPr>
              <w:t>Distribution</w:t>
            </w:r>
          </w:p>
        </w:tc>
        <w:tc>
          <w:tcPr>
            <w:tcW w:type="dxa" w:w="2016"/>
            <w:shd w:val="clear" w:color="auto" w:fill="EAF0EE"/>
          </w:tcPr>
          <w:p>
            <w:pPr>
              <w:spacing w:after="20"/>
            </w:pPr>
            <w:r>
              <w:rPr>
                <w:b/>
                <w:color w:val="1C3A36"/>
                <w:sz w:val="17"/>
              </w:rPr>
              <w:t>FY2025 (paid Q1-26)</w:t>
            </w:r>
          </w:p>
        </w:tc>
        <w:tc>
          <w:tcPr>
            <w:tcW w:type="dxa" w:w="1728"/>
            <w:shd w:val="clear" w:color="auto" w:fill="EAF0EE"/>
          </w:tcPr>
          <w:p>
            <w:pPr>
              <w:spacing w:after="20"/>
            </w:pPr>
            <w:r>
              <w:rPr>
                <w:b/>
                <w:color w:val="1C3A36"/>
                <w:sz w:val="17"/>
              </w:rPr>
              <w:t>FY2026E</w:t>
            </w:r>
          </w:p>
        </w:tc>
        <w:tc>
          <w:tcPr>
            <w:tcW w:type="dxa" w:w="1728"/>
            <w:shd w:val="clear" w:color="auto" w:fill="EAF0EE"/>
          </w:tcPr>
          <w:p>
            <w:pPr>
              <w:spacing w:after="20"/>
            </w:pPr>
            <w:r>
              <w:rPr>
                <w:b/>
                <w:color w:val="1C3A36"/>
                <w:sz w:val="17"/>
              </w:rPr>
              <w:t>FY2027E</w:t>
            </w:r>
          </w:p>
        </w:tc>
      </w:tr>
      <w:tr>
        <w:tc>
          <w:tcPr>
            <w:tcW w:type="dxa" w:w="3168"/>
          </w:tcPr>
          <w:p>
            <w:pPr>
              <w:spacing w:after="20"/>
            </w:pPr>
            <w:r>
              <w:rPr>
                <w:b/>
                <w:color w:val="1C3A36"/>
                <w:sz w:val="17"/>
              </w:rPr>
              <w:t>Policy amount (AED bn)</w:t>
            </w:r>
          </w:p>
        </w:tc>
        <w:tc>
          <w:tcPr>
            <w:tcW w:type="dxa" w:w="2016"/>
          </w:tcPr>
          <w:p>
            <w:pPr>
              <w:spacing w:after="20"/>
              <w:jc w:val="right"/>
            </w:pPr>
            <w:r>
              <w:rPr>
                <w:color w:val="1C3A36"/>
                <w:sz w:val="17"/>
              </w:rPr>
              <w:t>2.00</w:t>
            </w:r>
          </w:p>
        </w:tc>
        <w:tc>
          <w:tcPr>
            <w:tcW w:type="dxa" w:w="1728"/>
          </w:tcPr>
          <w:p>
            <w:pPr>
              <w:spacing w:after="20"/>
              <w:jc w:val="right"/>
            </w:pPr>
            <w:r>
              <w:rPr>
                <w:color w:val="1C3A36"/>
                <w:sz w:val="17"/>
              </w:rPr>
              <w:t>2.10</w:t>
            </w:r>
          </w:p>
        </w:tc>
        <w:tc>
          <w:tcPr>
            <w:tcW w:type="dxa" w:w="1728"/>
          </w:tcPr>
          <w:p>
            <w:pPr>
              <w:spacing w:after="20"/>
              <w:jc w:val="right"/>
            </w:pPr>
            <w:r>
              <w:rPr>
                <w:color w:val="1C3A36"/>
                <w:sz w:val="17"/>
              </w:rPr>
              <w:t>2.21</w:t>
            </w:r>
          </w:p>
        </w:tc>
      </w:tr>
      <w:tr>
        <w:tc>
          <w:tcPr>
            <w:tcW w:type="dxa" w:w="3168"/>
          </w:tcPr>
          <w:p>
            <w:pPr>
              <w:spacing w:after="20"/>
            </w:pPr>
            <w:r>
              <w:rPr>
                <w:b/>
                <w:color w:val="1C3A36"/>
                <w:sz w:val="17"/>
              </w:rPr>
              <w:t>Per share (fils)</w:t>
            </w:r>
          </w:p>
        </w:tc>
        <w:tc>
          <w:tcPr>
            <w:tcW w:type="dxa" w:w="2016"/>
          </w:tcPr>
          <w:p>
            <w:pPr>
              <w:spacing w:after="20"/>
              <w:jc w:val="right"/>
            </w:pPr>
            <w:r>
              <w:rPr>
                <w:color w:val="1C3A36"/>
                <w:sz w:val="17"/>
              </w:rPr>
              <w:t>20.0</w:t>
            </w:r>
          </w:p>
        </w:tc>
        <w:tc>
          <w:tcPr>
            <w:tcW w:type="dxa" w:w="1728"/>
          </w:tcPr>
          <w:p>
            <w:pPr>
              <w:spacing w:after="20"/>
              <w:jc w:val="right"/>
            </w:pPr>
            <w:r>
              <w:rPr>
                <w:color w:val="1C3A36"/>
                <w:sz w:val="17"/>
              </w:rPr>
              <w:t>21.0</w:t>
            </w:r>
          </w:p>
        </w:tc>
        <w:tc>
          <w:tcPr>
            <w:tcW w:type="dxa" w:w="1728"/>
          </w:tcPr>
          <w:p>
            <w:pPr>
              <w:spacing w:after="20"/>
              <w:jc w:val="right"/>
            </w:pPr>
            <w:r>
              <w:rPr>
                <w:color w:val="1C3A36"/>
                <w:sz w:val="17"/>
              </w:rPr>
              <w:t>22.1</w:t>
            </w:r>
          </w:p>
        </w:tc>
      </w:tr>
      <w:tr>
        <w:tc>
          <w:tcPr>
            <w:tcW w:type="dxa" w:w="3168"/>
          </w:tcPr>
          <w:p>
            <w:pPr>
              <w:spacing w:after="20"/>
            </w:pPr>
            <w:r>
              <w:rPr>
                <w:b/>
                <w:color w:val="1C3A36"/>
                <w:sz w:val="17"/>
              </w:rPr>
              <w:t>Yield on AED 8.22</w:t>
            </w:r>
          </w:p>
        </w:tc>
        <w:tc>
          <w:tcPr>
            <w:tcW w:type="dxa" w:w="2016"/>
          </w:tcPr>
          <w:p>
            <w:pPr>
              <w:spacing w:after="20"/>
              <w:jc w:val="right"/>
            </w:pPr>
            <w:r>
              <w:rPr>
                <w:color w:val="1C3A36"/>
                <w:sz w:val="17"/>
              </w:rPr>
              <w:t>2.4%</w:t>
            </w:r>
          </w:p>
        </w:tc>
        <w:tc>
          <w:tcPr>
            <w:tcW w:type="dxa" w:w="1728"/>
          </w:tcPr>
          <w:p>
            <w:pPr>
              <w:spacing w:after="20"/>
              <w:jc w:val="right"/>
            </w:pPr>
            <w:r>
              <w:rPr>
                <w:color w:val="1C3A36"/>
                <w:sz w:val="17"/>
              </w:rPr>
              <w:t>2.6%</w:t>
            </w:r>
          </w:p>
        </w:tc>
        <w:tc>
          <w:tcPr>
            <w:tcW w:type="dxa" w:w="1728"/>
          </w:tcPr>
          <w:p>
            <w:pPr>
              <w:spacing w:after="20"/>
              <w:jc w:val="right"/>
            </w:pPr>
            <w:r>
              <w:rPr>
                <w:color w:val="1C3A36"/>
                <w:sz w:val="17"/>
              </w:rPr>
              <w:t>2.7%</w:t>
            </w:r>
          </w:p>
        </w:tc>
      </w:tr>
    </w:tbl>
    <w:p>
      <w:pPr>
        <w:spacing w:after="40"/>
      </w:pPr>
    </w:p>
    <w:p>
      <w:pPr>
        <w:spacing w:after="120" w:before="280"/>
      </w:pPr>
      <w:r>
        <w:rPr>
          <w:b/>
          <w:i w:val="0"/>
          <w:color w:val="1C3A36"/>
          <w:sz w:val="30"/>
        </w:rPr>
        <w:t>Appendix B  Peer set, structure, risks — and the Sweep Register</w:t>
      </w:r>
    </w:p>
    <w:p>
      <w:pPr>
        <w:spacing w:after="80" w:before="200"/>
      </w:pPr>
      <w:r>
        <w:rPr>
          <w:b/>
          <w:i w:val="0"/>
          <w:color w:val="1C3A36"/>
          <w:sz w:val="24"/>
        </w:rPr>
        <w:t>B.1  The listed complex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Company</w:t>
            </w:r>
          </w:p>
        </w:tc>
        <w:tc>
          <w:tcPr>
            <w:tcW w:type="dxa" w:w="1656"/>
            <w:shd w:val="clear" w:color="auto" w:fill="EAF0EE"/>
          </w:tcPr>
          <w:p>
            <w:pPr>
              <w:spacing w:after="20"/>
            </w:pPr>
            <w:r>
              <w:rPr>
                <w:b/>
                <w:color w:val="1C3A36"/>
                <w:sz w:val="17"/>
              </w:rPr>
              <w:t>Mcap (AED bn)</w:t>
            </w:r>
          </w:p>
        </w:tc>
        <w:tc>
          <w:tcPr>
            <w:tcW w:type="dxa" w:w="1800"/>
            <w:shd w:val="clear" w:color="auto" w:fill="EAF0EE"/>
          </w:tcPr>
          <w:p>
            <w:pPr>
              <w:spacing w:after="20"/>
            </w:pPr>
            <w:r>
              <w:rPr>
                <w:b/>
                <w:color w:val="1C3A36"/>
                <w:sz w:val="17"/>
              </w:rPr>
              <w:t>Earnings (AED bn)</w:t>
            </w:r>
          </w:p>
        </w:tc>
        <w:tc>
          <w:tcPr>
            <w:tcW w:type="dxa" w:w="1368"/>
            <w:shd w:val="clear" w:color="auto" w:fill="EAF0EE"/>
          </w:tcPr>
          <w:p>
            <w:pPr>
              <w:spacing w:after="20"/>
            </w:pPr>
            <w:r>
              <w:rPr>
                <w:b/>
                <w:color w:val="1C3A36"/>
                <w:sz w:val="17"/>
              </w:rPr>
              <w:t>Trailing P/E</w:t>
            </w:r>
          </w:p>
        </w:tc>
        <w:tc>
          <w:tcPr>
            <w:tcW w:type="dxa" w:w="2664"/>
            <w:shd w:val="clear" w:color="auto" w:fill="EAF0EE"/>
          </w:tcPr>
          <w:p>
            <w:pPr>
              <w:spacing w:after="20"/>
            </w:pPr>
            <w:r>
              <w:rPr>
                <w:b/>
                <w:color w:val="1C3A36"/>
                <w:sz w:val="17"/>
              </w:rPr>
              <w:t>Role in the NAV</w:t>
            </w:r>
          </w:p>
        </w:tc>
      </w:tr>
      <w:tr>
        <w:tc>
          <w:tcPr>
            <w:tcW w:type="dxa" w:w="2736"/>
          </w:tcPr>
          <w:p>
            <w:pPr>
              <w:spacing w:after="20"/>
            </w:pPr>
            <w:r>
              <w:rPr>
                <w:b/>
                <w:color w:val="1C3A36"/>
                <w:sz w:val="17"/>
              </w:rPr>
              <w:t>Alpha Dhabi (the wrapper)</w:t>
            </w:r>
          </w:p>
        </w:tc>
        <w:tc>
          <w:tcPr>
            <w:tcW w:type="dxa" w:w="1656"/>
          </w:tcPr>
          <w:p>
            <w:pPr>
              <w:spacing w:after="20"/>
              <w:jc w:val="right"/>
            </w:pPr>
            <w:r>
              <w:rPr>
                <w:color w:val="1C3A36"/>
                <w:sz w:val="17"/>
              </w:rPr>
              <w:t>82.2</w:t>
            </w:r>
          </w:p>
        </w:tc>
        <w:tc>
          <w:tcPr>
            <w:tcW w:type="dxa" w:w="1800"/>
          </w:tcPr>
          <w:p>
            <w:pPr>
              <w:spacing w:after="20"/>
              <w:jc w:val="right"/>
            </w:pPr>
            <w:r>
              <w:rPr>
                <w:color w:val="1C3A36"/>
                <w:sz w:val="17"/>
              </w:rPr>
              <w:t>8.01 attrib.</w:t>
            </w:r>
          </w:p>
        </w:tc>
        <w:tc>
          <w:tcPr>
            <w:tcW w:type="dxa" w:w="1368"/>
          </w:tcPr>
          <w:p>
            <w:pPr>
              <w:spacing w:after="20"/>
              <w:jc w:val="right"/>
            </w:pPr>
            <w:r>
              <w:rPr>
                <w:color w:val="1C3A36"/>
                <w:sz w:val="17"/>
              </w:rPr>
              <w:t>10.3×</w:t>
            </w:r>
          </w:p>
        </w:tc>
        <w:tc>
          <w:tcPr>
            <w:tcW w:type="dxa" w:w="2664"/>
          </w:tcPr>
          <w:p>
            <w:pPr>
              <w:spacing w:after="20"/>
              <w:jc w:val="right"/>
            </w:pPr>
            <w:r>
              <w:rPr>
                <w:color w:val="1C3A36"/>
                <w:sz w:val="17"/>
              </w:rPr>
              <w:t>—</w:t>
            </w:r>
          </w:p>
        </w:tc>
      </w:tr>
      <w:tr>
        <w:tc>
          <w:tcPr>
            <w:tcW w:type="dxa" w:w="2736"/>
          </w:tcPr>
          <w:p>
            <w:pPr>
              <w:spacing w:after="20"/>
            </w:pPr>
            <w:r>
              <w:rPr>
                <w:b/>
                <w:color w:val="1C3A36"/>
                <w:sz w:val="17"/>
              </w:rPr>
              <w:t>Aldar Properties (31.63%)</w:t>
            </w:r>
          </w:p>
        </w:tc>
        <w:tc>
          <w:tcPr>
            <w:tcW w:type="dxa" w:w="1656"/>
          </w:tcPr>
          <w:p>
            <w:pPr>
              <w:spacing w:after="20"/>
              <w:jc w:val="right"/>
            </w:pPr>
            <w:r>
              <w:rPr>
                <w:color w:val="1C3A36"/>
                <w:sz w:val="17"/>
              </w:rPr>
              <w:t>64.87</w:t>
            </w:r>
          </w:p>
        </w:tc>
        <w:tc>
          <w:tcPr>
            <w:tcW w:type="dxa" w:w="1800"/>
          </w:tcPr>
          <w:p>
            <w:pPr>
              <w:spacing w:after="20"/>
              <w:jc w:val="right"/>
            </w:pPr>
            <w:r>
              <w:rPr>
                <w:color w:val="1C3A36"/>
                <w:sz w:val="17"/>
              </w:rPr>
              <w:t>7.51</w:t>
            </w:r>
          </w:p>
        </w:tc>
        <w:tc>
          <w:tcPr>
            <w:tcW w:type="dxa" w:w="1368"/>
          </w:tcPr>
          <w:p>
            <w:pPr>
              <w:spacing w:after="20"/>
              <w:jc w:val="right"/>
            </w:pPr>
            <w:r>
              <w:rPr>
                <w:color w:val="1C3A36"/>
                <w:sz w:val="17"/>
              </w:rPr>
              <w:t>8.6×</w:t>
            </w:r>
          </w:p>
        </w:tc>
        <w:tc>
          <w:tcPr>
            <w:tcW w:type="dxa" w:w="2664"/>
          </w:tcPr>
          <w:p>
            <w:pPr>
              <w:spacing w:after="20"/>
              <w:jc w:val="right"/>
            </w:pPr>
            <w:r>
              <w:rPr>
                <w:color w:val="1C3A36"/>
                <w:sz w:val="17"/>
              </w:rPr>
              <w:t>Largest mark: AED 20.5 bn</w:t>
            </w:r>
          </w:p>
        </w:tc>
      </w:tr>
      <w:tr>
        <w:tc>
          <w:tcPr>
            <w:tcW w:type="dxa" w:w="2736"/>
          </w:tcPr>
          <w:p>
            <w:pPr>
              <w:spacing w:after="20"/>
            </w:pPr>
            <w:r>
              <w:rPr>
                <w:b/>
                <w:color w:val="1C3A36"/>
                <w:sz w:val="17"/>
              </w:rPr>
              <w:t>NMDC Group (76.68%)</w:t>
            </w:r>
          </w:p>
        </w:tc>
        <w:tc>
          <w:tcPr>
            <w:tcW w:type="dxa" w:w="1656"/>
          </w:tcPr>
          <w:p>
            <w:pPr>
              <w:spacing w:after="20"/>
              <w:jc w:val="right"/>
            </w:pPr>
            <w:r>
              <w:rPr>
                <w:color w:val="1C3A36"/>
                <w:sz w:val="17"/>
              </w:rPr>
              <w:t>18.79</w:t>
            </w:r>
          </w:p>
        </w:tc>
        <w:tc>
          <w:tcPr>
            <w:tcW w:type="dxa" w:w="1800"/>
          </w:tcPr>
          <w:p>
            <w:pPr>
              <w:spacing w:after="20"/>
              <w:jc w:val="right"/>
            </w:pPr>
            <w:r>
              <w:rPr>
                <w:color w:val="1C3A36"/>
                <w:sz w:val="17"/>
              </w:rPr>
              <w:t>3.62</w:t>
            </w:r>
          </w:p>
        </w:tc>
        <w:tc>
          <w:tcPr>
            <w:tcW w:type="dxa" w:w="1368"/>
          </w:tcPr>
          <w:p>
            <w:pPr>
              <w:spacing w:after="20"/>
              <w:jc w:val="right"/>
            </w:pPr>
            <w:r>
              <w:rPr>
                <w:color w:val="1C3A36"/>
                <w:sz w:val="17"/>
              </w:rPr>
              <w:t>5.2×</w:t>
            </w:r>
          </w:p>
        </w:tc>
        <w:tc>
          <w:tcPr>
            <w:tcW w:type="dxa" w:w="2664"/>
          </w:tcPr>
          <w:p>
            <w:pPr>
              <w:spacing w:after="20"/>
              <w:jc w:val="right"/>
            </w:pPr>
            <w:r>
              <w:rPr>
                <w:color w:val="1C3A36"/>
                <w:sz w:val="17"/>
              </w:rPr>
              <w:t>AED 14.4 bn; Q1-26 EPS halved — watched</w:t>
            </w:r>
          </w:p>
        </w:tc>
      </w:tr>
      <w:tr>
        <w:tc>
          <w:tcPr>
            <w:tcW w:type="dxa" w:w="2736"/>
          </w:tcPr>
          <w:p>
            <w:pPr>
              <w:spacing w:after="20"/>
            </w:pPr>
            <w:r>
              <w:rPr>
                <w:b/>
                <w:color w:val="1C3A36"/>
                <w:sz w:val="17"/>
              </w:rPr>
              <w:t>PureHealth (35.06%)</w:t>
            </w:r>
          </w:p>
        </w:tc>
        <w:tc>
          <w:tcPr>
            <w:tcW w:type="dxa" w:w="1656"/>
          </w:tcPr>
          <w:p>
            <w:pPr>
              <w:spacing w:after="20"/>
              <w:jc w:val="right"/>
            </w:pPr>
            <w:r>
              <w:rPr>
                <w:color w:val="1C3A36"/>
                <w:sz w:val="17"/>
              </w:rPr>
              <w:t>24.56</w:t>
            </w:r>
          </w:p>
        </w:tc>
        <w:tc>
          <w:tcPr>
            <w:tcW w:type="dxa" w:w="1800"/>
          </w:tcPr>
          <w:p>
            <w:pPr>
              <w:spacing w:after="20"/>
              <w:jc w:val="right"/>
            </w:pPr>
            <w:r>
              <w:rPr>
                <w:color w:val="1C3A36"/>
                <w:sz w:val="17"/>
              </w:rPr>
              <w:t>2.00</w:t>
            </w:r>
          </w:p>
        </w:tc>
        <w:tc>
          <w:tcPr>
            <w:tcW w:type="dxa" w:w="1368"/>
          </w:tcPr>
          <w:p>
            <w:pPr>
              <w:spacing w:after="20"/>
              <w:jc w:val="right"/>
            </w:pPr>
            <w:r>
              <w:rPr>
                <w:color w:val="1C3A36"/>
                <w:sz w:val="17"/>
              </w:rPr>
              <w:t>12.3×</w:t>
            </w:r>
          </w:p>
        </w:tc>
        <w:tc>
          <w:tcPr>
            <w:tcW w:type="dxa" w:w="2664"/>
          </w:tcPr>
          <w:p>
            <w:pPr>
              <w:spacing w:after="20"/>
              <w:jc w:val="right"/>
            </w:pPr>
            <w:r>
              <w:rPr>
                <w:color w:val="1C3A36"/>
                <w:sz w:val="17"/>
              </w:rPr>
              <w:t>AED 8.6 bn associate</w:t>
            </w:r>
          </w:p>
        </w:tc>
      </w:tr>
      <w:tr>
        <w:tc>
          <w:tcPr>
            <w:tcW w:type="dxa" w:w="2736"/>
          </w:tcPr>
          <w:p>
            <w:pPr>
              <w:spacing w:after="20"/>
            </w:pPr>
            <w:r>
              <w:rPr>
                <w:b/>
                <w:color w:val="1C3A36"/>
                <w:sz w:val="17"/>
              </w:rPr>
              <w:t>NCTH (73.73%)</w:t>
            </w:r>
          </w:p>
        </w:tc>
        <w:tc>
          <w:tcPr>
            <w:tcW w:type="dxa" w:w="1656"/>
          </w:tcPr>
          <w:p>
            <w:pPr>
              <w:spacing w:after="20"/>
              <w:jc w:val="right"/>
            </w:pPr>
            <w:r>
              <w:rPr>
                <w:color w:val="1C3A36"/>
                <w:sz w:val="17"/>
              </w:rPr>
              <w:t>3.27</w:t>
            </w:r>
          </w:p>
        </w:tc>
        <w:tc>
          <w:tcPr>
            <w:tcW w:type="dxa" w:w="1800"/>
          </w:tcPr>
          <w:p>
            <w:pPr>
              <w:spacing w:after="20"/>
              <w:jc w:val="right"/>
            </w:pPr>
            <w:r>
              <w:rPr>
                <w:color w:val="1C3A36"/>
                <w:sz w:val="17"/>
              </w:rPr>
              <w:t>0.30</w:t>
            </w:r>
          </w:p>
        </w:tc>
        <w:tc>
          <w:tcPr>
            <w:tcW w:type="dxa" w:w="1368"/>
          </w:tcPr>
          <w:p>
            <w:pPr>
              <w:spacing w:after="20"/>
              <w:jc w:val="right"/>
            </w:pPr>
            <w:r>
              <w:rPr>
                <w:color w:val="1C3A36"/>
                <w:sz w:val="17"/>
              </w:rPr>
              <w:t>~10.9×</w:t>
            </w:r>
          </w:p>
        </w:tc>
        <w:tc>
          <w:tcPr>
            <w:tcW w:type="dxa" w:w="2664"/>
          </w:tcPr>
          <w:p>
            <w:pPr>
              <w:spacing w:after="20"/>
              <w:jc w:val="right"/>
            </w:pPr>
            <w:r>
              <w:rPr>
                <w:color w:val="1C3A36"/>
                <w:sz w:val="17"/>
              </w:rPr>
              <w:t>AED 2.4 bn; thin float</w:t>
            </w:r>
          </w:p>
        </w:tc>
      </w:tr>
    </w:tbl>
    <w:p>
      <w:pPr>
        <w:spacing w:after="40"/>
      </w:pPr>
    </w:p>
    <w:p>
      <w:pPr>
        <w:spacing w:after="120" w:before="0"/>
      </w:pPr>
      <w:r>
        <w:rPr>
          <w:b w:val="0"/>
          <w:i w:val="0"/>
          <w:color w:val="1C3A36"/>
          <w:sz w:val="19"/>
        </w:rPr>
        <w:t>The structural read repeats §1.3: the wrapper is dearer than its two largest parts. For context in the regional holdco family, IHC (the parent) has itself traded at a large, persistent premium to conventional NAV — Alpha Dhabi is the ecosystem’s mid-layer, and its premium is smaller but the same species. The risk table below is ordered by what would actually move the NAV, not by boilerplate.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7"/>
              </w:rPr>
              <w:t>Risk</w:t>
            </w:r>
          </w:p>
        </w:tc>
        <w:tc>
          <w:tcPr>
            <w:tcW w:type="dxa" w:w="3240"/>
            <w:shd w:val="clear" w:color="auto" w:fill="EAF0EE"/>
          </w:tcPr>
          <w:p>
            <w:pPr>
              <w:spacing w:after="20"/>
            </w:pPr>
            <w:r>
              <w:rPr>
                <w:b/>
                <w:color w:val="1C3A36"/>
                <w:sz w:val="17"/>
              </w:rPr>
              <w:t>Channel</w:t>
            </w:r>
          </w:p>
        </w:tc>
        <w:tc>
          <w:tcPr>
            <w:tcW w:type="dxa" w:w="4464"/>
            <w:shd w:val="clear" w:color="auto" w:fill="EAF0EE"/>
          </w:tcPr>
          <w:p>
            <w:pPr>
              <w:spacing w:after="20"/>
            </w:pPr>
            <w:r>
              <w:rPr>
                <w:b/>
                <w:color w:val="1C3A36"/>
                <w:sz w:val="17"/>
              </w:rPr>
              <w:t>NAV/read sensitivity</w:t>
            </w:r>
          </w:p>
        </w:tc>
      </w:tr>
      <w:tr>
        <w:tc>
          <w:tcPr>
            <w:tcW w:type="dxa" w:w="2520"/>
          </w:tcPr>
          <w:p>
            <w:pPr>
              <w:spacing w:after="20"/>
            </w:pPr>
            <w:r>
              <w:rPr>
                <w:b/>
                <w:color w:val="1C3A36"/>
                <w:sz w:val="17"/>
              </w:rPr>
              <w:t>Gulf war escalation (live)</w:t>
            </w:r>
          </w:p>
        </w:tc>
        <w:tc>
          <w:tcPr>
            <w:tcW w:type="dxa" w:w="3240"/>
          </w:tcPr>
          <w:p>
            <w:pPr>
              <w:spacing w:after="20"/>
              <w:jc w:val="right"/>
            </w:pPr>
            <w:r>
              <w:rPr>
                <w:color w:val="1C3A36"/>
                <w:sz w:val="17"/>
              </w:rPr>
              <w:t>All four marks + logistics + fiscal pulse</w:t>
            </w:r>
          </w:p>
        </w:tc>
        <w:tc>
          <w:tcPr>
            <w:tcW w:type="dxa" w:w="4464"/>
          </w:tcPr>
          <w:p>
            <w:pPr>
              <w:spacing w:after="20"/>
              <w:jc w:val="right"/>
            </w:pPr>
            <w:r>
              <w:rPr>
                <w:color w:val="1C3A36"/>
                <w:sz w:val="17"/>
              </w:rPr>
              <w:t>Simultaneous; the only risk that hits every line at once</w:t>
            </w:r>
          </w:p>
        </w:tc>
      </w:tr>
      <w:tr>
        <w:tc>
          <w:tcPr>
            <w:tcW w:type="dxa" w:w="2520"/>
          </w:tcPr>
          <w:p>
            <w:pPr>
              <w:spacing w:after="20"/>
            </w:pPr>
            <w:r>
              <w:rPr>
                <w:b/>
                <w:color w:val="1C3A36"/>
                <w:sz w:val="17"/>
              </w:rPr>
              <w:t>Concentration in Aldar</w:t>
            </w:r>
          </w:p>
        </w:tc>
        <w:tc>
          <w:tcPr>
            <w:tcW w:type="dxa" w:w="3240"/>
          </w:tcPr>
          <w:p>
            <w:pPr>
              <w:spacing w:after="20"/>
              <w:jc w:val="right"/>
            </w:pPr>
            <w:r>
              <w:rPr>
                <w:color w:val="1C3A36"/>
                <w:sz w:val="17"/>
              </w:rPr>
              <w:t>28% of marked NAV in one stock</w:t>
            </w:r>
          </w:p>
        </w:tc>
        <w:tc>
          <w:tcPr>
            <w:tcW w:type="dxa" w:w="4464"/>
          </w:tcPr>
          <w:p>
            <w:pPr>
              <w:spacing w:after="20"/>
              <w:jc w:val="right"/>
            </w:pPr>
            <w:r>
              <w:rPr>
                <w:color w:val="1C3A36"/>
                <w:sz w:val="17"/>
              </w:rPr>
              <w:t>β to Abu Dhabi property; a 20% Aldar drawdown ≈ −AED 0.41/sh</w:t>
            </w:r>
          </w:p>
        </w:tc>
      </w:tr>
      <w:tr>
        <w:tc>
          <w:tcPr>
            <w:tcW w:type="dxa" w:w="2520"/>
          </w:tcPr>
          <w:p>
            <w:pPr>
              <w:spacing w:after="20"/>
            </w:pPr>
            <w:r>
              <w:rPr>
                <w:b/>
                <w:color w:val="1C3A36"/>
                <w:sz w:val="17"/>
              </w:rPr>
              <w:t>NMDC normalization</w:t>
            </w:r>
          </w:p>
        </w:tc>
        <w:tc>
          <w:tcPr>
            <w:tcW w:type="dxa" w:w="3240"/>
          </w:tcPr>
          <w:p>
            <w:pPr>
              <w:spacing w:after="20"/>
              <w:jc w:val="right"/>
            </w:pPr>
            <w:r>
              <w:rPr>
                <w:color w:val="1C3A36"/>
                <w:sz w:val="17"/>
              </w:rPr>
              <w:t>Q1-26 EPS 0.43 vs 0.87</w:t>
            </w:r>
          </w:p>
        </w:tc>
        <w:tc>
          <w:tcPr>
            <w:tcW w:type="dxa" w:w="4464"/>
          </w:tcPr>
          <w:p>
            <w:pPr>
              <w:spacing w:after="20"/>
              <w:jc w:val="right"/>
            </w:pPr>
            <w:r>
              <w:rPr>
                <w:color w:val="1C3A36"/>
                <w:sz w:val="17"/>
              </w:rPr>
              <w:t>A 30% NMDC de-rating ≈ −AED 0.43/sh</w:t>
            </w:r>
          </w:p>
        </w:tc>
      </w:tr>
      <w:tr>
        <w:tc>
          <w:tcPr>
            <w:tcW w:type="dxa" w:w="2520"/>
          </w:tcPr>
          <w:p>
            <w:pPr>
              <w:spacing w:after="20"/>
            </w:pPr>
            <w:r>
              <w:rPr>
                <w:b/>
                <w:color w:val="1C3A36"/>
                <w:sz w:val="17"/>
              </w:rPr>
              <w:t>Related-party capital allocation</w:t>
            </w:r>
          </w:p>
        </w:tc>
        <w:tc>
          <w:tcPr>
            <w:tcW w:type="dxa" w:w="3240"/>
          </w:tcPr>
          <w:p>
            <w:pPr>
              <w:spacing w:after="20"/>
              <w:jc w:val="right"/>
            </w:pPr>
            <w:r>
              <w:rPr>
                <w:color w:val="1C3A36"/>
                <w:sz w:val="17"/>
              </w:rPr>
              <w:t>IHC-ecosystem injections/disposals</w:t>
            </w:r>
          </w:p>
        </w:tc>
        <w:tc>
          <w:tcPr>
            <w:tcW w:type="dxa" w:w="4464"/>
          </w:tcPr>
          <w:p>
            <w:pPr>
              <w:spacing w:after="20"/>
              <w:jc w:val="right"/>
            </w:pPr>
            <w:r>
              <w:rPr>
                <w:color w:val="1C3A36"/>
                <w:sz w:val="17"/>
              </w:rPr>
              <w:t>Residual book re-priced by deals minorities don’t set</w:t>
            </w:r>
          </w:p>
        </w:tc>
      </w:tr>
      <w:tr>
        <w:tc>
          <w:tcPr>
            <w:tcW w:type="dxa" w:w="2520"/>
          </w:tcPr>
          <w:p>
            <w:pPr>
              <w:spacing w:after="20"/>
            </w:pPr>
            <w:r>
              <w:rPr>
                <w:b/>
                <w:color w:val="1C3A36"/>
                <w:sz w:val="17"/>
              </w:rPr>
              <w:t>Thin float / index mechanics</w:t>
            </w:r>
          </w:p>
        </w:tc>
        <w:tc>
          <w:tcPr>
            <w:tcW w:type="dxa" w:w="3240"/>
          </w:tcPr>
          <w:p>
            <w:pPr>
              <w:spacing w:after="20"/>
              <w:jc w:val="right"/>
            </w:pPr>
            <w:r>
              <w:rPr>
                <w:color w:val="1C3A36"/>
                <w:sz w:val="17"/>
              </w:rPr>
              <w:t>IHC ~87% (press-cited)</w:t>
            </w:r>
          </w:p>
        </w:tc>
        <w:tc>
          <w:tcPr>
            <w:tcW w:type="dxa" w:w="4464"/>
          </w:tcPr>
          <w:p>
            <w:pPr>
              <w:spacing w:after="20"/>
              <w:jc w:val="right"/>
            </w:pPr>
            <w:r>
              <w:rPr>
                <w:color w:val="1C3A36"/>
                <w:sz w:val="17"/>
              </w:rPr>
              <w:t>Price discovery weak both ways; premium can persist or vanish fast</w:t>
            </w:r>
          </w:p>
        </w:tc>
      </w:tr>
      <w:tr>
        <w:tc>
          <w:tcPr>
            <w:tcW w:type="dxa" w:w="2520"/>
          </w:tcPr>
          <w:p>
            <w:pPr>
              <w:spacing w:after="20"/>
            </w:pPr>
            <w:r>
              <w:rPr>
                <w:b/>
                <w:color w:val="1C3A36"/>
                <w:sz w:val="17"/>
              </w:rPr>
              <w:t>DMTT to 15%</w:t>
            </w:r>
          </w:p>
        </w:tc>
        <w:tc>
          <w:tcPr>
            <w:tcW w:type="dxa" w:w="3240"/>
          </w:tcPr>
          <w:p>
            <w:pPr>
              <w:spacing w:after="20"/>
              <w:jc w:val="right"/>
            </w:pPr>
            <w:r>
              <w:rPr>
                <w:color w:val="1C3A36"/>
                <w:sz w:val="17"/>
              </w:rPr>
              <w:t>Statutory from 1-Jan-2025</w:t>
            </w:r>
          </w:p>
        </w:tc>
        <w:tc>
          <w:tcPr>
            <w:tcW w:type="dxa" w:w="4464"/>
          </w:tcPr>
          <w:p>
            <w:pPr>
              <w:spacing w:after="20"/>
              <w:jc w:val="right"/>
            </w:pPr>
            <w:r>
              <w:rPr>
                <w:color w:val="1C3A36"/>
                <w:sz w:val="17"/>
              </w:rPr>
              <w:t>≈ −0.4 bn steady-state NOPAT vs old regime — knowable, modelled</w:t>
            </w:r>
          </w:p>
        </w:tc>
      </w:tr>
      <w:tr>
        <w:tc>
          <w:tcPr>
            <w:tcW w:type="dxa" w:w="2520"/>
          </w:tcPr>
          <w:p>
            <w:pPr>
              <w:spacing w:after="20"/>
            </w:pPr>
            <w:r>
              <w:rPr>
                <w:b/>
                <w:color w:val="1C3A36"/>
                <w:sz w:val="17"/>
              </w:rPr>
              <w:t>Rate path (peg)</w:t>
            </w:r>
          </w:p>
        </w:tc>
        <w:tc>
          <w:tcPr>
            <w:tcW w:type="dxa" w:w="3240"/>
          </w:tcPr>
          <w:p>
            <w:pPr>
              <w:spacing w:after="20"/>
              <w:jc w:val="right"/>
            </w:pPr>
            <w:r>
              <w:rPr>
                <w:color w:val="1C3A36"/>
                <w:sz w:val="17"/>
              </w:rPr>
              <w:t>Fed → CBUAE → EIBOR</w:t>
            </w:r>
          </w:p>
        </w:tc>
        <w:tc>
          <w:tcPr>
            <w:tcW w:type="dxa" w:w="4464"/>
          </w:tcPr>
          <w:p>
            <w:pPr>
              <w:spacing w:after="20"/>
              <w:jc w:val="right"/>
            </w:pPr>
            <w:r>
              <w:rPr>
                <w:color w:val="1C3A36"/>
                <w:sz w:val="17"/>
              </w:rPr>
              <w:t>Cuts lower Ke and carry together; a hawkish turn does the reverse</w:t>
            </w:r>
          </w:p>
        </w:tc>
      </w:tr>
    </w:tbl>
    <w:p>
      <w:pPr>
        <w:spacing w:after="40"/>
      </w:pPr>
    </w:p>
    <w:p>
      <w:pPr>
        <w:spacing w:after="80" w:before="200"/>
      </w:pPr>
      <w:r>
        <w:rPr>
          <w:b/>
          <w:i w:val="0"/>
          <w:color w:val="1C3A36"/>
          <w:sz w:val="24"/>
        </w:rPr>
        <w:t>B.3  The Sweep Register — every ring closed, negatives included</w:t>
      </w:r>
    </w:p>
    <w:p>
      <w:pPr>
        <w:spacing w:after="120" w:before="0"/>
      </w:pPr>
      <w:r>
        <w:rPr>
          <w:b w:val="0"/>
          <w:i w:val="0"/>
          <w:color w:val="1C3A36"/>
          <w:sz w:val="19"/>
        </w:rPr>
        <w:t>Step-2A house rule: coverage is measured by categories closed, never by query count, and a negative search is a dated finding. Class codes: B base-changer · S structural · D driver-unlock · C color · NEG negative search.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893"/>
            <w:shd w:val="clear" w:color="auto" w:fill="EAF0EE"/>
          </w:tcPr>
          <w:p>
            <w:pPr>
              <w:spacing w:after="20"/>
            </w:pPr>
            <w:r>
              <w:rPr>
                <w:b/>
                <w:color w:val="1C3A36"/>
                <w:sz w:val="15"/>
              </w:rPr>
              <w:t>Ring</w:t>
            </w:r>
          </w:p>
        </w:tc>
        <w:tc>
          <w:tcPr>
            <w:tcW w:type="dxa" w:w="1613"/>
            <w:shd w:val="clear" w:color="auto" w:fill="EAF0EE"/>
          </w:tcPr>
          <w:p>
            <w:pPr>
              <w:spacing w:after="20"/>
            </w:pPr>
            <w:r>
              <w:rPr>
                <w:b/>
                <w:color w:val="1C3A36"/>
                <w:sz w:val="15"/>
              </w:rPr>
              <w:t>Category</w:t>
            </w:r>
          </w:p>
        </w:tc>
        <w:tc>
          <w:tcPr>
            <w:tcW w:type="dxa" w:w="576"/>
            <w:shd w:val="clear" w:color="auto" w:fill="EAF0EE"/>
          </w:tcPr>
          <w:p>
            <w:pPr>
              <w:spacing w:after="20"/>
            </w:pPr>
            <w:r>
              <w:rPr>
                <w:b/>
                <w:color w:val="1C3A36"/>
                <w:sz w:val="15"/>
              </w:rPr>
              <w:t>Cl.</w:t>
            </w:r>
          </w:p>
        </w:tc>
        <w:tc>
          <w:tcPr>
            <w:tcW w:type="dxa" w:w="4392"/>
            <w:shd w:val="clear" w:color="auto" w:fill="EAF0EE"/>
          </w:tcPr>
          <w:p>
            <w:pPr>
              <w:spacing w:after="20"/>
            </w:pPr>
            <w:r>
              <w:rPr>
                <w:b/>
                <w:color w:val="1C3A36"/>
                <w:sz w:val="15"/>
              </w:rPr>
              <w:t>Finding (incl. negatives)</w:t>
            </w:r>
          </w:p>
        </w:tc>
        <w:tc>
          <w:tcPr>
            <w:tcW w:type="dxa" w:w="1843"/>
            <w:shd w:val="clear" w:color="auto" w:fill="EAF0EE"/>
          </w:tcPr>
          <w:p>
            <w:pPr>
              <w:spacing w:after="20"/>
            </w:pPr>
            <w:r>
              <w:rPr>
                <w:b/>
                <w:color w:val="1C3A36"/>
                <w:sz w:val="15"/>
              </w:rPr>
              <w:t>Source</w:t>
            </w:r>
          </w:p>
        </w:tc>
        <w:tc>
          <w:tcPr>
            <w:tcW w:type="dxa" w:w="979"/>
            <w:shd w:val="clear" w:color="auto" w:fill="EAF0EE"/>
          </w:tcPr>
          <w:p>
            <w:pPr>
              <w:spacing w:after="20"/>
            </w:pPr>
            <w:r>
              <w:rPr>
                <w:b/>
                <w:color w:val="1C3A36"/>
                <w:sz w:val="15"/>
              </w:rPr>
              <w:t>Date</w:t>
            </w:r>
          </w:p>
        </w:tc>
      </w:tr>
      <w:tr>
        <w:tc>
          <w:tcPr>
            <w:tcW w:type="dxa" w:w="893"/>
          </w:tcPr>
          <w:p>
            <w:pPr>
              <w:spacing w:after="20"/>
            </w:pPr>
            <w:r>
              <w:rPr>
                <w:color w:val="1C3A36"/>
                <w:sz w:val="15"/>
              </w:rPr>
              <w:t>1 Global</w:t>
            </w:r>
          </w:p>
        </w:tc>
        <w:tc>
          <w:tcPr>
            <w:tcW w:type="dxa" w:w="1613"/>
          </w:tcPr>
          <w:p>
            <w:pPr>
              <w:spacing w:after="20"/>
              <w:jc w:val="right"/>
            </w:pPr>
            <w:r>
              <w:rPr>
                <w:color w:val="1C3A36"/>
                <w:sz w:val="15"/>
              </w:rPr>
              <w:t>Rates / USD</w:t>
            </w:r>
          </w:p>
        </w:tc>
        <w:tc>
          <w:tcPr>
            <w:tcW w:type="dxa" w:w="576"/>
          </w:tcPr>
          <w:p>
            <w:pPr>
              <w:spacing w:after="20"/>
              <w:jc w:val="right"/>
            </w:pPr>
            <w:r>
              <w:rPr>
                <w:color w:val="1C3A36"/>
                <w:sz w:val="15"/>
              </w:rPr>
              <w:t>S</w:t>
            </w:r>
          </w:p>
        </w:tc>
        <w:tc>
          <w:tcPr>
            <w:tcW w:type="dxa" w:w="4392"/>
          </w:tcPr>
          <w:p>
            <w:pPr>
              <w:spacing w:after="20"/>
              <w:jc w:val="right"/>
            </w:pPr>
            <w:r>
              <w:rPr>
                <w:color w:val="1C3A36"/>
                <w:sz w:val="15"/>
              </w:rPr>
              <w:t>Fed 3.50–3.75% post Jun-26; CBUAE mirrors the peg; 3M EIBOR 3.93% = carry anchor</w:t>
            </w:r>
          </w:p>
        </w:tc>
        <w:tc>
          <w:tcPr>
            <w:tcW w:type="dxa" w:w="1843"/>
          </w:tcPr>
          <w:p>
            <w:pPr>
              <w:spacing w:after="20"/>
              <w:jc w:val="right"/>
            </w:pPr>
            <w:r>
              <w:rPr>
                <w:color w:val="1C3A36"/>
                <w:sz w:val="15"/>
              </w:rPr>
              <w:t>CBUAE / market data</w:t>
            </w:r>
          </w:p>
        </w:tc>
        <w:tc>
          <w:tcPr>
            <w:tcW w:type="dxa" w:w="979"/>
          </w:tcPr>
          <w:p>
            <w:pPr>
              <w:spacing w:after="20"/>
              <w:jc w:val="right"/>
            </w:pPr>
            <w:r>
              <w:rPr>
                <w:color w:val="1C3A36"/>
                <w:sz w:val="15"/>
              </w:rPr>
              <w:t>06-Jul-26</w:t>
            </w:r>
          </w:p>
        </w:tc>
      </w:tr>
      <w:tr>
        <w:tc>
          <w:tcPr>
            <w:tcW w:type="dxa" w:w="893"/>
          </w:tcPr>
          <w:p>
            <w:pPr>
              <w:spacing w:after="20"/>
            </w:pPr>
            <w:r>
              <w:rPr>
                <w:color w:val="1C3A36"/>
                <w:sz w:val="15"/>
              </w:rPr>
              <w:t>1 Global</w:t>
            </w:r>
          </w:p>
        </w:tc>
        <w:tc>
          <w:tcPr>
            <w:tcW w:type="dxa" w:w="1613"/>
          </w:tcPr>
          <w:p>
            <w:pPr>
              <w:spacing w:after="20"/>
              <w:jc w:val="right"/>
            </w:pPr>
            <w:r>
              <w:rPr>
                <w:color w:val="1C3A36"/>
                <w:sz w:val="15"/>
              </w:rPr>
              <w:t>ERP</w:t>
            </w:r>
          </w:p>
        </w:tc>
        <w:tc>
          <w:tcPr>
            <w:tcW w:type="dxa" w:w="576"/>
          </w:tcPr>
          <w:p>
            <w:pPr>
              <w:spacing w:after="20"/>
              <w:jc w:val="right"/>
            </w:pPr>
            <w:r>
              <w:rPr>
                <w:color w:val="1C3A36"/>
                <w:sz w:val="15"/>
              </w:rPr>
              <w:t>S</w:t>
            </w:r>
          </w:p>
        </w:tc>
        <w:tc>
          <w:tcPr>
            <w:tcW w:type="dxa" w:w="4392"/>
          </w:tcPr>
          <w:p>
            <w:pPr>
              <w:spacing w:after="20"/>
              <w:jc w:val="right"/>
            </w:pPr>
            <w:r>
              <w:rPr>
                <w:color w:val="1C3A36"/>
                <w:sz w:val="15"/>
              </w:rPr>
              <w:t>UAE Aa2 ERP 4.87% / Abu Dhabi CDS basis 4.93% (Jan-26 update)</w:t>
            </w:r>
          </w:p>
        </w:tc>
        <w:tc>
          <w:tcPr>
            <w:tcW w:type="dxa" w:w="1843"/>
          </w:tcPr>
          <w:p>
            <w:pPr>
              <w:spacing w:after="20"/>
              <w:jc w:val="right"/>
            </w:pPr>
            <w:r>
              <w:rPr>
                <w:color w:val="1C3A36"/>
                <w:sz w:val="15"/>
              </w:rPr>
              <w:t>Damodaran original (stern.nyu.edu)</w:t>
            </w:r>
          </w:p>
        </w:tc>
        <w:tc>
          <w:tcPr>
            <w:tcW w:type="dxa" w:w="979"/>
          </w:tcPr>
          <w:p>
            <w:pPr>
              <w:spacing w:after="20"/>
              <w:jc w:val="right"/>
            </w:pPr>
            <w:r>
              <w:rPr>
                <w:color w:val="1C3A36"/>
                <w:sz w:val="15"/>
              </w:rPr>
              <w:t>05-Jan-26</w:t>
            </w:r>
          </w:p>
        </w:tc>
      </w:tr>
      <w:tr>
        <w:tc>
          <w:tcPr>
            <w:tcW w:type="dxa" w:w="893"/>
          </w:tcPr>
          <w:p>
            <w:pPr>
              <w:spacing w:after="20"/>
            </w:pPr>
            <w:r>
              <w:rPr>
                <w:color w:val="1C3A36"/>
                <w:sz w:val="15"/>
              </w:rPr>
              <w:t>1 Global</w:t>
            </w:r>
          </w:p>
        </w:tc>
        <w:tc>
          <w:tcPr>
            <w:tcW w:type="dxa" w:w="1613"/>
          </w:tcPr>
          <w:p>
            <w:pPr>
              <w:spacing w:after="20"/>
              <w:jc w:val="right"/>
            </w:pPr>
            <w:r>
              <w:rPr>
                <w:color w:val="1C3A36"/>
                <w:sz w:val="15"/>
              </w:rPr>
              <w:t>Commodities / oil</w:t>
            </w:r>
          </w:p>
        </w:tc>
        <w:tc>
          <w:tcPr>
            <w:tcW w:type="dxa" w:w="576"/>
          </w:tcPr>
          <w:p>
            <w:pPr>
              <w:spacing w:after="20"/>
              <w:jc w:val="right"/>
            </w:pPr>
            <w:r>
              <w:rPr>
                <w:color w:val="1C3A36"/>
                <w:sz w:val="15"/>
              </w:rPr>
              <w:t>S</w:t>
            </w:r>
          </w:p>
        </w:tc>
        <w:tc>
          <w:tcPr>
            <w:tcW w:type="dxa" w:w="4392"/>
          </w:tcPr>
          <w:p>
            <w:pPr>
              <w:spacing w:after="20"/>
              <w:jc w:val="right"/>
            </w:pPr>
            <w:r>
              <w:rPr>
                <w:color w:val="1C3A36"/>
                <w:sz w:val="15"/>
              </w:rPr>
              <w:t>Brent ~$77.5 (8-Jul) after the $126 April peak; Hormuz war premium cycling</w:t>
            </w:r>
          </w:p>
        </w:tc>
        <w:tc>
          <w:tcPr>
            <w:tcW w:type="dxa" w:w="1843"/>
          </w:tcPr>
          <w:p>
            <w:pPr>
              <w:spacing w:after="20"/>
              <w:jc w:val="right"/>
            </w:pPr>
            <w:r>
              <w:rPr>
                <w:color w:val="1C3A36"/>
                <w:sz w:val="15"/>
              </w:rPr>
              <w:t>Press (WaPo/Axios)</w:t>
            </w:r>
          </w:p>
        </w:tc>
        <w:tc>
          <w:tcPr>
            <w:tcW w:type="dxa" w:w="979"/>
          </w:tcPr>
          <w:p>
            <w:pPr>
              <w:spacing w:after="20"/>
              <w:jc w:val="right"/>
            </w:pPr>
            <w:r>
              <w:rPr>
                <w:color w:val="1C3A36"/>
                <w:sz w:val="15"/>
              </w:rPr>
              <w:t>08-Jul-26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War / geopolitics</w:t>
            </w:r>
          </w:p>
        </w:tc>
        <w:tc>
          <w:tcPr>
            <w:tcW w:type="dxa" w:w="576"/>
          </w:tcPr>
          <w:p>
            <w:pPr>
              <w:spacing w:after="20"/>
              <w:jc w:val="right"/>
            </w:pPr>
            <w:r>
              <w:rPr>
                <w:color w:val="1C3A36"/>
                <w:sz w:val="15"/>
              </w:rPr>
              <w:t>S</w:t>
            </w:r>
          </w:p>
        </w:tc>
        <w:tc>
          <w:tcPr>
            <w:tcW w:type="dxa" w:w="4392"/>
          </w:tcPr>
          <w:p>
            <w:pPr>
              <w:spacing w:after="20"/>
              <w:jc w:val="right"/>
            </w:pPr>
            <w:r>
              <w:rPr>
                <w:color w:val="1C3A36"/>
                <w:sz w:val="15"/>
              </w:rPr>
              <w:t>2026 Iran war from 28-Feb; Hormuz closed; ceasefire 8-Apr; MoU 17-Jun; ceasefire COLLAPSED 7–8 Jul — post-dates price data</w:t>
            </w:r>
          </w:p>
        </w:tc>
        <w:tc>
          <w:tcPr>
            <w:tcW w:type="dxa" w:w="1843"/>
          </w:tcPr>
          <w:p>
            <w:pPr>
              <w:spacing w:after="20"/>
              <w:jc w:val="right"/>
            </w:pPr>
            <w:r>
              <w:rPr>
                <w:color w:val="1C3A36"/>
                <w:sz w:val="15"/>
              </w:rPr>
              <w:t>AP / reference sources</w:t>
            </w:r>
          </w:p>
        </w:tc>
        <w:tc>
          <w:tcPr>
            <w:tcW w:type="dxa" w:w="979"/>
          </w:tcPr>
          <w:p>
            <w:pPr>
              <w:spacing w:after="20"/>
              <w:jc w:val="right"/>
            </w:pPr>
            <w:r>
              <w:rPr>
                <w:color w:val="1C3A36"/>
                <w:sz w:val="15"/>
              </w:rPr>
              <w:t>09-Jul-26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Regulatory / tax</w:t>
            </w:r>
          </w:p>
        </w:tc>
        <w:tc>
          <w:tcPr>
            <w:tcW w:type="dxa" w:w="576"/>
          </w:tcPr>
          <w:p>
            <w:pPr>
              <w:spacing w:after="20"/>
              <w:jc w:val="right"/>
            </w:pPr>
            <w:r>
              <w:rPr>
                <w:color w:val="1C3A36"/>
                <w:sz w:val="15"/>
              </w:rPr>
              <w:t>S</w:t>
            </w:r>
          </w:p>
        </w:tc>
        <w:tc>
          <w:tcPr>
            <w:tcW w:type="dxa" w:w="4392"/>
          </w:tcPr>
          <w:p>
            <w:pPr>
              <w:spacing w:after="20"/>
              <w:jc w:val="right"/>
            </w:pPr>
            <w:r>
              <w:rPr>
                <w:color w:val="1C3A36"/>
                <w:sz w:val="15"/>
              </w:rPr>
              <w:t>DMTT 15% top-up from 1-Jan-2025 for large groups; ADH FY25 ETR 10.2% → modelled glide to 15%</w:t>
            </w:r>
          </w:p>
        </w:tc>
        <w:tc>
          <w:tcPr>
            <w:tcW w:type="dxa" w:w="1843"/>
          </w:tcPr>
          <w:p>
            <w:pPr>
              <w:spacing w:after="20"/>
              <w:jc w:val="right"/>
            </w:pPr>
            <w:r>
              <w:rPr>
                <w:color w:val="1C3A36"/>
                <w:sz w:val="15"/>
              </w:rPr>
              <w:t>MoF; ADH FY25 FS</w:t>
            </w:r>
          </w:p>
        </w:tc>
        <w:tc>
          <w:tcPr>
            <w:tcW w:type="dxa" w:w="979"/>
          </w:tcPr>
          <w:p>
            <w:pPr>
              <w:spacing w:after="20"/>
              <w:jc w:val="right"/>
            </w:pPr>
            <w:r>
              <w:rPr>
                <w:color w:val="1C3A36"/>
                <w:sz w:val="15"/>
              </w:rPr>
              <w:t>10-Feb-26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Sovereign funding</w:t>
            </w:r>
          </w:p>
        </w:tc>
        <w:tc>
          <w:tcPr>
            <w:tcW w:type="dxa" w:w="576"/>
          </w:tcPr>
          <w:p>
            <w:pPr>
              <w:spacing w:after="20"/>
              <w:jc w:val="right"/>
            </w:pPr>
            <w:r>
              <w:rPr>
                <w:color w:val="1C3A36"/>
                <w:sz w:val="15"/>
              </w:rPr>
              <w:t>C</w:t>
            </w:r>
          </w:p>
        </w:tc>
        <w:tc>
          <w:tcPr>
            <w:tcW w:type="dxa" w:w="4392"/>
          </w:tcPr>
          <w:p>
            <w:pPr>
              <w:spacing w:after="20"/>
              <w:jc w:val="right"/>
            </w:pPr>
            <w:r>
              <w:rPr>
                <w:color w:val="1C3A36"/>
                <w:sz w:val="15"/>
              </w:rPr>
              <w:t>Federal AED T-bonds ≤16 bp over UST; balanced 2026 budget</w:t>
            </w:r>
          </w:p>
        </w:tc>
        <w:tc>
          <w:tcPr>
            <w:tcW w:type="dxa" w:w="1843"/>
          </w:tcPr>
          <w:p>
            <w:pPr>
              <w:spacing w:after="20"/>
              <w:jc w:val="right"/>
            </w:pPr>
            <w:r>
              <w:rPr>
                <w:color w:val="1C3A36"/>
                <w:sz w:val="15"/>
              </w:rPr>
              <w:t>MoF / AGBI</w:t>
            </w:r>
          </w:p>
        </w:tc>
        <w:tc>
          <w:tcPr>
            <w:tcW w:type="dxa" w:w="979"/>
          </w:tcPr>
          <w:p>
            <w:pPr>
              <w:spacing w:after="20"/>
              <w:jc w:val="right"/>
            </w:pPr>
            <w:r>
              <w:rPr>
                <w:color w:val="1C3A36"/>
                <w:sz w:val="15"/>
              </w:rPr>
              <w:t>Mar-26</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Competition (constr.)</w:t>
            </w:r>
          </w:p>
        </w:tc>
        <w:tc>
          <w:tcPr>
            <w:tcW w:type="dxa" w:w="576"/>
          </w:tcPr>
          <w:p>
            <w:pPr>
              <w:spacing w:after="20"/>
              <w:jc w:val="right"/>
            </w:pPr>
            <w:r>
              <w:rPr>
                <w:color w:val="1C3A36"/>
                <w:sz w:val="15"/>
              </w:rPr>
              <w:t>C</w:t>
            </w:r>
          </w:p>
        </w:tc>
        <w:tc>
          <w:tcPr>
            <w:tcW w:type="dxa" w:w="4392"/>
          </w:tcPr>
          <w:p>
            <w:pPr>
              <w:spacing w:after="20"/>
              <w:jc w:val="right"/>
            </w:pPr>
            <w:r>
              <w:rPr>
                <w:color w:val="1C3A36"/>
                <w:sz w:val="15"/>
              </w:rPr>
              <w:t>Trojan the #1 UAE contractor (co. claim); ALEC (DFM-listed) and Orascom active — named-competitor level</w:t>
            </w:r>
          </w:p>
        </w:tc>
        <w:tc>
          <w:tcPr>
            <w:tcW w:type="dxa" w:w="1843"/>
          </w:tcPr>
          <w:p>
            <w:pPr>
              <w:spacing w:after="20"/>
              <w:jc w:val="right"/>
            </w:pPr>
            <w:r>
              <w:rPr>
                <w:color w:val="1C3A36"/>
                <w:sz w:val="15"/>
              </w:rPr>
              <w:t>ADH MD&amp;A; sweep</w:t>
            </w:r>
          </w:p>
        </w:tc>
        <w:tc>
          <w:tcPr>
            <w:tcW w:type="dxa" w:w="979"/>
          </w:tcPr>
          <w:p>
            <w:pPr>
              <w:spacing w:after="20"/>
              <w:jc w:val="right"/>
            </w:pPr>
            <w:r>
              <w:rPr>
                <w:color w:val="1C3A36"/>
                <w:sz w:val="15"/>
              </w:rPr>
              <w:t>FY24/25</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RE market</w:t>
            </w:r>
          </w:p>
        </w:tc>
        <w:tc>
          <w:tcPr>
            <w:tcW w:type="dxa" w:w="576"/>
          </w:tcPr>
          <w:p>
            <w:pPr>
              <w:spacing w:after="20"/>
              <w:jc w:val="right"/>
            </w:pPr>
            <w:r>
              <w:rPr>
                <w:color w:val="1C3A36"/>
                <w:sz w:val="15"/>
              </w:rPr>
              <w:t>S</w:t>
            </w:r>
          </w:p>
        </w:tc>
        <w:tc>
          <w:tcPr>
            <w:tcW w:type="dxa" w:w="4392"/>
          </w:tcPr>
          <w:p>
            <w:pPr>
              <w:spacing w:after="20"/>
              <w:jc w:val="right"/>
            </w:pPr>
            <w:r>
              <w:rPr>
                <w:color w:val="1C3A36"/>
                <w:sz w:val="15"/>
              </w:rPr>
              <w:t>Abu Dhabi 9M-25 transactions +43% to AED 94 bn; Aldar record FY25 (attrib. NP 7.51 bn, backlog 71.7 bn)</w:t>
            </w:r>
          </w:p>
        </w:tc>
        <w:tc>
          <w:tcPr>
            <w:tcW w:type="dxa" w:w="1843"/>
          </w:tcPr>
          <w:p>
            <w:pPr>
              <w:spacing w:after="20"/>
              <w:jc w:val="right"/>
            </w:pPr>
            <w:r>
              <w:rPr>
                <w:color w:val="1C3A36"/>
                <w:sz w:val="15"/>
              </w:rPr>
              <w:t>Aldar Q4-25 / press</w:t>
            </w:r>
          </w:p>
        </w:tc>
        <w:tc>
          <w:tcPr>
            <w:tcW w:type="dxa" w:w="979"/>
          </w:tcPr>
          <w:p>
            <w:pPr>
              <w:spacing w:after="20"/>
              <w:jc w:val="right"/>
            </w:pPr>
            <w:r>
              <w:rPr>
                <w:color w:val="1C3A36"/>
                <w:sz w:val="15"/>
              </w:rPr>
              <w:t>09-Feb-26</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Marine / EPC</w:t>
            </w:r>
          </w:p>
        </w:tc>
        <w:tc>
          <w:tcPr>
            <w:tcW w:type="dxa" w:w="576"/>
          </w:tcPr>
          <w:p>
            <w:pPr>
              <w:spacing w:after="20"/>
              <w:jc w:val="right"/>
            </w:pPr>
            <w:r>
              <w:rPr>
                <w:color w:val="1C3A36"/>
                <w:sz w:val="15"/>
              </w:rPr>
              <w:t>S</w:t>
            </w:r>
          </w:p>
        </w:tc>
        <w:tc>
          <w:tcPr>
            <w:tcW w:type="dxa" w:w="4392"/>
          </w:tcPr>
          <w:p>
            <w:pPr>
              <w:spacing w:after="20"/>
              <w:jc w:val="right"/>
            </w:pPr>
            <w:r>
              <w:rPr>
                <w:color w:val="1C3A36"/>
                <w:sz w:val="15"/>
              </w:rPr>
              <w:t>NMDC Q1-26 EPS 0.43 vs 0.87 — normalization plus Gulf operational risk</w:t>
            </w:r>
          </w:p>
        </w:tc>
        <w:tc>
          <w:tcPr>
            <w:tcW w:type="dxa" w:w="1843"/>
          </w:tcPr>
          <w:p>
            <w:pPr>
              <w:spacing w:after="20"/>
              <w:jc w:val="right"/>
            </w:pPr>
            <w:r>
              <w:rPr>
                <w:color w:val="1C3A36"/>
                <w:sz w:val="15"/>
              </w:rPr>
              <w:t>NMDC / ADH releases</w:t>
            </w:r>
          </w:p>
        </w:tc>
        <w:tc>
          <w:tcPr>
            <w:tcW w:type="dxa" w:w="979"/>
          </w:tcPr>
          <w:p>
            <w:pPr>
              <w:spacing w:after="20"/>
              <w:jc w:val="right"/>
            </w:pPr>
            <w:r>
              <w:rPr>
                <w:color w:val="1C3A36"/>
                <w:sz w:val="15"/>
              </w:rPr>
              <w:t>May-26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FY2025 audited FS</w:t>
            </w:r>
          </w:p>
        </w:tc>
        <w:tc>
          <w:tcPr>
            <w:tcW w:type="dxa" w:w="576"/>
          </w:tcPr>
          <w:p>
            <w:pPr>
              <w:spacing w:after="20"/>
              <w:jc w:val="right"/>
            </w:pPr>
            <w:r>
              <w:rPr>
                <w:color w:val="1C3A36"/>
                <w:sz w:val="15"/>
              </w:rPr>
              <w:t>B</w:t>
            </w:r>
          </w:p>
        </w:tc>
        <w:tc>
          <w:tcPr>
            <w:tcW w:type="dxa" w:w="4392"/>
          </w:tcPr>
          <w:p>
            <w:pPr>
              <w:spacing w:after="20"/>
              <w:jc w:val="right"/>
            </w:pPr>
            <w:r>
              <w:rPr>
                <w:color w:val="1C3A36"/>
                <w:sz w:val="15"/>
              </w:rPr>
              <w:t>Rev 78.78, NP 15.03 (attrib 8.01, EPS 0.79); assets 214.4; owners 60.1; NCI 42.1; cash 40.3; FVTPL gains +3.15</w:t>
            </w:r>
          </w:p>
        </w:tc>
        <w:tc>
          <w:tcPr>
            <w:tcW w:type="dxa" w:w="1843"/>
          </w:tcPr>
          <w:p>
            <w:pPr>
              <w:spacing w:after="20"/>
              <w:jc w:val="right"/>
            </w:pPr>
            <w:r>
              <w:rPr>
                <w:color w:val="1C3A36"/>
                <w:sz w:val="15"/>
              </w:rPr>
              <w:t>Audited FS (Deloitte)</w:t>
            </w:r>
          </w:p>
        </w:tc>
        <w:tc>
          <w:tcPr>
            <w:tcW w:type="dxa" w:w="979"/>
          </w:tcPr>
          <w:p>
            <w:pPr>
              <w:spacing w:after="20"/>
              <w:jc w:val="right"/>
            </w:pPr>
            <w:r>
              <w:rPr>
                <w:color w:val="1C3A36"/>
                <w:sz w:val="15"/>
              </w:rPr>
              <w:t>10-Feb-26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Q1-2026</w:t>
            </w:r>
          </w:p>
        </w:tc>
        <w:tc>
          <w:tcPr>
            <w:tcW w:type="dxa" w:w="576"/>
          </w:tcPr>
          <w:p>
            <w:pPr>
              <w:spacing w:after="20"/>
              <w:jc w:val="right"/>
            </w:pPr>
            <w:r>
              <w:rPr>
                <w:color w:val="1C3A36"/>
                <w:sz w:val="15"/>
              </w:rPr>
              <w:t>B</w:t>
            </w:r>
          </w:p>
        </w:tc>
        <w:tc>
          <w:tcPr>
            <w:tcW w:type="dxa" w:w="4392"/>
          </w:tcPr>
          <w:p>
            <w:pPr>
              <w:spacing w:after="20"/>
              <w:jc w:val="right"/>
            </w:pPr>
            <w:r>
              <w:rPr>
                <w:color w:val="1C3A36"/>
                <w:sz w:val="15"/>
              </w:rPr>
              <w:t>Rev 18.79 (+8%); NP total 3.80 (+81%, FV-gain driven); assets 225.8</w:t>
            </w:r>
          </w:p>
        </w:tc>
        <w:tc>
          <w:tcPr>
            <w:tcW w:type="dxa" w:w="1843"/>
          </w:tcPr>
          <w:p>
            <w:pPr>
              <w:spacing w:after="20"/>
              <w:jc w:val="right"/>
            </w:pPr>
            <w:r>
              <w:rPr>
                <w:color w:val="1C3A36"/>
                <w:sz w:val="15"/>
              </w:rPr>
              <w:t>Company release</w:t>
            </w:r>
          </w:p>
        </w:tc>
        <w:tc>
          <w:tcPr>
            <w:tcW w:type="dxa" w:w="979"/>
          </w:tcPr>
          <w:p>
            <w:pPr>
              <w:spacing w:after="20"/>
              <w:jc w:val="right"/>
            </w:pPr>
            <w:r>
              <w:rPr>
                <w:color w:val="1C3A36"/>
                <w:sz w:val="15"/>
              </w:rPr>
              <w:t>04-May-26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Stake change — NMDC</w:t>
            </w:r>
          </w:p>
        </w:tc>
        <w:tc>
          <w:tcPr>
            <w:tcW w:type="dxa" w:w="576"/>
          </w:tcPr>
          <w:p>
            <w:pPr>
              <w:spacing w:after="20"/>
              <w:jc w:val="right"/>
            </w:pPr>
            <w:r>
              <w:rPr>
                <w:color w:val="1C3A36"/>
                <w:sz w:val="15"/>
              </w:rPr>
              <w:t>B</w:t>
            </w:r>
          </w:p>
        </w:tc>
        <w:tc>
          <w:tcPr>
            <w:tcW w:type="dxa" w:w="4392"/>
          </w:tcPr>
          <w:p>
            <w:pPr>
              <w:spacing w:after="20"/>
              <w:jc w:val="right"/>
            </w:pPr>
            <w:r>
              <w:rPr>
                <w:color w:val="1C3A36"/>
                <w:sz w:val="15"/>
              </w:rPr>
              <w:t>66.91% → 76.68%: the AD Ports 9.77% block (82.5 mn sh) for AED 1.6 bn, 27-Nov-25</w:t>
            </w:r>
          </w:p>
        </w:tc>
        <w:tc>
          <w:tcPr>
            <w:tcW w:type="dxa" w:w="1843"/>
          </w:tcPr>
          <w:p>
            <w:pPr>
              <w:spacing w:after="20"/>
              <w:jc w:val="right"/>
            </w:pPr>
            <w:r>
              <w:rPr>
                <w:color w:val="1C3A36"/>
                <w:sz w:val="15"/>
              </w:rPr>
              <w:t>ADH + AD Ports releases, 27-Nov-2025</w:t>
            </w:r>
          </w:p>
        </w:tc>
        <w:tc>
          <w:tcPr>
            <w:tcW w:type="dxa" w:w="979"/>
          </w:tcPr>
          <w:p>
            <w:pPr>
              <w:spacing w:after="20"/>
              <w:jc w:val="right"/>
            </w:pPr>
            <w:r>
              <w:rPr>
                <w:color w:val="1C3A36"/>
                <w:sz w:val="15"/>
              </w:rPr>
              <w:t>Nov-25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Stake change — NCTH</w:t>
            </w:r>
          </w:p>
        </w:tc>
        <w:tc>
          <w:tcPr>
            <w:tcW w:type="dxa" w:w="576"/>
          </w:tcPr>
          <w:p>
            <w:pPr>
              <w:spacing w:after="20"/>
              <w:jc w:val="right"/>
            </w:pPr>
            <w:r>
              <w:rPr>
                <w:color w:val="1C3A36"/>
                <w:sz w:val="15"/>
              </w:rPr>
              <w:t>B</w:t>
            </w:r>
          </w:p>
        </w:tc>
        <w:tc>
          <w:tcPr>
            <w:tcW w:type="dxa" w:w="4392"/>
          </w:tcPr>
          <w:p>
            <w:pPr>
              <w:spacing w:after="20"/>
              <w:jc w:val="right"/>
            </w:pPr>
            <w:r>
              <w:rPr>
                <w:color w:val="1C3A36"/>
                <w:sz w:val="15"/>
              </w:rPr>
              <w:t>36.39% associate → 73.73% subsidiary; consolidated from Jan-25 (asset injection)</w:t>
            </w:r>
          </w:p>
        </w:tc>
        <w:tc>
          <w:tcPr>
            <w:tcW w:type="dxa" w:w="1843"/>
          </w:tcPr>
          <w:p>
            <w:pPr>
              <w:spacing w:after="20"/>
              <w:jc w:val="right"/>
            </w:pPr>
            <w:r>
              <w:rPr>
                <w:color w:val="1C3A36"/>
                <w:sz w:val="15"/>
              </w:rPr>
              <w:t>FY25 FS; FY24 subsequent events</w:t>
            </w:r>
          </w:p>
        </w:tc>
        <w:tc>
          <w:tcPr>
            <w:tcW w:type="dxa" w:w="979"/>
          </w:tcPr>
          <w:p>
            <w:pPr>
              <w:spacing w:after="20"/>
              <w:jc w:val="right"/>
            </w:pPr>
            <w:r>
              <w:rPr>
                <w:color w:val="1C3A36"/>
                <w:sz w:val="15"/>
              </w:rPr>
              <w:t>Jan-26/25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Trojan / ADQ</w:t>
            </w:r>
          </w:p>
        </w:tc>
        <w:tc>
          <w:tcPr>
            <w:tcW w:type="dxa" w:w="576"/>
          </w:tcPr>
          <w:p>
            <w:pPr>
              <w:spacing w:after="20"/>
              <w:jc w:val="right"/>
            </w:pPr>
            <w:r>
              <w:rPr>
                <w:color w:val="1C3A36"/>
                <w:sz w:val="15"/>
              </w:rPr>
              <w:t>B</w:t>
            </w:r>
          </w:p>
        </w:tc>
        <w:tc>
          <w:tcPr>
            <w:tcW w:type="dxa" w:w="4392"/>
          </w:tcPr>
          <w:p>
            <w:pPr>
              <w:spacing w:after="20"/>
              <w:jc w:val="right"/>
            </w:pPr>
            <w:r>
              <w:rPr>
                <w:color w:val="1C3A36"/>
                <w:sz w:val="15"/>
              </w:rPr>
              <w:t>49% of Trojan sold to ADQ in FY24 for AED 4,997 mn — the SOTP mark</w:t>
            </w:r>
          </w:p>
        </w:tc>
        <w:tc>
          <w:tcPr>
            <w:tcW w:type="dxa" w:w="1843"/>
          </w:tcPr>
          <w:p>
            <w:pPr>
              <w:spacing w:after="20"/>
              <w:jc w:val="right"/>
            </w:pPr>
            <w:r>
              <w:rPr>
                <w:color w:val="1C3A36"/>
                <w:sz w:val="15"/>
              </w:rPr>
              <w:t>FY24 audited CF; releases</w:t>
            </w:r>
          </w:p>
        </w:tc>
        <w:tc>
          <w:tcPr>
            <w:tcW w:type="dxa" w:w="979"/>
          </w:tcPr>
          <w:p>
            <w:pPr>
              <w:spacing w:after="20"/>
              <w:jc w:val="right"/>
            </w:pPr>
            <w:r>
              <w:rPr>
                <w:color w:val="1C3A36"/>
                <w:sz w:val="15"/>
              </w:rPr>
              <w:t>FY24</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Dividend / buyback</w:t>
            </w:r>
          </w:p>
        </w:tc>
        <w:tc>
          <w:tcPr>
            <w:tcW w:type="dxa" w:w="576"/>
          </w:tcPr>
          <w:p>
            <w:pPr>
              <w:spacing w:after="20"/>
              <w:jc w:val="right"/>
            </w:pPr>
            <w:r>
              <w:rPr>
                <w:color w:val="1C3A36"/>
                <w:sz w:val="15"/>
              </w:rPr>
              <w:t>B</w:t>
            </w:r>
          </w:p>
        </w:tc>
        <w:tc>
          <w:tcPr>
            <w:tcW w:type="dxa" w:w="4392"/>
          </w:tcPr>
          <w:p>
            <w:pPr>
              <w:spacing w:after="20"/>
              <w:jc w:val="right"/>
            </w:pPr>
            <w:r>
              <w:rPr>
                <w:color w:val="1C3A36"/>
                <w:sz w:val="15"/>
              </w:rPr>
              <w:t>3-yr policy AED 2 bn (20 fils) +5%/yr from FY25, GA-approved 12-Jan-26; buyback running</w:t>
            </w:r>
          </w:p>
        </w:tc>
        <w:tc>
          <w:tcPr>
            <w:tcW w:type="dxa" w:w="1843"/>
          </w:tcPr>
          <w:p>
            <w:pPr>
              <w:spacing w:after="20"/>
              <w:jc w:val="right"/>
            </w:pPr>
            <w:r>
              <w:rPr>
                <w:color w:val="1C3A36"/>
                <w:sz w:val="15"/>
              </w:rPr>
              <w:t>Company site / releases</w:t>
            </w:r>
          </w:p>
        </w:tc>
        <w:tc>
          <w:tcPr>
            <w:tcW w:type="dxa" w:w="979"/>
          </w:tcPr>
          <w:p>
            <w:pPr>
              <w:spacing w:after="20"/>
              <w:jc w:val="right"/>
            </w:pPr>
            <w:r>
              <w:rPr>
                <w:color w:val="1C3A36"/>
                <w:sz w:val="15"/>
              </w:rPr>
              <w:t>12-Jan-26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PureHealth</w:t>
            </w:r>
          </w:p>
        </w:tc>
        <w:tc>
          <w:tcPr>
            <w:tcW w:type="dxa" w:w="576"/>
          </w:tcPr>
          <w:p>
            <w:pPr>
              <w:spacing w:after="20"/>
              <w:jc w:val="right"/>
            </w:pPr>
            <w:r>
              <w:rPr>
                <w:color w:val="1C3A36"/>
                <w:sz w:val="15"/>
              </w:rPr>
              <w:t>S</w:t>
            </w:r>
          </w:p>
        </w:tc>
        <w:tc>
          <w:tcPr>
            <w:tcW w:type="dxa" w:w="4392"/>
          </w:tcPr>
          <w:p>
            <w:pPr>
              <w:spacing w:after="20"/>
              <w:jc w:val="right"/>
            </w:pPr>
            <w:r>
              <w:rPr>
                <w:color w:val="1C3A36"/>
                <w:sz w:val="15"/>
              </w:rPr>
              <w:t>35.06% associate; HHG 60% (€800 m) closed; PH FY25 NP 2.0 bn; ADH booked a −863 mn dilution loss</w:t>
            </w:r>
          </w:p>
        </w:tc>
        <w:tc>
          <w:tcPr>
            <w:tcW w:type="dxa" w:w="1843"/>
          </w:tcPr>
          <w:p>
            <w:pPr>
              <w:spacing w:after="20"/>
              <w:jc w:val="right"/>
            </w:pPr>
            <w:r>
              <w:rPr>
                <w:color w:val="1C3A36"/>
                <w:sz w:val="15"/>
              </w:rPr>
              <w:t>ADH FS; PH releases</w:t>
            </w:r>
          </w:p>
        </w:tc>
        <w:tc>
          <w:tcPr>
            <w:tcW w:type="dxa" w:w="979"/>
          </w:tcPr>
          <w:p>
            <w:pPr>
              <w:spacing w:after="20"/>
              <w:jc w:val="right"/>
            </w:pPr>
            <w:r>
              <w:rPr>
                <w:color w:val="1C3A36"/>
                <w:sz w:val="15"/>
              </w:rPr>
              <w:t>FY25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Borrowings note</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FY25 borrowings note not machine-extractable; figure DERIVED at ≈41.4 bn from FY24 base + audited financing flows — ledger row</w:t>
            </w:r>
          </w:p>
        </w:tc>
        <w:tc>
          <w:tcPr>
            <w:tcW w:type="dxa" w:w="1843"/>
          </w:tcPr>
          <w:p>
            <w:pPr>
              <w:spacing w:after="20"/>
              <w:jc w:val="right"/>
            </w:pPr>
            <w:r>
              <w:rPr>
                <w:color w:val="1C3A36"/>
                <w:sz w:val="15"/>
              </w:rPr>
              <w:t>Derivation</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Q1-26 attributable split</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Interim FS not retrieved; only total NP known — flagged; re-search at Q2 results (SF-risk logged)</w:t>
            </w:r>
          </w:p>
        </w:tc>
        <w:tc>
          <w:tcPr>
            <w:tcW w:type="dxa" w:w="1843"/>
          </w:tcPr>
          <w:p>
            <w:pPr>
              <w:spacing w:after="20"/>
              <w:jc w:val="right"/>
            </w:pPr>
            <w:r>
              <w:rPr>
                <w:color w:val="1C3A36"/>
                <w:sz w:val="15"/>
              </w:rPr>
              <w:t>Searched IR / press</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Equity actions</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No split / rights / capital change in ADH shares found 2021–26 (max daily move +14% — no split artefacts)</w:t>
            </w:r>
          </w:p>
        </w:tc>
        <w:tc>
          <w:tcPr>
            <w:tcW w:type="dxa" w:w="1843"/>
          </w:tcPr>
          <w:p>
            <w:pPr>
              <w:spacing w:after="20"/>
              <w:jc w:val="right"/>
            </w:pPr>
            <w:r>
              <w:rPr>
                <w:color w:val="1C3A36"/>
                <w:sz w:val="15"/>
              </w:rPr>
              <w:t>Price-series scan + sweep</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IHC parent</w:t>
            </w:r>
          </w:p>
        </w:tc>
        <w:tc>
          <w:tcPr>
            <w:tcW w:type="dxa" w:w="576"/>
          </w:tcPr>
          <w:p>
            <w:pPr>
              <w:spacing w:after="20"/>
              <w:jc w:val="right"/>
            </w:pPr>
            <w:r>
              <w:rPr>
                <w:color w:val="1C3A36"/>
                <w:sz w:val="15"/>
              </w:rPr>
              <w:t>C</w:t>
            </w:r>
          </w:p>
        </w:tc>
        <w:tc>
          <w:tcPr>
            <w:tcW w:type="dxa" w:w="4392"/>
          </w:tcPr>
          <w:p>
            <w:pPr>
              <w:spacing w:after="20"/>
              <w:jc w:val="right"/>
            </w:pPr>
            <w:r>
              <w:rPr>
                <w:color w:val="1C3A36"/>
                <w:sz w:val="15"/>
              </w:rPr>
              <w:t>Parent = IHC per audited FS Note 1; press cites ~87% — precise % not re-sourced from a primary filing (flagged)</w:t>
            </w:r>
          </w:p>
        </w:tc>
        <w:tc>
          <w:tcPr>
            <w:tcW w:type="dxa" w:w="1843"/>
          </w:tcPr>
          <w:p>
            <w:pPr>
              <w:spacing w:after="20"/>
              <w:jc w:val="right"/>
            </w:pPr>
            <w:r>
              <w:rPr>
                <w:color w:val="1C3A36"/>
                <w:sz w:val="15"/>
              </w:rPr>
              <w:t>FY25 FS Note 1</w:t>
            </w:r>
          </w:p>
        </w:tc>
        <w:tc>
          <w:tcPr>
            <w:tcW w:type="dxa" w:w="979"/>
          </w:tcPr>
          <w:p>
            <w:pPr>
              <w:spacing w:after="20"/>
              <w:jc w:val="right"/>
            </w:pPr>
            <w:r>
              <w:rPr>
                <w:color w:val="1C3A36"/>
                <w:sz w:val="15"/>
              </w:rPr>
              <w:t>FY25</w:t>
            </w:r>
          </w:p>
        </w:tc>
      </w:tr>
    </w:tbl>
    <w:p>
      <w:pPr>
        <w:spacing w:after="40"/>
      </w:pPr>
    </w:p>
    <w:p>
      <w:pPr>
        <w:spacing w:after="200" w:before="0"/>
      </w:pPr>
      <w:r>
        <w:rPr>
          <w:b w:val="0"/>
          <w:i/>
          <w:color w:val="6E7B77"/>
          <w:sz w:val="17"/>
        </w:rPr>
        <w:t>Freshness rule: the company ring re-runs if more than 10 trading days pass between sweep and delivery (swept and delivered 10-Jul-26). A disclosed-but-missed driver discovered later closes as a Sourcing Failure and triggers a named search-pattern fix.</w:t>
      </w:r>
    </w:p>
    <w:p>
      <w:pPr>
        <w:spacing w:after="120" w:before="280"/>
      </w:pPr>
      <w:r>
        <w:rPr>
          <w:b/>
          <w:i w:val="0"/>
          <w:color w:val="1C3A36"/>
          <w:sz w:val="30"/>
        </w:rPr>
        <w:t>Appendix C  The expert valuation panel</w:t>
      </w:r>
    </w:p>
    <w:p>
      <w:pPr>
        <w:spacing w:after="120" w:before="0"/>
      </w:pPr>
      <w:r>
        <w:rPr>
          <w:b w:val="0"/>
          <w:i w:val="0"/>
          <w:color w:val="1C3A36"/>
          <w:sz w:val="19"/>
        </w:rPr>
        <w:t>Three genuinely different methods, cast for the holdco class, each with shown workings, an explicit sensitivity to its own weakest assumption, and a falsification condition. They are labelled Expert 1/2/3 only, per house rule. The point of the panel is not a second opinion on the house numbers — it is three independent routes to a value that share no inputs with each other beyond the audited statements, so that agreement means something.</w:t>
      </w:r>
    </w:p>
    <w:p>
      <w:pPr>
        <w:spacing w:after="80" w:before="200"/>
      </w:pPr>
      <w:r>
        <w:rPr>
          <w:b/>
          <w:i w:val="0"/>
          <w:color w:val="1C3A36"/>
          <w:sz w:val="24"/>
        </w:rPr>
        <w:t>C.1  Expert 1 — the NAV-and-discount specialist</w:t>
      </w:r>
    </w:p>
    <w:p>
      <w:pPr>
        <w:spacing w:after="120" w:before="0"/>
      </w:pPr>
      <w:r>
        <w:rPr>
          <w:b w:val="0"/>
          <w:i w:val="0"/>
          <w:color w:val="1C3A36"/>
          <w:sz w:val="19"/>
        </w:rPr>
        <w:t>Method. For a holdco, this expert argues, everything except the NAV-and-discount question is decoration: the assets have prices, so the only genuine analytical work is (i) auditing the marks and (ii) earning the right to a discount number rather than assuming one. The NAV of §1.1 is accepted as computed (AED 74.4 bn, 7.44/share at par) after two mark audits: the Trojan transaction price is aged eighteen months but was set by ADQ — a sophisticated related-but-distinct buyer — and UAE construction has strengthened since, so if anything it is stale-low; and NCTH’s quote sits on a float thin enough that this expert haircuts confidence in that AED 2.4 bn line, not its value.</w:t>
      </w:r>
    </w:p>
    <w:p>
      <w:pPr>
        <w:spacing w:after="120" w:before="0"/>
      </w:pPr>
      <w:r>
        <w:rPr>
          <w:b w:val="0"/>
          <w:i w:val="0"/>
          <w:color w:val="1C3A36"/>
          <w:sz w:val="19"/>
        </w:rPr>
        <w:t>The discount build is done in components rather than by precedent-matching alone — each driver scored against the GCC/EM holdco evidence base, where observed discounts run roughly 10–25% and the extremes are explained by governance and float: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7"/>
              </w:rPr>
              <w:t>Discount driver</w:t>
            </w:r>
          </w:p>
        </w:tc>
        <w:tc>
          <w:tcPr>
            <w:tcW w:type="dxa" w:w="5184"/>
            <w:shd w:val="clear" w:color="auto" w:fill="EAF0EE"/>
          </w:tcPr>
          <w:p>
            <w:pPr>
              <w:spacing w:after="20"/>
            </w:pPr>
            <w:r>
              <w:rPr>
                <w:b/>
                <w:color w:val="1C3A36"/>
                <w:sz w:val="17"/>
              </w:rPr>
              <w:t>Assessment for ADH</w:t>
            </w:r>
          </w:p>
        </w:tc>
        <w:tc>
          <w:tcPr>
            <w:tcW w:type="dxa" w:w="2520"/>
            <w:shd w:val="clear" w:color="auto" w:fill="EAF0EE"/>
          </w:tcPr>
          <w:p>
            <w:pPr>
              <w:spacing w:after="20"/>
            </w:pPr>
            <w:r>
              <w:rPr>
                <w:b/>
                <w:color w:val="1C3A36"/>
                <w:sz w:val="17"/>
              </w:rPr>
              <w:t>Contribution</w:t>
            </w:r>
          </w:p>
        </w:tc>
      </w:tr>
      <w:tr>
        <w:tc>
          <w:tcPr>
            <w:tcW w:type="dxa" w:w="2520"/>
          </w:tcPr>
          <w:p>
            <w:pPr>
              <w:spacing w:after="20"/>
            </w:pPr>
            <w:r>
              <w:rPr>
                <w:b/>
                <w:color w:val="1C3A36"/>
                <w:sz w:val="17"/>
              </w:rPr>
              <w:t>Observability of marks</w:t>
            </w:r>
          </w:p>
        </w:tc>
        <w:tc>
          <w:tcPr>
            <w:tcW w:type="dxa" w:w="5184"/>
          </w:tcPr>
          <w:p>
            <w:pPr>
              <w:spacing w:after="20"/>
              <w:jc w:val="right"/>
            </w:pPr>
            <w:r>
              <w:rPr>
                <w:color w:val="1C3A36"/>
                <w:sz w:val="17"/>
              </w:rPr>
              <w:t>4 of 5 priced assets quoted daily or by transaction — unusually good for the class</w:t>
            </w:r>
          </w:p>
        </w:tc>
        <w:tc>
          <w:tcPr>
            <w:tcW w:type="dxa" w:w="2520"/>
          </w:tcPr>
          <w:p>
            <w:pPr>
              <w:spacing w:after="20"/>
              <w:jc w:val="right"/>
            </w:pPr>
            <w:r>
              <w:rPr>
                <w:color w:val="1C3A36"/>
                <w:sz w:val="17"/>
              </w:rPr>
              <w:t>−3 pts (reduces discount)</w:t>
            </w:r>
          </w:p>
        </w:tc>
      </w:tr>
      <w:tr>
        <w:tc>
          <w:tcPr>
            <w:tcW w:type="dxa" w:w="2520"/>
          </w:tcPr>
          <w:p>
            <w:pPr>
              <w:spacing w:after="20"/>
            </w:pPr>
            <w:r>
              <w:rPr>
                <w:b/>
                <w:color w:val="1C3A36"/>
                <w:sz w:val="17"/>
              </w:rPr>
              <w:t>Float / price discovery</w:t>
            </w:r>
          </w:p>
        </w:tc>
        <w:tc>
          <w:tcPr>
            <w:tcW w:type="dxa" w:w="5184"/>
          </w:tcPr>
          <w:p>
            <w:pPr>
              <w:spacing w:after="20"/>
              <w:jc w:val="right"/>
            </w:pPr>
            <w:r>
              <w:rPr>
                <w:color w:val="1C3A36"/>
                <w:sz w:val="17"/>
              </w:rPr>
              <w:t>IHC ~87% (press-cited); free float thin; index weight mechanical</w:t>
            </w:r>
          </w:p>
        </w:tc>
        <w:tc>
          <w:tcPr>
            <w:tcW w:type="dxa" w:w="2520"/>
          </w:tcPr>
          <w:p>
            <w:pPr>
              <w:spacing w:after="20"/>
              <w:jc w:val="right"/>
            </w:pPr>
            <w:r>
              <w:rPr>
                <w:color w:val="1C3A36"/>
                <w:sz w:val="17"/>
              </w:rPr>
              <w:t>+6 pts</w:t>
            </w:r>
          </w:p>
        </w:tc>
      </w:tr>
      <w:tr>
        <w:tc>
          <w:tcPr>
            <w:tcW w:type="dxa" w:w="2520"/>
          </w:tcPr>
          <w:p>
            <w:pPr>
              <w:spacing w:after="20"/>
            </w:pPr>
            <w:r>
              <w:rPr>
                <w:b/>
                <w:color w:val="1C3A36"/>
                <w:sz w:val="17"/>
              </w:rPr>
              <w:t>Related-party density</w:t>
            </w:r>
          </w:p>
        </w:tc>
        <w:tc>
          <w:tcPr>
            <w:tcW w:type="dxa" w:w="5184"/>
          </w:tcPr>
          <w:p>
            <w:pPr>
              <w:spacing w:after="20"/>
              <w:jc w:val="right"/>
            </w:pPr>
            <w:r>
              <w:rPr>
                <w:color w:val="1C3A36"/>
                <w:sz w:val="17"/>
              </w:rPr>
              <w:t>Injections and disposals set inside the IHC ecosystem; minorities are takers</w:t>
            </w:r>
          </w:p>
        </w:tc>
        <w:tc>
          <w:tcPr>
            <w:tcW w:type="dxa" w:w="2520"/>
          </w:tcPr>
          <w:p>
            <w:pPr>
              <w:spacing w:after="20"/>
              <w:jc w:val="right"/>
            </w:pPr>
            <w:r>
              <w:rPr>
                <w:color w:val="1C3A36"/>
                <w:sz w:val="17"/>
              </w:rPr>
              <w:t>+6 pts</w:t>
            </w:r>
          </w:p>
        </w:tc>
      </w:tr>
      <w:tr>
        <w:tc>
          <w:tcPr>
            <w:tcW w:type="dxa" w:w="2520"/>
          </w:tcPr>
          <w:p>
            <w:pPr>
              <w:spacing w:after="20"/>
            </w:pPr>
            <w:r>
              <w:rPr>
                <w:b/>
                <w:color w:val="1C3A36"/>
                <w:sz w:val="17"/>
              </w:rPr>
              <w:t>Capital-allocation record</w:t>
            </w:r>
          </w:p>
        </w:tc>
        <w:tc>
          <w:tcPr>
            <w:tcW w:type="dxa" w:w="5184"/>
          </w:tcPr>
          <w:p>
            <w:pPr>
              <w:spacing w:after="20"/>
              <w:jc w:val="right"/>
            </w:pPr>
            <w:r>
              <w:rPr>
                <w:color w:val="1C3A36"/>
                <w:sz w:val="17"/>
              </w:rPr>
              <w:t>Book compounded ~19%/yr FY23–25; but attributable EPS fell two years running</w:t>
            </w:r>
          </w:p>
        </w:tc>
        <w:tc>
          <w:tcPr>
            <w:tcW w:type="dxa" w:w="2520"/>
          </w:tcPr>
          <w:p>
            <w:pPr>
              <w:spacing w:after="20"/>
              <w:jc w:val="right"/>
            </w:pPr>
            <w:r>
              <w:rPr>
                <w:color w:val="1C3A36"/>
                <w:sz w:val="17"/>
              </w:rPr>
              <w:t>+3 pts</w:t>
            </w:r>
          </w:p>
        </w:tc>
      </w:tr>
      <w:tr>
        <w:tc>
          <w:tcPr>
            <w:tcW w:type="dxa" w:w="2520"/>
          </w:tcPr>
          <w:p>
            <w:pPr>
              <w:spacing w:after="20"/>
            </w:pPr>
            <w:r>
              <w:rPr>
                <w:b/>
                <w:color w:val="1C3A36"/>
                <w:sz w:val="17"/>
              </w:rPr>
              <w:t>Structural NCI leakage</w:t>
            </w:r>
          </w:p>
        </w:tc>
        <w:tc>
          <w:tcPr>
            <w:tcW w:type="dxa" w:w="5184"/>
          </w:tcPr>
          <w:p>
            <w:pPr>
              <w:spacing w:after="20"/>
              <w:jc w:val="right"/>
            </w:pPr>
            <w:r>
              <w:rPr>
                <w:color w:val="1C3A36"/>
                <w:sz w:val="17"/>
              </w:rPr>
              <w:t>40% of total equity is NCI; consolidated headlines overstate owners’ economics</w:t>
            </w:r>
          </w:p>
        </w:tc>
        <w:tc>
          <w:tcPr>
            <w:tcW w:type="dxa" w:w="2520"/>
          </w:tcPr>
          <w:p>
            <w:pPr>
              <w:spacing w:after="20"/>
              <w:jc w:val="right"/>
            </w:pPr>
            <w:r>
              <w:rPr>
                <w:color w:val="1C3A36"/>
                <w:sz w:val="17"/>
              </w:rPr>
              <w:t>+3 pts</w:t>
            </w:r>
          </w:p>
        </w:tc>
      </w:tr>
      <w:tr>
        <w:tc>
          <w:tcPr>
            <w:tcW w:type="dxa" w:w="2520"/>
            <w:shd w:val="clear" w:color="auto" w:fill="F6F1E6"/>
          </w:tcPr>
          <w:p>
            <w:pPr>
              <w:spacing w:after="20"/>
            </w:pPr>
            <w:r>
              <w:rPr>
                <w:b/>
                <w:color w:val="1C3A36"/>
                <w:sz w:val="17"/>
              </w:rPr>
              <w:t>Composite discount</w:t>
            </w:r>
          </w:p>
        </w:tc>
        <w:tc>
          <w:tcPr>
            <w:tcW w:type="dxa" w:w="5184"/>
            <w:shd w:val="clear" w:color="auto" w:fill="F6F1E6"/>
          </w:tcPr>
          <w:p>
            <w:pPr>
              <w:spacing w:after="20"/>
              <w:jc w:val="right"/>
            </w:pPr>
            <w:r>
              <w:rPr>
                <w:b/>
                <w:color w:val="1C3A36"/>
                <w:sz w:val="17"/>
              </w:rPr>
              <w:t>Sum, rounded to the band’s midpoint</w:t>
            </w:r>
          </w:p>
        </w:tc>
        <w:tc>
          <w:tcPr>
            <w:tcW w:type="dxa" w:w="2520"/>
            <w:shd w:val="clear" w:color="auto" w:fill="F6F1E6"/>
          </w:tcPr>
          <w:p>
            <w:pPr>
              <w:spacing w:after="20"/>
              <w:jc w:val="right"/>
            </w:pPr>
            <w:r>
              <w:rPr>
                <w:b/>
                <w:color w:val="1C3A36"/>
                <w:sz w:val="17"/>
              </w:rPr>
              <w:t>15% (band 10–25%)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448"/>
            <w:shd w:val="clear" w:color="auto" w:fill="EAF0EE"/>
          </w:tcPr>
          <w:p>
            <w:pPr>
              <w:spacing w:after="20"/>
            </w:pPr>
            <w:r>
              <w:rPr>
                <w:b/>
                <w:color w:val="1C3A36"/>
                <w:sz w:val="17"/>
              </w:rPr>
              <w:t>Discount applied</w:t>
            </w:r>
          </w:p>
        </w:tc>
        <w:tc>
          <w:tcPr>
            <w:tcW w:type="dxa" w:w="1296"/>
            <w:shd w:val="clear" w:color="auto" w:fill="EAF0EE"/>
          </w:tcPr>
          <w:p>
            <w:pPr>
              <w:spacing w:after="20"/>
            </w:pPr>
            <w:r>
              <w:rPr>
                <w:b/>
                <w:color w:val="1C3A36"/>
                <w:sz w:val="17"/>
              </w:rPr>
              <w:t>0% (par)</w:t>
            </w:r>
          </w:p>
        </w:tc>
        <w:tc>
          <w:tcPr>
            <w:tcW w:type="dxa" w:w="1296"/>
            <w:shd w:val="clear" w:color="auto" w:fill="EAF0EE"/>
          </w:tcPr>
          <w:p>
            <w:pPr>
              <w:spacing w:after="20"/>
            </w:pPr>
            <w:r>
              <w:rPr>
                <w:b/>
                <w:color w:val="1C3A36"/>
                <w:sz w:val="17"/>
              </w:rPr>
              <w:t>10%</w:t>
            </w:r>
          </w:p>
        </w:tc>
        <w:tc>
          <w:tcPr>
            <w:tcW w:type="dxa" w:w="1368"/>
            <w:shd w:val="clear" w:color="auto" w:fill="EAF0EE"/>
          </w:tcPr>
          <w:p>
            <w:pPr>
              <w:spacing w:after="20"/>
            </w:pPr>
            <w:r>
              <w:rPr>
                <w:b/>
                <w:color w:val="1C3A36"/>
                <w:sz w:val="17"/>
              </w:rPr>
              <w:t>15% (base)</w:t>
            </w:r>
          </w:p>
        </w:tc>
        <w:tc>
          <w:tcPr>
            <w:tcW w:type="dxa" w:w="1296"/>
            <w:shd w:val="clear" w:color="auto" w:fill="EAF0EE"/>
          </w:tcPr>
          <w:p>
            <w:pPr>
              <w:spacing w:after="20"/>
            </w:pPr>
            <w:r>
              <w:rPr>
                <w:b/>
                <w:color w:val="1C3A36"/>
                <w:sz w:val="17"/>
              </w:rPr>
              <w:t>20%</w:t>
            </w:r>
          </w:p>
        </w:tc>
        <w:tc>
          <w:tcPr>
            <w:tcW w:type="dxa" w:w="1296"/>
            <w:shd w:val="clear" w:color="auto" w:fill="EAF0EE"/>
          </w:tcPr>
          <w:p>
            <w:pPr>
              <w:spacing w:after="20"/>
            </w:pPr>
            <w:r>
              <w:rPr>
                <w:b/>
                <w:color w:val="1C3A36"/>
                <w:sz w:val="17"/>
              </w:rPr>
              <w:t>25%</w:t>
            </w:r>
          </w:p>
        </w:tc>
        <w:tc>
          <w:tcPr>
            <w:tcW w:type="dxa" w:w="1368"/>
            <w:shd w:val="clear" w:color="auto" w:fill="EAF0EE"/>
          </w:tcPr>
          <w:p>
            <w:pPr>
              <w:spacing w:after="20"/>
            </w:pPr>
            <w:r>
              <w:rPr>
                <w:b/>
                <w:color w:val="1C3A36"/>
                <w:sz w:val="17"/>
              </w:rPr>
              <w:t>30% (stress)</w:t>
            </w:r>
          </w:p>
        </w:tc>
      </w:tr>
      <w:tr>
        <w:tc>
          <w:tcPr>
            <w:tcW w:type="dxa" w:w="2448"/>
          </w:tcPr>
          <w:p>
            <w:pPr>
              <w:spacing w:after="20"/>
            </w:pPr>
            <w:r>
              <w:rPr>
                <w:b/>
                <w:color w:val="1C3A36"/>
                <w:sz w:val="17"/>
              </w:rPr>
              <w:t>Value/share (AED)</w:t>
            </w:r>
          </w:p>
        </w:tc>
        <w:tc>
          <w:tcPr>
            <w:tcW w:type="dxa" w:w="1296"/>
          </w:tcPr>
          <w:p>
            <w:pPr>
              <w:spacing w:after="20"/>
              <w:jc w:val="right"/>
            </w:pPr>
            <w:r>
              <w:rPr>
                <w:color w:val="1C3A36"/>
                <w:sz w:val="17"/>
              </w:rPr>
              <w:t>7.44</w:t>
            </w:r>
          </w:p>
        </w:tc>
        <w:tc>
          <w:tcPr>
            <w:tcW w:type="dxa" w:w="1296"/>
          </w:tcPr>
          <w:p>
            <w:pPr>
              <w:spacing w:after="20"/>
              <w:jc w:val="right"/>
            </w:pPr>
            <w:r>
              <w:rPr>
                <w:color w:val="1C3A36"/>
                <w:sz w:val="17"/>
              </w:rPr>
              <w:t>6.70</w:t>
            </w:r>
          </w:p>
        </w:tc>
        <w:tc>
          <w:tcPr>
            <w:tcW w:type="dxa" w:w="1368"/>
          </w:tcPr>
          <w:p>
            <w:pPr>
              <w:spacing w:after="20"/>
              <w:jc w:val="right"/>
            </w:pPr>
            <w:r>
              <w:rPr>
                <w:color w:val="1C3A36"/>
                <w:sz w:val="17"/>
              </w:rPr>
              <w:t>6.32</w:t>
            </w:r>
          </w:p>
        </w:tc>
        <w:tc>
          <w:tcPr>
            <w:tcW w:type="dxa" w:w="1296"/>
          </w:tcPr>
          <w:p>
            <w:pPr>
              <w:spacing w:after="20"/>
              <w:jc w:val="right"/>
            </w:pPr>
            <w:r>
              <w:rPr>
                <w:color w:val="1C3A36"/>
                <w:sz w:val="17"/>
              </w:rPr>
              <w:t>5.95</w:t>
            </w:r>
          </w:p>
        </w:tc>
        <w:tc>
          <w:tcPr>
            <w:tcW w:type="dxa" w:w="1296"/>
          </w:tcPr>
          <w:p>
            <w:pPr>
              <w:spacing w:after="20"/>
              <w:jc w:val="right"/>
            </w:pPr>
            <w:r>
              <w:rPr>
                <w:color w:val="1C3A36"/>
                <w:sz w:val="17"/>
              </w:rPr>
              <w:t>5.58</w:t>
            </w:r>
          </w:p>
        </w:tc>
        <w:tc>
          <w:tcPr>
            <w:tcW w:type="dxa" w:w="1368"/>
          </w:tcPr>
          <w:p>
            <w:pPr>
              <w:spacing w:after="20"/>
              <w:jc w:val="right"/>
            </w:pPr>
            <w:r>
              <w:rPr>
                <w:color w:val="1C3A36"/>
                <w:sz w:val="17"/>
              </w:rPr>
              <w:t>5.21</w:t>
            </w:r>
          </w:p>
        </w:tc>
      </w:tr>
    </w:tbl>
    <w:p>
      <w:pPr>
        <w:spacing w:after="40"/>
      </w:pPr>
    </w:p>
    <w:p>
      <w:pPr>
        <w:spacing w:after="120" w:before="0"/>
      </w:pPr>
      <w:r>
        <w:rPr>
          <w:b w:val="0"/>
          <w:i w:val="0"/>
          <w:color w:val="1C3A36"/>
          <w:sz w:val="19"/>
        </w:rPr>
        <w:t>Base AED 6.3 (74.4 × 0.85 / 10); range 5.2–7.4. Where this expert diverges from the house: no credit at all for the DCF ceiling — in this framework retained-earnings compounding is already inside the marks (Aldar’s price embeds Aldar’s future), so adding a growth lens on top double-counts. And a warning the house table softens: a premium to NAV defended mainly by a buyback in a thin float is the most reversible support in equity markets. Falsification: two consecutive semi-annual disposals of unlisted assets at or above carrying value would prove the residual book conservative, collapse the information-asymmetry component, and push this expert toward par (7.4).</w:t>
      </w:r>
    </w:p>
    <w:p>
      <w:pPr>
        <w:spacing w:after="80" w:before="200"/>
      </w:pPr>
      <w:r>
        <w:rPr>
          <w:b/>
          <w:i w:val="0"/>
          <w:color w:val="1C3A36"/>
          <w:sz w:val="24"/>
        </w:rPr>
        <w:t>C.2  Expert 2 — the Accountant</w:t>
      </w:r>
    </w:p>
    <w:p>
      <w:pPr>
        <w:spacing w:after="120" w:before="0"/>
      </w:pPr>
      <w:r>
        <w:rPr>
          <w:b w:val="0"/>
          <w:i w:val="0"/>
          <w:color w:val="1C3A36"/>
          <w:sz w:val="19"/>
        </w:rPr>
        <w:t>Method. The protocol casts an Accountant on every holdco because the instrument IS a set of consolidation choices: this expert refuses every market mark and every scenario until the books themselves have been interrogated, then values the owners’ claim off the cleaned book with a justified price-to-book. The audit comes first, in four exhibits.</w:t>
      </w:r>
    </w:p>
    <w:p>
      <w:pPr>
        <w:spacing w:after="120" w:before="0"/>
      </w:pPr>
      <w:r>
        <w:rPr>
          <w:b w:val="0"/>
          <w:i w:val="0"/>
          <w:color w:val="1C3A36"/>
          <w:sz w:val="19"/>
        </w:rPr>
        <w:t>Exhibit 1 — does the consolidated P&amp;L reconcile bottom-up? Rebuild attributable earnings asset by asset (stake × each asset’s own reported profit) as a pure audit device: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304"/>
            <w:shd w:val="clear" w:color="auto" w:fill="EAF0EE"/>
          </w:tcPr>
          <w:p>
            <w:pPr>
              <w:spacing w:after="20"/>
            </w:pPr>
            <w:r>
              <w:rPr>
                <w:b/>
                <w:color w:val="1C3A36"/>
                <w:sz w:val="17"/>
              </w:rPr>
              <w:t>Asset</w:t>
            </w:r>
          </w:p>
        </w:tc>
        <w:tc>
          <w:tcPr>
            <w:tcW w:type="dxa" w:w="936"/>
            <w:shd w:val="clear" w:color="auto" w:fill="EAF0EE"/>
          </w:tcPr>
          <w:p>
            <w:pPr>
              <w:spacing w:after="20"/>
            </w:pPr>
            <w:r>
              <w:rPr>
                <w:b/>
                <w:color w:val="1C3A36"/>
                <w:sz w:val="17"/>
              </w:rPr>
              <w:t>Stake</w:t>
            </w:r>
          </w:p>
        </w:tc>
        <w:tc>
          <w:tcPr>
            <w:tcW w:type="dxa" w:w="1656"/>
            <w:shd w:val="clear" w:color="auto" w:fill="EAF0EE"/>
          </w:tcPr>
          <w:p>
            <w:pPr>
              <w:spacing w:after="20"/>
            </w:pPr>
            <w:r>
              <w:rPr>
                <w:b/>
                <w:color w:val="1C3A36"/>
                <w:sz w:val="17"/>
              </w:rPr>
              <w:t>FY25 profit (AED bn)</w:t>
            </w:r>
          </w:p>
        </w:tc>
        <w:tc>
          <w:tcPr>
            <w:tcW w:type="dxa" w:w="1728"/>
            <w:shd w:val="clear" w:color="auto" w:fill="EAF0EE"/>
          </w:tcPr>
          <w:p>
            <w:pPr>
              <w:spacing w:after="20"/>
            </w:pPr>
            <w:r>
              <w:rPr>
                <w:b/>
                <w:color w:val="1C3A36"/>
                <w:sz w:val="17"/>
              </w:rPr>
              <w:t>Owners’ share (AED bn)</w:t>
            </w:r>
          </w:p>
        </w:tc>
        <w:tc>
          <w:tcPr>
            <w:tcW w:type="dxa" w:w="3600"/>
            <w:shd w:val="clear" w:color="auto" w:fill="EAF0EE"/>
          </w:tcPr>
          <w:p>
            <w:pPr>
              <w:spacing w:after="20"/>
            </w:pPr>
            <w:r>
              <w:rPr>
                <w:b/>
                <w:color w:val="1C3A36"/>
                <w:sz w:val="17"/>
              </w:rPr>
              <w:t>Audit note</w:t>
            </w:r>
          </w:p>
        </w:tc>
      </w:tr>
      <w:tr>
        <w:tc>
          <w:tcPr>
            <w:tcW w:type="dxa" w:w="2304"/>
          </w:tcPr>
          <w:p>
            <w:pPr>
              <w:spacing w:after="20"/>
            </w:pPr>
            <w:r>
              <w:rPr>
                <w:b/>
                <w:color w:val="1C3A36"/>
                <w:sz w:val="17"/>
              </w:rPr>
              <w:t>Aldar Properties</w:t>
            </w:r>
          </w:p>
        </w:tc>
        <w:tc>
          <w:tcPr>
            <w:tcW w:type="dxa" w:w="936"/>
          </w:tcPr>
          <w:p>
            <w:pPr>
              <w:spacing w:after="20"/>
              <w:jc w:val="right"/>
            </w:pPr>
            <w:r>
              <w:rPr>
                <w:color w:val="1C3A36"/>
                <w:sz w:val="17"/>
              </w:rPr>
              <w:t>31.63%</w:t>
            </w:r>
          </w:p>
        </w:tc>
        <w:tc>
          <w:tcPr>
            <w:tcW w:type="dxa" w:w="1656"/>
          </w:tcPr>
          <w:p>
            <w:pPr>
              <w:spacing w:after="20"/>
              <w:jc w:val="right"/>
            </w:pPr>
            <w:r>
              <w:rPr>
                <w:color w:val="1C3A36"/>
                <w:sz w:val="17"/>
              </w:rPr>
              <w:t>7.51</w:t>
            </w:r>
          </w:p>
        </w:tc>
        <w:tc>
          <w:tcPr>
            <w:tcW w:type="dxa" w:w="1728"/>
          </w:tcPr>
          <w:p>
            <w:pPr>
              <w:spacing w:after="20"/>
              <w:jc w:val="right"/>
            </w:pPr>
            <w:r>
              <w:rPr>
                <w:color w:val="1C3A36"/>
                <w:sz w:val="17"/>
              </w:rPr>
              <w:t>2.38</w:t>
            </w:r>
          </w:p>
        </w:tc>
        <w:tc>
          <w:tcPr>
            <w:tcW w:type="dxa" w:w="3600"/>
          </w:tcPr>
          <w:p>
            <w:pPr>
              <w:spacing w:after="20"/>
              <w:jc w:val="right"/>
            </w:pPr>
            <w:r>
              <w:rPr>
                <w:color w:val="1C3A36"/>
                <w:sz w:val="17"/>
              </w:rPr>
              <w:t>Record year; 71.7 bn backlog underwrites persistence</w:t>
            </w:r>
          </w:p>
        </w:tc>
      </w:tr>
      <w:tr>
        <w:tc>
          <w:tcPr>
            <w:tcW w:type="dxa" w:w="2304"/>
          </w:tcPr>
          <w:p>
            <w:pPr>
              <w:spacing w:after="20"/>
            </w:pPr>
            <w:r>
              <w:rPr>
                <w:b/>
                <w:color w:val="1C3A36"/>
                <w:sz w:val="17"/>
              </w:rPr>
              <w:t>NMDC Group</w:t>
            </w:r>
          </w:p>
        </w:tc>
        <w:tc>
          <w:tcPr>
            <w:tcW w:type="dxa" w:w="936"/>
          </w:tcPr>
          <w:p>
            <w:pPr>
              <w:spacing w:after="20"/>
              <w:jc w:val="right"/>
            </w:pPr>
            <w:r>
              <w:rPr>
                <w:color w:val="1C3A36"/>
                <w:sz w:val="17"/>
              </w:rPr>
              <w:t>76.68%</w:t>
            </w:r>
          </w:p>
        </w:tc>
        <w:tc>
          <w:tcPr>
            <w:tcW w:type="dxa" w:w="1656"/>
          </w:tcPr>
          <w:p>
            <w:pPr>
              <w:spacing w:after="20"/>
              <w:jc w:val="right"/>
            </w:pPr>
            <w:r>
              <w:rPr>
                <w:color w:val="1C3A36"/>
                <w:sz w:val="17"/>
              </w:rPr>
              <w:t>3.62</w:t>
            </w:r>
          </w:p>
        </w:tc>
        <w:tc>
          <w:tcPr>
            <w:tcW w:type="dxa" w:w="1728"/>
          </w:tcPr>
          <w:p>
            <w:pPr>
              <w:spacing w:after="20"/>
              <w:jc w:val="right"/>
            </w:pPr>
            <w:r>
              <w:rPr>
                <w:color w:val="1C3A36"/>
                <w:sz w:val="17"/>
              </w:rPr>
              <w:t>2.78</w:t>
            </w:r>
          </w:p>
        </w:tc>
        <w:tc>
          <w:tcPr>
            <w:tcW w:type="dxa" w:w="3600"/>
          </w:tcPr>
          <w:p>
            <w:pPr>
              <w:spacing w:after="20"/>
              <w:jc w:val="right"/>
            </w:pPr>
            <w:r>
              <w:rPr>
                <w:color w:val="1C3A36"/>
                <w:sz w:val="17"/>
              </w:rPr>
              <w:t>The fragile line — Q1-26 EPS halved (0.43 vs 0.87)</w:t>
            </w:r>
          </w:p>
        </w:tc>
      </w:tr>
      <w:tr>
        <w:tc>
          <w:tcPr>
            <w:tcW w:type="dxa" w:w="2304"/>
          </w:tcPr>
          <w:p>
            <w:pPr>
              <w:spacing w:after="20"/>
            </w:pPr>
            <w:r>
              <w:rPr>
                <w:b/>
                <w:color w:val="1C3A36"/>
                <w:sz w:val="17"/>
              </w:rPr>
              <w:t>PureHealth</w:t>
            </w:r>
          </w:p>
        </w:tc>
        <w:tc>
          <w:tcPr>
            <w:tcW w:type="dxa" w:w="936"/>
          </w:tcPr>
          <w:p>
            <w:pPr>
              <w:spacing w:after="20"/>
              <w:jc w:val="right"/>
            </w:pPr>
            <w:r>
              <w:rPr>
                <w:color w:val="1C3A36"/>
                <w:sz w:val="17"/>
              </w:rPr>
              <w:t>35.06%</w:t>
            </w:r>
          </w:p>
        </w:tc>
        <w:tc>
          <w:tcPr>
            <w:tcW w:type="dxa" w:w="1656"/>
          </w:tcPr>
          <w:p>
            <w:pPr>
              <w:spacing w:after="20"/>
              <w:jc w:val="right"/>
            </w:pPr>
            <w:r>
              <w:rPr>
                <w:color w:val="1C3A36"/>
                <w:sz w:val="17"/>
              </w:rPr>
              <w:t>2.00</w:t>
            </w:r>
          </w:p>
        </w:tc>
        <w:tc>
          <w:tcPr>
            <w:tcW w:type="dxa" w:w="1728"/>
          </w:tcPr>
          <w:p>
            <w:pPr>
              <w:spacing w:after="20"/>
              <w:jc w:val="right"/>
            </w:pPr>
            <w:r>
              <w:rPr>
                <w:color w:val="1C3A36"/>
                <w:sz w:val="17"/>
              </w:rPr>
              <w:t>0.70</w:t>
            </w:r>
          </w:p>
        </w:tc>
        <w:tc>
          <w:tcPr>
            <w:tcW w:type="dxa" w:w="3600"/>
          </w:tcPr>
          <w:p>
            <w:pPr>
              <w:spacing w:after="20"/>
              <w:jc w:val="right"/>
            </w:pPr>
            <w:r>
              <w:rPr>
                <w:color w:val="1C3A36"/>
                <w:sz w:val="17"/>
              </w:rPr>
              <w:t>Associate; −0.86 bn dilution loss excluded as one-off</w:t>
            </w:r>
          </w:p>
        </w:tc>
      </w:tr>
      <w:tr>
        <w:tc>
          <w:tcPr>
            <w:tcW w:type="dxa" w:w="2304"/>
          </w:tcPr>
          <w:p>
            <w:pPr>
              <w:spacing w:after="20"/>
            </w:pPr>
            <w:r>
              <w:rPr>
                <w:b/>
                <w:color w:val="1C3A36"/>
                <w:sz w:val="17"/>
              </w:rPr>
              <w:t>NCTH</w:t>
            </w:r>
          </w:p>
        </w:tc>
        <w:tc>
          <w:tcPr>
            <w:tcW w:type="dxa" w:w="936"/>
          </w:tcPr>
          <w:p>
            <w:pPr>
              <w:spacing w:after="20"/>
              <w:jc w:val="right"/>
            </w:pPr>
            <w:r>
              <w:rPr>
                <w:color w:val="1C3A36"/>
                <w:sz w:val="17"/>
              </w:rPr>
              <w:t>73.73%</w:t>
            </w:r>
          </w:p>
        </w:tc>
        <w:tc>
          <w:tcPr>
            <w:tcW w:type="dxa" w:w="1656"/>
          </w:tcPr>
          <w:p>
            <w:pPr>
              <w:spacing w:after="20"/>
              <w:jc w:val="right"/>
            </w:pPr>
            <w:r>
              <w:rPr>
                <w:color w:val="1C3A36"/>
                <w:sz w:val="17"/>
              </w:rPr>
              <w:t>0.30</w:t>
            </w:r>
          </w:p>
        </w:tc>
        <w:tc>
          <w:tcPr>
            <w:tcW w:type="dxa" w:w="1728"/>
          </w:tcPr>
          <w:p>
            <w:pPr>
              <w:spacing w:after="20"/>
              <w:jc w:val="right"/>
            </w:pPr>
            <w:r>
              <w:rPr>
                <w:color w:val="1C3A36"/>
                <w:sz w:val="17"/>
              </w:rPr>
              <w:t>0.22</w:t>
            </w:r>
          </w:p>
        </w:tc>
        <w:tc>
          <w:tcPr>
            <w:tcW w:type="dxa" w:w="3600"/>
          </w:tcPr>
          <w:p>
            <w:pPr>
              <w:spacing w:after="20"/>
              <w:jc w:val="right"/>
            </w:pPr>
            <w:r>
              <w:rPr>
                <w:color w:val="1C3A36"/>
                <w:sz w:val="17"/>
              </w:rPr>
              <w:t>First full consolidated year (IFRS 3, Jan-25)</w:t>
            </w:r>
          </w:p>
        </w:tc>
      </w:tr>
      <w:tr>
        <w:tc>
          <w:tcPr>
            <w:tcW w:type="dxa" w:w="2304"/>
          </w:tcPr>
          <w:p>
            <w:pPr>
              <w:spacing w:after="20"/>
            </w:pPr>
            <w:r>
              <w:rPr>
                <w:b/>
                <w:color w:val="1C3A36"/>
                <w:sz w:val="17"/>
              </w:rPr>
              <w:t>Trojan Construction</w:t>
            </w:r>
          </w:p>
        </w:tc>
        <w:tc>
          <w:tcPr>
            <w:tcW w:type="dxa" w:w="936"/>
          </w:tcPr>
          <w:p>
            <w:pPr>
              <w:spacing w:after="20"/>
              <w:jc w:val="right"/>
            </w:pPr>
            <w:r>
              <w:rPr>
                <w:color w:val="1C3A36"/>
                <w:sz w:val="17"/>
              </w:rPr>
              <w:t>51%</w:t>
            </w:r>
          </w:p>
        </w:tc>
        <w:tc>
          <w:tcPr>
            <w:tcW w:type="dxa" w:w="1656"/>
          </w:tcPr>
          <w:p>
            <w:pPr>
              <w:spacing w:after="20"/>
              <w:jc w:val="right"/>
            </w:pPr>
            <w:r>
              <w:rPr>
                <w:color w:val="1C3A36"/>
                <w:sz w:val="17"/>
              </w:rPr>
              <w:t>~1.05</w:t>
            </w:r>
          </w:p>
        </w:tc>
        <w:tc>
          <w:tcPr>
            <w:tcW w:type="dxa" w:w="1728"/>
          </w:tcPr>
          <w:p>
            <w:pPr>
              <w:spacing w:after="20"/>
              <w:jc w:val="right"/>
            </w:pPr>
            <w:r>
              <w:rPr>
                <w:color w:val="1C3A36"/>
                <w:sz w:val="17"/>
              </w:rPr>
              <w:t>0.54</w:t>
            </w:r>
          </w:p>
        </w:tc>
        <w:tc>
          <w:tcPr>
            <w:tcW w:type="dxa" w:w="3600"/>
          </w:tcPr>
          <w:p>
            <w:pPr>
              <w:spacing w:after="20"/>
              <w:jc w:val="right"/>
            </w:pPr>
            <w:r>
              <w:rPr>
                <w:color w:val="1C3A36"/>
                <w:sz w:val="17"/>
              </w:rPr>
              <w:t>Inferred from FY24 segment NP; margin-light</w:t>
            </w:r>
          </w:p>
        </w:tc>
      </w:tr>
      <w:tr>
        <w:tc>
          <w:tcPr>
            <w:tcW w:type="dxa" w:w="2304"/>
          </w:tcPr>
          <w:p>
            <w:pPr>
              <w:spacing w:after="20"/>
            </w:pPr>
            <w:r>
              <w:rPr>
                <w:b/>
                <w:color w:val="1C3A36"/>
                <w:sz w:val="17"/>
              </w:rPr>
              <w:t>Other / unlisted book</w:t>
            </w:r>
          </w:p>
        </w:tc>
        <w:tc>
          <w:tcPr>
            <w:tcW w:type="dxa" w:w="936"/>
          </w:tcPr>
          <w:p>
            <w:pPr>
              <w:spacing w:after="20"/>
              <w:jc w:val="right"/>
            </w:pPr>
            <w:r>
              <w:rPr>
                <w:color w:val="1C3A36"/>
                <w:sz w:val="17"/>
              </w:rPr>
              <w:t>—</w:t>
            </w:r>
          </w:p>
        </w:tc>
        <w:tc>
          <w:tcPr>
            <w:tcW w:type="dxa" w:w="1656"/>
          </w:tcPr>
          <w:p>
            <w:pPr>
              <w:spacing w:after="20"/>
              <w:jc w:val="right"/>
            </w:pPr>
            <w:r>
              <w:rPr>
                <w:color w:val="1C3A36"/>
                <w:sz w:val="17"/>
              </w:rPr>
              <w:t>—</w:t>
            </w:r>
          </w:p>
        </w:tc>
        <w:tc>
          <w:tcPr>
            <w:tcW w:type="dxa" w:w="1728"/>
          </w:tcPr>
          <w:p>
            <w:pPr>
              <w:spacing w:after="20"/>
              <w:jc w:val="right"/>
            </w:pPr>
            <w:r>
              <w:rPr>
                <w:color w:val="1C3A36"/>
                <w:sz w:val="17"/>
              </w:rPr>
              <w:t>≈1.20</w:t>
            </w:r>
          </w:p>
        </w:tc>
        <w:tc>
          <w:tcPr>
            <w:tcW w:type="dxa" w:w="3600"/>
          </w:tcPr>
          <w:p>
            <w:pPr>
              <w:spacing w:after="20"/>
              <w:jc w:val="right"/>
            </w:pPr>
            <w:r>
              <w:rPr>
                <w:color w:val="1C3A36"/>
                <w:sz w:val="17"/>
              </w:rPr>
              <w:t>Residual; closes the reconciliation</w:t>
            </w:r>
          </w:p>
        </w:tc>
      </w:tr>
      <w:tr>
        <w:tc>
          <w:tcPr>
            <w:tcW w:type="dxa" w:w="2304"/>
            <w:shd w:val="clear" w:color="auto" w:fill="F6F1E6"/>
          </w:tcPr>
          <w:p>
            <w:pPr>
              <w:spacing w:after="20"/>
            </w:pPr>
            <w:r>
              <w:rPr>
                <w:b/>
                <w:color w:val="1C3A36"/>
                <w:sz w:val="17"/>
              </w:rPr>
              <w:t>Look-through attributable</w:t>
            </w:r>
          </w:p>
        </w:tc>
        <w:tc>
          <w:tcPr>
            <w:tcW w:type="dxa" w:w="936"/>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c>
          <w:tcPr>
            <w:tcW w:type="dxa" w:w="1728"/>
            <w:shd w:val="clear" w:color="auto" w:fill="F6F1E6"/>
          </w:tcPr>
          <w:p>
            <w:pPr>
              <w:spacing w:after="20"/>
              <w:jc w:val="right"/>
            </w:pPr>
            <w:r>
              <w:rPr>
                <w:b/>
                <w:color w:val="1C3A36"/>
                <w:sz w:val="17"/>
              </w:rPr>
              <w:t>7.81</w:t>
            </w:r>
          </w:p>
        </w:tc>
        <w:tc>
          <w:tcPr>
            <w:tcW w:type="dxa" w:w="3600"/>
            <w:shd w:val="clear" w:color="auto" w:fill="F6F1E6"/>
          </w:tcPr>
          <w:p>
            <w:pPr>
              <w:spacing w:after="20"/>
              <w:jc w:val="right"/>
            </w:pPr>
            <w:r>
              <w:rPr>
                <w:b/>
                <w:color w:val="1C3A36"/>
                <w:sz w:val="17"/>
              </w:rPr>
              <w:t>vs reported 8.01 — within 2.5%: the P&amp;L is honest</w:t>
            </w:r>
          </w:p>
        </w:tc>
      </w:tr>
    </w:tbl>
    <w:p>
      <w:pPr>
        <w:spacing w:after="40"/>
      </w:pPr>
    </w:p>
    <w:p>
      <w:pPr>
        <w:spacing w:after="120" w:before="0"/>
      </w:pPr>
      <w:r>
        <w:rPr>
          <w:b w:val="0"/>
          <w:i w:val="0"/>
          <w:color w:val="1C3A36"/>
          <w:sz w:val="19"/>
        </w:rPr>
        <w:t>Exhibit 2 — what is the QUALITY of those earnings? FY25 attributable profit of 8.01 bn contains the fair-value-gain engine: +AED 3.15 bn of FVTPL marks. An auditor does not deny those gains; he refuses to capitalize them as recurring. Assuming ~70% sits at parent level (flagged; Driver Ledger), cash-quality attributable earnings ≈ AED 5.81 bn — a cleaned ROAE of 10.3% on the average owners’ book of 56.2 bn, against a 14.3% reported ROAE. Exhibit 3 — the two consolidation findings this audit flags: (i) the FY25 borrowings line is a cash-flow derivation that structurally omits IFRS-16 lease inceptions and the debt inherited when NCTH was consolidated in Jan-25 — gross debt is more likely understated than overstated, which flatters only the DCF leg; (ii) the Trojan mark has two audited framings (buyer-outlay ≈5.0 bn vs seller-note 3,562 + 1,456 NCI transfer) — §1.1 now carries both. Exhibit 4 — the missing Q1-26 attributable split is bridged as a flagged estimate only: AED 2.0–2.5 bn (FY25 proportional split vs an FV-skew-to-parent scenario).</w:t>
      </w:r>
    </w:p>
    <w:p>
      <w:pPr>
        <w:spacing w:after="120" w:before="0"/>
      </w:pPr>
      <w:r>
        <w:rPr>
          <w:b w:val="0"/>
          <w:i w:val="0"/>
          <w:color w:val="1C3A36"/>
          <w:sz w:val="19"/>
        </w:rPr>
        <w:t>Valuation. With the book audited, the owners’ claim is worth justified-P/B × book: P/B = (ROAE − g)/(Ke − g), Ke 9.62%, on BVPS AED 6.01: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4464"/>
            <w:shd w:val="clear" w:color="auto" w:fill="EAF0EE"/>
          </w:tcPr>
          <w:p>
            <w:pPr>
              <w:spacing w:after="20"/>
            </w:pPr>
            <w:r>
              <w:rPr>
                <w:b/>
                <w:color w:val="1C3A36"/>
                <w:sz w:val="17"/>
              </w:rPr>
              <w:t>Basis</w:t>
            </w:r>
          </w:p>
        </w:tc>
        <w:tc>
          <w:tcPr>
            <w:tcW w:type="dxa" w:w="1080"/>
            <w:shd w:val="clear" w:color="auto" w:fill="EAF0EE"/>
          </w:tcPr>
          <w:p>
            <w:pPr>
              <w:spacing w:after="20"/>
            </w:pPr>
            <w:r>
              <w:rPr>
                <w:b/>
                <w:color w:val="1C3A36"/>
                <w:sz w:val="17"/>
              </w:rPr>
              <w:t>ROAE</w:t>
            </w:r>
          </w:p>
        </w:tc>
        <w:tc>
          <w:tcPr>
            <w:tcW w:type="dxa" w:w="864"/>
            <w:shd w:val="clear" w:color="auto" w:fill="EAF0EE"/>
          </w:tcPr>
          <w:p>
            <w:pPr>
              <w:spacing w:after="20"/>
            </w:pPr>
            <w:r>
              <w:rPr>
                <w:b/>
                <w:color w:val="1C3A36"/>
                <w:sz w:val="17"/>
              </w:rPr>
              <w:t>g</w:t>
            </w:r>
          </w:p>
        </w:tc>
        <w:tc>
          <w:tcPr>
            <w:tcW w:type="dxa" w:w="1512"/>
            <w:shd w:val="clear" w:color="auto" w:fill="EAF0EE"/>
          </w:tcPr>
          <w:p>
            <w:pPr>
              <w:spacing w:after="20"/>
            </w:pPr>
            <w:r>
              <w:rPr>
                <w:b/>
                <w:color w:val="1C3A36"/>
                <w:sz w:val="17"/>
              </w:rPr>
              <w:t>Justified P/B</w:t>
            </w:r>
          </w:p>
        </w:tc>
        <w:tc>
          <w:tcPr>
            <w:tcW w:type="dxa" w:w="1872"/>
            <w:shd w:val="clear" w:color="auto" w:fill="EAF0EE"/>
          </w:tcPr>
          <w:p>
            <w:pPr>
              <w:spacing w:after="20"/>
            </w:pPr>
            <w:r>
              <w:rPr>
                <w:b/>
                <w:color w:val="1C3A36"/>
                <w:sz w:val="17"/>
              </w:rPr>
              <w:t>Value/share (AED)</w:t>
            </w:r>
          </w:p>
        </w:tc>
      </w:tr>
      <w:tr>
        <w:tc>
          <w:tcPr>
            <w:tcW w:type="dxa" w:w="4464"/>
          </w:tcPr>
          <w:p>
            <w:pPr>
              <w:spacing w:after="20"/>
            </w:pPr>
            <w:r>
              <w:rPr>
                <w:b/>
                <w:color w:val="1C3A36"/>
                <w:sz w:val="17"/>
              </w:rPr>
              <w:t>Audit-haircut (cleaned ROAE −50bp for the debt finding; book −5%)</w:t>
            </w:r>
          </w:p>
        </w:tc>
        <w:tc>
          <w:tcPr>
            <w:tcW w:type="dxa" w:w="1080"/>
          </w:tcPr>
          <w:p>
            <w:pPr>
              <w:spacing w:after="20"/>
              <w:jc w:val="right"/>
            </w:pPr>
            <w:r>
              <w:rPr>
                <w:color w:val="1C3A36"/>
                <w:sz w:val="17"/>
              </w:rPr>
              <w:t>9.8%</w:t>
            </w:r>
          </w:p>
        </w:tc>
        <w:tc>
          <w:tcPr>
            <w:tcW w:type="dxa" w:w="864"/>
          </w:tcPr>
          <w:p>
            <w:pPr>
              <w:spacing w:after="20"/>
              <w:jc w:val="right"/>
            </w:pPr>
            <w:r>
              <w:rPr>
                <w:color w:val="1C3A36"/>
                <w:sz w:val="17"/>
              </w:rPr>
              <w:t>3.5%</w:t>
            </w:r>
          </w:p>
        </w:tc>
        <w:tc>
          <w:tcPr>
            <w:tcW w:type="dxa" w:w="1512"/>
          </w:tcPr>
          <w:p>
            <w:pPr>
              <w:spacing w:after="20"/>
              <w:jc w:val="right"/>
            </w:pPr>
            <w:r>
              <w:rPr>
                <w:color w:val="1C3A36"/>
                <w:sz w:val="17"/>
              </w:rPr>
              <w:t>1.04</w:t>
            </w:r>
          </w:p>
        </w:tc>
        <w:tc>
          <w:tcPr>
            <w:tcW w:type="dxa" w:w="1872"/>
          </w:tcPr>
          <w:p>
            <w:pPr>
              <w:spacing w:after="20"/>
              <w:jc w:val="right"/>
            </w:pPr>
            <w:r>
              <w:rPr>
                <w:color w:val="1C3A36"/>
                <w:sz w:val="17"/>
              </w:rPr>
              <w:t>5.91</w:t>
            </w:r>
          </w:p>
        </w:tc>
      </w:tr>
      <w:tr>
        <w:tc>
          <w:tcPr>
            <w:tcW w:type="dxa" w:w="4464"/>
            <w:shd w:val="clear" w:color="auto" w:fill="F6F1E6"/>
          </w:tcPr>
          <w:p>
            <w:pPr>
              <w:spacing w:after="20"/>
            </w:pPr>
            <w:r>
              <w:rPr>
                <w:b/>
                <w:color w:val="1C3A36"/>
                <w:sz w:val="17"/>
              </w:rPr>
              <w:t>Base — cleaned ROAE, cash-quality earnings only</w:t>
            </w:r>
          </w:p>
        </w:tc>
        <w:tc>
          <w:tcPr>
            <w:tcW w:type="dxa" w:w="1080"/>
            <w:shd w:val="clear" w:color="auto" w:fill="F6F1E6"/>
          </w:tcPr>
          <w:p>
            <w:pPr>
              <w:spacing w:after="20"/>
              <w:jc w:val="right"/>
            </w:pPr>
            <w:r>
              <w:rPr>
                <w:b/>
                <w:color w:val="1C3A36"/>
                <w:sz w:val="17"/>
              </w:rPr>
              <w:t>10.3%</w:t>
            </w:r>
          </w:p>
        </w:tc>
        <w:tc>
          <w:tcPr>
            <w:tcW w:type="dxa" w:w="864"/>
            <w:shd w:val="clear" w:color="auto" w:fill="F6F1E6"/>
          </w:tcPr>
          <w:p>
            <w:pPr>
              <w:spacing w:after="20"/>
              <w:jc w:val="right"/>
            </w:pPr>
            <w:r>
              <w:rPr>
                <w:b/>
                <w:color w:val="1C3A36"/>
                <w:sz w:val="17"/>
              </w:rPr>
              <w:t>4.0%</w:t>
            </w:r>
          </w:p>
        </w:tc>
        <w:tc>
          <w:tcPr>
            <w:tcW w:type="dxa" w:w="1512"/>
            <w:shd w:val="clear" w:color="auto" w:fill="F6F1E6"/>
          </w:tcPr>
          <w:p>
            <w:pPr>
              <w:spacing w:after="20"/>
              <w:jc w:val="right"/>
            </w:pPr>
            <w:r>
              <w:rPr>
                <w:b/>
                <w:color w:val="1C3A36"/>
                <w:sz w:val="17"/>
              </w:rPr>
              <w:t>1.13</w:t>
            </w:r>
          </w:p>
        </w:tc>
        <w:tc>
          <w:tcPr>
            <w:tcW w:type="dxa" w:w="1872"/>
            <w:shd w:val="clear" w:color="auto" w:fill="F6F1E6"/>
          </w:tcPr>
          <w:p>
            <w:pPr>
              <w:spacing w:after="20"/>
              <w:jc w:val="right"/>
            </w:pPr>
            <w:r>
              <w:rPr>
                <w:b/>
                <w:color w:val="1C3A36"/>
                <w:sz w:val="17"/>
              </w:rPr>
              <w:t>6.78</w:t>
            </w:r>
          </w:p>
        </w:tc>
      </w:tr>
      <w:tr>
        <w:tc>
          <w:tcPr>
            <w:tcW w:type="dxa" w:w="4464"/>
          </w:tcPr>
          <w:p>
            <w:pPr>
              <w:spacing w:after="20"/>
            </w:pPr>
            <w:r>
              <w:rPr>
                <w:b/>
                <w:color w:val="1C3A36"/>
                <w:sz w:val="17"/>
              </w:rPr>
              <w:t>Reported ROAE accepted, capped at par-NAV/book</w:t>
            </w:r>
          </w:p>
        </w:tc>
        <w:tc>
          <w:tcPr>
            <w:tcW w:type="dxa" w:w="1080"/>
          </w:tcPr>
          <w:p>
            <w:pPr>
              <w:spacing w:after="20"/>
              <w:jc w:val="right"/>
            </w:pPr>
            <w:r>
              <w:rPr>
                <w:color w:val="1C3A36"/>
                <w:sz w:val="17"/>
              </w:rPr>
              <w:t>14.3%</w:t>
            </w:r>
          </w:p>
        </w:tc>
        <w:tc>
          <w:tcPr>
            <w:tcW w:type="dxa" w:w="864"/>
          </w:tcPr>
          <w:p>
            <w:pPr>
              <w:spacing w:after="20"/>
              <w:jc w:val="right"/>
            </w:pPr>
            <w:r>
              <w:rPr>
                <w:color w:val="1C3A36"/>
                <w:sz w:val="17"/>
              </w:rPr>
              <w:t>4.5%</w:t>
            </w:r>
          </w:p>
        </w:tc>
        <w:tc>
          <w:tcPr>
            <w:tcW w:type="dxa" w:w="1512"/>
          </w:tcPr>
          <w:p>
            <w:pPr>
              <w:spacing w:after="20"/>
              <w:jc w:val="right"/>
            </w:pPr>
            <w:r>
              <w:rPr>
                <w:color w:val="1C3A36"/>
                <w:sz w:val="17"/>
              </w:rPr>
              <w:t>1.24</w:t>
            </w:r>
          </w:p>
        </w:tc>
        <w:tc>
          <w:tcPr>
            <w:tcW w:type="dxa" w:w="1872"/>
          </w:tcPr>
          <w:p>
            <w:pPr>
              <w:spacing w:after="20"/>
              <w:jc w:val="right"/>
            </w:pPr>
            <w:r>
              <w:rPr>
                <w:color w:val="1C3A36"/>
                <w:sz w:val="17"/>
              </w:rPr>
              <w:t>7.44</w:t>
            </w:r>
          </w:p>
        </w:tc>
      </w:tr>
    </w:tbl>
    <w:p>
      <w:pPr>
        <w:spacing w:after="40"/>
      </w:pPr>
    </w:p>
    <w:p>
      <w:pPr>
        <w:spacing w:after="120" w:before="0"/>
      </w:pPr>
      <w:r>
        <w:rPr>
          <w:b w:val="0"/>
          <w:i w:val="0"/>
          <w:color w:val="1C3A36"/>
          <w:sz w:val="19"/>
        </w:rPr>
        <w:t>Base AED 6.78 (range 5.91–7.44). Where this expert diverges from the house: no credit for the look-through multiple at all — the reconciliation in Exhibit 1 is a truth test, not a lens; capitalizing earnings the marks already price would double-count Aldar’s terminal value. Falsification: two consecutive quarters in which the FV-gain engine converts to cash (disposals at or above the marks) would justify migrating from cleaned to reported ROAE, moving the base toward 7.4; an NCTH-scale restatement or a borrowings note materially above the derived 41.4 bn moves it toward the haircut row.</w:t>
      </w:r>
    </w:p>
    <w:p>
      <w:pPr>
        <w:spacing w:after="80" w:before="200"/>
      </w:pPr>
      <w:r>
        <w:rPr>
          <w:b/>
          <w:i w:val="0"/>
          <w:color w:val="1C3A36"/>
          <w:sz w:val="24"/>
        </w:rPr>
        <w:t>C.3  Expert 3 — Macro-Policy</w:t>
      </w:r>
    </w:p>
    <w:p>
      <w:pPr>
        <w:spacing w:after="120" w:before="0"/>
      </w:pPr>
      <w:r>
        <w:rPr>
          <w:b w:val="0"/>
          <w:i w:val="0"/>
          <w:color w:val="1C3A36"/>
          <w:sz w:val="19"/>
        </w:rPr>
        <w:t>Method. The protocol’s third holdco persona prices the policy state, not the spreadsheet: for a dirham-pegged holding whose assets are duration-heavy (a developer, a hospital platform, a hotel platform) and whose pipeline is fiscal (state-linked construction and dredging), four policy channels dominate — the Fed/CBUAE rate path the peg imports, the UAE DMTT 15% corporate-tax glide (FY25 ETR 10.2% → 15%), the oil-fiscal pulse behind Abu Dhabi’s project pipeline, and index/flows mechanics on a ~9% free float. The 2026 tape says the state dominates: a −45% war leg and a +20% ceasefire leg inside four months, with no change in the assets. Three policy states over ~12 months: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944"/>
            <w:shd w:val="clear" w:color="auto" w:fill="EAF0EE"/>
          </w:tcPr>
          <w:p>
            <w:pPr>
              <w:spacing w:after="20"/>
            </w:pPr>
            <w:r>
              <w:rPr>
                <w:b/>
                <w:color w:val="1C3A36"/>
                <w:sz w:val="16"/>
              </w:rPr>
              <w:t>State</w:t>
            </w:r>
          </w:p>
        </w:tc>
        <w:tc>
          <w:tcPr>
            <w:tcW w:type="dxa" w:w="720"/>
            <w:shd w:val="clear" w:color="auto" w:fill="EAF0EE"/>
          </w:tcPr>
          <w:p>
            <w:pPr>
              <w:spacing w:after="20"/>
            </w:pPr>
            <w:r>
              <w:rPr>
                <w:b/>
                <w:color w:val="1C3A36"/>
                <w:sz w:val="16"/>
              </w:rPr>
              <w:t>Prob.</w:t>
            </w:r>
          </w:p>
        </w:tc>
        <w:tc>
          <w:tcPr>
            <w:tcW w:type="dxa" w:w="3456"/>
            <w:shd w:val="clear" w:color="auto" w:fill="EAF0EE"/>
          </w:tcPr>
          <w:p>
            <w:pPr>
              <w:spacing w:after="20"/>
            </w:pPr>
            <w:r>
              <w:rPr>
                <w:b/>
                <w:color w:val="1C3A36"/>
                <w:sz w:val="16"/>
              </w:rPr>
              <w:t>Policy configuration</w:t>
            </w:r>
          </w:p>
        </w:tc>
        <w:tc>
          <w:tcPr>
            <w:tcW w:type="dxa" w:w="2664"/>
            <w:shd w:val="clear" w:color="auto" w:fill="EAF0EE"/>
          </w:tcPr>
          <w:p>
            <w:pPr>
              <w:spacing w:after="20"/>
            </w:pPr>
            <w:r>
              <w:rPr>
                <w:b/>
                <w:color w:val="1C3A36"/>
                <w:sz w:val="16"/>
              </w:rPr>
              <w:t>Valuation logic</w:t>
            </w:r>
          </w:p>
        </w:tc>
        <w:tc>
          <w:tcPr>
            <w:tcW w:type="dxa" w:w="93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Contribution</w:t>
            </w:r>
          </w:p>
        </w:tc>
      </w:tr>
      <w:tr>
        <w:tc>
          <w:tcPr>
            <w:tcW w:type="dxa" w:w="1944"/>
          </w:tcPr>
          <w:p>
            <w:pPr>
              <w:spacing w:after="20"/>
            </w:pPr>
            <w:r>
              <w:rPr>
                <w:b/>
                <w:color w:val="1C3A36"/>
                <w:sz w:val="16"/>
              </w:rPr>
              <w:t>A — easing + fiscal expansion</w:t>
            </w:r>
          </w:p>
        </w:tc>
        <w:tc>
          <w:tcPr>
            <w:tcW w:type="dxa" w:w="720"/>
          </w:tcPr>
          <w:p>
            <w:pPr>
              <w:spacing w:after="20"/>
              <w:jc w:val="right"/>
            </w:pPr>
            <w:r>
              <w:rPr>
                <w:color w:val="1C3A36"/>
                <w:sz w:val="16"/>
              </w:rPr>
              <w:t>35%</w:t>
            </w:r>
          </w:p>
        </w:tc>
        <w:tc>
          <w:tcPr>
            <w:tcW w:type="dxa" w:w="3456"/>
          </w:tcPr>
          <w:p>
            <w:pPr>
              <w:spacing w:after="20"/>
              <w:jc w:val="right"/>
            </w:pPr>
            <w:r>
              <w:rPr>
                <w:color w:val="1C3A36"/>
                <w:sz w:val="16"/>
              </w:rPr>
              <w:t>Fed cuts ~100bp through mid-27; the peg imports them; oil holds the fiscal pulse; DMTT drag absorbed by growth</w:t>
            </w:r>
          </w:p>
        </w:tc>
        <w:tc>
          <w:tcPr>
            <w:tcW w:type="dxa" w:w="2664"/>
          </w:tcPr>
          <w:p>
            <w:pPr>
              <w:spacing w:after="20"/>
              <w:jc w:val="right"/>
            </w:pPr>
            <w:r>
              <w:rPr>
                <w:color w:val="1C3A36"/>
                <w:sz w:val="16"/>
              </w:rPr>
              <w:t>Ke −100bp lifts the duration-heavy marks ~+8% look-through; premium defended</w:t>
            </w:r>
          </w:p>
        </w:tc>
        <w:tc>
          <w:tcPr>
            <w:tcW w:type="dxa" w:w="936"/>
          </w:tcPr>
          <w:p>
            <w:pPr>
              <w:spacing w:after="20"/>
              <w:jc w:val="right"/>
            </w:pPr>
            <w:r>
              <w:rPr>
                <w:color w:val="1C3A36"/>
                <w:sz w:val="16"/>
              </w:rPr>
              <w:t>AED 8.20</w:t>
            </w:r>
          </w:p>
        </w:tc>
        <w:tc>
          <w:tcPr>
            <w:tcW w:type="dxa" w:w="1224"/>
          </w:tcPr>
          <w:p>
            <w:pPr>
              <w:spacing w:after="20"/>
              <w:jc w:val="right"/>
            </w:pPr>
            <w:r>
              <w:rPr>
                <w:color w:val="1C3A36"/>
                <w:sz w:val="16"/>
              </w:rPr>
              <w:t>2.87</w:t>
            </w:r>
          </w:p>
        </w:tc>
      </w:tr>
      <w:tr>
        <w:tc>
          <w:tcPr>
            <w:tcW w:type="dxa" w:w="1944"/>
          </w:tcPr>
          <w:p>
            <w:pPr>
              <w:spacing w:after="20"/>
            </w:pPr>
            <w:r>
              <w:rPr>
                <w:b/>
                <w:color w:val="1C3A36"/>
                <w:sz w:val="16"/>
              </w:rPr>
              <w:t>B — hold / neutral</w:t>
            </w:r>
          </w:p>
        </w:tc>
        <w:tc>
          <w:tcPr>
            <w:tcW w:type="dxa" w:w="720"/>
          </w:tcPr>
          <w:p>
            <w:pPr>
              <w:spacing w:after="20"/>
              <w:jc w:val="right"/>
            </w:pPr>
            <w:r>
              <w:rPr>
                <w:color w:val="1C3A36"/>
                <w:sz w:val="16"/>
              </w:rPr>
              <w:t>40%</w:t>
            </w:r>
          </w:p>
        </w:tc>
        <w:tc>
          <w:tcPr>
            <w:tcW w:type="dxa" w:w="3456"/>
          </w:tcPr>
          <w:p>
            <w:pPr>
              <w:spacing w:after="20"/>
              <w:jc w:val="right"/>
            </w:pPr>
            <w:r>
              <w:rPr>
                <w:color w:val="1C3A36"/>
                <w:sz w:val="16"/>
              </w:rPr>
              <w:t>Higher-for-longer; DMTT glide bites (~0.4 bn attributable by FY28); no crisis, no catalyst</w:t>
            </w:r>
          </w:p>
        </w:tc>
        <w:tc>
          <w:tcPr>
            <w:tcW w:type="dxa" w:w="2664"/>
          </w:tcPr>
          <w:p>
            <w:pPr>
              <w:spacing w:after="20"/>
              <w:jc w:val="right"/>
            </w:pPr>
            <w:r>
              <w:rPr>
                <w:color w:val="1C3A36"/>
                <w:sz w:val="16"/>
              </w:rPr>
              <w:t>Discounted-NAV gravity + carry: 6.32 × ~1.09</w:t>
            </w:r>
          </w:p>
        </w:tc>
        <w:tc>
          <w:tcPr>
            <w:tcW w:type="dxa" w:w="936"/>
          </w:tcPr>
          <w:p>
            <w:pPr>
              <w:spacing w:after="20"/>
              <w:jc w:val="right"/>
            </w:pPr>
            <w:r>
              <w:rPr>
                <w:color w:val="1C3A36"/>
                <w:sz w:val="16"/>
              </w:rPr>
              <w:t>AED 6.90</w:t>
            </w:r>
          </w:p>
        </w:tc>
        <w:tc>
          <w:tcPr>
            <w:tcW w:type="dxa" w:w="1224"/>
          </w:tcPr>
          <w:p>
            <w:pPr>
              <w:spacing w:after="20"/>
              <w:jc w:val="right"/>
            </w:pPr>
            <w:r>
              <w:rPr>
                <w:color w:val="1C3A36"/>
                <w:sz w:val="16"/>
              </w:rPr>
              <w:t>2.76</w:t>
            </w:r>
          </w:p>
        </w:tc>
      </w:tr>
      <w:tr>
        <w:tc>
          <w:tcPr>
            <w:tcW w:type="dxa" w:w="1944"/>
          </w:tcPr>
          <w:p>
            <w:pPr>
              <w:spacing w:after="20"/>
            </w:pPr>
            <w:r>
              <w:rPr>
                <w:b/>
                <w:color w:val="1C3A36"/>
                <w:sz w:val="16"/>
              </w:rPr>
              <w:t>C — war-fiscal stress</w:t>
            </w:r>
          </w:p>
        </w:tc>
        <w:tc>
          <w:tcPr>
            <w:tcW w:type="dxa" w:w="720"/>
          </w:tcPr>
          <w:p>
            <w:pPr>
              <w:spacing w:after="20"/>
              <w:jc w:val="right"/>
            </w:pPr>
            <w:r>
              <w:rPr>
                <w:color w:val="1C3A36"/>
                <w:sz w:val="16"/>
              </w:rPr>
              <w:t>25%</w:t>
            </w:r>
          </w:p>
        </w:tc>
        <w:tc>
          <w:tcPr>
            <w:tcW w:type="dxa" w:w="3456"/>
          </w:tcPr>
          <w:p>
            <w:pPr>
              <w:spacing w:after="20"/>
              <w:jc w:val="right"/>
            </w:pPr>
            <w:r>
              <w:rPr>
                <w:color w:val="1C3A36"/>
                <w:sz w:val="16"/>
              </w:rPr>
              <w:t>Re-escalation persists; Hormuz premium in every ADX mark; fiscal pipeline pauses</w:t>
            </w:r>
          </w:p>
        </w:tc>
        <w:tc>
          <w:tcPr>
            <w:tcW w:type="dxa" w:w="2664"/>
          </w:tcPr>
          <w:p>
            <w:pPr>
              <w:spacing w:after="20"/>
              <w:jc w:val="right"/>
            </w:pPr>
            <w:r>
              <w:rPr>
                <w:color w:val="1C3A36"/>
                <w:sz w:val="16"/>
              </w:rPr>
              <w:t>Stressed NAV at a 25% discount</w:t>
            </w:r>
          </w:p>
        </w:tc>
        <w:tc>
          <w:tcPr>
            <w:tcW w:type="dxa" w:w="936"/>
          </w:tcPr>
          <w:p>
            <w:pPr>
              <w:spacing w:after="20"/>
              <w:jc w:val="right"/>
            </w:pPr>
            <w:r>
              <w:rPr>
                <w:color w:val="1C3A36"/>
                <w:sz w:val="16"/>
              </w:rPr>
              <w:t>AED 5.60</w:t>
            </w:r>
          </w:p>
        </w:tc>
        <w:tc>
          <w:tcPr>
            <w:tcW w:type="dxa" w:w="1224"/>
          </w:tcPr>
          <w:p>
            <w:pPr>
              <w:spacing w:after="20"/>
              <w:jc w:val="right"/>
            </w:pPr>
            <w:r>
              <w:rPr>
                <w:color w:val="1C3A36"/>
                <w:sz w:val="16"/>
              </w:rPr>
              <w:t>1.40</w:t>
            </w:r>
          </w:p>
        </w:tc>
      </w:tr>
      <w:tr>
        <w:tc>
          <w:tcPr>
            <w:tcW w:type="dxa" w:w="1944"/>
            <w:shd w:val="clear" w:color="auto" w:fill="F6F1E6"/>
          </w:tcPr>
          <w:p>
            <w:pPr>
              <w:spacing w:after="20"/>
            </w:pPr>
            <w:r>
              <w:rPr>
                <w:b/>
                <w:color w:val="1C3A36"/>
                <w:sz w:val="16"/>
              </w:rPr>
              <w:t>Probability-weighted value</w:t>
            </w:r>
          </w:p>
        </w:tc>
        <w:tc>
          <w:tcPr>
            <w:tcW w:type="dxa" w:w="720"/>
            <w:shd w:val="clear" w:color="auto" w:fill="F6F1E6"/>
          </w:tcPr>
          <w:p>
            <w:pPr>
              <w:spacing w:after="20"/>
              <w:jc w:val="right"/>
            </w:pPr>
            <w:r>
              <w:rPr>
                <w:b/>
                <w:color w:val="1C3A36"/>
                <w:sz w:val="16"/>
              </w:rPr>
            </w:r>
          </w:p>
        </w:tc>
        <w:tc>
          <w:tcPr>
            <w:tcW w:type="dxa" w:w="3456"/>
            <w:shd w:val="clear" w:color="auto" w:fill="F6F1E6"/>
          </w:tcPr>
          <w:p>
            <w:pPr>
              <w:spacing w:after="20"/>
              <w:jc w:val="right"/>
            </w:pPr>
            <w:r>
              <w:rPr>
                <w:b/>
                <w:color w:val="1C3A36"/>
                <w:sz w:val="16"/>
              </w:rPr>
            </w:r>
          </w:p>
        </w:tc>
        <w:tc>
          <w:tcPr>
            <w:tcW w:type="dxa" w:w="2664"/>
            <w:shd w:val="clear" w:color="auto" w:fill="F6F1E6"/>
          </w:tcPr>
          <w:p>
            <w:pPr>
              <w:spacing w:after="20"/>
              <w:jc w:val="right"/>
            </w:pPr>
            <w:r>
              <w:rPr>
                <w:b/>
                <w:color w:val="1C3A36"/>
                <w:sz w:val="16"/>
              </w:rPr>
            </w:r>
          </w:p>
        </w:tc>
        <w:tc>
          <w:tcPr>
            <w:tcW w:type="dxa" w:w="936"/>
            <w:shd w:val="clear" w:color="auto" w:fill="F6F1E6"/>
          </w:tcPr>
          <w:p>
            <w:pPr>
              <w:spacing w:after="20"/>
              <w:jc w:val="right"/>
            </w:pPr>
            <w:r>
              <w:rPr>
                <w:b/>
                <w:color w:val="1C3A36"/>
                <w:sz w:val="16"/>
              </w:rPr>
              <w:t>AED 7.03</w:t>
            </w:r>
          </w:p>
        </w:tc>
        <w:tc>
          <w:tcPr>
            <w:tcW w:type="dxa" w:w="1224"/>
            <w:shd w:val="clear" w:color="auto" w:fill="F6F1E6"/>
          </w:tcPr>
          <w:p>
            <w:pPr>
              <w:spacing w:after="20"/>
              <w:jc w:val="right"/>
            </w:pPr>
            <w:r>
              <w:rPr>
                <w:b/>
                <w:color w:val="1C3A36"/>
                <w:sz w:val="16"/>
              </w:rPr>
              <w:t>= 2.87+2.76+1.40</w:t>
            </w:r>
          </w:p>
        </w:tc>
      </w:tr>
    </w:tbl>
    <w:p>
      <w:pPr>
        <w:spacing w:after="40"/>
      </w:pPr>
    </w:p>
    <w:p>
      <w:pPr>
        <w:spacing w:after="120" w:before="0"/>
      </w:pPr>
      <w:r>
        <w:rPr>
          <w:b w:val="0"/>
          <w:i w:val="0"/>
          <w:color w:val="1C3A36"/>
          <w:sz w:val="19"/>
        </w:rPr>
        <w:t>Two features deserve emphasis. First, even the friendly state yields only AED 8.20 — easing removes a tail and lifts the marks, but it cannot restore the 2024 growth narrative that two years of falling attributable EPS retired. Second, the DMTT glide is the quiet, certain drag: it is already in the DCF’s tax path and in state B here; it never appears in the bull case because policy certainty is not a catalyst. Sensitivity of the weighted value to the weights: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752"/>
            <w:shd w:val="clear" w:color="auto" w:fill="EAF0EE"/>
          </w:tcPr>
          <w:p>
            <w:pPr>
              <w:spacing w:after="20"/>
            </w:pPr>
            <w:r>
              <w:rPr>
                <w:b/>
                <w:color w:val="1C3A36"/>
                <w:sz w:val="17"/>
              </w:rPr>
              <w:t>Weight shift (A / B / C)</w:t>
            </w:r>
          </w:p>
        </w:tc>
        <w:tc>
          <w:tcPr>
            <w:tcW w:type="dxa" w:w="2232"/>
            <w:shd w:val="clear" w:color="auto" w:fill="EAF0EE"/>
          </w:tcPr>
          <w:p>
            <w:pPr>
              <w:spacing w:after="20"/>
            </w:pPr>
            <w:r>
              <w:rPr>
                <w:b/>
                <w:color w:val="1C3A36"/>
                <w:sz w:val="17"/>
              </w:rPr>
              <w:t>Weighted value (AED)</w:t>
            </w:r>
          </w:p>
        </w:tc>
        <w:tc>
          <w:tcPr>
            <w:tcW w:type="dxa" w:w="3240"/>
            <w:shd w:val="clear" w:color="auto" w:fill="EAF0EE"/>
          </w:tcPr>
          <w:p>
            <w:pPr>
              <w:spacing w:after="20"/>
            </w:pPr>
            <w:r>
              <w:rPr>
                <w:b/>
                <w:color w:val="1C3A36"/>
                <w:sz w:val="17"/>
              </w:rPr>
              <w:t>Reading</w:t>
            </w:r>
          </w:p>
        </w:tc>
      </w:tr>
      <w:tr>
        <w:tc>
          <w:tcPr>
            <w:tcW w:type="dxa" w:w="4752"/>
          </w:tcPr>
          <w:p>
            <w:pPr>
              <w:spacing w:after="20"/>
            </w:pPr>
            <w:r>
              <w:rPr>
                <w:b/>
                <w:color w:val="1C3A36"/>
                <w:sz w:val="17"/>
              </w:rPr>
              <w:t>50 / 35 / 15 — durable ceasefire + Fed cutting</w:t>
            </w:r>
          </w:p>
        </w:tc>
        <w:tc>
          <w:tcPr>
            <w:tcW w:type="dxa" w:w="2232"/>
          </w:tcPr>
          <w:p>
            <w:pPr>
              <w:spacing w:after="20"/>
              <w:jc w:val="right"/>
            </w:pPr>
            <w:r>
              <w:rPr>
                <w:color w:val="1C3A36"/>
                <w:sz w:val="17"/>
              </w:rPr>
              <w:t>7.36</w:t>
            </w:r>
          </w:p>
        </w:tc>
        <w:tc>
          <w:tcPr>
            <w:tcW w:type="dxa" w:w="3240"/>
          </w:tcPr>
          <w:p>
            <w:pPr>
              <w:spacing w:after="20"/>
              <w:jc w:val="right"/>
            </w:pPr>
            <w:r>
              <w:rPr>
                <w:color w:val="1C3A36"/>
                <w:sz w:val="17"/>
              </w:rPr>
              <w:t>The falsification case: ~15 pts move C→A</w:t>
            </w:r>
          </w:p>
        </w:tc>
      </w:tr>
      <w:tr>
        <w:tc>
          <w:tcPr>
            <w:tcW w:type="dxa" w:w="4752"/>
            <w:shd w:val="clear" w:color="auto" w:fill="F6F1E6"/>
          </w:tcPr>
          <w:p>
            <w:pPr>
              <w:spacing w:after="20"/>
            </w:pPr>
            <w:r>
              <w:rPr>
                <w:b/>
                <w:color w:val="1C3A36"/>
                <w:sz w:val="17"/>
              </w:rPr>
              <w:t>35 / 40 / 25 — base</w:t>
            </w:r>
          </w:p>
        </w:tc>
        <w:tc>
          <w:tcPr>
            <w:tcW w:type="dxa" w:w="2232"/>
            <w:shd w:val="clear" w:color="auto" w:fill="F6F1E6"/>
          </w:tcPr>
          <w:p>
            <w:pPr>
              <w:spacing w:after="20"/>
              <w:jc w:val="right"/>
            </w:pPr>
            <w:r>
              <w:rPr>
                <w:b/>
                <w:color w:val="1C3A36"/>
                <w:sz w:val="17"/>
              </w:rPr>
              <w:t>7.03</w:t>
            </w:r>
          </w:p>
        </w:tc>
        <w:tc>
          <w:tcPr>
            <w:tcW w:type="dxa" w:w="3240"/>
            <w:shd w:val="clear" w:color="auto" w:fill="F6F1E6"/>
          </w:tcPr>
          <w:p>
            <w:pPr>
              <w:spacing w:after="20"/>
              <w:jc w:val="right"/>
            </w:pPr>
            <w:r>
              <w:rPr>
                <w:b/>
                <w:color w:val="1C3A36"/>
                <w:sz w:val="17"/>
              </w:rPr>
              <w:t>As published</w:t>
            </w:r>
          </w:p>
        </w:tc>
      </w:tr>
      <w:tr>
        <w:tc>
          <w:tcPr>
            <w:tcW w:type="dxa" w:w="4752"/>
          </w:tcPr>
          <w:p>
            <w:pPr>
              <w:spacing w:after="20"/>
            </w:pPr>
            <w:r>
              <w:rPr>
                <w:b/>
                <w:color w:val="1C3A36"/>
                <w:sz w:val="17"/>
              </w:rPr>
              <w:t>25 / 40 / 35 — war regime entrenched</w:t>
            </w:r>
          </w:p>
        </w:tc>
        <w:tc>
          <w:tcPr>
            <w:tcW w:type="dxa" w:w="2232"/>
          </w:tcPr>
          <w:p>
            <w:pPr>
              <w:spacing w:after="20"/>
              <w:jc w:val="right"/>
            </w:pPr>
            <w:r>
              <w:rPr>
                <w:color w:val="1C3A36"/>
                <w:sz w:val="17"/>
              </w:rPr>
              <w:t>6.77</w:t>
            </w:r>
          </w:p>
        </w:tc>
        <w:tc>
          <w:tcPr>
            <w:tcW w:type="dxa" w:w="3240"/>
          </w:tcPr>
          <w:p>
            <w:pPr>
              <w:spacing w:after="20"/>
              <w:jc w:val="right"/>
            </w:pPr>
            <w:r>
              <w:rPr>
                <w:color w:val="1C3A36"/>
                <w:sz w:val="17"/>
              </w:rPr>
              <w:t>Roughly where the 7–8 Jul news pushes the tree</w:t>
            </w:r>
          </w:p>
        </w:tc>
      </w:tr>
      <w:tr>
        <w:tc>
          <w:tcPr>
            <w:tcW w:type="dxa" w:w="4752"/>
          </w:tcPr>
          <w:p>
            <w:pPr>
              <w:spacing w:after="20"/>
            </w:pPr>
            <w:r>
              <w:rPr>
                <w:b/>
                <w:color w:val="1C3A36"/>
                <w:sz w:val="17"/>
              </w:rPr>
              <w:t>15 / 35 / 50 — sustained closure + higher-for-longer</w:t>
            </w:r>
          </w:p>
        </w:tc>
        <w:tc>
          <w:tcPr>
            <w:tcW w:type="dxa" w:w="2232"/>
          </w:tcPr>
          <w:p>
            <w:pPr>
              <w:spacing w:after="20"/>
              <w:jc w:val="right"/>
            </w:pPr>
            <w:r>
              <w:rPr>
                <w:color w:val="1C3A36"/>
                <w:sz w:val="17"/>
              </w:rPr>
              <w:t>6.44</w:t>
            </w:r>
          </w:p>
        </w:tc>
        <w:tc>
          <w:tcPr>
            <w:tcW w:type="dxa" w:w="3240"/>
          </w:tcPr>
          <w:p>
            <w:pPr>
              <w:spacing w:after="20"/>
              <w:jc w:val="right"/>
            </w:pPr>
            <w:r>
              <w:rPr>
                <w:color w:val="1C3A36"/>
                <w:sz w:val="17"/>
              </w:rPr>
              <w:t>Still above the 25%-discount NAV floor</w:t>
            </w:r>
          </w:p>
        </w:tc>
      </w:tr>
    </w:tbl>
    <w:p>
      <w:pPr>
        <w:spacing w:after="40"/>
      </w:pPr>
    </w:p>
    <w:p>
      <w:pPr>
        <w:spacing w:after="120" w:before="0"/>
      </w:pPr>
      <w:r>
        <w:rPr>
          <w:b w:val="0"/>
          <w:i w:val="0"/>
          <w:color w:val="1C3A36"/>
          <w:sz w:val="19"/>
        </w:rPr>
        <w:t>Note the last row: even a half-weight on the stress state keeps this method above AED 6.4, because the stress state is anchored to marked NAV rather than to panic prices. Falsification: the weights are the opinion — a durable ceasefire with the Fed cutting moves the value to ~7.4; a second Hormuz closure of a month or more, or a UAE decision to accelerate Pillar-Two top-ups, justifies the 6.4 row.</w:t>
      </w:r>
    </w:p>
    <w:p>
      <w:pPr>
        <w:spacing w:after="80" w:before="200"/>
      </w:pPr>
      <w:r>
        <w:rPr>
          <w:b/>
          <w:i w:val="0"/>
          <w:color w:val="1C3A36"/>
          <w:sz w:val="24"/>
        </w:rPr>
        <w:t>C.4  The three in one room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368"/>
            <w:shd w:val="clear" w:color="auto" w:fill="EAF0EE"/>
          </w:tcPr>
          <w:p>
            <w:pPr>
              <w:spacing w:after="20"/>
            </w:pPr>
            <w:r>
              <w:rPr>
                <w:b/>
                <w:color w:val="1C3A36"/>
                <w:sz w:val="17"/>
              </w:rPr>
              <w:t>Expert</w:t>
            </w:r>
          </w:p>
        </w:tc>
        <w:tc>
          <w:tcPr>
            <w:tcW w:type="dxa" w:w="2448"/>
            <w:shd w:val="clear" w:color="auto" w:fill="EAF0EE"/>
          </w:tcPr>
          <w:p>
            <w:pPr>
              <w:spacing w:after="20"/>
            </w:pPr>
            <w:r>
              <w:rPr>
                <w:b/>
                <w:color w:val="1C3A36"/>
                <w:sz w:val="17"/>
              </w:rPr>
              <w:t>Method family</w:t>
            </w:r>
          </w:p>
        </w:tc>
        <w:tc>
          <w:tcPr>
            <w:tcW w:type="dxa" w:w="1440"/>
            <w:shd w:val="clear" w:color="auto" w:fill="EAF0EE"/>
          </w:tcPr>
          <w:p>
            <w:pPr>
              <w:spacing w:after="20"/>
            </w:pPr>
            <w:r>
              <w:rPr>
                <w:b/>
                <w:color w:val="1C3A36"/>
                <w:sz w:val="17"/>
              </w:rPr>
              <w:t>Base (AED)</w:t>
            </w:r>
          </w:p>
        </w:tc>
        <w:tc>
          <w:tcPr>
            <w:tcW w:type="dxa" w:w="1944"/>
            <w:shd w:val="clear" w:color="auto" w:fill="EAF0EE"/>
          </w:tcPr>
          <w:p>
            <w:pPr>
              <w:spacing w:after="20"/>
            </w:pPr>
            <w:r>
              <w:rPr>
                <w:b/>
                <w:color w:val="1C3A36"/>
                <w:sz w:val="17"/>
              </w:rPr>
              <w:t>Range</w:t>
            </w:r>
          </w:p>
        </w:tc>
        <w:tc>
          <w:tcPr>
            <w:tcW w:type="dxa" w:w="3024"/>
            <w:shd w:val="clear" w:color="auto" w:fill="EAF0EE"/>
          </w:tcPr>
          <w:p>
            <w:pPr>
              <w:spacing w:after="20"/>
            </w:pPr>
            <w:r>
              <w:rPr>
                <w:b/>
                <w:color w:val="1C3A36"/>
                <w:sz w:val="17"/>
              </w:rPr>
              <w:t>One-line position</w:t>
            </w:r>
          </w:p>
        </w:tc>
      </w:tr>
      <w:tr>
        <w:tc>
          <w:tcPr>
            <w:tcW w:type="dxa" w:w="1368"/>
          </w:tcPr>
          <w:p>
            <w:pPr>
              <w:spacing w:after="20"/>
            </w:pPr>
            <w:r>
              <w:rPr>
                <w:b/>
                <w:color w:val="1C3A36"/>
                <w:sz w:val="17"/>
              </w:rPr>
              <w:t>Expert 1</w:t>
            </w:r>
          </w:p>
        </w:tc>
        <w:tc>
          <w:tcPr>
            <w:tcW w:type="dxa" w:w="2448"/>
          </w:tcPr>
          <w:p>
            <w:pPr>
              <w:spacing w:after="20"/>
              <w:jc w:val="right"/>
            </w:pPr>
            <w:r>
              <w:rPr>
                <w:color w:val="1C3A36"/>
                <w:sz w:val="17"/>
              </w:rPr>
              <w:t>NAV &amp; discount</w:t>
            </w:r>
          </w:p>
        </w:tc>
        <w:tc>
          <w:tcPr>
            <w:tcW w:type="dxa" w:w="1440"/>
          </w:tcPr>
          <w:p>
            <w:pPr>
              <w:spacing w:after="20"/>
              <w:jc w:val="right"/>
            </w:pPr>
            <w:r>
              <w:rPr>
                <w:color w:val="1C3A36"/>
                <w:sz w:val="17"/>
              </w:rPr>
              <w:t>6.3</w:t>
            </w:r>
          </w:p>
        </w:tc>
        <w:tc>
          <w:tcPr>
            <w:tcW w:type="dxa" w:w="1944"/>
          </w:tcPr>
          <w:p>
            <w:pPr>
              <w:spacing w:after="20"/>
              <w:jc w:val="right"/>
            </w:pPr>
            <w:r>
              <w:rPr>
                <w:color w:val="1C3A36"/>
                <w:sz w:val="17"/>
              </w:rPr>
              <w:t>5.2–7.4</w:t>
            </w:r>
          </w:p>
        </w:tc>
        <w:tc>
          <w:tcPr>
            <w:tcW w:type="dxa" w:w="3024"/>
          </w:tcPr>
          <w:p>
            <w:pPr>
              <w:spacing w:after="20"/>
              <w:jc w:val="right"/>
            </w:pPr>
            <w:r>
              <w:rPr>
                <w:color w:val="1C3A36"/>
                <w:sz w:val="17"/>
              </w:rPr>
              <w:t>The anchor is the marks; argue only about the discount</w:t>
            </w:r>
          </w:p>
        </w:tc>
      </w:tr>
      <w:tr>
        <w:tc>
          <w:tcPr>
            <w:tcW w:type="dxa" w:w="1368"/>
          </w:tcPr>
          <w:p>
            <w:pPr>
              <w:spacing w:after="20"/>
            </w:pPr>
            <w:r>
              <w:rPr>
                <w:b/>
                <w:color w:val="1C3A36"/>
                <w:sz w:val="17"/>
              </w:rPr>
              <w:t>Expert 2</w:t>
            </w:r>
          </w:p>
        </w:tc>
        <w:tc>
          <w:tcPr>
            <w:tcW w:type="dxa" w:w="2448"/>
          </w:tcPr>
          <w:p>
            <w:pPr>
              <w:spacing w:after="20"/>
              <w:jc w:val="right"/>
            </w:pPr>
            <w:r>
              <w:rPr>
                <w:color w:val="1C3A36"/>
                <w:sz w:val="17"/>
              </w:rPr>
              <w:t>Accountant — cleaned-book justified P/B</w:t>
            </w:r>
          </w:p>
        </w:tc>
        <w:tc>
          <w:tcPr>
            <w:tcW w:type="dxa" w:w="1440"/>
          </w:tcPr>
          <w:p>
            <w:pPr>
              <w:spacing w:after="20"/>
              <w:jc w:val="right"/>
            </w:pPr>
            <w:r>
              <w:rPr>
                <w:color w:val="1C3A36"/>
                <w:sz w:val="17"/>
              </w:rPr>
              <w:t>6.78</w:t>
            </w:r>
          </w:p>
        </w:tc>
        <w:tc>
          <w:tcPr>
            <w:tcW w:type="dxa" w:w="1944"/>
          </w:tcPr>
          <w:p>
            <w:pPr>
              <w:spacing w:after="20"/>
              <w:jc w:val="right"/>
            </w:pPr>
            <w:r>
              <w:rPr>
                <w:color w:val="1C3A36"/>
                <w:sz w:val="17"/>
              </w:rPr>
              <w:t>5.91–7.44</w:t>
            </w:r>
          </w:p>
        </w:tc>
        <w:tc>
          <w:tcPr>
            <w:tcW w:type="dxa" w:w="3024"/>
          </w:tcPr>
          <w:p>
            <w:pPr>
              <w:spacing w:after="20"/>
              <w:jc w:val="right"/>
            </w:pPr>
            <w:r>
              <w:rPr>
                <w:color w:val="1C3A36"/>
                <w:sz w:val="17"/>
              </w:rPr>
              <w:t>Strip the FV-gain engine; pay P/B the cleaned ROAE earns</w:t>
            </w:r>
          </w:p>
        </w:tc>
      </w:tr>
      <w:tr>
        <w:tc>
          <w:tcPr>
            <w:tcW w:type="dxa" w:w="1368"/>
          </w:tcPr>
          <w:p>
            <w:pPr>
              <w:spacing w:after="20"/>
            </w:pPr>
            <w:r>
              <w:rPr>
                <w:b/>
                <w:color w:val="1C3A36"/>
                <w:sz w:val="17"/>
              </w:rPr>
              <w:t>Expert 3</w:t>
            </w:r>
          </w:p>
        </w:tc>
        <w:tc>
          <w:tcPr>
            <w:tcW w:type="dxa" w:w="2448"/>
          </w:tcPr>
          <w:p>
            <w:pPr>
              <w:spacing w:after="20"/>
              <w:jc w:val="right"/>
            </w:pPr>
            <w:r>
              <w:rPr>
                <w:color w:val="1C3A36"/>
                <w:sz w:val="17"/>
              </w:rPr>
              <w:t>Macro-Policy state tree</w:t>
            </w:r>
          </w:p>
        </w:tc>
        <w:tc>
          <w:tcPr>
            <w:tcW w:type="dxa" w:w="1440"/>
          </w:tcPr>
          <w:p>
            <w:pPr>
              <w:spacing w:after="20"/>
              <w:jc w:val="right"/>
            </w:pPr>
            <w:r>
              <w:rPr>
                <w:color w:val="1C3A36"/>
                <w:sz w:val="17"/>
              </w:rPr>
              <w:t>7.03</w:t>
            </w:r>
          </w:p>
        </w:tc>
        <w:tc>
          <w:tcPr>
            <w:tcW w:type="dxa" w:w="1944"/>
          </w:tcPr>
          <w:p>
            <w:pPr>
              <w:spacing w:after="20"/>
              <w:jc w:val="right"/>
            </w:pPr>
            <w:r>
              <w:rPr>
                <w:color w:val="1C3A36"/>
                <w:sz w:val="17"/>
              </w:rPr>
              <w:t>5.60–8.20 (states)</w:t>
            </w:r>
          </w:p>
        </w:tc>
        <w:tc>
          <w:tcPr>
            <w:tcW w:type="dxa" w:w="3024"/>
          </w:tcPr>
          <w:p>
            <w:pPr>
              <w:spacing w:after="20"/>
              <w:jc w:val="right"/>
            </w:pPr>
            <w:r>
              <w:rPr>
                <w:color w:val="1C3A36"/>
                <w:sz w:val="17"/>
              </w:rPr>
              <w:t>Price the peg, the tax glide and the war state</w:t>
            </w:r>
          </w:p>
        </w:tc>
      </w:tr>
      <w:tr>
        <w:tc>
          <w:tcPr>
            <w:tcW w:type="dxa" w:w="1368"/>
            <w:shd w:val="clear" w:color="auto" w:fill="F6F1E6"/>
          </w:tcPr>
          <w:p>
            <w:pPr>
              <w:spacing w:after="20"/>
            </w:pPr>
            <w:r>
              <w:rPr>
                <w:b/>
                <w:color w:val="1C3A36"/>
                <w:sz w:val="17"/>
              </w:rPr>
              <w:t>Panel</w:t>
            </w:r>
          </w:p>
        </w:tc>
        <w:tc>
          <w:tcPr>
            <w:tcW w:type="dxa" w:w="2448"/>
            <w:shd w:val="clear" w:color="auto" w:fill="F6F1E6"/>
          </w:tcPr>
          <w:p>
            <w:pPr>
              <w:spacing w:after="20"/>
              <w:jc w:val="right"/>
            </w:pPr>
            <w:r>
              <w:rPr>
                <w:b/>
                <w:color w:val="1C3A36"/>
                <w:sz w:val="17"/>
              </w:rPr>
              <w:t>—</w:t>
            </w:r>
          </w:p>
        </w:tc>
        <w:tc>
          <w:tcPr>
            <w:tcW w:type="dxa" w:w="1440"/>
            <w:shd w:val="clear" w:color="auto" w:fill="F6F1E6"/>
          </w:tcPr>
          <w:p>
            <w:pPr>
              <w:spacing w:after="20"/>
              <w:jc w:val="right"/>
            </w:pPr>
            <w:r>
              <w:rPr>
                <w:b/>
                <w:color w:val="1C3A36"/>
                <w:sz w:val="17"/>
              </w:rPr>
              <w:t>6.78 (median)</w:t>
            </w:r>
          </w:p>
        </w:tc>
        <w:tc>
          <w:tcPr>
            <w:tcW w:type="dxa" w:w="1944"/>
            <w:shd w:val="clear" w:color="auto" w:fill="F6F1E6"/>
          </w:tcPr>
          <w:p>
            <w:pPr>
              <w:spacing w:after="20"/>
              <w:jc w:val="right"/>
            </w:pPr>
            <w:r>
              <w:rPr>
                <w:b/>
                <w:color w:val="1C3A36"/>
                <w:sz w:val="17"/>
              </w:rPr>
              <w:t>6.3–7.03</w:t>
            </w:r>
          </w:p>
        </w:tc>
        <w:tc>
          <w:tcPr>
            <w:tcW w:type="dxa" w:w="3024"/>
            <w:shd w:val="clear" w:color="auto" w:fill="F6F1E6"/>
          </w:tcPr>
          <w:p>
            <w:pPr>
              <w:spacing w:after="20"/>
              <w:jc w:val="right"/>
            </w:pPr>
            <w:r>
              <w:rPr>
                <w:b/>
                <w:color w:val="1C3A36"/>
                <w:sz w:val="17"/>
              </w:rPr>
              <w:t>Unanimous: below spot</w:t>
            </w:r>
          </w:p>
        </w:tc>
      </w:tr>
    </w:tbl>
    <w:p>
      <w:pPr>
        <w:spacing w:after="40"/>
      </w:pPr>
    </w:p>
    <w:p>
      <w:pPr>
        <w:spacing w:after="120" w:before="0"/>
      </w:pPr>
      <w:r>
        <w:rPr>
          <w:b w:val="0"/>
          <w:i w:val="0"/>
          <w:color w:val="1C3A36"/>
          <w:sz w:val="19"/>
        </w:rPr>
        <w:t>Cross-examination — each expert’s strongest objection to the other two, recorded so the reader can weigh them rather than the panel’s harmony. Expert 1 to Expert 2: a justified P/B is a discount model wearing an eyeshade — your (ROAE−g)/(Ke−g) smuggles in the same growth and cost-of-equity judgments you accuse the market of, and your book is my NAV minus the marks’ information; and to Expert 3: state values anchored to my NAV make the tree partly derivative of my method. Expert 2 to Expert 1: your discount components are vibes with decimals — my two audit findings (the derived borrowings, the dual Trojan framing) are checkable, your governance scores are not; and to Expert 3: 35/40/25 is a confession the method has no edge on the one variable it says matters most. Expert 3 to both: your numbers were equally “right” in February at AED 10 and in March at AED 7 — a valuation that cannot say which policy state it assumes is not wrong, it is incomplete; and the DMTT glide sits in neither of your base cases explicitly. The disclosed rebuttals: Expert 2’s Exhibit-1 reconciliation (within 2.5%) and named findings are exactly the checkability the objection demands; Expert 1’s component table makes the discount arguable line by line; and Expert 3’s weight-sensitivity table is the honesty his own objection requires.</w:t>
      </w:r>
    </w:p>
    <w:p>
      <w:pPr>
        <w:spacing w:after="80" w:before="200"/>
      </w:pPr>
      <w:r>
        <w:rPr>
          <w:b/>
          <w:i w:val="0"/>
          <w:color w:val="1C3A36"/>
          <w:sz w:val="24"/>
        </w:rPr>
        <w:t>C.5  Reading the convergence</w:t>
      </w:r>
    </w:p>
    <w:p>
      <w:pPr>
        <w:spacing w:after="120" w:before="0"/>
      </w:pPr>
      <w:r>
        <w:rPr>
          <w:b w:val="0"/>
          <w:i w:val="0"/>
          <w:color w:val="1C3A36"/>
          <w:sz w:val="19"/>
        </w:rPr>
        <w:t>The panel’s striking feature is not divergence but convergence: a balance-sheet mark, a cleaned-book capitalization and a policy state tree — sharing no inputs beyond the audited statements — land within AED 0.7 of each other (6.3 / 6.78 / 7.03), bracketing the house central of 7.13 from below. When methods that share no inputs agree, the residual disagreement with the market price is not model risk; it is the premium of §1.7, isolated. The convergence is also structurally informative: Expert 1 reaches ~6.3 through the marks, Expert 2 reaches ~6.8 through the cleaned book — and the two would only diverge if the marks and the book told different stories; their agreement says the AED 60 bn parent book and its ~10% cash-quality return are consistent descriptions of the same company. What would break the convergence, and in which direction: an unlisted-asset disposal above carrying value splits Expert 1 up from Expert 2 (book proven, cleaned earnings unchanged); FV gains converting to cash splits Expert 2 up (cleaned ROAE migrates toward reported); a policy resolution either way moves Expert 3 alone first — which is why §5’s catalyst list maps one-to-one onto the panel. The panel’s collective falsification condition is therefore the study’s: demonstrated owner-level cash earnings growth plus validated residual-book value would move all three bases up together; nothing else would.</w:t>
      </w:r>
    </w:p>
    <w:p>
      <w:pPr>
        <w:spacing w:after="120" w:before="280"/>
      </w:pPr>
      <w:r>
        <w:rPr>
          <w:b/>
          <w:i w:val="0"/>
          <w:color w:val="1C3A36"/>
          <w:sz w:val="30"/>
        </w:rPr>
        <w:t>Disclosure &amp; Disclaimer</w:t>
      </w:r>
    </w:p>
    <w:p>
      <w:pPr>
        <w:spacing w:after="120" w:before="0"/>
      </w:pPr>
      <w:r>
        <w:rPr>
          <w:b w:val="0"/>
          <w:i w:val="0"/>
          <w:color w:val="1C3A36"/>
          <w:sz w:val="17"/>
        </w:rPr>
        <w:t>1. No advice. This document is educational analysis and personal opinion. It is not investment advice, not research within the meaning of any regulation, not an offer or solicitation, and not directed at any person’s circumstances.</w:t>
      </w:r>
    </w:p>
    <w:p>
      <w:pPr>
        <w:spacing w:after="120" w:before="0"/>
      </w:pPr>
      <w:r>
        <w:rPr>
          <w:b w:val="0"/>
          <w:i w:val="0"/>
          <w:color w:val="1C3A36"/>
          <w:sz w:val="17"/>
        </w:rPr>
        <w:t>2. No licence. The preparer is not licensed or registered with any securities regulator in any jurisdiction, is not an investment advisor, portfolio manager or broker, manages no client assets and accepts no fees, funds or clients.</w:t>
      </w:r>
    </w:p>
    <w:p>
      <w:pPr>
        <w:spacing w:after="120" w:before="0"/>
      </w:pPr>
      <w:r>
        <w:rPr>
          <w:b w:val="0"/>
          <w:i w:val="0"/>
          <w:color w:val="1C3A36"/>
          <w:sz w:val="17"/>
        </w:rPr>
        <w:t>3. No warranty. Information is drawn from sources believed reliable (audited financial statements, company releases, exchange data) but is not guaranteed complete or accurate; one flagged line (FY2025 borrowings) is a derivation, and one disclosure gap (Q1-2026 attributable split) is open. Models simplify; outputs are ranges, not facts.</w:t>
      </w:r>
    </w:p>
    <w:p>
      <w:pPr>
        <w:spacing w:after="120" w:before="0"/>
      </w:pPr>
      <w:r>
        <w:rPr>
          <w:b w:val="0"/>
          <w:i w:val="0"/>
          <w:color w:val="1C3A36"/>
          <w:sz w:val="17"/>
        </w:rPr>
        <w:t>4. Risk. Equity investments can lose most or all of their value. Emerging-market, thin-float and geopolitically exposed securities — this one is all three — can gap far beyond modelled percentiles, and a live regional war makes that concrete rather than theoretical.</w:t>
      </w:r>
    </w:p>
    <w:p>
      <w:pPr>
        <w:spacing w:after="120" w:before="0"/>
      </w:pPr>
      <w:r>
        <w:rPr>
          <w:b w:val="0"/>
          <w:i w:val="0"/>
          <w:color w:val="1C3A36"/>
          <w:sz w:val="17"/>
        </w:rPr>
        <w:t>5. Positions. The preparer may hold or transact in securities mentioned, subject to no restriction; no compensation from any issuer relates to this study.</w:t>
      </w:r>
    </w:p>
    <w:p>
      <w:pPr>
        <w:spacing w:after="120" w:before="0"/>
      </w:pPr>
      <w:r>
        <w:rPr>
          <w:b w:val="0"/>
          <w:i w:val="0"/>
          <w:color w:val="1C3A36"/>
          <w:sz w:val="17"/>
        </w:rPr>
        <w:t>6. Verification. Forecasts in this document are logged in the public Calibration Ledger with their dates and horizons and will be graded on maturity regardless of outcome. Readers should verify all figures against the primary sources cited and consult a licensed financial advisor before any investment decision.</w:t>
      </w:r>
    </w:p>
    <w:p>
      <w:pPr>
        <w:spacing w:after="120" w:before="0"/>
      </w:pPr>
      <w:r>
        <w:rPr>
          <w:b w:val="0"/>
          <w:i w:val="0"/>
          <w:color w:val="6E7B77"/>
          <w:sz w:val="17"/>
        </w:rPr>
        <w:t>© 2026 Testahil · testahil.com · Published free of charge for educational purposes.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