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rFonts w:ascii="Calibri" w:hAnsi="Calibri"/>
          <w:b/>
          <w:i w:val="0"/>
          <w:color w:val="1C3A36"/>
          <w:sz w:val="22"/>
        </w:rPr>
        <w:t>Testahil   ·   Independent Valuation Study — Educational Analysis</w:t>
      </w:r>
    </w:p>
    <w:p>
      <w:pPr>
        <w:spacing w:after="160" w:before="0"/>
      </w:pPr>
      <w:r>
        <w:rPr>
          <w:rFonts w:ascii="Calibri" w:hAnsi="Calibri"/>
          <w:b w:val="0"/>
          <w:i/>
          <w:color w:val="5B6B67"/>
          <w:sz w:val="18"/>
        </w:rPr>
        <w:t>Not investment advice</w:t>
      </w:r>
    </w:p>
    <w:p>
      <w:pPr>
        <w:spacing w:after="40" w:before="0"/>
      </w:pPr>
      <w:r>
        <w:rPr>
          <w:rFonts w:ascii="Calibri" w:hAnsi="Calibri"/>
          <w:b/>
          <w:i w:val="0"/>
          <w:color w:val="1C3A36"/>
          <w:sz w:val="22"/>
        </w:rPr>
        <w:t>Independent Valuation Study — Educational Analysis</w:t>
      </w:r>
    </w:p>
    <w:p>
      <w:pPr>
        <w:spacing w:after="40" w:before="0"/>
      </w:pPr>
      <w:r>
        <w:rPr>
          <w:rFonts w:ascii="Calibri" w:hAnsi="Calibri"/>
          <w:b/>
          <w:i w:val="0"/>
          <w:color w:val="1C3A36"/>
          <w:sz w:val="32"/>
        </w:rPr>
        <w:t>Aldar Properties PJSC  (ADX: ALDAR)</w:t>
      </w:r>
    </w:p>
    <w:p>
      <w:pPr>
        <w:spacing w:after="120" w:before="0"/>
      </w:pPr>
      <w:r>
        <w:rPr>
          <w:rFonts w:ascii="Calibri" w:hAnsi="Calibri"/>
          <w:b w:val="0"/>
          <w:i/>
          <w:color w:val="896F36"/>
          <w:sz w:val="20"/>
        </w:rPr>
        <w:t>Fundamental analysis · Technical analysis · Monte Carlo simulation — one integrated read</w:t>
      </w:r>
    </w:p>
    <w:p>
      <w:pPr>
        <w:spacing w:after="160" w:before="0"/>
      </w:pPr>
      <w:r>
        <w:rPr>
          <w:rFonts w:ascii="Calibri" w:hAnsi="Calibri"/>
          <w:b/>
          <w:i w:val="0"/>
          <w:color w:val="1C3A36"/>
          <w:sz w:val="20"/>
        </w:rPr>
        <w:t xml:space="preserve">Anchor: </w:t>
      </w:r>
      <w:r>
        <w:rPr>
          <w:rFonts w:ascii="Calibri" w:hAnsi="Calibri"/>
          <w:b w:val="0"/>
          <w:i w:val="0"/>
          <w:color w:val="222A28"/>
          <w:sz w:val="20"/>
        </w:rPr>
        <w:t>AED 8.30 (3 Jul 2026 close) · ~7.854bn shares · mkt cap ~AED 65.2bn · net debt ~AED 5.5bn incl. hybrids (~0.5× EBITDA) · a diversified Abu Dhabi developer-plus-landlord: Aldar Development (the region's largest sales franchise, AED 71.7bn backlog) and Aldar Investment (a ~AED 52bn recurring-asset platform) · prices and probabilities computed 3 Jul 2026 from the attached daily history · primary lens: split-the-legs sum-of-the-parts / RNAV (development on a finite going-concern DCF, the recurring platform on a cap-rate GAV) · the swing factors are how much the development franchise is worth beyond current backlog and the recurring-platform cap rate.</w:t>
      </w:r>
    </w:p>
    <w:tbl>
      <w:tblPr>
        <w:tblW w:type="auto" w:w="0"/>
        <w:jc w:val="center"/>
        <w:tblLook w:firstColumn="1" w:firstRow="1" w:lastColumn="0" w:lastRow="0" w:noHBand="0" w:noVBand="1" w:val="04A0"/>
      </w:tblPr>
      <w:tblGrid>
        <w:gridCol w:w="9936"/>
      </w:tblGrid>
      <w:tr>
        <w:tc>
          <w:tcPr>
            <w:tcW w:type="dxa" w:w="9936"/>
            <w:shd w:val="clear" w:color="auto" w:fill="F3EEE0"/>
            <w:tcBorders>
              <w:top w:val="single" w:sz="8" w:color="C0A45F"/>
              <w:bottom w:val="single" w:sz="8" w:color="C0A45F"/>
              <w:left w:val="single" w:sz="8" w:color="C0A45F"/>
              <w:right w:val="single" w:sz="8" w:color="C0A45F"/>
            </w:tcBorders>
          </w:tcPr>
          <w:p>
            <w:pPr>
              <w:spacing w:after="60" w:before="60"/>
            </w:pPr>
            <w:r>
              <w:rPr>
                <w:rFonts w:ascii="Calibri" w:hAnsi="Calibri"/>
                <w:b/>
                <w:color w:val="1C3A36"/>
                <w:sz w:val="19"/>
              </w:rPr>
              <w:t xml:space="preserve">READ FIRST — what this document is, and is not.  </w:t>
            </w:r>
            <w:r>
              <w:rPr>
                <w:rFonts w:ascii="Calibri" w:hAnsi="Calibri"/>
                <w:color w:val="222A28"/>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(FY2025 results and Q1 2026, reported 2026); forward-looking inputs — the split-NAV marks, the recurring-platform GAV, the development-franchise DCF, the multiples and the Monte-Carlo factor probabilities — are the preparer's judgments and are flagged throughout. Consult a licensed financial advisor before any investment decision.</w:t>
            </w:r>
          </w:p>
        </w:tc>
      </w:tr>
    </w:tbl>
    <w:p>
      <w:pPr>
        <w:spacing w:after="40"/>
      </w:pPr>
    </w:p>
    <w:p>
      <w:pPr>
        <w:spacing w:before="280" w:after="120"/>
        <w:pBdr>
          <w:bottom w:val="single" w:sz="6" w:space="2" w:color="C0A45F"/>
        </w:pBdr>
      </w:pPr>
      <w:r>
        <w:rPr>
          <w:rFonts w:ascii="Calibri" w:hAnsi="Calibri"/>
          <w:b/>
          <w:color w:val="1C3A36"/>
          <w:sz w:val="30"/>
        </w:rPr>
        <w:t>Headline</w:t>
      </w:r>
    </w:p>
    <w:p>
      <w:pPr>
        <w:spacing w:after="120" w:before="0"/>
      </w:pPr>
      <w:r>
        <w:rPr>
          <w:rFonts w:ascii="Calibri" w:hAnsi="Calibri"/>
          <w:b/>
          <w:i w:val="0"/>
          <w:color w:val="1C3A36"/>
          <w:sz w:val="20"/>
        </w:rPr>
        <w:t xml:space="preserve">The model's read: modestly undervalued on a split-legs asset value, with the whole question resting on how much the development franchise is worth beyond its current backlog and where the recurring-platform cap rate settles. </w:t>
      </w:r>
      <w:r>
        <w:rPr>
          <w:rFonts w:ascii="Calibri" w:hAnsi="Calibri"/>
          <w:b w:val="0"/>
          <w:i w:val="0"/>
          <w:color w:val="222A28"/>
          <w:sz w:val="20"/>
        </w:rPr>
        <w:t>At AED 8.30 the shares sit about 23% below our weighted central estimate of AED 10.2. The primary lens — a sum-of-the-parts that values Aldar Development on a finite going-concern DCF (AED 4.60/share) and Aldar Investment at its ~AED 52bn recurring-asset GAV (AED 6.62/share), then deducts net debt and minorities — lands at AED 10.14/share (+22%); a whole-company going-concern DCF that strikes its terminal on an exit EV/EBITDA multiple (not a Gordon perpetuity, which would imply AED 13.84) lands close by at AED 9.81 (+18%), and a relative-multiple read centres AED 9.45. That the asset sum and the cash-flow model converge near AED 10 despite sharing almost no inputs is reassuring for a cyclical. Full execution of the development pipeline is worth AED 11.29 (+36%); the defensible floor — the recurring platform at a 10% haircut plus five years of backlog conversion, net of all claims — is ~AED 7.2, just below spot. The split matters: unlike a finite land-monetiser, Aldar Development continuously replenishes its landbank (AED 61bn of gross development value added in Q1 2026 alone), so its leg is valued as a going concern with a modest finite tail rather than as a wasting asset — a deliberate, disclosed deviation from the house split-NAV rule that development legs carry no terminal value. Technically the tape is two-sided and mid-recovery: AED 8.30 sits above the rising short-term averages (SMA20 8.16, SMA50 7.98) but below the 100/150/200-day stack (8.62 / 8.72 / 8.87), which now acts as overhead resistance after the round-trip from the AED 11.80 high to the AED 7.03 low; RSI is neutral at 53.5 and the MACD histogram has just rolled marginally negative. Over three months the Monte Carlo — 50,000 paths, sixteen factors, zero secular drift (an international name) — places the T+60 5th–95th band at roughly AED 6.4–11.3, with the median at AED 8.50, a touch above spot.</w:t>
      </w:r>
    </w:p>
    <w:p>
      <w:pPr>
        <w:spacing w:after="120" w:before="0"/>
      </w:pPr>
      <w:r>
        <w:rPr>
          <w:rFonts w:ascii="Calibri" w:hAnsi="Calibri"/>
          <w:b/>
          <w:i w:val="0"/>
          <w:color w:val="1C3A36"/>
          <w:sz w:val="20"/>
        </w:rPr>
        <w:t>Net: the stock trades below the model's split-legs asset value while the tape is balanced in a basing range; the right tail belongs to development-launch execution, recurring re-rating and cap-rate compression, the left tail to a regional-security shock and a stall in launch pace. This study estimates values and probabilities — it does not recommend actions.</w:t>
      </w:r>
    </w:p>
    <w:p>
      <w:pPr>
        <w:spacing w:before="280" w:after="120"/>
        <w:pBdr>
          <w:bottom w:val="single" w:sz="6" w:space="2" w:color="C0A45F"/>
        </w:pBdr>
      </w:pPr>
      <w:r>
        <w:rPr>
          <w:rFonts w:ascii="Calibri" w:hAnsi="Calibri"/>
          <w:b/>
          <w:color w:val="1C3A36"/>
          <w:sz w:val="30"/>
        </w:rPr>
        <w:t>Valuation summary — every read at a glance</w:t>
      </w:r>
    </w:p>
    <w:p>
      <w:pPr>
        <w:spacing w:after="80" w:before="0"/>
      </w:pPr>
      <w:r>
        <w:rPr>
          <w:rFonts w:ascii="Calibri" w:hAnsi="Calibri"/>
          <w:b w:val="0"/>
          <w:i w:val="0"/>
          <w:color w:val="222A28"/>
          <w:sz w:val="19"/>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Style w:val="TableGrid"/>
        <w:tblW w:type="auto" w:w="0"/>
        <w:jc w:val="center"/>
        <w:tblLook w:firstColumn="1" w:firstRow="1" w:lastColumn="0" w:lastRow="0" w:noHBand="0" w:noVBand="1" w:val="04A0"/>
        <w:tblLayout w:type="fixed"/>
      </w:tblPr>
      <w:tblGrid>
        <w:gridCol w:w="2484"/>
        <w:gridCol w:w="2484"/>
        <w:gridCol w:w="2484"/>
        <w:gridCol w:w="2484"/>
      </w:tblGrid>
      <w:tr>
        <w:tc>
          <w:tcPr>
            <w:tcW w:type="dxa" w:w="3600"/>
            <w:shd w:val="clear" w:color="auto" w:fill="1C3A36"/>
          </w:tcPr>
          <w:p>
            <w:pPr>
              <w:spacing w:after="20" w:before="20"/>
            </w:pPr>
            <w:r>
              <w:rPr>
                <w:rFonts w:ascii="Calibri" w:hAnsi="Calibri"/>
                <w:b/>
                <w:color w:val="FFFFFF"/>
                <w:sz w:val="16"/>
              </w:rPr>
              <w:t>Lens / read</w:t>
            </w:r>
          </w:p>
        </w:tc>
        <w:tc>
          <w:tcPr>
            <w:tcW w:type="dxa" w:w="3456"/>
            <w:shd w:val="clear" w:color="auto" w:fill="1C3A36"/>
          </w:tcPr>
          <w:p>
            <w:pPr>
              <w:spacing w:after="20" w:before="20"/>
            </w:pPr>
            <w:r>
              <w:rPr>
                <w:rFonts w:ascii="Calibri" w:hAnsi="Calibri"/>
                <w:b/>
                <w:color w:val="FFFFFF"/>
                <w:sz w:val="16"/>
              </w:rPr>
              <w:t>What it measures</w:t>
            </w:r>
          </w:p>
        </w:tc>
        <w:tc>
          <w:tcPr>
            <w:tcW w:type="dxa" w:w="1944"/>
            <w:shd w:val="clear" w:color="auto" w:fill="1C3A36"/>
          </w:tcPr>
          <w:p>
            <w:pPr>
              <w:spacing w:after="20" w:before="20"/>
            </w:pPr>
            <w:r>
              <w:rPr>
                <w:rFonts w:ascii="Calibri" w:hAnsi="Calibri"/>
                <w:b/>
                <w:color w:val="FFFFFF"/>
                <w:sz w:val="16"/>
              </w:rPr>
              <w:t>Output</w:t>
            </w:r>
          </w:p>
        </w:tc>
        <w:tc>
          <w:tcPr>
            <w:tcW w:type="dxa" w:w="2376"/>
            <w:shd w:val="clear" w:color="auto" w:fill="1C3A36"/>
          </w:tcPr>
          <w:p>
            <w:pPr>
              <w:spacing w:after="20" w:before="20"/>
            </w:pPr>
            <w:r>
              <w:rPr>
                <w:rFonts w:ascii="Calibri" w:hAnsi="Calibri"/>
                <w:b/>
                <w:color w:val="FFFFFF"/>
                <w:sz w:val="16"/>
              </w:rPr>
              <w:t>Takeaway</w:t>
            </w:r>
          </w:p>
        </w:tc>
      </w:tr>
      <w:tr>
        <w:tc>
          <w:tcPr>
            <w:tcW w:type="dxa" w:w="2376"/>
            <w:gridSpan w:val="4"/>
            <w:shd w:val="clear" w:color="auto" w:fill="EAF0EE"/>
          </w:tcPr>
          <w:p>
            <w:pPr>
              <w:spacing w:after="20" w:before="20"/>
            </w:pPr>
            <w:r>
              <w:rPr>
                <w:rFonts w:ascii="Calibri" w:hAnsi="Calibri"/>
                <w:b/>
                <w:color w:val="1C3A36"/>
                <w:sz w:val="16"/>
              </w:rPr>
              <w:t>FUNDAMENTAL — what the business is worth (the anchor)</w:t>
            </w:r>
          </w:p>
          <w:p>
            <w:pPr>
              <w:spacing w:after="20" w:before="20"/>
            </w:pPr>
            <w:r>
              <w:rPr>
                <w:rFonts w:ascii="Calibri" w:hAnsi="Calibri"/>
                <w:b/>
                <w:color w:val="1C3A36"/>
                <w:sz w:val="16"/>
              </w:rPr>
            </w:r>
          </w:p>
          <w:p>
            <w:pPr>
              <w:spacing w:after="20" w:before="20"/>
            </w:pPr>
            <w:r>
              <w:rPr>
                <w:rFonts w:ascii="Calibri" w:hAnsi="Calibri"/>
                <w:b/>
                <w:color w:val="1C3A36"/>
                <w:sz w:val="16"/>
              </w:rPr>
            </w:r>
          </w:p>
          <w:p>
            <w:pPr>
              <w:spacing w:after="20" w:before="20"/>
            </w:pPr>
            <w:r>
              <w:rPr>
                <w:rFonts w:ascii="Calibri" w:hAnsi="Calibri"/>
                <w:b/>
                <w:color w:val="1C3A36"/>
                <w:sz w:val="16"/>
              </w:rPr>
            </w:r>
          </w:p>
        </w:tc>
      </w:tr>
      <w:tr>
        <w:tc>
          <w:tcPr>
            <w:tcW w:type="dxa" w:w="3600"/>
          </w:tcPr>
          <w:p>
            <w:pPr>
              <w:spacing w:after="20" w:before="20"/>
            </w:pPr>
            <w:r>
              <w:rPr>
                <w:rFonts w:ascii="Calibri" w:hAnsi="Calibri"/>
                <w:color w:val="222A28"/>
                <w:sz w:val="16"/>
              </w:rPr>
              <w:t>Sum-of-the-parts / RNAV (primary)</w:t>
            </w:r>
          </w:p>
        </w:tc>
        <w:tc>
          <w:tcPr>
            <w:tcW w:type="dxa" w:w="3456"/>
          </w:tcPr>
          <w:p>
            <w:pPr>
              <w:spacing w:after="20" w:before="20"/>
            </w:pPr>
            <w:r>
              <w:rPr>
                <w:rFonts w:ascii="Calibri" w:hAnsi="Calibri"/>
                <w:color w:val="222A28"/>
                <w:sz w:val="16"/>
              </w:rPr>
              <w:t>Dev finite-DCF + recurring GAV, less claims</w:t>
            </w:r>
          </w:p>
        </w:tc>
        <w:tc>
          <w:tcPr>
            <w:tcW w:type="dxa" w:w="1944"/>
          </w:tcPr>
          <w:p>
            <w:pPr>
              <w:spacing w:after="20" w:before="20"/>
            </w:pPr>
            <w:r>
              <w:rPr>
                <w:rFonts w:ascii="Calibri" w:hAnsi="Calibri"/>
                <w:color w:val="222A28"/>
                <w:sz w:val="16"/>
              </w:rPr>
              <w:t>AED 10.14</w:t>
            </w:r>
          </w:p>
        </w:tc>
        <w:tc>
          <w:tcPr>
            <w:tcW w:type="dxa" w:w="2376"/>
          </w:tcPr>
          <w:p>
            <w:pPr>
              <w:spacing w:after="20" w:before="20"/>
            </w:pPr>
            <w:r>
              <w:rPr>
                <w:rFonts w:ascii="Calibri" w:hAnsi="Calibri"/>
                <w:color w:val="222A28"/>
                <w:sz w:val="16"/>
              </w:rPr>
              <w:t>+22% vs spot</w:t>
            </w:r>
          </w:p>
        </w:tc>
      </w:tr>
      <w:tr>
        <w:tc>
          <w:tcPr>
            <w:tcW w:type="dxa" w:w="3600"/>
          </w:tcPr>
          <w:p>
            <w:pPr>
              <w:spacing w:after="20" w:before="20"/>
            </w:pPr>
            <w:r>
              <w:rPr>
                <w:rFonts w:ascii="Calibri" w:hAnsi="Calibri"/>
                <w:color w:val="222A28"/>
                <w:sz w:val="16"/>
              </w:rPr>
              <w:t>Consolidated DCF (FCFF)</w:t>
            </w:r>
          </w:p>
        </w:tc>
        <w:tc>
          <w:tcPr>
            <w:tcW w:type="dxa" w:w="3456"/>
          </w:tcPr>
          <w:p>
            <w:pPr>
              <w:spacing w:after="20" w:before="20"/>
            </w:pPr>
            <w:r>
              <w:rPr>
                <w:rFonts w:ascii="Calibri" w:hAnsi="Calibri"/>
                <w:color w:val="222A28"/>
                <w:sz w:val="16"/>
              </w:rPr>
              <w:t>Recurring-only perpetual terminal</w:t>
            </w:r>
          </w:p>
        </w:tc>
        <w:tc>
          <w:tcPr>
            <w:tcW w:type="dxa" w:w="1944"/>
          </w:tcPr>
          <w:p>
            <w:pPr>
              <w:spacing w:after="20" w:before="20"/>
            </w:pPr>
            <w:r>
              <w:rPr>
                <w:rFonts w:ascii="Calibri" w:hAnsi="Calibri"/>
                <w:color w:val="222A28"/>
                <w:sz w:val="16"/>
              </w:rPr>
              <w:t>AED 9.81</w:t>
            </w:r>
          </w:p>
        </w:tc>
        <w:tc>
          <w:tcPr>
            <w:tcW w:type="dxa" w:w="2376"/>
          </w:tcPr>
          <w:p>
            <w:pPr>
              <w:spacing w:after="20" w:before="20"/>
            </w:pPr>
            <w:r>
              <w:rPr>
                <w:rFonts w:ascii="Calibri" w:hAnsi="Calibri"/>
                <w:color w:val="222A28"/>
                <w:sz w:val="16"/>
              </w:rPr>
              <w:t>+18% · the floor</w:t>
            </w:r>
          </w:p>
        </w:tc>
      </w:tr>
      <w:tr>
        <w:tc>
          <w:tcPr>
            <w:tcW w:type="dxa" w:w="3600"/>
          </w:tcPr>
          <w:p>
            <w:pPr>
              <w:spacing w:after="20" w:before="20"/>
            </w:pPr>
            <w:r>
              <w:rPr>
                <w:rFonts w:ascii="Calibri" w:hAnsi="Calibri"/>
                <w:color w:val="222A28"/>
                <w:sz w:val="16"/>
              </w:rPr>
              <w:t>Relative multiples</w:t>
            </w:r>
          </w:p>
        </w:tc>
        <w:tc>
          <w:tcPr>
            <w:tcW w:type="dxa" w:w="3456"/>
          </w:tcPr>
          <w:p>
            <w:pPr>
              <w:spacing w:after="20" w:before="20"/>
            </w:pPr>
            <w:r>
              <w:rPr>
                <w:rFonts w:ascii="Calibri" w:hAnsi="Calibri"/>
                <w:color w:val="222A28"/>
                <w:sz w:val="16"/>
              </w:rPr>
              <w:t>P/E · P/B · EV/EBITDA · disc-to-NAV</w:t>
            </w:r>
          </w:p>
        </w:tc>
        <w:tc>
          <w:tcPr>
            <w:tcW w:type="dxa" w:w="1944"/>
          </w:tcPr>
          <w:p>
            <w:pPr>
              <w:spacing w:after="20" w:before="20"/>
            </w:pPr>
            <w:r>
              <w:rPr>
                <w:rFonts w:ascii="Calibri" w:hAnsi="Calibri"/>
                <w:color w:val="222A28"/>
                <w:sz w:val="16"/>
              </w:rPr>
              <w:t>AED 9.45</w:t>
            </w:r>
          </w:p>
        </w:tc>
        <w:tc>
          <w:tcPr>
            <w:tcW w:type="dxa" w:w="2376"/>
          </w:tcPr>
          <w:p>
            <w:pPr>
              <w:spacing w:after="20" w:before="20"/>
            </w:pPr>
            <w:r>
              <w:rPr>
                <w:rFonts w:ascii="Calibri" w:hAnsi="Calibri"/>
                <w:color w:val="222A28"/>
                <w:sz w:val="16"/>
              </w:rPr>
              <w:t>+14%</w:t>
            </w:r>
          </w:p>
        </w:tc>
      </w:tr>
      <w:tr>
        <w:tc>
          <w:tcPr>
            <w:tcW w:type="dxa" w:w="3600"/>
          </w:tcPr>
          <w:p>
            <w:pPr>
              <w:spacing w:after="20" w:before="20"/>
            </w:pPr>
            <w:r>
              <w:rPr>
                <w:rFonts w:ascii="Calibri" w:hAnsi="Calibri"/>
                <w:color w:val="222A28"/>
                <w:sz w:val="16"/>
              </w:rPr>
              <w:t>SOTP — full execution</w:t>
            </w:r>
          </w:p>
        </w:tc>
        <w:tc>
          <w:tcPr>
            <w:tcW w:type="dxa" w:w="3456"/>
          </w:tcPr>
          <w:p>
            <w:pPr>
              <w:spacing w:after="20" w:before="20"/>
            </w:pPr>
            <w:r>
              <w:rPr>
                <w:rFonts w:ascii="Calibri" w:hAnsi="Calibri"/>
                <w:color w:val="222A28"/>
                <w:sz w:val="16"/>
              </w:rPr>
              <w:t>No execution haircut, recurring +5%</w:t>
            </w:r>
          </w:p>
        </w:tc>
        <w:tc>
          <w:tcPr>
            <w:tcW w:type="dxa" w:w="1944"/>
          </w:tcPr>
          <w:p>
            <w:pPr>
              <w:spacing w:after="20" w:before="20"/>
            </w:pPr>
            <w:r>
              <w:rPr>
                <w:rFonts w:ascii="Calibri" w:hAnsi="Calibri"/>
                <w:color w:val="222A28"/>
                <w:sz w:val="16"/>
              </w:rPr>
              <w:t>AED 11.29</w:t>
            </w:r>
          </w:p>
        </w:tc>
        <w:tc>
          <w:tcPr>
            <w:tcW w:type="dxa" w:w="2376"/>
          </w:tcPr>
          <w:p>
            <w:pPr>
              <w:spacing w:after="20" w:before="20"/>
            </w:pPr>
            <w:r>
              <w:rPr>
                <w:rFonts w:ascii="Calibri" w:hAnsi="Calibri"/>
                <w:color w:val="222A28"/>
                <w:sz w:val="16"/>
              </w:rPr>
              <w:t>+36% · the ceiling</w:t>
            </w:r>
          </w:p>
        </w:tc>
      </w:tr>
      <w:tr>
        <w:tc>
          <w:tcPr>
            <w:tcW w:type="dxa" w:w="3600"/>
            <w:shd w:val="clear" w:color="auto" w:fill="E7EDEB"/>
          </w:tcPr>
          <w:p>
            <w:pPr>
              <w:spacing w:after="20" w:before="20"/>
            </w:pPr>
            <w:r>
              <w:rPr>
                <w:rFonts w:ascii="Calibri" w:hAnsi="Calibri"/>
                <w:b/>
                <w:color w:val="1C3A36"/>
                <w:sz w:val="16"/>
              </w:rPr>
              <w:t>Weighted central</w:t>
            </w:r>
          </w:p>
        </w:tc>
        <w:tc>
          <w:tcPr>
            <w:tcW w:type="dxa" w:w="3456"/>
            <w:shd w:val="clear" w:color="auto" w:fill="E7EDEB"/>
          </w:tcPr>
          <w:p>
            <w:pPr>
              <w:spacing w:after="20" w:before="20"/>
            </w:pPr>
            <w:r>
              <w:rPr>
                <w:rFonts w:ascii="Calibri" w:hAnsi="Calibri"/>
                <w:b/>
                <w:color w:val="1C3A36"/>
                <w:sz w:val="16"/>
              </w:rPr>
              <w:t>Blend 40 / 25 / 15 / 20</w:t>
            </w:r>
          </w:p>
        </w:tc>
        <w:tc>
          <w:tcPr>
            <w:tcW w:type="dxa" w:w="1944"/>
            <w:shd w:val="clear" w:color="auto" w:fill="E7EDEB"/>
          </w:tcPr>
          <w:p>
            <w:pPr>
              <w:spacing w:after="20" w:before="20"/>
            </w:pPr>
            <w:r>
              <w:rPr>
                <w:rFonts w:ascii="Calibri" w:hAnsi="Calibri"/>
                <w:b/>
                <w:color w:val="1C3A36"/>
                <w:sz w:val="16"/>
              </w:rPr>
              <w:t>AED 10.18</w:t>
            </w:r>
          </w:p>
        </w:tc>
        <w:tc>
          <w:tcPr>
            <w:tcW w:type="dxa" w:w="2376"/>
            <w:shd w:val="clear" w:color="auto" w:fill="E7EDEB"/>
          </w:tcPr>
          <w:p>
            <w:pPr>
              <w:spacing w:after="20" w:before="20"/>
            </w:pPr>
            <w:r>
              <w:rPr>
                <w:rFonts w:ascii="Calibri" w:hAnsi="Calibri"/>
                <w:b/>
                <w:color w:val="1C3A36"/>
                <w:sz w:val="16"/>
              </w:rPr>
              <w:t>+23% vs AED 8.30</w:t>
            </w:r>
          </w:p>
        </w:tc>
      </w:tr>
      <w:tr>
        <w:tc>
          <w:tcPr>
            <w:tcW w:type="dxa" w:w="2376"/>
            <w:gridSpan w:val="4"/>
            <w:shd w:val="clear" w:color="auto" w:fill="EAF0EE"/>
          </w:tcPr>
          <w:p>
            <w:pPr>
              <w:spacing w:after="20" w:before="20"/>
            </w:pPr>
            <w:r>
              <w:rPr>
                <w:rFonts w:ascii="Calibri" w:hAnsi="Calibri"/>
                <w:b/>
                <w:color w:val="1C3A36"/>
                <w:sz w:val="16"/>
              </w:rPr>
              <w:t>TECHNICAL — what the tape is doing (timing, not value)</w:t>
            </w:r>
          </w:p>
          <w:p>
            <w:pPr>
              <w:spacing w:after="20" w:before="20"/>
            </w:pPr>
            <w:r>
              <w:rPr>
                <w:rFonts w:ascii="Calibri" w:hAnsi="Calibri"/>
                <w:b/>
                <w:color w:val="1C3A36"/>
                <w:sz w:val="16"/>
              </w:rPr>
            </w:r>
          </w:p>
          <w:p>
            <w:pPr>
              <w:spacing w:after="20" w:before="20"/>
            </w:pPr>
            <w:r>
              <w:rPr>
                <w:rFonts w:ascii="Calibri" w:hAnsi="Calibri"/>
                <w:b/>
                <w:color w:val="1C3A36"/>
                <w:sz w:val="16"/>
              </w:rPr>
            </w:r>
          </w:p>
          <w:p>
            <w:pPr>
              <w:spacing w:after="20" w:before="20"/>
            </w:pPr>
            <w:r>
              <w:rPr>
                <w:rFonts w:ascii="Calibri" w:hAnsi="Calibri"/>
                <w:b/>
                <w:color w:val="1C3A36"/>
                <w:sz w:val="16"/>
              </w:rPr>
            </w:r>
          </w:p>
        </w:tc>
      </w:tr>
      <w:tr>
        <w:tc>
          <w:tcPr>
            <w:tcW w:type="dxa" w:w="3600"/>
          </w:tcPr>
          <w:p>
            <w:pPr>
              <w:spacing w:after="20" w:before="20"/>
            </w:pPr>
            <w:r>
              <w:rPr>
                <w:rFonts w:ascii="Calibri" w:hAnsi="Calibri"/>
                <w:color w:val="222A28"/>
                <w:sz w:val="16"/>
              </w:rPr>
              <w:t>Trend &amp; momentum</w:t>
            </w:r>
          </w:p>
        </w:tc>
        <w:tc>
          <w:tcPr>
            <w:tcW w:type="dxa" w:w="3456"/>
          </w:tcPr>
          <w:p>
            <w:pPr>
              <w:spacing w:after="20" w:before="20"/>
            </w:pPr>
            <w:r>
              <w:rPr>
                <w:rFonts w:ascii="Calibri" w:hAnsi="Calibri"/>
                <w:color w:val="222A28"/>
                <w:sz w:val="16"/>
              </w:rPr>
              <w:t>Price vs the 20/50/100/200-day averages</w:t>
            </w:r>
          </w:p>
        </w:tc>
        <w:tc>
          <w:tcPr>
            <w:tcW w:type="dxa" w:w="1944"/>
          </w:tcPr>
          <w:p>
            <w:pPr>
              <w:spacing w:after="20" w:before="20"/>
            </w:pPr>
            <w:r>
              <w:rPr>
                <w:rFonts w:ascii="Calibri" w:hAnsi="Calibri"/>
                <w:color w:val="222A28"/>
                <w:sz w:val="16"/>
              </w:rPr>
              <w:t>Above short, below long</w:t>
            </w:r>
          </w:p>
        </w:tc>
        <w:tc>
          <w:tcPr>
            <w:tcW w:type="dxa" w:w="2376"/>
          </w:tcPr>
          <w:p>
            <w:pPr>
              <w:spacing w:after="20" w:before="20"/>
            </w:pPr>
            <w:r>
              <w:rPr>
                <w:rFonts w:ascii="Calibri" w:hAnsi="Calibri"/>
                <w:color w:val="222A28"/>
                <w:sz w:val="16"/>
              </w:rPr>
              <w:t>Basing, two-sided</w:t>
            </w:r>
          </w:p>
        </w:tc>
      </w:tr>
      <w:tr>
        <w:tc>
          <w:tcPr>
            <w:tcW w:type="dxa" w:w="3600"/>
          </w:tcPr>
          <w:p>
            <w:pPr>
              <w:spacing w:after="20" w:before="20"/>
            </w:pPr>
            <w:r>
              <w:rPr>
                <w:rFonts w:ascii="Calibri" w:hAnsi="Calibri"/>
                <w:color w:val="222A28"/>
                <w:sz w:val="16"/>
              </w:rPr>
              <w:t>Momentum / range</w:t>
            </w:r>
          </w:p>
        </w:tc>
        <w:tc>
          <w:tcPr>
            <w:tcW w:type="dxa" w:w="3456"/>
          </w:tcPr>
          <w:p>
            <w:pPr>
              <w:spacing w:after="20" w:before="20"/>
            </w:pPr>
            <w:r>
              <w:rPr>
                <w:rFonts w:ascii="Calibri" w:hAnsi="Calibri"/>
                <w:color w:val="222A28"/>
                <w:sz w:val="16"/>
              </w:rPr>
              <w:t>RSI · MACD · 52-week range</w:t>
            </w:r>
          </w:p>
        </w:tc>
        <w:tc>
          <w:tcPr>
            <w:tcW w:type="dxa" w:w="1944"/>
          </w:tcPr>
          <w:p>
            <w:pPr>
              <w:spacing w:after="20" w:before="20"/>
            </w:pPr>
            <w:r>
              <w:rPr>
                <w:rFonts w:ascii="Calibri" w:hAnsi="Calibri"/>
                <w:color w:val="222A28"/>
                <w:sz w:val="16"/>
              </w:rPr>
              <w:t>RSI 53 · MACD −0.02 · 7.03–11.80</w:t>
            </w:r>
          </w:p>
        </w:tc>
        <w:tc>
          <w:tcPr>
            <w:tcW w:type="dxa" w:w="2376"/>
          </w:tcPr>
          <w:p>
            <w:pPr>
              <w:spacing w:after="20" w:before="20"/>
            </w:pPr>
            <w:r>
              <w:rPr>
                <w:rFonts w:ascii="Calibri" w:hAnsi="Calibri"/>
                <w:color w:val="222A28"/>
                <w:sz w:val="16"/>
              </w:rPr>
              <w:t>Neutral</w:t>
            </w:r>
          </w:p>
        </w:tc>
      </w:tr>
      <w:tr>
        <w:tc>
          <w:tcPr>
            <w:tcW w:type="dxa" w:w="2376"/>
            <w:gridSpan w:val="4"/>
            <w:shd w:val="clear" w:color="auto" w:fill="EAF0EE"/>
          </w:tcPr>
          <w:p>
            <w:pPr>
              <w:spacing w:after="20" w:before="20"/>
            </w:pPr>
            <w:r>
              <w:rPr>
                <w:rFonts w:ascii="Calibri" w:hAnsi="Calibri"/>
                <w:b/>
                <w:color w:val="1C3A36"/>
                <w:sz w:val="16"/>
              </w:rPr>
              <w:t>MONTE CARLO — where price could go in 3 months (paths from spot)</w:t>
            </w:r>
          </w:p>
          <w:p>
            <w:pPr>
              <w:spacing w:after="20" w:before="20"/>
            </w:pPr>
            <w:r>
              <w:rPr>
                <w:rFonts w:ascii="Calibri" w:hAnsi="Calibri"/>
                <w:b/>
                <w:color w:val="1C3A36"/>
                <w:sz w:val="16"/>
              </w:rPr>
            </w:r>
          </w:p>
          <w:p>
            <w:pPr>
              <w:spacing w:after="20" w:before="20"/>
            </w:pPr>
            <w:r>
              <w:rPr>
                <w:rFonts w:ascii="Calibri" w:hAnsi="Calibri"/>
                <w:b/>
                <w:color w:val="1C3A36"/>
                <w:sz w:val="16"/>
              </w:rPr>
            </w:r>
          </w:p>
          <w:p>
            <w:pPr>
              <w:spacing w:after="20" w:before="20"/>
            </w:pPr>
            <w:r>
              <w:rPr>
                <w:rFonts w:ascii="Calibri" w:hAnsi="Calibri"/>
                <w:b/>
                <w:color w:val="1C3A36"/>
                <w:sz w:val="16"/>
              </w:rPr>
            </w:r>
          </w:p>
        </w:tc>
      </w:tr>
      <w:tr>
        <w:tc>
          <w:tcPr>
            <w:tcW w:type="dxa" w:w="3600"/>
          </w:tcPr>
          <w:p>
            <w:pPr>
              <w:spacing w:after="20" w:before="20"/>
            </w:pPr>
            <w:r>
              <w:rPr>
                <w:rFonts w:ascii="Calibri" w:hAnsi="Calibri"/>
                <w:color w:val="222A28"/>
                <w:sz w:val="16"/>
              </w:rPr>
              <w:t>T+20 sessions</w:t>
            </w:r>
          </w:p>
        </w:tc>
        <w:tc>
          <w:tcPr>
            <w:tcW w:type="dxa" w:w="3456"/>
          </w:tcPr>
          <w:p>
            <w:pPr>
              <w:spacing w:after="20" w:before="20"/>
            </w:pPr>
            <w:r>
              <w:rPr>
                <w:rFonts w:ascii="Calibri" w:hAnsi="Calibri"/>
                <w:color w:val="222A28"/>
                <w:sz w:val="16"/>
              </w:rPr>
              <w:t>50,000 paths · 16 factors</w:t>
            </w:r>
          </w:p>
        </w:tc>
        <w:tc>
          <w:tcPr>
            <w:tcW w:type="dxa" w:w="1944"/>
          </w:tcPr>
          <w:p>
            <w:pPr>
              <w:spacing w:after="20" w:before="20"/>
            </w:pPr>
            <w:r>
              <w:rPr>
                <w:rFonts w:ascii="Calibri" w:hAnsi="Calibri"/>
                <w:color w:val="222A28"/>
                <w:sz w:val="16"/>
              </w:rPr>
              <w:t>p5 7.02 · p50 8.38 · p95 9.91</w:t>
            </w:r>
          </w:p>
        </w:tc>
        <w:tc>
          <w:tcPr>
            <w:tcW w:type="dxa" w:w="2376"/>
          </w:tcPr>
          <w:p>
            <w:pPr>
              <w:spacing w:after="20" w:before="20"/>
            </w:pPr>
            <w:r>
              <w:rPr>
                <w:rFonts w:ascii="Calibri" w:hAnsi="Calibri"/>
                <w:color w:val="222A28"/>
                <w:sz w:val="16"/>
              </w:rPr>
              <w:t>Median ≈ spot</w:t>
            </w:r>
          </w:p>
        </w:tc>
      </w:tr>
      <w:tr>
        <w:tc>
          <w:tcPr>
            <w:tcW w:type="dxa" w:w="3600"/>
          </w:tcPr>
          <w:p>
            <w:pPr>
              <w:spacing w:after="20" w:before="20"/>
            </w:pPr>
            <w:r>
              <w:rPr>
                <w:rFonts w:ascii="Calibri" w:hAnsi="Calibri"/>
                <w:color w:val="222A28"/>
                <w:sz w:val="16"/>
              </w:rPr>
              <w:t>T+60 sessions</w:t>
            </w:r>
          </w:p>
        </w:tc>
        <w:tc>
          <w:tcPr>
            <w:tcW w:type="dxa" w:w="3456"/>
          </w:tcPr>
          <w:p>
            <w:pPr>
              <w:spacing w:after="20" w:before="20"/>
            </w:pPr>
            <w:r>
              <w:rPr>
                <w:rFonts w:ascii="Calibri" w:hAnsi="Calibri"/>
                <w:color w:val="222A28"/>
                <w:sz w:val="16"/>
              </w:rPr>
              <w:t>same engine, longer horizon</w:t>
            </w:r>
          </w:p>
        </w:tc>
        <w:tc>
          <w:tcPr>
            <w:tcW w:type="dxa" w:w="1944"/>
          </w:tcPr>
          <w:p>
            <w:pPr>
              <w:spacing w:after="20" w:before="20"/>
            </w:pPr>
            <w:r>
              <w:rPr>
                <w:rFonts w:ascii="Calibri" w:hAnsi="Calibri"/>
                <w:color w:val="222A28"/>
                <w:sz w:val="16"/>
              </w:rPr>
              <w:t>p5 6.36 · p50 8.50 · p95 11.29</w:t>
            </w:r>
          </w:p>
        </w:tc>
        <w:tc>
          <w:tcPr>
            <w:tcW w:type="dxa" w:w="2376"/>
          </w:tcPr>
          <w:p>
            <w:pPr>
              <w:spacing w:after="20" w:before="20"/>
            </w:pPr>
            <w:r>
              <w:rPr>
                <w:rFonts w:ascii="Calibri" w:hAnsi="Calibri"/>
                <w:color w:val="222A28"/>
                <w:sz w:val="16"/>
              </w:rPr>
              <w:t>Wide, mild right-skew</w:t>
            </w:r>
          </w:p>
        </w:tc>
      </w:tr>
      <w:tr>
        <w:tc>
          <w:tcPr>
            <w:tcW w:type="dxa" w:w="2376"/>
            <w:gridSpan w:val="4"/>
            <w:shd w:val="clear" w:color="auto" w:fill="EAF0EE"/>
          </w:tcPr>
          <w:p>
            <w:pPr>
              <w:spacing w:after="20" w:before="20"/>
            </w:pPr>
            <w:r>
              <w:rPr>
                <w:rFonts w:ascii="Calibri" w:hAnsi="Calibri"/>
                <w:b/>
                <w:color w:val="1C3A36"/>
                <w:sz w:val="16"/>
              </w:rPr>
              <w:t>EXPERT PANEL — three independent methods (Appendix C)</w:t>
            </w:r>
          </w:p>
          <w:p>
            <w:pPr>
              <w:spacing w:after="20" w:before="20"/>
            </w:pPr>
            <w:r>
              <w:rPr>
                <w:rFonts w:ascii="Calibri" w:hAnsi="Calibri"/>
                <w:b/>
                <w:color w:val="1C3A36"/>
                <w:sz w:val="16"/>
              </w:rPr>
            </w:r>
          </w:p>
          <w:p>
            <w:pPr>
              <w:spacing w:after="20" w:before="20"/>
            </w:pPr>
            <w:r>
              <w:rPr>
                <w:rFonts w:ascii="Calibri" w:hAnsi="Calibri"/>
                <w:b/>
                <w:color w:val="1C3A36"/>
                <w:sz w:val="16"/>
              </w:rPr>
            </w:r>
          </w:p>
          <w:p>
            <w:pPr>
              <w:spacing w:after="20" w:before="20"/>
            </w:pPr>
            <w:r>
              <w:rPr>
                <w:rFonts w:ascii="Calibri" w:hAnsi="Calibri"/>
                <w:b/>
                <w:color w:val="1C3A36"/>
                <w:sz w:val="16"/>
              </w:rPr>
            </w:r>
          </w:p>
        </w:tc>
      </w:tr>
      <w:tr>
        <w:tc>
          <w:tcPr>
            <w:tcW w:type="dxa" w:w="3600"/>
          </w:tcPr>
          <w:p>
            <w:pPr>
              <w:spacing w:after="20" w:before="20"/>
            </w:pPr>
            <w:r>
              <w:rPr>
                <w:rFonts w:ascii="Calibri" w:hAnsi="Calibri"/>
                <w:color w:val="222A28"/>
                <w:sz w:val="16"/>
              </w:rPr>
              <w:t>Expert 1 — Accountant (RNAV / realizable)</w:t>
            </w:r>
          </w:p>
        </w:tc>
        <w:tc>
          <w:tcPr>
            <w:tcW w:type="dxa" w:w="3456"/>
          </w:tcPr>
          <w:p>
            <w:pPr>
              <w:spacing w:after="20" w:before="20"/>
            </w:pPr>
            <w:r>
              <w:rPr>
                <w:rFonts w:ascii="Calibri" w:hAnsi="Calibri"/>
                <w:color w:val="222A28"/>
                <w:sz w:val="16"/>
              </w:rPr>
              <w:t>Cap-rate GAV + earnings quality</w:t>
            </w:r>
          </w:p>
        </w:tc>
        <w:tc>
          <w:tcPr>
            <w:tcW w:type="dxa" w:w="1944"/>
          </w:tcPr>
          <w:p>
            <w:pPr>
              <w:spacing w:after="20" w:before="20"/>
            </w:pPr>
            <w:r>
              <w:rPr>
                <w:rFonts w:ascii="Calibri" w:hAnsi="Calibri"/>
                <w:color w:val="222A28"/>
                <w:sz w:val="16"/>
              </w:rPr>
              <w:t>AED 9.2</w:t>
            </w:r>
          </w:p>
        </w:tc>
        <w:tc>
          <w:tcPr>
            <w:tcW w:type="dxa" w:w="2376"/>
          </w:tcPr>
          <w:p>
            <w:pPr>
              <w:spacing w:after="20" w:before="20"/>
            </w:pPr>
            <w:r>
              <w:rPr>
                <w:rFonts w:ascii="Calibri" w:hAnsi="Calibri"/>
                <w:color w:val="222A28"/>
                <w:sz w:val="16"/>
              </w:rPr>
              <w:t>The anchor</w:t>
            </w:r>
          </w:p>
        </w:tc>
      </w:tr>
      <w:tr>
        <w:tc>
          <w:tcPr>
            <w:tcW w:type="dxa" w:w="3600"/>
          </w:tcPr>
          <w:p>
            <w:pPr>
              <w:spacing w:after="20" w:before="20"/>
            </w:pPr>
            <w:r>
              <w:rPr>
                <w:rFonts w:ascii="Calibri" w:hAnsi="Calibri"/>
                <w:color w:val="222A28"/>
                <w:sz w:val="16"/>
              </w:rPr>
              <w:t>Expert 2 — Demand (absorption DCF)</w:t>
            </w:r>
          </w:p>
        </w:tc>
        <w:tc>
          <w:tcPr>
            <w:tcW w:type="dxa" w:w="3456"/>
          </w:tcPr>
          <w:p>
            <w:pPr>
              <w:spacing w:after="20" w:before="20"/>
            </w:pPr>
            <w:r>
              <w:rPr>
                <w:rFonts w:ascii="Calibri" w:hAnsi="Calibri"/>
                <w:color w:val="222A28"/>
                <w:sz w:val="16"/>
              </w:rPr>
              <w:t>Backlog velocity → recognised cash</w:t>
            </w:r>
          </w:p>
        </w:tc>
        <w:tc>
          <w:tcPr>
            <w:tcW w:type="dxa" w:w="1944"/>
          </w:tcPr>
          <w:p>
            <w:pPr>
              <w:spacing w:after="20" w:before="20"/>
            </w:pPr>
            <w:r>
              <w:rPr>
                <w:rFonts w:ascii="Calibri" w:hAnsi="Calibri"/>
                <w:color w:val="222A28"/>
                <w:sz w:val="16"/>
              </w:rPr>
              <w:t>AED 10.8</w:t>
            </w:r>
          </w:p>
        </w:tc>
        <w:tc>
          <w:tcPr>
            <w:tcW w:type="dxa" w:w="2376"/>
          </w:tcPr>
          <w:p>
            <w:pPr>
              <w:spacing w:after="20" w:before="20"/>
            </w:pPr>
            <w:r>
              <w:rPr>
                <w:rFonts w:ascii="Calibri" w:hAnsi="Calibri"/>
                <w:color w:val="222A28"/>
                <w:sz w:val="16"/>
              </w:rPr>
              <w:t>Most bullish</w:t>
            </w:r>
          </w:p>
        </w:tc>
      </w:tr>
      <w:tr>
        <w:tc>
          <w:tcPr>
            <w:tcW w:type="dxa" w:w="3600"/>
          </w:tcPr>
          <w:p>
            <w:pPr>
              <w:spacing w:after="20" w:before="20"/>
            </w:pPr>
            <w:r>
              <w:rPr>
                <w:rFonts w:ascii="Calibri" w:hAnsi="Calibri"/>
                <w:color w:val="222A28"/>
                <w:sz w:val="16"/>
              </w:rPr>
              <w:t>Expert 3 — Macro-Policy (scenario-weighted)</w:t>
            </w:r>
          </w:p>
        </w:tc>
        <w:tc>
          <w:tcPr>
            <w:tcW w:type="dxa" w:w="3456"/>
          </w:tcPr>
          <w:p>
            <w:pPr>
              <w:spacing w:after="20" w:before="20"/>
            </w:pPr>
            <w:r>
              <w:rPr>
                <w:rFonts w:ascii="Calibri" w:hAnsi="Calibri"/>
                <w:color w:val="222A28"/>
                <w:sz w:val="16"/>
              </w:rPr>
              <w:t>Oil, rates, Hormuz as options</w:t>
            </w:r>
          </w:p>
        </w:tc>
        <w:tc>
          <w:tcPr>
            <w:tcW w:type="dxa" w:w="1944"/>
          </w:tcPr>
          <w:p>
            <w:pPr>
              <w:spacing w:after="20" w:before="20"/>
            </w:pPr>
            <w:r>
              <w:rPr>
                <w:rFonts w:ascii="Calibri" w:hAnsi="Calibri"/>
                <w:color w:val="222A28"/>
                <w:sz w:val="16"/>
              </w:rPr>
              <w:t>AED 9.3</w:t>
            </w:r>
          </w:p>
        </w:tc>
        <w:tc>
          <w:tcPr>
            <w:tcW w:type="dxa" w:w="2376"/>
          </w:tcPr>
          <w:p>
            <w:pPr>
              <w:spacing w:after="20" w:before="20"/>
            </w:pPr>
            <w:r>
              <w:rPr>
                <w:rFonts w:ascii="Calibri" w:hAnsi="Calibri"/>
                <w:color w:val="222A28"/>
                <w:sz w:val="16"/>
              </w:rPr>
              <w:t>Policy-weighted</w:t>
            </w:r>
          </w:p>
        </w:tc>
      </w:tr>
      <w:tr>
        <w:tc>
          <w:tcPr>
            <w:tcW w:type="dxa" w:w="3600"/>
          </w:tcPr>
          <w:p>
            <w:pPr>
              <w:spacing w:after="20" w:before="20"/>
            </w:pPr>
            <w:r>
              <w:rPr>
                <w:rFonts w:ascii="Calibri" w:hAnsi="Calibri"/>
                <w:color w:val="222A28"/>
                <w:sz w:val="16"/>
              </w:rPr>
              <w:t>Panel range</w:t>
            </w:r>
          </w:p>
        </w:tc>
        <w:tc>
          <w:tcPr>
            <w:tcW w:type="dxa" w:w="3456"/>
          </w:tcPr>
          <w:p>
            <w:pPr>
              <w:spacing w:after="20" w:before="20"/>
            </w:pPr>
            <w:r>
              <w:rPr>
                <w:rFonts w:ascii="Calibri" w:hAnsi="Calibri"/>
                <w:color w:val="222A28"/>
                <w:sz w:val="16"/>
              </w:rPr>
              <w:t>Spread = the franchise question</w:t>
            </w:r>
          </w:p>
        </w:tc>
        <w:tc>
          <w:tcPr>
            <w:tcW w:type="dxa" w:w="1944"/>
          </w:tcPr>
          <w:p>
            <w:pPr>
              <w:spacing w:after="20" w:before="20"/>
            </w:pPr>
            <w:r>
              <w:rPr>
                <w:rFonts w:ascii="Calibri" w:hAnsi="Calibri"/>
                <w:color w:val="222A28"/>
                <w:sz w:val="16"/>
              </w:rPr>
              <w:t>AED 9.2–10.8</w:t>
            </w:r>
          </w:p>
        </w:tc>
        <w:tc>
          <w:tcPr>
            <w:tcW w:type="dxa" w:w="2376"/>
          </w:tcPr>
          <w:p>
            <w:pPr>
              <w:spacing w:after="20" w:before="20"/>
            </w:pPr>
            <w:r>
              <w:rPr>
                <w:rFonts w:ascii="Calibri" w:hAnsi="Calibri"/>
                <w:color w:val="222A28"/>
                <w:sz w:val="16"/>
              </w:rPr>
              <w:t>Centres ~AED 9.8</w:t>
            </w:r>
          </w:p>
        </w:tc>
      </w:tr>
    </w:tbl>
    <w:p>
      <w:pPr>
        <w:spacing w:after="40"/>
      </w:pPr>
    </w:p>
    <w:p>
      <w:pPr>
        <w:spacing w:after="120" w:before="0"/>
      </w:pPr>
      <w:r>
        <w:rPr>
          <w:rFonts w:ascii="Calibri" w:hAnsi="Calibri"/>
          <w:b/>
          <w:i w:val="0"/>
          <w:color w:val="1C3A36"/>
          <w:sz w:val="20"/>
        </w:rPr>
        <w:t xml:space="preserve">Bottom line. </w:t>
      </w:r>
      <w:r>
        <w:rPr>
          <w:rFonts w:ascii="Calibri" w:hAnsi="Calibri"/>
          <w:b w:val="0"/>
          <w:i w:val="0"/>
          <w:color w:val="222A28"/>
          <w:sz w:val="20"/>
        </w:rPr>
        <w:t>Every read points the same way on value and disagrees only on magnitude. The fundamental central sits near AED 10.2 — about 23% above the AED 8.30 spot — the three experts span AED 9.2–10.8, and each turns on a single question: how much of Aldar Development's continuously-replenished franchise to credit beyond today's AED 71.7bn backlog, and what cap rate the recurring platform deserves. The technical tape is the lone neutral: mid-recovery, below its long-term averages, which is why the three-month distribution centres near spot with a mild right tail rather than already at fair value.</w:t>
      </w:r>
    </w:p>
    <w:p>
      <w:pPr>
        <w:spacing w:before="280" w:after="120"/>
        <w:pBdr>
          <w:bottom w:val="single" w:sz="6" w:space="2" w:color="C0A45F"/>
        </w:pBdr>
      </w:pPr>
      <w:r>
        <w:rPr>
          <w:rFonts w:ascii="Calibri" w:hAnsi="Calibri"/>
          <w:b/>
          <w:color w:val="1C3A36"/>
          <w:sz w:val="30"/>
        </w:rPr>
        <w:t>Company overview — Aldar Properties at a glance</w:t>
      </w:r>
    </w:p>
    <w:tbl>
      <w:tblPr>
        <w:tblStyle w:val="TableGrid"/>
        <w:tblW w:type="auto" w:w="0"/>
        <w:jc w:val="center"/>
        <w:tblLook w:firstColumn="1" w:firstRow="1" w:lastColumn="0" w:lastRow="0" w:noHBand="0" w:noVBand="1" w:val="04A0"/>
        <w:tblLayout w:type="fixed"/>
      </w:tblPr>
      <w:tblGrid>
        <w:gridCol w:w="4968"/>
        <w:gridCol w:w="4968"/>
      </w:tblGrid>
      <w:tr>
        <w:tc>
          <w:tcPr>
            <w:tcW w:type="dxa" w:w="2736"/>
            <w:shd w:val="clear" w:color="auto" w:fill="1C3A36"/>
          </w:tcPr>
          <w:p>
            <w:pPr>
              <w:spacing w:after="20" w:before="20"/>
            </w:pPr>
            <w:r>
              <w:rPr>
                <w:rFonts w:ascii="Calibri" w:hAnsi="Calibri"/>
                <w:b/>
                <w:color w:val="FFFFFF"/>
                <w:sz w:val="17"/>
              </w:rPr>
              <w:t>Item</w:t>
            </w:r>
          </w:p>
        </w:tc>
        <w:tc>
          <w:tcPr>
            <w:tcW w:type="dxa" w:w="7200"/>
            <w:shd w:val="clear" w:color="auto" w:fill="1C3A36"/>
          </w:tcPr>
          <w:p>
            <w:pPr>
              <w:spacing w:after="20" w:before="20"/>
            </w:pPr>
            <w:r>
              <w:rPr>
                <w:rFonts w:ascii="Calibri" w:hAnsi="Calibri"/>
                <w:b/>
                <w:color w:val="FFFFFF"/>
                <w:sz w:val="17"/>
              </w:rPr>
              <w:t>Value</w:t>
            </w:r>
          </w:p>
        </w:tc>
      </w:tr>
      <w:tr>
        <w:tc>
          <w:tcPr>
            <w:tcW w:type="dxa" w:w="2736"/>
          </w:tcPr>
          <w:p>
            <w:pPr>
              <w:spacing w:after="20" w:before="20"/>
            </w:pPr>
            <w:r>
              <w:rPr>
                <w:rFonts w:ascii="Calibri" w:hAnsi="Calibri"/>
                <w:color w:val="222A28"/>
                <w:sz w:val="17"/>
              </w:rPr>
              <w:t>Listed entity</w:t>
            </w:r>
          </w:p>
        </w:tc>
        <w:tc>
          <w:tcPr>
            <w:tcW w:type="dxa" w:w="7200"/>
          </w:tcPr>
          <w:p>
            <w:pPr>
              <w:spacing w:after="20" w:before="20"/>
            </w:pPr>
            <w:r>
              <w:rPr>
                <w:rFonts w:ascii="Calibri" w:hAnsi="Calibri"/>
                <w:color w:val="222A28"/>
                <w:sz w:val="17"/>
              </w:rPr>
              <w:t>Aldar Properties PJSC (ADX: ALDAR)</w:t>
            </w:r>
          </w:p>
        </w:tc>
      </w:tr>
      <w:tr>
        <w:tc>
          <w:tcPr>
            <w:tcW w:type="dxa" w:w="2736"/>
          </w:tcPr>
          <w:p>
            <w:pPr>
              <w:spacing w:after="20" w:before="20"/>
            </w:pPr>
            <w:r>
              <w:rPr>
                <w:rFonts w:ascii="Calibri" w:hAnsi="Calibri"/>
                <w:color w:val="222A28"/>
                <w:sz w:val="17"/>
              </w:rPr>
              <w:t>What it owns</w:t>
            </w:r>
          </w:p>
        </w:tc>
        <w:tc>
          <w:tcPr>
            <w:tcW w:type="dxa" w:w="7200"/>
          </w:tcPr>
          <w:p>
            <w:pPr>
              <w:spacing w:after="20" w:before="20"/>
            </w:pPr>
            <w:r>
              <w:rPr>
                <w:rFonts w:ascii="Calibri" w:hAnsi="Calibri"/>
                <w:color w:val="222A28"/>
                <w:sz w:val="17"/>
              </w:rPr>
              <w:t>Aldar Development (UAE master-plans, backlog AED 71.7bn; SODIC Egypt, London Square UK) · Aldar Investment (retail, commercial, residential, logistics, hospitality, education, estates — ~AED 52bn recurring assets)</w:t>
            </w:r>
          </w:p>
        </w:tc>
      </w:tr>
      <w:tr>
        <w:tc>
          <w:tcPr>
            <w:tcW w:type="dxa" w:w="2736"/>
          </w:tcPr>
          <w:p>
            <w:pPr>
              <w:spacing w:after="20" w:before="20"/>
            </w:pPr>
            <w:r>
              <w:rPr>
                <w:rFonts w:ascii="Calibri" w:hAnsi="Calibri"/>
                <w:color w:val="222A28"/>
                <w:sz w:val="17"/>
              </w:rPr>
              <w:t>Spot / date</w:t>
            </w:r>
          </w:p>
        </w:tc>
        <w:tc>
          <w:tcPr>
            <w:tcW w:type="dxa" w:w="7200"/>
          </w:tcPr>
          <w:p>
            <w:pPr>
              <w:spacing w:after="20" w:before="20"/>
            </w:pPr>
            <w:r>
              <w:rPr>
                <w:rFonts w:ascii="Calibri" w:hAnsi="Calibri"/>
                <w:color w:val="222A28"/>
                <w:sz w:val="17"/>
              </w:rPr>
              <w:t>AED 8.30 · 3 Jul 2026 close</w:t>
            </w:r>
          </w:p>
        </w:tc>
      </w:tr>
      <w:tr>
        <w:tc>
          <w:tcPr>
            <w:tcW w:type="dxa" w:w="2736"/>
          </w:tcPr>
          <w:p>
            <w:pPr>
              <w:spacing w:after="20" w:before="20"/>
            </w:pPr>
            <w:r>
              <w:rPr>
                <w:rFonts w:ascii="Calibri" w:hAnsi="Calibri"/>
                <w:color w:val="222A28"/>
                <w:sz w:val="17"/>
              </w:rPr>
              <w:t>Shares · market cap</w:t>
            </w:r>
          </w:p>
        </w:tc>
        <w:tc>
          <w:tcPr>
            <w:tcW w:type="dxa" w:w="7200"/>
          </w:tcPr>
          <w:p>
            <w:pPr>
              <w:spacing w:after="20" w:before="20"/>
            </w:pPr>
            <w:r>
              <w:rPr>
                <w:rFonts w:ascii="Calibri" w:hAnsi="Calibri"/>
                <w:color w:val="222A28"/>
                <w:sz w:val="17"/>
              </w:rPr>
              <w:t>~7.854bn · ~AED 65.2bn</w:t>
            </w:r>
          </w:p>
        </w:tc>
      </w:tr>
      <w:tr>
        <w:tc>
          <w:tcPr>
            <w:tcW w:type="dxa" w:w="2736"/>
          </w:tcPr>
          <w:p>
            <w:pPr>
              <w:spacing w:after="20" w:before="20"/>
            </w:pPr>
            <w:r>
              <w:rPr>
                <w:rFonts w:ascii="Calibri" w:hAnsi="Calibri"/>
                <w:color w:val="222A28"/>
                <w:sz w:val="17"/>
              </w:rPr>
              <w:t>Net debt (incl. hybrids)</w:t>
            </w:r>
          </w:p>
        </w:tc>
        <w:tc>
          <w:tcPr>
            <w:tcW w:type="dxa" w:w="7200"/>
          </w:tcPr>
          <w:p>
            <w:pPr>
              <w:spacing w:after="20" w:before="20"/>
            </w:pPr>
            <w:r>
              <w:rPr>
                <w:rFonts w:ascii="Calibri" w:hAnsi="Calibri"/>
                <w:color w:val="222A28"/>
                <w:sz w:val="17"/>
              </w:rPr>
              <w:t>~AED 5.5bn (~0.5× EBITDA); liquidity ~AED 33–38bn</w:t>
            </w:r>
          </w:p>
        </w:tc>
      </w:tr>
      <w:tr>
        <w:tc>
          <w:tcPr>
            <w:tcW w:type="dxa" w:w="2736"/>
          </w:tcPr>
          <w:p>
            <w:pPr>
              <w:spacing w:after="20" w:before="20"/>
            </w:pPr>
            <w:r>
              <w:rPr>
                <w:rFonts w:ascii="Calibri" w:hAnsi="Calibri"/>
                <w:color w:val="222A28"/>
                <w:sz w:val="17"/>
              </w:rPr>
              <w:t>FY2025 revenue / EBITDA</w:t>
            </w:r>
          </w:p>
        </w:tc>
        <w:tc>
          <w:tcPr>
            <w:tcW w:type="dxa" w:w="7200"/>
          </w:tcPr>
          <w:p>
            <w:pPr>
              <w:spacing w:after="20" w:before="20"/>
            </w:pPr>
            <w:r>
              <w:rPr>
                <w:rFonts w:ascii="Calibri" w:hAnsi="Calibri"/>
                <w:color w:val="222A28"/>
                <w:sz w:val="17"/>
              </w:rPr>
              <w:t>AED 33.8bn (+47% YoY) · AED 11.2bn (33% margin)</w:t>
            </w:r>
          </w:p>
        </w:tc>
      </w:tr>
      <w:tr>
        <w:tc>
          <w:tcPr>
            <w:tcW w:type="dxa" w:w="2736"/>
          </w:tcPr>
          <w:p>
            <w:pPr>
              <w:spacing w:after="20" w:before="20"/>
            </w:pPr>
            <w:r>
              <w:rPr>
                <w:rFonts w:ascii="Calibri" w:hAnsi="Calibri"/>
                <w:color w:val="222A28"/>
                <w:sz w:val="17"/>
              </w:rPr>
              <w:t>FY2025 net profit / EPS</w:t>
            </w:r>
          </w:p>
        </w:tc>
        <w:tc>
          <w:tcPr>
            <w:tcW w:type="dxa" w:w="7200"/>
          </w:tcPr>
          <w:p>
            <w:pPr>
              <w:spacing w:after="20" w:before="20"/>
            </w:pPr>
            <w:r>
              <w:rPr>
                <w:rFonts w:ascii="Calibri" w:hAnsi="Calibri"/>
                <w:color w:val="222A28"/>
                <w:sz w:val="17"/>
              </w:rPr>
              <w:t>AED 8.8bn group (attributable ~AED 7.6bn) · EPS AED 0.96</w:t>
            </w:r>
          </w:p>
        </w:tc>
      </w:tr>
      <w:tr>
        <w:tc>
          <w:tcPr>
            <w:tcW w:type="dxa" w:w="2736"/>
          </w:tcPr>
          <w:p>
            <w:pPr>
              <w:spacing w:after="20" w:before="20"/>
            </w:pPr>
            <w:r>
              <w:rPr>
                <w:rFonts w:ascii="Calibri" w:hAnsi="Calibri"/>
                <w:color w:val="222A28"/>
                <w:sz w:val="17"/>
              </w:rPr>
              <w:t>Development backlog</w:t>
            </w:r>
          </w:p>
        </w:tc>
        <w:tc>
          <w:tcPr>
            <w:tcW w:type="dxa" w:w="7200"/>
          </w:tcPr>
          <w:p>
            <w:pPr>
              <w:spacing w:after="20" w:before="20"/>
            </w:pPr>
            <w:r>
              <w:rPr>
                <w:rFonts w:ascii="Calibri" w:hAnsi="Calibri"/>
                <w:color w:val="222A28"/>
                <w:sz w:val="17"/>
              </w:rPr>
              <w:t>AED 71.7bn (Q1 2026: AED 72.1bn) + project-management backlog ~AED 92bn (separate)</w:t>
            </w:r>
          </w:p>
        </w:tc>
      </w:tr>
      <w:tr>
        <w:tc>
          <w:tcPr>
            <w:tcW w:type="dxa" w:w="2736"/>
          </w:tcPr>
          <w:p>
            <w:pPr>
              <w:spacing w:after="20" w:before="20"/>
            </w:pPr>
            <w:r>
              <w:rPr>
                <w:rFonts w:ascii="Calibri" w:hAnsi="Calibri"/>
                <w:color w:val="222A28"/>
                <w:sz w:val="17"/>
              </w:rPr>
              <w:t>Recurring-asset GAV</w:t>
            </w:r>
          </w:p>
        </w:tc>
        <w:tc>
          <w:tcPr>
            <w:tcW w:type="dxa" w:w="7200"/>
          </w:tcPr>
          <w:p>
            <w:pPr>
              <w:spacing w:after="20" w:before="20"/>
            </w:pPr>
            <w:r>
              <w:rPr>
                <w:rFonts w:ascii="Calibri" w:hAnsi="Calibri"/>
                <w:color w:val="222A28"/>
                <w:sz w:val="17"/>
              </w:rPr>
              <w:t>~AED 52bn (Q1 2026), 96% occupancy, ~6.2% implied yield</w:t>
            </w:r>
          </w:p>
        </w:tc>
      </w:tr>
      <w:tr>
        <w:tc>
          <w:tcPr>
            <w:tcW w:type="dxa" w:w="2736"/>
          </w:tcPr>
          <w:p>
            <w:pPr>
              <w:spacing w:after="20" w:before="20"/>
            </w:pPr>
            <w:r>
              <w:rPr>
                <w:rFonts w:ascii="Calibri" w:hAnsi="Calibri"/>
                <w:color w:val="222A28"/>
                <w:sz w:val="17"/>
              </w:rPr>
              <w:t>Dividend (FY2025)</w:t>
            </w:r>
          </w:p>
        </w:tc>
        <w:tc>
          <w:tcPr>
            <w:tcW w:type="dxa" w:w="7200"/>
          </w:tcPr>
          <w:p>
            <w:pPr>
              <w:spacing w:after="20" w:before="20"/>
            </w:pPr>
            <w:r>
              <w:rPr>
                <w:rFonts w:ascii="Calibri" w:hAnsi="Calibri"/>
                <w:color w:val="222A28"/>
                <w:sz w:val="17"/>
              </w:rPr>
              <w:t>AED 0.205/share (+11%), ~AED 1.61bn total</w:t>
            </w:r>
          </w:p>
        </w:tc>
      </w:tr>
      <w:tr>
        <w:tc>
          <w:tcPr>
            <w:tcW w:type="dxa" w:w="2736"/>
          </w:tcPr>
          <w:p>
            <w:pPr>
              <w:spacing w:after="20" w:before="20"/>
            </w:pPr>
            <w:r>
              <w:rPr>
                <w:rFonts w:ascii="Calibri" w:hAnsi="Calibri"/>
                <w:color w:val="222A28"/>
                <w:sz w:val="17"/>
              </w:rPr>
              <w:t>52-week range · all-time</w:t>
            </w:r>
          </w:p>
        </w:tc>
        <w:tc>
          <w:tcPr>
            <w:tcW w:type="dxa" w:w="7200"/>
          </w:tcPr>
          <w:p>
            <w:pPr>
              <w:spacing w:after="20" w:before="20"/>
            </w:pPr>
            <w:r>
              <w:rPr>
                <w:rFonts w:ascii="Calibri" w:hAnsi="Calibri"/>
                <w:color w:val="222A28"/>
                <w:sz w:val="17"/>
              </w:rPr>
              <w:t>AED 7.03 – 11.80 · AED 3.15 – 11.80</w:t>
            </w:r>
          </w:p>
        </w:tc>
      </w:tr>
      <w:tr>
        <w:tc>
          <w:tcPr>
            <w:tcW w:type="dxa" w:w="2736"/>
          </w:tcPr>
          <w:p>
            <w:pPr>
              <w:spacing w:after="20" w:before="20"/>
            </w:pPr>
            <w:r>
              <w:rPr>
                <w:rFonts w:ascii="Calibri" w:hAnsi="Calibri"/>
                <w:color w:val="222A28"/>
                <w:sz w:val="17"/>
              </w:rPr>
              <w:t>Key holders</w:t>
            </w:r>
          </w:p>
        </w:tc>
        <w:tc>
          <w:tcPr>
            <w:tcW w:type="dxa" w:w="7200"/>
          </w:tcPr>
          <w:p>
            <w:pPr>
              <w:spacing w:after="20" w:before="20"/>
            </w:pPr>
            <w:r>
              <w:rPr>
                <w:rFonts w:ascii="Calibri" w:hAnsi="Calibri"/>
                <w:color w:val="222A28"/>
                <w:sz w:val="17"/>
              </w:rPr>
              <w:t>Mubadala-linked strategic ownership; free float the listed remainder; Apollo 9.7% of Aldar Investment Properties</w:t>
            </w:r>
          </w:p>
        </w:tc>
      </w:tr>
    </w:tbl>
    <w:p>
      <w:pPr>
        <w:spacing w:after="40"/>
      </w:pPr>
    </w:p>
    <w:p>
      <w:pPr>
        <w:spacing w:after="120" w:before="0"/>
      </w:pPr>
      <w:r>
        <w:rPr>
          <w:rFonts w:ascii="Calibri" w:hAnsi="Calibri"/>
          <w:b w:val="0"/>
          <w:i/>
          <w:color w:val="5B6B67"/>
          <w:sz w:val="16"/>
        </w:rPr>
        <w:t>Source: company FY2025 results and Q1 2026, ADX disclosures, exchange data. Values rounded.</w:t>
      </w:r>
    </w:p>
    <w:p>
      <w:pPr>
        <w:spacing w:before="280" w:after="120"/>
        <w:pBdr>
          <w:bottom w:val="single" w:sz="6" w:space="2" w:color="C0A45F"/>
        </w:pBdr>
      </w:pPr>
      <w:r>
        <w:rPr>
          <w:rFonts w:ascii="Calibri" w:hAnsi="Calibri"/>
          <w:b/>
          <w:color w:val="1C3A36"/>
          <w:sz w:val="30"/>
        </w:rPr>
        <w:t>1  Fundamental valuation</w:t>
      </w:r>
    </w:p>
    <w:p>
      <w:pPr>
        <w:spacing w:after="120" w:before="0"/>
      </w:pPr>
      <w:r>
        <w:rPr>
          <w:rFonts w:ascii="Calibri" w:hAnsi="Calibri"/>
          <w:b w:val="0"/>
          <w:i w:val="0"/>
          <w:color w:val="222A28"/>
          <w:sz w:val="20"/>
        </w:rPr>
        <w:t xml:space="preserve">We value Aldar as two quite different businesses under one listing, and triangulate four lenses. The primary lens is a </w:t>
      </w:r>
      <w:r>
        <w:rPr>
          <w:rFonts w:ascii="Calibri" w:hAnsi="Calibri"/>
          <w:b/>
          <w:i w:val="0"/>
          <w:color w:val="222A28"/>
          <w:sz w:val="20"/>
        </w:rPr>
        <w:t>split-the-legs sum-of-the-parts / RNAV</w:t>
      </w:r>
      <w:r>
        <w:rPr>
          <w:rFonts w:ascii="Calibri" w:hAnsi="Calibri"/>
          <w:b w:val="0"/>
          <w:i w:val="0"/>
          <w:color w:val="222A28"/>
          <w:sz w:val="20"/>
        </w:rPr>
        <w:t xml:space="preserve"> because the parts trade on different economics — a high-velocity development franchise whose value is the cash its order book and replenished land will generate, and a stabilised recurring-income platform whose value is its marked asset base at a market cap rate — and a single blended multiple would blur them. A consolidated FCFF DCF, a relative-multiple cross-check and, for a developer, a property-cycle read complete the set. The weights and the football field are in §1.5; the swing factors — the development-franchise value beyond backlog and the recurring cap rate — are dissected in §1.7 and the sensitivity grid in §1.9. Throughout, the cost of equity is published explicitly as </w:t>
      </w:r>
      <w:r>
        <w:rPr>
          <w:rFonts w:ascii="Calibri" w:hAnsi="Calibri"/>
          <w:b/>
          <w:i w:val="0"/>
          <w:color w:val="222A28"/>
          <w:sz w:val="20"/>
        </w:rPr>
        <w:t>Ke = risk-free + equity-risk premium</w:t>
      </w:r>
      <w:r>
        <w:rPr>
          <w:rFonts w:ascii="Calibri" w:hAnsi="Calibri"/>
          <w:b w:val="0"/>
          <w:i w:val="0"/>
          <w:color w:val="222A28"/>
          <w:sz w:val="20"/>
        </w:rPr>
        <w:t xml:space="preserve"> (AD 10-yr 4.8% + ERP 4.4% × beta 1.0 = 9.2%), with a group WACC of 8.0%.</w:t>
      </w:r>
    </w:p>
    <w:p>
      <w:pPr>
        <w:spacing w:before="200" w:after="80"/>
      </w:pPr>
      <w:r>
        <w:rPr>
          <w:rFonts w:ascii="Calibri" w:hAnsi="Calibri"/>
          <w:b/>
          <w:color w:val="896F36"/>
          <w:sz w:val="24"/>
        </w:rPr>
        <w:t>1.1  Split-the-legs sum-of-the-parts / RNAV — the primary lens</w:t>
      </w:r>
    </w:p>
    <w:p>
      <w:pPr>
        <w:spacing w:after="80" w:before="0"/>
      </w:pPr>
      <w:r>
        <w:rPr>
          <w:rFonts w:ascii="Calibri" w:hAnsi="Calibri"/>
          <w:b w:val="0"/>
          <w:i w:val="0"/>
          <w:color w:val="222A28"/>
          <w:sz w:val="20"/>
        </w:rPr>
        <w:t xml:space="preserve">Each leg is marked on the basis that fits it. </w:t>
      </w:r>
      <w:r>
        <w:rPr>
          <w:rFonts w:ascii="Calibri" w:hAnsi="Calibri"/>
          <w:b/>
          <w:i w:val="0"/>
          <w:color w:val="222A28"/>
          <w:sz w:val="20"/>
        </w:rPr>
        <w:t>Aldar Investment</w:t>
      </w:r>
      <w:r>
        <w:rPr>
          <w:rFonts w:ascii="Calibri" w:hAnsi="Calibri"/>
          <w:b w:val="0"/>
          <w:i w:val="0"/>
          <w:color w:val="222A28"/>
          <w:sz w:val="20"/>
        </w:rPr>
        <w:t xml:space="preserve"> — the recurring platform (retail, commercial, residential, industrial-and-logistics, hospitality, education and estates) — is carried at its stated recurring-asset gross asset value of AED 52bn, cross-checked by the implied ~6.2% yield on its ~AED 3.2bn adjusted EBITDA and by a ~16× EBITDA multiple appropriate to a 96%-occupied, inflation-linked portfolio. </w:t>
      </w:r>
      <w:r>
        <w:rPr>
          <w:rFonts w:ascii="Calibri" w:hAnsi="Calibri"/>
          <w:b/>
          <w:i w:val="0"/>
          <w:color w:val="222A28"/>
          <w:sz w:val="20"/>
        </w:rPr>
        <w:t>Aldar Development</w:t>
      </w:r>
      <w:r>
        <w:rPr>
          <w:rFonts w:ascii="Calibri" w:hAnsi="Calibri"/>
          <w:b w:val="0"/>
          <w:i w:val="0"/>
          <w:color w:val="222A28"/>
          <w:sz w:val="20"/>
        </w:rPr>
        <w:t xml:space="preserve"> — the sales franchise — is valued on a finite going-concern DCF (§1.7): ten years of development free cash flow from the AED 71.7bn backlog and a normalised, fading launch programme, plus a modest land-replenishment tail, with </w:t>
      </w:r>
      <w:r>
        <w:rPr>
          <w:rFonts w:ascii="Calibri" w:hAnsi="Calibri"/>
          <w:b/>
          <w:i w:val="0"/>
          <w:color w:val="222A28"/>
          <w:sz w:val="20"/>
        </w:rPr>
        <w:t>no perpetual growing terminal</w:t>
      </w:r>
      <w:r>
        <w:rPr>
          <w:rFonts w:ascii="Calibri" w:hAnsi="Calibri"/>
          <w:b w:val="0"/>
          <w:i w:val="0"/>
          <w:color w:val="222A28"/>
          <w:sz w:val="20"/>
        </w:rPr>
        <w:t xml:space="preserve"> (the split-NAV discipline). From the summed gross asset value we deduct net debt (including hybrid instruments, which rank ahead of ordinary equity) and non-controlling interests.</w:t>
      </w:r>
    </w:p>
    <w:tbl>
      <w:tblPr>
        <w:tblStyle w:val="TableGrid"/>
        <w:tblW w:type="auto" w:w="0"/>
        <w:jc w:val="center"/>
        <w:tblLook w:firstColumn="1" w:firstRow="1" w:lastColumn="0" w:lastRow="0" w:noHBand="0" w:noVBand="1" w:val="04A0"/>
        <w:tblLayout w:type="fixed"/>
      </w:tblPr>
      <w:tblGrid>
        <w:gridCol w:w="2484"/>
        <w:gridCol w:w="2484"/>
        <w:gridCol w:w="2484"/>
        <w:gridCol w:w="2484"/>
      </w:tblGrid>
      <w:tr>
        <w:tc>
          <w:tcPr>
            <w:tcW w:type="dxa" w:w="3600"/>
            <w:shd w:val="clear" w:color="auto" w:fill="1C3A36"/>
          </w:tcPr>
          <w:p>
            <w:pPr>
              <w:spacing w:after="20" w:before="20"/>
            </w:pPr>
            <w:r>
              <w:rPr>
                <w:rFonts w:ascii="Calibri" w:hAnsi="Calibri"/>
                <w:b/>
                <w:color w:val="FFFFFF"/>
                <w:sz w:val="17"/>
              </w:rPr>
              <w:t>Component (split-legs build)</w:t>
            </w:r>
          </w:p>
        </w:tc>
        <w:tc>
          <w:tcPr>
            <w:tcW w:type="dxa" w:w="3600"/>
            <w:shd w:val="clear" w:color="auto" w:fill="1C3A36"/>
          </w:tcPr>
          <w:p>
            <w:pPr>
              <w:spacing w:after="20" w:before="20"/>
            </w:pPr>
            <w:r>
              <w:rPr>
                <w:rFonts w:ascii="Calibri" w:hAnsi="Calibri"/>
                <w:b/>
                <w:color w:val="FFFFFF"/>
                <w:sz w:val="17"/>
              </w:rPr>
              <w:t>Basis</w:t>
            </w:r>
          </w:p>
        </w:tc>
        <w:tc>
          <w:tcPr>
            <w:tcW w:type="dxa" w:w="1440"/>
            <w:shd w:val="clear" w:color="auto" w:fill="1C3A36"/>
          </w:tcPr>
          <w:p>
            <w:pPr>
              <w:spacing w:after="20" w:before="20"/>
              <w:jc w:val="right"/>
            </w:pPr>
            <w:r>
              <w:rPr>
                <w:rFonts w:ascii="Calibri" w:hAnsi="Calibri"/>
                <w:b/>
                <w:color w:val="FFFFFF"/>
                <w:sz w:val="17"/>
              </w:rPr>
              <w:t>AED bn</w:t>
            </w:r>
          </w:p>
        </w:tc>
        <w:tc>
          <w:tcPr>
            <w:tcW w:type="dxa" w:w="1440"/>
            <w:shd w:val="clear" w:color="auto" w:fill="1C3A36"/>
          </w:tcPr>
          <w:p>
            <w:pPr>
              <w:spacing w:after="20" w:before="20"/>
              <w:jc w:val="right"/>
            </w:pPr>
            <w:r>
              <w:rPr>
                <w:rFonts w:ascii="Calibri" w:hAnsi="Calibri"/>
                <w:b/>
                <w:color w:val="FFFFFF"/>
                <w:sz w:val="17"/>
              </w:rPr>
              <w:t>AED/sh</w:t>
            </w:r>
          </w:p>
        </w:tc>
      </w:tr>
      <w:tr>
        <w:tc>
          <w:tcPr>
            <w:tcW w:type="dxa" w:w="3600"/>
          </w:tcPr>
          <w:p>
            <w:pPr>
              <w:spacing w:after="20" w:before="20"/>
            </w:pPr>
            <w:r>
              <w:rPr>
                <w:rFonts w:ascii="Calibri" w:hAnsi="Calibri"/>
                <w:color w:val="222A28"/>
                <w:sz w:val="17"/>
              </w:rPr>
              <w:t>Aldar Investment (recurring)</w:t>
            </w:r>
          </w:p>
        </w:tc>
        <w:tc>
          <w:tcPr>
            <w:tcW w:type="dxa" w:w="3600"/>
          </w:tcPr>
          <w:p>
            <w:pPr>
              <w:spacing w:after="20" w:before="20"/>
            </w:pPr>
            <w:r>
              <w:rPr>
                <w:rFonts w:ascii="Calibri" w:hAnsi="Calibri"/>
                <w:color w:val="222A28"/>
                <w:sz w:val="17"/>
              </w:rPr>
              <w:t>Recurring-asset GAV (cap-rate)</w:t>
            </w:r>
          </w:p>
        </w:tc>
        <w:tc>
          <w:tcPr>
            <w:tcW w:type="dxa" w:w="1440"/>
          </w:tcPr>
          <w:p>
            <w:pPr>
              <w:spacing w:after="20" w:before="20"/>
              <w:jc w:val="right"/>
            </w:pPr>
            <w:r>
              <w:rPr>
                <w:rFonts w:ascii="Calibri" w:hAnsi="Calibri"/>
                <w:color w:val="222A28"/>
                <w:sz w:val="17"/>
              </w:rPr>
              <w:t>52.0</w:t>
            </w:r>
          </w:p>
        </w:tc>
        <w:tc>
          <w:tcPr>
            <w:tcW w:type="dxa" w:w="1440"/>
          </w:tcPr>
          <w:p>
            <w:pPr>
              <w:spacing w:after="20" w:before="20"/>
              <w:jc w:val="right"/>
            </w:pPr>
            <w:r>
              <w:rPr>
                <w:rFonts w:ascii="Calibri" w:hAnsi="Calibri"/>
                <w:color w:val="222A28"/>
                <w:sz w:val="17"/>
              </w:rPr>
              <w:t>6.62</w:t>
            </w:r>
          </w:p>
        </w:tc>
      </w:tr>
      <w:tr>
        <w:tc>
          <w:tcPr>
            <w:tcW w:type="dxa" w:w="3600"/>
          </w:tcPr>
          <w:p>
            <w:pPr>
              <w:spacing w:after="20" w:before="20"/>
            </w:pPr>
            <w:r>
              <w:rPr>
                <w:rFonts w:ascii="Calibri" w:hAnsi="Calibri"/>
                <w:color w:val="222A28"/>
                <w:sz w:val="17"/>
              </w:rPr>
              <w:t>Aldar Development (finite DCF)</w:t>
            </w:r>
          </w:p>
        </w:tc>
        <w:tc>
          <w:tcPr>
            <w:tcW w:type="dxa" w:w="3600"/>
          </w:tcPr>
          <w:p>
            <w:pPr>
              <w:spacing w:after="20" w:before="20"/>
            </w:pPr>
            <w:r>
              <w:rPr>
                <w:rFonts w:ascii="Calibri" w:hAnsi="Calibri"/>
                <w:color w:val="222A28"/>
                <w:sz w:val="17"/>
              </w:rPr>
              <w:t>10-yr FCFF + land tail, no perpetual g</w:t>
            </w:r>
          </w:p>
        </w:tc>
        <w:tc>
          <w:tcPr>
            <w:tcW w:type="dxa" w:w="1440"/>
          </w:tcPr>
          <w:p>
            <w:pPr>
              <w:spacing w:after="20" w:before="20"/>
              <w:jc w:val="right"/>
            </w:pPr>
            <w:r>
              <w:rPr>
                <w:rFonts w:ascii="Calibri" w:hAnsi="Calibri"/>
                <w:color w:val="222A28"/>
                <w:sz w:val="17"/>
              </w:rPr>
              <w:t>36.2</w:t>
            </w:r>
          </w:p>
        </w:tc>
        <w:tc>
          <w:tcPr>
            <w:tcW w:type="dxa" w:w="1440"/>
          </w:tcPr>
          <w:p>
            <w:pPr>
              <w:spacing w:after="20" w:before="20"/>
              <w:jc w:val="right"/>
            </w:pPr>
            <w:r>
              <w:rPr>
                <w:rFonts w:ascii="Calibri" w:hAnsi="Calibri"/>
                <w:color w:val="222A28"/>
                <w:sz w:val="17"/>
              </w:rPr>
              <w:t>4.60</w:t>
            </w:r>
          </w:p>
        </w:tc>
      </w:tr>
      <w:tr>
        <w:tc>
          <w:tcPr>
            <w:tcW w:type="dxa" w:w="3600"/>
            <w:shd w:val="clear" w:color="auto" w:fill="E7EDEB"/>
          </w:tcPr>
          <w:p>
            <w:pPr>
              <w:spacing w:after="20" w:before="20"/>
            </w:pPr>
            <w:r>
              <w:rPr>
                <w:rFonts w:ascii="Calibri" w:hAnsi="Calibri"/>
                <w:b/>
                <w:color w:val="1C3A36"/>
                <w:sz w:val="17"/>
              </w:rPr>
              <w:t>Gross asset value (GAV)</w:t>
            </w:r>
          </w:p>
        </w:tc>
        <w:tc>
          <w:tcPr>
            <w:tcW w:type="dxa" w:w="3600"/>
            <w:shd w:val="clear" w:color="auto" w:fill="E7EDEB"/>
          </w:tcPr>
          <w:p>
            <w:pPr>
              <w:spacing w:after="20" w:before="20"/>
            </w:pPr>
            <w:r>
              <w:rPr>
                <w:rFonts w:ascii="Calibri" w:hAnsi="Calibri"/>
                <w:b/>
                <w:color w:val="1C3A36"/>
                <w:sz w:val="17"/>
              </w:rPr>
            </w:r>
          </w:p>
        </w:tc>
        <w:tc>
          <w:tcPr>
            <w:tcW w:type="dxa" w:w="1440"/>
            <w:shd w:val="clear" w:color="auto" w:fill="E7EDEB"/>
          </w:tcPr>
          <w:p>
            <w:pPr>
              <w:spacing w:after="20" w:before="20"/>
              <w:jc w:val="right"/>
            </w:pPr>
            <w:r>
              <w:rPr>
                <w:rFonts w:ascii="Calibri" w:hAnsi="Calibri"/>
                <w:b/>
                <w:color w:val="1C3A36"/>
                <w:sz w:val="17"/>
              </w:rPr>
              <w:t>88.2</w:t>
            </w:r>
          </w:p>
        </w:tc>
        <w:tc>
          <w:tcPr>
            <w:tcW w:type="dxa" w:w="1440"/>
            <w:shd w:val="clear" w:color="auto" w:fill="E7EDEB"/>
          </w:tcPr>
          <w:p>
            <w:pPr>
              <w:spacing w:after="20" w:before="20"/>
              <w:jc w:val="right"/>
            </w:pPr>
            <w:r>
              <w:rPr>
                <w:rFonts w:ascii="Calibri" w:hAnsi="Calibri"/>
                <w:b/>
                <w:color w:val="1C3A36"/>
                <w:sz w:val="17"/>
              </w:rPr>
              <w:t>11.22</w:t>
            </w:r>
          </w:p>
        </w:tc>
      </w:tr>
      <w:tr>
        <w:tc>
          <w:tcPr>
            <w:tcW w:type="dxa" w:w="3600"/>
          </w:tcPr>
          <w:p>
            <w:pPr>
              <w:spacing w:after="20" w:before="20"/>
            </w:pPr>
            <w:r>
              <w:rPr>
                <w:rFonts w:ascii="Calibri" w:hAnsi="Calibri"/>
                <w:color w:val="222A28"/>
                <w:sz w:val="17"/>
              </w:rPr>
              <w:t>less: net debt (incl. hybrids)</w:t>
            </w:r>
          </w:p>
        </w:tc>
        <w:tc>
          <w:tcPr>
            <w:tcW w:type="dxa" w:w="3600"/>
          </w:tcPr>
          <w:p>
            <w:pPr>
              <w:spacing w:after="20" w:before="20"/>
            </w:pPr>
            <w:r>
              <w:rPr>
                <w:rFonts w:ascii="Calibri" w:hAnsi="Calibri"/>
                <w:color w:val="222A28"/>
                <w:sz w:val="17"/>
              </w:rPr>
              <w:t>ranks ahead of ordinary equity</w:t>
            </w:r>
          </w:p>
        </w:tc>
        <w:tc>
          <w:tcPr>
            <w:tcW w:type="dxa" w:w="1440"/>
          </w:tcPr>
          <w:p>
            <w:pPr>
              <w:spacing w:after="20" w:before="20"/>
              <w:jc w:val="right"/>
            </w:pPr>
            <w:r>
              <w:rPr>
                <w:rFonts w:ascii="Calibri" w:hAnsi="Calibri"/>
                <w:color w:val="222A28"/>
                <w:sz w:val="17"/>
              </w:rPr>
              <w:t>(5.5)</w:t>
            </w:r>
          </w:p>
        </w:tc>
        <w:tc>
          <w:tcPr>
            <w:tcW w:type="dxa" w:w="1440"/>
          </w:tcPr>
          <w:p>
            <w:pPr>
              <w:spacing w:after="20" w:before="20"/>
              <w:jc w:val="right"/>
            </w:pPr>
            <w:r>
              <w:rPr>
                <w:rFonts w:ascii="Calibri" w:hAnsi="Calibri"/>
                <w:color w:val="222A28"/>
                <w:sz w:val="17"/>
              </w:rPr>
              <w:t>(0.70)</w:t>
            </w:r>
          </w:p>
        </w:tc>
      </w:tr>
      <w:tr>
        <w:tc>
          <w:tcPr>
            <w:tcW w:type="dxa" w:w="3600"/>
          </w:tcPr>
          <w:p>
            <w:pPr>
              <w:spacing w:after="20" w:before="20"/>
            </w:pPr>
            <w:r>
              <w:rPr>
                <w:rFonts w:ascii="Calibri" w:hAnsi="Calibri"/>
                <w:color w:val="222A28"/>
                <w:sz w:val="17"/>
              </w:rPr>
              <w:t>less: non-controlling interests</w:t>
            </w:r>
          </w:p>
        </w:tc>
        <w:tc>
          <w:tcPr>
            <w:tcW w:type="dxa" w:w="3600"/>
          </w:tcPr>
          <w:p>
            <w:pPr>
              <w:spacing w:after="20" w:before="20"/>
            </w:pPr>
            <w:r>
              <w:rPr>
                <w:rFonts w:ascii="Calibri" w:hAnsi="Calibri"/>
                <w:color w:val="222A28"/>
                <w:sz w:val="17"/>
              </w:rPr>
              <w:t>Apollo (AIP) + Mubadala retail JV</w:t>
            </w:r>
          </w:p>
        </w:tc>
        <w:tc>
          <w:tcPr>
            <w:tcW w:type="dxa" w:w="1440"/>
          </w:tcPr>
          <w:p>
            <w:pPr>
              <w:spacing w:after="20" w:before="20"/>
              <w:jc w:val="right"/>
            </w:pPr>
            <w:r>
              <w:rPr>
                <w:rFonts w:ascii="Calibri" w:hAnsi="Calibri"/>
                <w:color w:val="222A28"/>
                <w:sz w:val="17"/>
              </w:rPr>
              <w:t>(3.0)</w:t>
            </w:r>
          </w:p>
        </w:tc>
        <w:tc>
          <w:tcPr>
            <w:tcW w:type="dxa" w:w="1440"/>
          </w:tcPr>
          <w:p>
            <w:pPr>
              <w:spacing w:after="20" w:before="20"/>
              <w:jc w:val="right"/>
            </w:pPr>
            <w:r>
              <w:rPr>
                <w:rFonts w:ascii="Calibri" w:hAnsi="Calibri"/>
                <w:color w:val="222A28"/>
                <w:sz w:val="17"/>
              </w:rPr>
              <w:t>(0.38)</w:t>
            </w:r>
          </w:p>
        </w:tc>
      </w:tr>
      <w:tr>
        <w:tc>
          <w:tcPr>
            <w:tcW w:type="dxa" w:w="3600"/>
            <w:shd w:val="clear" w:color="auto" w:fill="E7EDEB"/>
          </w:tcPr>
          <w:p>
            <w:pPr>
              <w:spacing w:after="20" w:before="20"/>
            </w:pPr>
            <w:r>
              <w:rPr>
                <w:rFonts w:ascii="Calibri" w:hAnsi="Calibri"/>
                <w:b/>
                <w:color w:val="1C3A36"/>
                <w:sz w:val="17"/>
              </w:rPr>
              <w:t>SOTP equity value (risk-adjusted)</w:t>
            </w:r>
          </w:p>
        </w:tc>
        <w:tc>
          <w:tcPr>
            <w:tcW w:type="dxa" w:w="3600"/>
            <w:shd w:val="clear" w:color="auto" w:fill="E7EDEB"/>
          </w:tcPr>
          <w:p>
            <w:pPr>
              <w:spacing w:after="20" w:before="20"/>
            </w:pPr>
            <w:r>
              <w:rPr>
                <w:rFonts w:ascii="Calibri" w:hAnsi="Calibri"/>
                <w:b/>
                <w:color w:val="1C3A36"/>
                <w:sz w:val="17"/>
              </w:rPr>
            </w:r>
          </w:p>
        </w:tc>
        <w:tc>
          <w:tcPr>
            <w:tcW w:type="dxa" w:w="1440"/>
            <w:shd w:val="clear" w:color="auto" w:fill="E7EDEB"/>
          </w:tcPr>
          <w:p>
            <w:pPr>
              <w:spacing w:after="20" w:before="20"/>
              <w:jc w:val="right"/>
            </w:pPr>
            <w:r>
              <w:rPr>
                <w:rFonts w:ascii="Calibri" w:hAnsi="Calibri"/>
                <w:b/>
                <w:color w:val="1C3A36"/>
                <w:sz w:val="17"/>
              </w:rPr>
              <w:t>79.7</w:t>
            </w:r>
          </w:p>
        </w:tc>
        <w:tc>
          <w:tcPr>
            <w:tcW w:type="dxa" w:w="1440"/>
            <w:shd w:val="clear" w:color="auto" w:fill="E7EDEB"/>
          </w:tcPr>
          <w:p>
            <w:pPr>
              <w:spacing w:after="20" w:before="20"/>
              <w:jc w:val="right"/>
            </w:pPr>
            <w:r>
              <w:rPr>
                <w:rFonts w:ascii="Calibri" w:hAnsi="Calibri"/>
                <w:b/>
                <w:color w:val="1C3A36"/>
                <w:sz w:val="17"/>
              </w:rPr>
              <w:t>10.14</w:t>
            </w:r>
          </w:p>
        </w:tc>
      </w:tr>
    </w:tbl>
    <w:p>
      <w:pPr>
        <w:spacing w:after="40"/>
      </w:pPr>
    </w:p>
    <w:p>
      <w:pPr>
        <w:spacing w:after="80" w:before="0"/>
      </w:pPr>
      <w:r>
        <w:rPr>
          <w:rFonts w:ascii="Calibri" w:hAnsi="Calibri"/>
          <w:b/>
          <w:i w:val="0"/>
          <w:color w:val="222A28"/>
          <w:sz w:val="20"/>
        </w:rPr>
        <w:t>SOTP base ≈ AED 10.14/share</w:t>
      </w:r>
      <w:r>
        <w:rPr>
          <w:rFonts w:ascii="Calibri" w:hAnsi="Calibri"/>
          <w:b w:val="0"/>
          <w:i w:val="0"/>
          <w:color w:val="222A28"/>
          <w:sz w:val="20"/>
        </w:rPr>
        <w:t xml:space="preserve"> (+22% vs spot), with a bear–bull span of AED 7.24–11.29 driven mainly by the development-franchise value and the recurring cap rate (see §1.9). The gross asset value of AED 11.22/share says the market is paying AED 8.30 for AED 11.22 of marked assets before any claims — a wider discount to the recurring platform alone than a 96%-occupied portfolio usually carries, which is the crux of the bull case.</w:t>
      </w:r>
    </w:p>
    <w:p>
      <w:pPr>
        <w:spacing w:after="120" w:before="0"/>
      </w:pPr>
      <w:r>
        <w:rPr>
          <w:rFonts w:ascii="Calibri" w:hAnsi="Calibri"/>
          <w:b/>
          <w:i w:val="0"/>
          <w:color w:val="222A28"/>
          <w:sz w:val="20"/>
        </w:rPr>
        <w:t xml:space="preserve">Full-execution variant. </w:t>
      </w:r>
      <w:r>
        <w:rPr>
          <w:rFonts w:ascii="Calibri" w:hAnsi="Calibri"/>
          <w:b w:val="0"/>
          <w:i w:val="0"/>
          <w:color w:val="222A28"/>
          <w:sz w:val="20"/>
        </w:rPr>
        <w:t>Setting the development margins a touch higher, extending the land tail, and marking the recurring platform 5% above carrying value lifts the SOTP to AED 11.29/share (+36%). The distance between AED 10.14 and 11.29 is the execution haircut the risk-adjusted case applies — narrower than for a finite land-monetiser because Aldar's franchise is a proven, replenishing machine rather than a one-off land bank.</w:t>
      </w:r>
    </w:p>
    <w:p>
      <w:pPr>
        <w:spacing w:before="200" w:after="80"/>
      </w:pPr>
      <w:r>
        <w:rPr>
          <w:rFonts w:ascii="Calibri" w:hAnsi="Calibri"/>
          <w:b/>
          <w:color w:val="896F36"/>
          <w:sz w:val="24"/>
        </w:rPr>
        <w:t>1.2  Going-concern DCF — cross-check (exit multiple, not a perpetuity)</w:t>
      </w:r>
    </w:p>
    <w:p>
      <w:pPr>
        <w:spacing w:after="80" w:before="0"/>
      </w:pPr>
      <w:r>
        <w:rPr>
          <w:rFonts w:ascii="Calibri" w:hAnsi="Calibri"/>
          <w:b w:val="0"/>
          <w:i w:val="0"/>
          <w:color w:val="222A28"/>
          <w:sz w:val="20"/>
        </w:rPr>
        <w:t xml:space="preserve">A discounted-cash-flow cross-check must respect the same finite reality as the sum-of-the-parts. A naïve Gordon-growth perpetuity on a cyclical developer capitalises a stream the market plainly does not treat as permanent — it is precisely why developer-landlords trade on high-single-digit EV/EBITDA, not the mid-teens a perpetuity implies. We therefore strike the terminal as an </w:t>
      </w:r>
      <w:r>
        <w:rPr>
          <w:rFonts w:ascii="Calibri" w:hAnsi="Calibri"/>
          <w:b/>
          <w:i w:val="0"/>
          <w:color w:val="222A28"/>
          <w:sz w:val="20"/>
        </w:rPr>
        <w:t>exit EV/EBITDA multiple anchored to Aldar's own current ~6.6×</w:t>
      </w:r>
      <w:r>
        <w:rPr>
          <w:rFonts w:ascii="Calibri" w:hAnsi="Calibri"/>
          <w:b w:val="0"/>
          <w:i w:val="0"/>
          <w:color w:val="222A28"/>
          <w:sz w:val="20"/>
        </w:rPr>
        <w:t xml:space="preserve">, held modestly conservative at 6.0×, and disclose (device A-7) that a Gordon perpetuity would instead imply AED 13.84 — a terminal-driven number we do not use. Development </w:t>
      </w:r>
      <w:r>
        <w:rPr>
          <w:rFonts w:ascii="Calibri" w:hAnsi="Calibri"/>
          <w:b/>
          <w:i w:val="0"/>
          <w:color w:val="222A28"/>
          <w:sz w:val="20"/>
        </w:rPr>
        <w:t>land investment is broken out as its own line</w:t>
      </w:r>
      <w:r>
        <w:rPr>
          <w:rFonts w:ascii="Calibri" w:hAnsi="Calibri"/>
          <w:b w:val="0"/>
          <w:i w:val="0"/>
          <w:color w:val="222A28"/>
          <w:sz w:val="20"/>
        </w:rPr>
        <w:t>, because for a developer the landbank replenishment is the cash the market watches. Ke is published transparently as risk-free + equity-risk premium.</w:t>
      </w:r>
    </w:p>
    <w:tbl>
      <w:tblPr>
        <w:tblStyle w:val="TableGrid"/>
        <w:tblW w:type="auto" w:w="0"/>
        <w:jc w:val="center"/>
        <w:tblLook w:firstColumn="1" w:firstRow="1" w:lastColumn="0" w:lastRow="0" w:noHBand="0" w:noVBand="1" w:val="04A0"/>
        <w:tblLayout w:type="fixed"/>
      </w:tblPr>
      <w:tblGrid>
        <w:gridCol w:w="1656"/>
        <w:gridCol w:w="1656"/>
        <w:gridCol w:w="1656"/>
        <w:gridCol w:w="1656"/>
        <w:gridCol w:w="1656"/>
        <w:gridCol w:w="1656"/>
      </w:tblGrid>
      <w:tr>
        <w:tc>
          <w:tcPr>
            <w:tcW w:type="dxa" w:w="2952"/>
            <w:shd w:val="clear" w:color="auto" w:fill="1C3A36"/>
          </w:tcPr>
          <w:p>
            <w:pPr>
              <w:spacing w:after="20" w:before="20"/>
            </w:pPr>
            <w:r>
              <w:rPr>
                <w:rFonts w:ascii="Calibri" w:hAnsi="Calibri"/>
                <w:b/>
                <w:color w:val="FFFFFF"/>
                <w:sz w:val="16"/>
              </w:rPr>
              <w:t>AED bn</w:t>
            </w:r>
          </w:p>
        </w:tc>
        <w:tc>
          <w:tcPr>
            <w:tcW w:type="dxa" w:w="1411"/>
            <w:shd w:val="clear" w:color="auto" w:fill="1C3A36"/>
          </w:tcPr>
          <w:p>
            <w:pPr>
              <w:spacing w:after="20" w:before="20"/>
              <w:jc w:val="right"/>
            </w:pPr>
            <w:r>
              <w:rPr>
                <w:rFonts w:ascii="Calibri" w:hAnsi="Calibri"/>
                <w:b/>
                <w:color w:val="FFFFFF"/>
                <w:sz w:val="16"/>
              </w:rPr>
              <w:t>2026e</w:t>
            </w:r>
          </w:p>
        </w:tc>
        <w:tc>
          <w:tcPr>
            <w:tcW w:type="dxa" w:w="1411"/>
            <w:shd w:val="clear" w:color="auto" w:fill="1C3A36"/>
          </w:tcPr>
          <w:p>
            <w:pPr>
              <w:spacing w:after="20" w:before="20"/>
              <w:jc w:val="right"/>
            </w:pPr>
            <w:r>
              <w:rPr>
                <w:rFonts w:ascii="Calibri" w:hAnsi="Calibri"/>
                <w:b/>
                <w:color w:val="FFFFFF"/>
                <w:sz w:val="16"/>
              </w:rPr>
              <w:t>2027e</w:t>
            </w:r>
          </w:p>
        </w:tc>
        <w:tc>
          <w:tcPr>
            <w:tcW w:type="dxa" w:w="1411"/>
            <w:shd w:val="clear" w:color="auto" w:fill="1C3A36"/>
          </w:tcPr>
          <w:p>
            <w:pPr>
              <w:spacing w:after="20" w:before="20"/>
              <w:jc w:val="right"/>
            </w:pPr>
            <w:r>
              <w:rPr>
                <w:rFonts w:ascii="Calibri" w:hAnsi="Calibri"/>
                <w:b/>
                <w:color w:val="FFFFFF"/>
                <w:sz w:val="16"/>
              </w:rPr>
              <w:t>2028e</w:t>
            </w:r>
          </w:p>
        </w:tc>
        <w:tc>
          <w:tcPr>
            <w:tcW w:type="dxa" w:w="1411"/>
            <w:shd w:val="clear" w:color="auto" w:fill="1C3A36"/>
          </w:tcPr>
          <w:p>
            <w:pPr>
              <w:spacing w:after="20" w:before="20"/>
              <w:jc w:val="right"/>
            </w:pPr>
            <w:r>
              <w:rPr>
                <w:rFonts w:ascii="Calibri" w:hAnsi="Calibri"/>
                <w:b/>
                <w:color w:val="FFFFFF"/>
                <w:sz w:val="16"/>
              </w:rPr>
              <w:t>2029e</w:t>
            </w:r>
          </w:p>
        </w:tc>
        <w:tc>
          <w:tcPr>
            <w:tcW w:type="dxa" w:w="1411"/>
            <w:shd w:val="clear" w:color="auto" w:fill="1C3A36"/>
          </w:tcPr>
          <w:p>
            <w:pPr>
              <w:spacing w:after="20" w:before="20"/>
              <w:jc w:val="right"/>
            </w:pPr>
            <w:r>
              <w:rPr>
                <w:rFonts w:ascii="Calibri" w:hAnsi="Calibri"/>
                <w:b/>
                <w:color w:val="FFFFFF"/>
                <w:sz w:val="16"/>
              </w:rPr>
              <w:t>2030e</w:t>
            </w:r>
          </w:p>
        </w:tc>
      </w:tr>
      <w:tr>
        <w:tc>
          <w:tcPr>
            <w:tcW w:type="dxa" w:w="2952"/>
          </w:tcPr>
          <w:p>
            <w:pPr>
              <w:spacing w:after="20" w:before="20"/>
            </w:pPr>
            <w:r>
              <w:rPr>
                <w:rFonts w:ascii="Calibri" w:hAnsi="Calibri"/>
                <w:color w:val="222A28"/>
                <w:sz w:val="16"/>
              </w:rPr>
              <w:t>Revenue</w:t>
            </w:r>
          </w:p>
        </w:tc>
        <w:tc>
          <w:tcPr>
            <w:tcW w:type="dxa" w:w="1411"/>
          </w:tcPr>
          <w:p>
            <w:pPr>
              <w:spacing w:after="20" w:before="20"/>
              <w:jc w:val="right"/>
            </w:pPr>
            <w:r>
              <w:rPr>
                <w:rFonts w:ascii="Calibri" w:hAnsi="Calibri"/>
                <w:color w:val="222A28"/>
                <w:sz w:val="16"/>
              </w:rPr>
              <w:t>37.0</w:t>
            </w:r>
          </w:p>
        </w:tc>
        <w:tc>
          <w:tcPr>
            <w:tcW w:type="dxa" w:w="1411"/>
          </w:tcPr>
          <w:p>
            <w:pPr>
              <w:spacing w:after="20" w:before="20"/>
              <w:jc w:val="right"/>
            </w:pPr>
            <w:r>
              <w:rPr>
                <w:rFonts w:ascii="Calibri" w:hAnsi="Calibri"/>
                <w:color w:val="222A28"/>
                <w:sz w:val="16"/>
              </w:rPr>
              <w:t>41.0</w:t>
            </w:r>
          </w:p>
        </w:tc>
        <w:tc>
          <w:tcPr>
            <w:tcW w:type="dxa" w:w="1411"/>
          </w:tcPr>
          <w:p>
            <w:pPr>
              <w:spacing w:after="20" w:before="20"/>
              <w:jc w:val="right"/>
            </w:pPr>
            <w:r>
              <w:rPr>
                <w:rFonts w:ascii="Calibri" w:hAnsi="Calibri"/>
                <w:color w:val="222A28"/>
                <w:sz w:val="16"/>
              </w:rPr>
              <w:t>45.0</w:t>
            </w:r>
          </w:p>
        </w:tc>
        <w:tc>
          <w:tcPr>
            <w:tcW w:type="dxa" w:w="1411"/>
          </w:tcPr>
          <w:p>
            <w:pPr>
              <w:spacing w:after="20" w:before="20"/>
              <w:jc w:val="right"/>
            </w:pPr>
            <w:r>
              <w:rPr>
                <w:rFonts w:ascii="Calibri" w:hAnsi="Calibri"/>
                <w:color w:val="222A28"/>
                <w:sz w:val="16"/>
              </w:rPr>
              <w:t>48.0</w:t>
            </w:r>
          </w:p>
        </w:tc>
        <w:tc>
          <w:tcPr>
            <w:tcW w:type="dxa" w:w="1411"/>
          </w:tcPr>
          <w:p>
            <w:pPr>
              <w:spacing w:after="20" w:before="20"/>
              <w:jc w:val="right"/>
            </w:pPr>
            <w:r>
              <w:rPr>
                <w:rFonts w:ascii="Calibri" w:hAnsi="Calibri"/>
                <w:color w:val="222A28"/>
                <w:sz w:val="16"/>
              </w:rPr>
              <w:t>50.5</w:t>
            </w:r>
          </w:p>
        </w:tc>
      </w:tr>
      <w:tr>
        <w:tc>
          <w:tcPr>
            <w:tcW w:type="dxa" w:w="2952"/>
          </w:tcPr>
          <w:p>
            <w:pPr>
              <w:spacing w:after="20" w:before="20"/>
            </w:pPr>
            <w:r>
              <w:rPr>
                <w:rFonts w:ascii="Calibri" w:hAnsi="Calibri"/>
                <w:color w:val="222A28"/>
                <w:sz w:val="16"/>
              </w:rPr>
              <w:t>EBITDA</w:t>
            </w:r>
          </w:p>
        </w:tc>
        <w:tc>
          <w:tcPr>
            <w:tcW w:type="dxa" w:w="1411"/>
          </w:tcPr>
          <w:p>
            <w:pPr>
              <w:spacing w:after="20" w:before="20"/>
              <w:jc w:val="right"/>
            </w:pPr>
            <w:r>
              <w:rPr>
                <w:rFonts w:ascii="Calibri" w:hAnsi="Calibri"/>
                <w:color w:val="222A28"/>
                <w:sz w:val="16"/>
              </w:rPr>
              <w:t>11.7</w:t>
            </w:r>
          </w:p>
        </w:tc>
        <w:tc>
          <w:tcPr>
            <w:tcW w:type="dxa" w:w="1411"/>
          </w:tcPr>
          <w:p>
            <w:pPr>
              <w:spacing w:after="20" w:before="20"/>
              <w:jc w:val="right"/>
            </w:pPr>
            <w:r>
              <w:rPr>
                <w:rFonts w:ascii="Calibri" w:hAnsi="Calibri"/>
                <w:color w:val="222A28"/>
                <w:sz w:val="16"/>
              </w:rPr>
              <w:t>12.7</w:t>
            </w:r>
          </w:p>
        </w:tc>
        <w:tc>
          <w:tcPr>
            <w:tcW w:type="dxa" w:w="1411"/>
          </w:tcPr>
          <w:p>
            <w:pPr>
              <w:spacing w:after="20" w:before="20"/>
              <w:jc w:val="right"/>
            </w:pPr>
            <w:r>
              <w:rPr>
                <w:rFonts w:ascii="Calibri" w:hAnsi="Calibri"/>
                <w:color w:val="222A28"/>
                <w:sz w:val="16"/>
              </w:rPr>
              <w:t>13.7</w:t>
            </w:r>
          </w:p>
        </w:tc>
        <w:tc>
          <w:tcPr>
            <w:tcW w:type="dxa" w:w="1411"/>
          </w:tcPr>
          <w:p>
            <w:pPr>
              <w:spacing w:after="20" w:before="20"/>
              <w:jc w:val="right"/>
            </w:pPr>
            <w:r>
              <w:rPr>
                <w:rFonts w:ascii="Calibri" w:hAnsi="Calibri"/>
                <w:color w:val="222A28"/>
                <w:sz w:val="16"/>
              </w:rPr>
              <w:t>14.5</w:t>
            </w:r>
          </w:p>
        </w:tc>
        <w:tc>
          <w:tcPr>
            <w:tcW w:type="dxa" w:w="1411"/>
          </w:tcPr>
          <w:p>
            <w:pPr>
              <w:spacing w:after="20" w:before="20"/>
              <w:jc w:val="right"/>
            </w:pPr>
            <w:r>
              <w:rPr>
                <w:rFonts w:ascii="Calibri" w:hAnsi="Calibri"/>
                <w:color w:val="222A28"/>
                <w:sz w:val="16"/>
              </w:rPr>
              <w:t>15.3</w:t>
            </w:r>
          </w:p>
        </w:tc>
      </w:tr>
      <w:tr>
        <w:tc>
          <w:tcPr>
            <w:tcW w:type="dxa" w:w="2952"/>
          </w:tcPr>
          <w:p>
            <w:pPr>
              <w:spacing w:after="20" w:before="20"/>
            </w:pPr>
            <w:r>
              <w:rPr>
                <w:rFonts w:ascii="Calibri" w:hAnsi="Calibri"/>
                <w:color w:val="222A28"/>
                <w:sz w:val="16"/>
              </w:rPr>
              <w:t>D&amp;A</w:t>
            </w:r>
          </w:p>
        </w:tc>
        <w:tc>
          <w:tcPr>
            <w:tcW w:type="dxa" w:w="1411"/>
          </w:tcPr>
          <w:p>
            <w:pPr>
              <w:spacing w:after="20" w:before="20"/>
              <w:jc w:val="right"/>
            </w:pPr>
            <w:r>
              <w:rPr>
                <w:rFonts w:ascii="Calibri" w:hAnsi="Calibri"/>
                <w:color w:val="222A28"/>
                <w:sz w:val="16"/>
              </w:rPr>
              <w:t>-0.7</w:t>
            </w:r>
          </w:p>
        </w:tc>
        <w:tc>
          <w:tcPr>
            <w:tcW w:type="dxa" w:w="1411"/>
          </w:tcPr>
          <w:p>
            <w:pPr>
              <w:spacing w:after="20" w:before="20"/>
              <w:jc w:val="right"/>
            </w:pPr>
            <w:r>
              <w:rPr>
                <w:rFonts w:ascii="Calibri" w:hAnsi="Calibri"/>
                <w:color w:val="222A28"/>
                <w:sz w:val="16"/>
              </w:rPr>
              <w:t>-0.8</w:t>
            </w:r>
          </w:p>
        </w:tc>
        <w:tc>
          <w:tcPr>
            <w:tcW w:type="dxa" w:w="1411"/>
          </w:tcPr>
          <w:p>
            <w:pPr>
              <w:spacing w:after="20" w:before="20"/>
              <w:jc w:val="right"/>
            </w:pPr>
            <w:r>
              <w:rPr>
                <w:rFonts w:ascii="Calibri" w:hAnsi="Calibri"/>
                <w:color w:val="222A28"/>
                <w:sz w:val="16"/>
              </w:rPr>
              <w:t>-0.9</w:t>
            </w:r>
          </w:p>
        </w:tc>
        <w:tc>
          <w:tcPr>
            <w:tcW w:type="dxa" w:w="1411"/>
          </w:tcPr>
          <w:p>
            <w:pPr>
              <w:spacing w:after="20" w:before="20"/>
              <w:jc w:val="right"/>
            </w:pPr>
            <w:r>
              <w:rPr>
                <w:rFonts w:ascii="Calibri" w:hAnsi="Calibri"/>
                <w:color w:val="222A28"/>
                <w:sz w:val="16"/>
              </w:rPr>
              <w:t>-1.0</w:t>
            </w:r>
          </w:p>
        </w:tc>
        <w:tc>
          <w:tcPr>
            <w:tcW w:type="dxa" w:w="1411"/>
          </w:tcPr>
          <w:p>
            <w:pPr>
              <w:spacing w:after="20" w:before="20"/>
              <w:jc w:val="right"/>
            </w:pPr>
            <w:r>
              <w:rPr>
                <w:rFonts w:ascii="Calibri" w:hAnsi="Calibri"/>
                <w:color w:val="222A28"/>
                <w:sz w:val="16"/>
              </w:rPr>
              <w:t>-1.0</w:t>
            </w:r>
          </w:p>
        </w:tc>
      </w:tr>
      <w:tr>
        <w:tc>
          <w:tcPr>
            <w:tcW w:type="dxa" w:w="2952"/>
          </w:tcPr>
          <w:p>
            <w:pPr>
              <w:spacing w:after="20" w:before="20"/>
            </w:pPr>
            <w:r>
              <w:rPr>
                <w:rFonts w:ascii="Calibri" w:hAnsi="Calibri"/>
                <w:color w:val="222A28"/>
                <w:sz w:val="16"/>
              </w:rPr>
              <w:t>EBIT</w:t>
            </w:r>
          </w:p>
        </w:tc>
        <w:tc>
          <w:tcPr>
            <w:tcW w:type="dxa" w:w="1411"/>
          </w:tcPr>
          <w:p>
            <w:pPr>
              <w:spacing w:after="20" w:before="20"/>
              <w:jc w:val="right"/>
            </w:pPr>
            <w:r>
              <w:rPr>
                <w:rFonts w:ascii="Calibri" w:hAnsi="Calibri"/>
                <w:color w:val="222A28"/>
                <w:sz w:val="16"/>
              </w:rPr>
              <w:t>10.9</w:t>
            </w:r>
          </w:p>
        </w:tc>
        <w:tc>
          <w:tcPr>
            <w:tcW w:type="dxa" w:w="1411"/>
          </w:tcPr>
          <w:p>
            <w:pPr>
              <w:spacing w:after="20" w:before="20"/>
              <w:jc w:val="right"/>
            </w:pPr>
            <w:r>
              <w:rPr>
                <w:rFonts w:ascii="Calibri" w:hAnsi="Calibri"/>
                <w:color w:val="222A28"/>
                <w:sz w:val="16"/>
              </w:rPr>
              <w:t>11.9</w:t>
            </w:r>
          </w:p>
        </w:tc>
        <w:tc>
          <w:tcPr>
            <w:tcW w:type="dxa" w:w="1411"/>
          </w:tcPr>
          <w:p>
            <w:pPr>
              <w:spacing w:after="20" w:before="20"/>
              <w:jc w:val="right"/>
            </w:pPr>
            <w:r>
              <w:rPr>
                <w:rFonts w:ascii="Calibri" w:hAnsi="Calibri"/>
                <w:color w:val="222A28"/>
                <w:sz w:val="16"/>
              </w:rPr>
              <w:t>12.8</w:t>
            </w:r>
          </w:p>
        </w:tc>
        <w:tc>
          <w:tcPr>
            <w:tcW w:type="dxa" w:w="1411"/>
          </w:tcPr>
          <w:p>
            <w:pPr>
              <w:spacing w:after="20" w:before="20"/>
              <w:jc w:val="right"/>
            </w:pPr>
            <w:r>
              <w:rPr>
                <w:rFonts w:ascii="Calibri" w:hAnsi="Calibri"/>
                <w:color w:val="222A28"/>
                <w:sz w:val="16"/>
              </w:rPr>
              <w:t>13.6</w:t>
            </w:r>
          </w:p>
        </w:tc>
        <w:tc>
          <w:tcPr>
            <w:tcW w:type="dxa" w:w="1411"/>
          </w:tcPr>
          <w:p>
            <w:pPr>
              <w:spacing w:after="20" w:before="20"/>
              <w:jc w:val="right"/>
            </w:pPr>
            <w:r>
              <w:rPr>
                <w:rFonts w:ascii="Calibri" w:hAnsi="Calibri"/>
                <w:color w:val="222A28"/>
                <w:sz w:val="16"/>
              </w:rPr>
              <w:t>14.2</w:t>
            </w:r>
          </w:p>
        </w:tc>
      </w:tr>
      <w:tr>
        <w:tc>
          <w:tcPr>
            <w:tcW w:type="dxa" w:w="2952"/>
          </w:tcPr>
          <w:p>
            <w:pPr>
              <w:spacing w:after="20" w:before="20"/>
            </w:pPr>
            <w:r>
              <w:rPr>
                <w:rFonts w:ascii="Calibri" w:hAnsi="Calibri"/>
                <w:color w:val="222A28"/>
                <w:sz w:val="16"/>
              </w:rPr>
              <w:t>NOPAT = EBIT×(1−t)</w:t>
            </w:r>
          </w:p>
        </w:tc>
        <w:tc>
          <w:tcPr>
            <w:tcW w:type="dxa" w:w="1411"/>
          </w:tcPr>
          <w:p>
            <w:pPr>
              <w:spacing w:after="20" w:before="20"/>
              <w:jc w:val="right"/>
            </w:pPr>
            <w:r>
              <w:rPr>
                <w:rFonts w:ascii="Calibri" w:hAnsi="Calibri"/>
                <w:color w:val="222A28"/>
                <w:sz w:val="16"/>
              </w:rPr>
              <w:t>9.6</w:t>
            </w:r>
          </w:p>
        </w:tc>
        <w:tc>
          <w:tcPr>
            <w:tcW w:type="dxa" w:w="1411"/>
          </w:tcPr>
          <w:p>
            <w:pPr>
              <w:spacing w:after="20" w:before="20"/>
              <w:jc w:val="right"/>
            </w:pPr>
            <w:r>
              <w:rPr>
                <w:rFonts w:ascii="Calibri" w:hAnsi="Calibri"/>
                <w:color w:val="222A28"/>
                <w:sz w:val="16"/>
              </w:rPr>
              <w:t>10.5</w:t>
            </w:r>
          </w:p>
        </w:tc>
        <w:tc>
          <w:tcPr>
            <w:tcW w:type="dxa" w:w="1411"/>
          </w:tcPr>
          <w:p>
            <w:pPr>
              <w:spacing w:after="20" w:before="20"/>
              <w:jc w:val="right"/>
            </w:pPr>
            <w:r>
              <w:rPr>
                <w:rFonts w:ascii="Calibri" w:hAnsi="Calibri"/>
                <w:color w:val="222A28"/>
                <w:sz w:val="16"/>
              </w:rPr>
              <w:t>11.3</w:t>
            </w:r>
          </w:p>
        </w:tc>
        <w:tc>
          <w:tcPr>
            <w:tcW w:type="dxa" w:w="1411"/>
          </w:tcPr>
          <w:p>
            <w:pPr>
              <w:spacing w:after="20" w:before="20"/>
              <w:jc w:val="right"/>
            </w:pPr>
            <w:r>
              <w:rPr>
                <w:rFonts w:ascii="Calibri" w:hAnsi="Calibri"/>
                <w:color w:val="222A28"/>
                <w:sz w:val="16"/>
              </w:rPr>
              <w:t>12.0</w:t>
            </w:r>
          </w:p>
        </w:tc>
        <w:tc>
          <w:tcPr>
            <w:tcW w:type="dxa" w:w="1411"/>
          </w:tcPr>
          <w:p>
            <w:pPr>
              <w:spacing w:after="20" w:before="20"/>
              <w:jc w:val="right"/>
            </w:pPr>
            <w:r>
              <w:rPr>
                <w:rFonts w:ascii="Calibri" w:hAnsi="Calibri"/>
                <w:color w:val="222A28"/>
                <w:sz w:val="16"/>
              </w:rPr>
              <w:t>12.5</w:t>
            </w:r>
          </w:p>
        </w:tc>
      </w:tr>
      <w:tr>
        <w:tc>
          <w:tcPr>
            <w:tcW w:type="dxa" w:w="2952"/>
          </w:tcPr>
          <w:p>
            <w:pPr>
              <w:spacing w:after="20" w:before="20"/>
            </w:pPr>
            <w:r>
              <w:rPr>
                <w:rFonts w:ascii="Calibri" w:hAnsi="Calibri"/>
                <w:color w:val="222A28"/>
                <w:sz w:val="16"/>
              </w:rPr>
              <w:t>+ D&amp;A</w:t>
            </w:r>
          </w:p>
        </w:tc>
        <w:tc>
          <w:tcPr>
            <w:tcW w:type="dxa" w:w="1411"/>
          </w:tcPr>
          <w:p>
            <w:pPr>
              <w:spacing w:after="20" w:before="20"/>
              <w:jc w:val="right"/>
            </w:pPr>
            <w:r>
              <w:rPr>
                <w:rFonts w:ascii="Calibri" w:hAnsi="Calibri"/>
                <w:color w:val="222A28"/>
                <w:sz w:val="16"/>
              </w:rPr>
              <w:t>0.7</w:t>
            </w:r>
          </w:p>
        </w:tc>
        <w:tc>
          <w:tcPr>
            <w:tcW w:type="dxa" w:w="1411"/>
          </w:tcPr>
          <w:p>
            <w:pPr>
              <w:spacing w:after="20" w:before="20"/>
              <w:jc w:val="right"/>
            </w:pPr>
            <w:r>
              <w:rPr>
                <w:rFonts w:ascii="Calibri" w:hAnsi="Calibri"/>
                <w:color w:val="222A28"/>
                <w:sz w:val="16"/>
              </w:rPr>
              <w:t>0.8</w:t>
            </w:r>
          </w:p>
        </w:tc>
        <w:tc>
          <w:tcPr>
            <w:tcW w:type="dxa" w:w="1411"/>
          </w:tcPr>
          <w:p>
            <w:pPr>
              <w:spacing w:after="20" w:before="20"/>
              <w:jc w:val="right"/>
            </w:pPr>
            <w:r>
              <w:rPr>
                <w:rFonts w:ascii="Calibri" w:hAnsi="Calibri"/>
                <w:color w:val="222A28"/>
                <w:sz w:val="16"/>
              </w:rPr>
              <w:t>0.9</w:t>
            </w:r>
          </w:p>
        </w:tc>
        <w:tc>
          <w:tcPr>
            <w:tcW w:type="dxa" w:w="1411"/>
          </w:tcPr>
          <w:p>
            <w:pPr>
              <w:spacing w:after="20" w:before="20"/>
              <w:jc w:val="right"/>
            </w:pPr>
            <w:r>
              <w:rPr>
                <w:rFonts w:ascii="Calibri" w:hAnsi="Calibri"/>
                <w:color w:val="222A28"/>
                <w:sz w:val="16"/>
              </w:rPr>
              <w:t>1.0</w:t>
            </w:r>
          </w:p>
        </w:tc>
        <w:tc>
          <w:tcPr>
            <w:tcW w:type="dxa" w:w="1411"/>
          </w:tcPr>
          <w:p>
            <w:pPr>
              <w:spacing w:after="20" w:before="20"/>
              <w:jc w:val="right"/>
            </w:pPr>
            <w:r>
              <w:rPr>
                <w:rFonts w:ascii="Calibri" w:hAnsi="Calibri"/>
                <w:color w:val="222A28"/>
                <w:sz w:val="16"/>
              </w:rPr>
              <w:t>1.0</w:t>
            </w:r>
          </w:p>
        </w:tc>
      </w:tr>
      <w:tr>
        <w:tc>
          <w:tcPr>
            <w:tcW w:type="dxa" w:w="2952"/>
          </w:tcPr>
          <w:p>
            <w:pPr>
              <w:spacing w:after="20" w:before="20"/>
            </w:pPr>
            <w:r>
              <w:rPr>
                <w:rFonts w:ascii="Calibri" w:hAnsi="Calibri"/>
                <w:color w:val="222A28"/>
                <w:sz w:val="16"/>
              </w:rPr>
              <w:t>− Capex</w:t>
            </w:r>
          </w:p>
        </w:tc>
        <w:tc>
          <w:tcPr>
            <w:tcW w:type="dxa" w:w="1411"/>
          </w:tcPr>
          <w:p>
            <w:pPr>
              <w:spacing w:after="20" w:before="20"/>
              <w:jc w:val="right"/>
            </w:pPr>
            <w:r>
              <w:rPr>
                <w:rFonts w:ascii="Calibri" w:hAnsi="Calibri"/>
                <w:color w:val="222A28"/>
                <w:sz w:val="16"/>
              </w:rPr>
              <w:t>-0.9</w:t>
            </w:r>
          </w:p>
        </w:tc>
        <w:tc>
          <w:tcPr>
            <w:tcW w:type="dxa" w:w="1411"/>
          </w:tcPr>
          <w:p>
            <w:pPr>
              <w:spacing w:after="20" w:before="20"/>
              <w:jc w:val="right"/>
            </w:pPr>
            <w:r>
              <w:rPr>
                <w:rFonts w:ascii="Calibri" w:hAnsi="Calibri"/>
                <w:color w:val="222A28"/>
                <w:sz w:val="16"/>
              </w:rPr>
              <w:t>-0.9</w:t>
            </w:r>
          </w:p>
        </w:tc>
        <w:tc>
          <w:tcPr>
            <w:tcW w:type="dxa" w:w="1411"/>
          </w:tcPr>
          <w:p>
            <w:pPr>
              <w:spacing w:after="20" w:before="20"/>
              <w:jc w:val="right"/>
            </w:pPr>
            <w:r>
              <w:rPr>
                <w:rFonts w:ascii="Calibri" w:hAnsi="Calibri"/>
                <w:color w:val="222A28"/>
                <w:sz w:val="16"/>
              </w:rPr>
              <w:t>-0.9</w:t>
            </w:r>
          </w:p>
        </w:tc>
        <w:tc>
          <w:tcPr>
            <w:tcW w:type="dxa" w:w="1411"/>
          </w:tcPr>
          <w:p>
            <w:pPr>
              <w:spacing w:after="20" w:before="20"/>
              <w:jc w:val="right"/>
            </w:pPr>
            <w:r>
              <w:rPr>
                <w:rFonts w:ascii="Calibri" w:hAnsi="Calibri"/>
                <w:color w:val="222A28"/>
                <w:sz w:val="16"/>
              </w:rPr>
              <w:t>-0.9</w:t>
            </w:r>
          </w:p>
        </w:tc>
        <w:tc>
          <w:tcPr>
            <w:tcW w:type="dxa" w:w="1411"/>
          </w:tcPr>
          <w:p>
            <w:pPr>
              <w:spacing w:after="20" w:before="20"/>
              <w:jc w:val="right"/>
            </w:pPr>
            <w:r>
              <w:rPr>
                <w:rFonts w:ascii="Calibri" w:hAnsi="Calibri"/>
                <w:color w:val="222A28"/>
                <w:sz w:val="16"/>
              </w:rPr>
              <w:t>-0.9</w:t>
            </w:r>
          </w:p>
        </w:tc>
      </w:tr>
      <w:tr>
        <w:tc>
          <w:tcPr>
            <w:tcW w:type="dxa" w:w="2952"/>
          </w:tcPr>
          <w:p>
            <w:pPr>
              <w:spacing w:after="20" w:before="20"/>
            </w:pPr>
            <w:r>
              <w:rPr>
                <w:rFonts w:ascii="Calibri" w:hAnsi="Calibri"/>
                <w:color w:val="222A28"/>
                <w:sz w:val="16"/>
              </w:rPr>
              <w:t>− Land investment</w:t>
            </w:r>
          </w:p>
        </w:tc>
        <w:tc>
          <w:tcPr>
            <w:tcW w:type="dxa" w:w="1411"/>
          </w:tcPr>
          <w:p>
            <w:pPr>
              <w:spacing w:after="20" w:before="20"/>
              <w:jc w:val="right"/>
            </w:pPr>
            <w:r>
              <w:rPr>
                <w:rFonts w:ascii="Calibri" w:hAnsi="Calibri"/>
                <w:color w:val="222A28"/>
                <w:sz w:val="16"/>
              </w:rPr>
              <w:t>-3.6</w:t>
            </w:r>
          </w:p>
        </w:tc>
        <w:tc>
          <w:tcPr>
            <w:tcW w:type="dxa" w:w="1411"/>
          </w:tcPr>
          <w:p>
            <w:pPr>
              <w:spacing w:after="20" w:before="20"/>
              <w:jc w:val="right"/>
            </w:pPr>
            <w:r>
              <w:rPr>
                <w:rFonts w:ascii="Calibri" w:hAnsi="Calibri"/>
                <w:color w:val="222A28"/>
                <w:sz w:val="16"/>
              </w:rPr>
              <w:t>-3.6</w:t>
            </w:r>
          </w:p>
        </w:tc>
        <w:tc>
          <w:tcPr>
            <w:tcW w:type="dxa" w:w="1411"/>
          </w:tcPr>
          <w:p>
            <w:pPr>
              <w:spacing w:after="20" w:before="20"/>
              <w:jc w:val="right"/>
            </w:pPr>
            <w:r>
              <w:rPr>
                <w:rFonts w:ascii="Calibri" w:hAnsi="Calibri"/>
                <w:color w:val="222A28"/>
                <w:sz w:val="16"/>
              </w:rPr>
              <w:t>-3.7</w:t>
            </w:r>
          </w:p>
        </w:tc>
        <w:tc>
          <w:tcPr>
            <w:tcW w:type="dxa" w:w="1411"/>
          </w:tcPr>
          <w:p>
            <w:pPr>
              <w:spacing w:after="20" w:before="20"/>
              <w:jc w:val="right"/>
            </w:pPr>
            <w:r>
              <w:rPr>
                <w:rFonts w:ascii="Calibri" w:hAnsi="Calibri"/>
                <w:color w:val="222A28"/>
                <w:sz w:val="16"/>
              </w:rPr>
              <w:t>-3.7</w:t>
            </w:r>
          </w:p>
        </w:tc>
        <w:tc>
          <w:tcPr>
            <w:tcW w:type="dxa" w:w="1411"/>
          </w:tcPr>
          <w:p>
            <w:pPr>
              <w:spacing w:after="20" w:before="20"/>
              <w:jc w:val="right"/>
            </w:pPr>
            <w:r>
              <w:rPr>
                <w:rFonts w:ascii="Calibri" w:hAnsi="Calibri"/>
                <w:color w:val="222A28"/>
                <w:sz w:val="16"/>
              </w:rPr>
              <w:t>-3.7</w:t>
            </w:r>
          </w:p>
        </w:tc>
      </w:tr>
      <w:tr>
        <w:tc>
          <w:tcPr>
            <w:tcW w:type="dxa" w:w="2952"/>
          </w:tcPr>
          <w:p>
            <w:pPr>
              <w:spacing w:after="20" w:before="20"/>
            </w:pPr>
            <w:r>
              <w:rPr>
                <w:rFonts w:ascii="Calibri" w:hAnsi="Calibri"/>
                <w:color w:val="222A28"/>
                <w:sz w:val="16"/>
              </w:rPr>
              <w:t>− Δ working capital</w:t>
            </w:r>
          </w:p>
        </w:tc>
        <w:tc>
          <w:tcPr>
            <w:tcW w:type="dxa" w:w="1411"/>
          </w:tcPr>
          <w:p>
            <w:pPr>
              <w:spacing w:after="20" w:before="20"/>
              <w:jc w:val="right"/>
            </w:pPr>
            <w:r>
              <w:rPr>
                <w:rFonts w:ascii="Calibri" w:hAnsi="Calibri"/>
                <w:color w:val="222A28"/>
                <w:sz w:val="16"/>
              </w:rPr>
              <w:t>-1.5</w:t>
            </w:r>
          </w:p>
        </w:tc>
        <w:tc>
          <w:tcPr>
            <w:tcW w:type="dxa" w:w="1411"/>
          </w:tcPr>
          <w:p>
            <w:pPr>
              <w:spacing w:after="20" w:before="20"/>
              <w:jc w:val="right"/>
            </w:pPr>
            <w:r>
              <w:rPr>
                <w:rFonts w:ascii="Calibri" w:hAnsi="Calibri"/>
                <w:color w:val="222A28"/>
                <w:sz w:val="16"/>
              </w:rPr>
              <w:t>-1.2</w:t>
            </w:r>
          </w:p>
        </w:tc>
        <w:tc>
          <w:tcPr>
            <w:tcW w:type="dxa" w:w="1411"/>
          </w:tcPr>
          <w:p>
            <w:pPr>
              <w:spacing w:after="20" w:before="20"/>
              <w:jc w:val="right"/>
            </w:pPr>
            <w:r>
              <w:rPr>
                <w:rFonts w:ascii="Calibri" w:hAnsi="Calibri"/>
                <w:color w:val="222A28"/>
                <w:sz w:val="16"/>
              </w:rPr>
              <w:t>-1.0</w:t>
            </w:r>
          </w:p>
        </w:tc>
        <w:tc>
          <w:tcPr>
            <w:tcW w:type="dxa" w:w="1411"/>
          </w:tcPr>
          <w:p>
            <w:pPr>
              <w:spacing w:after="20" w:before="20"/>
              <w:jc w:val="right"/>
            </w:pPr>
            <w:r>
              <w:rPr>
                <w:rFonts w:ascii="Calibri" w:hAnsi="Calibri"/>
                <w:color w:val="222A28"/>
                <w:sz w:val="16"/>
              </w:rPr>
              <w:t>-0.9</w:t>
            </w:r>
          </w:p>
        </w:tc>
        <w:tc>
          <w:tcPr>
            <w:tcW w:type="dxa" w:w="1411"/>
          </w:tcPr>
          <w:p>
            <w:pPr>
              <w:spacing w:after="20" w:before="20"/>
              <w:jc w:val="right"/>
            </w:pPr>
            <w:r>
              <w:rPr>
                <w:rFonts w:ascii="Calibri" w:hAnsi="Calibri"/>
                <w:color w:val="222A28"/>
                <w:sz w:val="16"/>
              </w:rPr>
              <w:t>-0.8</w:t>
            </w:r>
          </w:p>
        </w:tc>
      </w:tr>
      <w:tr>
        <w:tc>
          <w:tcPr>
            <w:tcW w:type="dxa" w:w="2952"/>
            <w:shd w:val="clear" w:color="auto" w:fill="E7EDEB"/>
          </w:tcPr>
          <w:p>
            <w:pPr>
              <w:spacing w:after="20" w:before="20"/>
            </w:pPr>
            <w:r>
              <w:rPr>
                <w:rFonts w:ascii="Calibri" w:hAnsi="Calibri"/>
                <w:b/>
                <w:color w:val="1C3A36"/>
                <w:sz w:val="16"/>
              </w:rPr>
              <w:t>Free cash flow to firm</w:t>
            </w:r>
          </w:p>
        </w:tc>
        <w:tc>
          <w:tcPr>
            <w:tcW w:type="dxa" w:w="1411"/>
            <w:shd w:val="clear" w:color="auto" w:fill="E7EDEB"/>
          </w:tcPr>
          <w:p>
            <w:pPr>
              <w:spacing w:after="20" w:before="20"/>
              <w:jc w:val="right"/>
            </w:pPr>
            <w:r>
              <w:rPr>
                <w:rFonts w:ascii="Calibri" w:hAnsi="Calibri"/>
                <w:b/>
                <w:color w:val="1C3A36"/>
                <w:sz w:val="16"/>
              </w:rPr>
              <w:t>4.35</w:t>
            </w:r>
          </w:p>
        </w:tc>
        <w:tc>
          <w:tcPr>
            <w:tcW w:type="dxa" w:w="1411"/>
            <w:shd w:val="clear" w:color="auto" w:fill="E7EDEB"/>
          </w:tcPr>
          <w:p>
            <w:pPr>
              <w:spacing w:after="20" w:before="20"/>
              <w:jc w:val="right"/>
            </w:pPr>
            <w:r>
              <w:rPr>
                <w:rFonts w:ascii="Calibri" w:hAnsi="Calibri"/>
                <w:b/>
                <w:color w:val="1C3A36"/>
                <w:sz w:val="16"/>
              </w:rPr>
              <w:t>5.58</w:t>
            </w:r>
          </w:p>
        </w:tc>
        <w:tc>
          <w:tcPr>
            <w:tcW w:type="dxa" w:w="1411"/>
            <w:shd w:val="clear" w:color="auto" w:fill="E7EDEB"/>
          </w:tcPr>
          <w:p>
            <w:pPr>
              <w:spacing w:after="20" w:before="20"/>
              <w:jc w:val="right"/>
            </w:pPr>
            <w:r>
              <w:rPr>
                <w:rFonts w:ascii="Calibri" w:hAnsi="Calibri"/>
                <w:b/>
                <w:color w:val="1C3A36"/>
                <w:sz w:val="16"/>
              </w:rPr>
              <w:t>6.59</w:t>
            </w:r>
          </w:p>
        </w:tc>
        <w:tc>
          <w:tcPr>
            <w:tcW w:type="dxa" w:w="1411"/>
            <w:shd w:val="clear" w:color="auto" w:fill="E7EDEB"/>
          </w:tcPr>
          <w:p>
            <w:pPr>
              <w:spacing w:after="20" w:before="20"/>
              <w:jc w:val="right"/>
            </w:pPr>
            <w:r>
              <w:rPr>
                <w:rFonts w:ascii="Calibri" w:hAnsi="Calibri"/>
                <w:b/>
                <w:color w:val="1C3A36"/>
                <w:sz w:val="16"/>
              </w:rPr>
              <w:t>7.41</w:t>
            </w:r>
          </w:p>
        </w:tc>
        <w:tc>
          <w:tcPr>
            <w:tcW w:type="dxa" w:w="1411"/>
            <w:shd w:val="clear" w:color="auto" w:fill="E7EDEB"/>
          </w:tcPr>
          <w:p>
            <w:pPr>
              <w:spacing w:after="20" w:before="20"/>
              <w:jc w:val="right"/>
            </w:pPr>
            <w:r>
              <w:rPr>
                <w:rFonts w:ascii="Calibri" w:hAnsi="Calibri"/>
                <w:b/>
                <w:color w:val="1C3A36"/>
                <w:sz w:val="16"/>
              </w:rPr>
              <w:t>8.14</w:t>
            </w:r>
          </w:p>
        </w:tc>
      </w:tr>
      <w:tr>
        <w:tc>
          <w:tcPr>
            <w:tcW w:type="dxa" w:w="2952"/>
          </w:tcPr>
          <w:p>
            <w:pPr>
              <w:spacing w:after="20" w:before="20"/>
            </w:pPr>
            <w:r>
              <w:rPr>
                <w:rFonts w:ascii="Calibri" w:hAnsi="Calibri"/>
                <w:color w:val="222A28"/>
                <w:sz w:val="16"/>
              </w:rPr>
              <w:t>Discount factor</w:t>
            </w:r>
          </w:p>
        </w:tc>
        <w:tc>
          <w:tcPr>
            <w:tcW w:type="dxa" w:w="1411"/>
          </w:tcPr>
          <w:p>
            <w:pPr>
              <w:spacing w:after="20" w:before="20"/>
              <w:jc w:val="right"/>
            </w:pPr>
            <w:r>
              <w:rPr>
                <w:rFonts w:ascii="Calibri" w:hAnsi="Calibri"/>
                <w:color w:val="222A28"/>
                <w:sz w:val="16"/>
              </w:rPr>
              <w:t>0.922</w:t>
            </w:r>
          </w:p>
        </w:tc>
        <w:tc>
          <w:tcPr>
            <w:tcW w:type="dxa" w:w="1411"/>
          </w:tcPr>
          <w:p>
            <w:pPr>
              <w:spacing w:after="20" w:before="20"/>
              <w:jc w:val="right"/>
            </w:pPr>
            <w:r>
              <w:rPr>
                <w:rFonts w:ascii="Calibri" w:hAnsi="Calibri"/>
                <w:color w:val="222A28"/>
                <w:sz w:val="16"/>
              </w:rPr>
              <w:t>0.849</w:t>
            </w:r>
          </w:p>
        </w:tc>
        <w:tc>
          <w:tcPr>
            <w:tcW w:type="dxa" w:w="1411"/>
          </w:tcPr>
          <w:p>
            <w:pPr>
              <w:spacing w:after="20" w:before="20"/>
              <w:jc w:val="right"/>
            </w:pPr>
            <w:r>
              <w:rPr>
                <w:rFonts w:ascii="Calibri" w:hAnsi="Calibri"/>
                <w:color w:val="222A28"/>
                <w:sz w:val="16"/>
              </w:rPr>
              <w:t>0.783</w:t>
            </w:r>
          </w:p>
        </w:tc>
        <w:tc>
          <w:tcPr>
            <w:tcW w:type="dxa" w:w="1411"/>
          </w:tcPr>
          <w:p>
            <w:pPr>
              <w:spacing w:after="20" w:before="20"/>
              <w:jc w:val="right"/>
            </w:pPr>
            <w:r>
              <w:rPr>
                <w:rFonts w:ascii="Calibri" w:hAnsi="Calibri"/>
                <w:color w:val="222A28"/>
                <w:sz w:val="16"/>
              </w:rPr>
              <w:t>0.722</w:t>
            </w:r>
          </w:p>
        </w:tc>
        <w:tc>
          <w:tcPr>
            <w:tcW w:type="dxa" w:w="1411"/>
          </w:tcPr>
          <w:p>
            <w:pPr>
              <w:spacing w:after="20" w:before="20"/>
              <w:jc w:val="right"/>
            </w:pPr>
            <w:r>
              <w:rPr>
                <w:rFonts w:ascii="Calibri" w:hAnsi="Calibri"/>
                <w:color w:val="222A28"/>
                <w:sz w:val="16"/>
              </w:rPr>
              <w:t>0.665</w:t>
            </w:r>
          </w:p>
        </w:tc>
      </w:tr>
      <w:tr>
        <w:tc>
          <w:tcPr>
            <w:tcW w:type="dxa" w:w="2952"/>
            <w:shd w:val="clear" w:color="auto" w:fill="E7EDEB"/>
          </w:tcPr>
          <w:p>
            <w:pPr>
              <w:spacing w:after="20" w:before="20"/>
            </w:pPr>
            <w:r>
              <w:rPr>
                <w:rFonts w:ascii="Calibri" w:hAnsi="Calibri"/>
                <w:b/>
                <w:color w:val="1C3A36"/>
                <w:sz w:val="16"/>
              </w:rPr>
              <w:t>PV of FCFF</w:t>
            </w:r>
          </w:p>
        </w:tc>
        <w:tc>
          <w:tcPr>
            <w:tcW w:type="dxa" w:w="1411"/>
            <w:shd w:val="clear" w:color="auto" w:fill="E7EDEB"/>
          </w:tcPr>
          <w:p>
            <w:pPr>
              <w:spacing w:after="20" w:before="20"/>
              <w:jc w:val="right"/>
            </w:pPr>
            <w:r>
              <w:rPr>
                <w:rFonts w:ascii="Calibri" w:hAnsi="Calibri"/>
                <w:b/>
                <w:color w:val="1C3A36"/>
                <w:sz w:val="16"/>
              </w:rPr>
              <w:t>4.00</w:t>
            </w:r>
          </w:p>
        </w:tc>
        <w:tc>
          <w:tcPr>
            <w:tcW w:type="dxa" w:w="1411"/>
            <w:shd w:val="clear" w:color="auto" w:fill="E7EDEB"/>
          </w:tcPr>
          <w:p>
            <w:pPr>
              <w:spacing w:after="20" w:before="20"/>
              <w:jc w:val="right"/>
            </w:pPr>
            <w:r>
              <w:rPr>
                <w:rFonts w:ascii="Calibri" w:hAnsi="Calibri"/>
                <w:b/>
                <w:color w:val="1C3A36"/>
                <w:sz w:val="16"/>
              </w:rPr>
              <w:t>4.74</w:t>
            </w:r>
          </w:p>
        </w:tc>
        <w:tc>
          <w:tcPr>
            <w:tcW w:type="dxa" w:w="1411"/>
            <w:shd w:val="clear" w:color="auto" w:fill="E7EDEB"/>
          </w:tcPr>
          <w:p>
            <w:pPr>
              <w:spacing w:after="20" w:before="20"/>
              <w:jc w:val="right"/>
            </w:pPr>
            <w:r>
              <w:rPr>
                <w:rFonts w:ascii="Calibri" w:hAnsi="Calibri"/>
                <w:b/>
                <w:color w:val="1C3A36"/>
                <w:sz w:val="16"/>
              </w:rPr>
              <w:t>5.16</w:t>
            </w:r>
          </w:p>
        </w:tc>
        <w:tc>
          <w:tcPr>
            <w:tcW w:type="dxa" w:w="1411"/>
            <w:shd w:val="clear" w:color="auto" w:fill="E7EDEB"/>
          </w:tcPr>
          <w:p>
            <w:pPr>
              <w:spacing w:after="20" w:before="20"/>
              <w:jc w:val="right"/>
            </w:pPr>
            <w:r>
              <w:rPr>
                <w:rFonts w:ascii="Calibri" w:hAnsi="Calibri"/>
                <w:b/>
                <w:color w:val="1C3A36"/>
                <w:sz w:val="16"/>
              </w:rPr>
              <w:t>5.35</w:t>
            </w:r>
          </w:p>
        </w:tc>
        <w:tc>
          <w:tcPr>
            <w:tcW w:type="dxa" w:w="1411"/>
            <w:shd w:val="clear" w:color="auto" w:fill="E7EDEB"/>
          </w:tcPr>
          <w:p>
            <w:pPr>
              <w:spacing w:after="20" w:before="20"/>
              <w:jc w:val="right"/>
            </w:pPr>
            <w:r>
              <w:rPr>
                <w:rFonts w:ascii="Calibri" w:hAnsi="Calibri"/>
                <w:b/>
                <w:color w:val="1C3A36"/>
                <w:sz w:val="16"/>
              </w:rPr>
              <w:t>5.41</w:t>
            </w:r>
          </w:p>
        </w:tc>
      </w:tr>
    </w:tbl>
    <w:p>
      <w:pPr>
        <w:spacing w:after="40"/>
      </w:pPr>
    </w:p>
    <w:tbl>
      <w:tblPr>
        <w:tblStyle w:val="TableGrid"/>
        <w:tblW w:type="auto" w:w="0"/>
        <w:jc w:val="center"/>
        <w:tblLook w:firstColumn="1" w:firstRow="1" w:lastColumn="0" w:lastRow="0" w:noHBand="0" w:noVBand="1" w:val="04A0"/>
        <w:tblLayout w:type="fixed"/>
      </w:tblPr>
      <w:tblGrid>
        <w:gridCol w:w="4968"/>
        <w:gridCol w:w="4968"/>
      </w:tblGrid>
      <w:tr>
        <w:tc>
          <w:tcPr>
            <w:tcW w:type="dxa" w:w="6624"/>
            <w:shd w:val="clear" w:color="auto" w:fill="1C3A36"/>
          </w:tcPr>
          <w:p>
            <w:pPr>
              <w:spacing w:after="20" w:before="20"/>
            </w:pPr>
            <w:r>
              <w:rPr>
                <w:rFonts w:ascii="Calibri" w:hAnsi="Calibri"/>
                <w:b/>
                <w:color w:val="FFFFFF"/>
                <w:sz w:val="16"/>
              </w:rPr>
              <w:t>DCF bridge → fair value</w:t>
            </w:r>
          </w:p>
        </w:tc>
        <w:tc>
          <w:tcPr>
            <w:tcW w:type="dxa" w:w="1728"/>
            <w:shd w:val="clear" w:color="auto" w:fill="1C3A36"/>
          </w:tcPr>
          <w:p>
            <w:pPr>
              <w:spacing w:after="20" w:before="20"/>
              <w:jc w:val="right"/>
            </w:pPr>
            <w:r>
              <w:rPr>
                <w:rFonts w:ascii="Calibri" w:hAnsi="Calibri"/>
                <w:b/>
                <w:color w:val="FFFFFF"/>
                <w:sz w:val="16"/>
              </w:rPr>
              <w:t>Value</w:t>
            </w:r>
          </w:p>
        </w:tc>
      </w:tr>
      <w:tr>
        <w:tc>
          <w:tcPr>
            <w:tcW w:type="dxa" w:w="6624"/>
          </w:tcPr>
          <w:p>
            <w:pPr>
              <w:spacing w:after="20" w:before="20"/>
            </w:pPr>
            <w:r>
              <w:rPr>
                <w:rFonts w:ascii="Calibri" w:hAnsi="Calibri"/>
                <w:color w:val="222A28"/>
                <w:sz w:val="16"/>
              </w:rPr>
              <w:t>Σ PV of explicit FCFF (2026–30)</w:t>
            </w:r>
          </w:p>
        </w:tc>
        <w:tc>
          <w:tcPr>
            <w:tcW w:type="dxa" w:w="1728"/>
          </w:tcPr>
          <w:p>
            <w:pPr>
              <w:spacing w:after="20" w:before="20"/>
              <w:jc w:val="right"/>
            </w:pPr>
            <w:r>
              <w:rPr>
                <w:rFonts w:ascii="Calibri" w:hAnsi="Calibri"/>
                <w:color w:val="222A28"/>
                <w:sz w:val="16"/>
              </w:rPr>
              <w:t>24.7</w:t>
            </w:r>
          </w:p>
        </w:tc>
      </w:tr>
      <w:tr>
        <w:tc>
          <w:tcPr>
            <w:tcW w:type="dxa" w:w="6624"/>
          </w:tcPr>
          <w:p>
            <w:pPr>
              <w:spacing w:after="20" w:before="20"/>
            </w:pPr>
            <w:r>
              <w:rPr>
                <w:rFonts w:ascii="Calibri" w:hAnsi="Calibri"/>
                <w:color w:val="222A28"/>
                <w:sz w:val="16"/>
              </w:rPr>
              <w:t>Terminal value (exit EV/EBITDA 6.0×)</w:t>
            </w:r>
          </w:p>
        </w:tc>
        <w:tc>
          <w:tcPr>
            <w:tcW w:type="dxa" w:w="1728"/>
          </w:tcPr>
          <w:p>
            <w:pPr>
              <w:spacing w:after="20" w:before="20"/>
              <w:jc w:val="right"/>
            </w:pPr>
            <w:r>
              <w:rPr>
                <w:rFonts w:ascii="Calibri" w:hAnsi="Calibri"/>
                <w:color w:val="222A28"/>
                <w:sz w:val="16"/>
              </w:rPr>
              <w:t>91.5</w:t>
            </w:r>
          </w:p>
        </w:tc>
      </w:tr>
      <w:tr>
        <w:tc>
          <w:tcPr>
            <w:tcW w:type="dxa" w:w="6624"/>
          </w:tcPr>
          <w:p>
            <w:pPr>
              <w:spacing w:after="20" w:before="20"/>
            </w:pPr>
            <w:r>
              <w:rPr>
                <w:rFonts w:ascii="Calibri" w:hAnsi="Calibri"/>
                <w:color w:val="222A28"/>
                <w:sz w:val="16"/>
              </w:rPr>
              <w:t>PV of terminal value</w:t>
            </w:r>
          </w:p>
        </w:tc>
        <w:tc>
          <w:tcPr>
            <w:tcW w:type="dxa" w:w="1728"/>
          </w:tcPr>
          <w:p>
            <w:pPr>
              <w:spacing w:after="20" w:before="20"/>
              <w:jc w:val="right"/>
            </w:pPr>
            <w:r>
              <w:rPr>
                <w:rFonts w:ascii="Calibri" w:hAnsi="Calibri"/>
                <w:color w:val="222A28"/>
                <w:sz w:val="16"/>
              </w:rPr>
              <w:t>60.9</w:t>
            </w:r>
          </w:p>
        </w:tc>
      </w:tr>
      <w:tr>
        <w:tc>
          <w:tcPr>
            <w:tcW w:type="dxa" w:w="6624"/>
            <w:shd w:val="clear" w:color="auto" w:fill="E7EDEB"/>
          </w:tcPr>
          <w:p>
            <w:pPr>
              <w:spacing w:after="20" w:before="20"/>
            </w:pPr>
            <w:r>
              <w:rPr>
                <w:rFonts w:ascii="Calibri" w:hAnsi="Calibri"/>
                <w:b/>
                <w:color w:val="1C3A36"/>
                <w:sz w:val="16"/>
              </w:rPr>
              <w:t>Enterprise value</w:t>
            </w:r>
          </w:p>
        </w:tc>
        <w:tc>
          <w:tcPr>
            <w:tcW w:type="dxa" w:w="1728"/>
            <w:shd w:val="clear" w:color="auto" w:fill="E7EDEB"/>
          </w:tcPr>
          <w:p>
            <w:pPr>
              <w:spacing w:after="20" w:before="20"/>
              <w:jc w:val="right"/>
            </w:pPr>
            <w:r>
              <w:rPr>
                <w:rFonts w:ascii="Calibri" w:hAnsi="Calibri"/>
                <w:b/>
                <w:color w:val="1C3A36"/>
                <w:sz w:val="16"/>
              </w:rPr>
              <w:t>85.5</w:t>
            </w:r>
          </w:p>
        </w:tc>
      </w:tr>
      <w:tr>
        <w:tc>
          <w:tcPr>
            <w:tcW w:type="dxa" w:w="6624"/>
          </w:tcPr>
          <w:p>
            <w:pPr>
              <w:spacing w:after="20" w:before="20"/>
            </w:pPr>
            <w:r>
              <w:rPr>
                <w:rFonts w:ascii="Calibri" w:hAnsi="Calibri"/>
                <w:color w:val="222A28"/>
                <w:sz w:val="16"/>
              </w:rPr>
              <w:t>less: net debt (incl. hybrids)</w:t>
            </w:r>
          </w:p>
        </w:tc>
        <w:tc>
          <w:tcPr>
            <w:tcW w:type="dxa" w:w="1728"/>
          </w:tcPr>
          <w:p>
            <w:pPr>
              <w:spacing w:after="20" w:before="20"/>
              <w:jc w:val="right"/>
            </w:pPr>
            <w:r>
              <w:rPr>
                <w:rFonts w:ascii="Calibri" w:hAnsi="Calibri"/>
                <w:color w:val="222A28"/>
                <w:sz w:val="16"/>
              </w:rPr>
              <w:t>(5.5)</w:t>
            </w:r>
          </w:p>
        </w:tc>
      </w:tr>
      <w:tr>
        <w:tc>
          <w:tcPr>
            <w:tcW w:type="dxa" w:w="6624"/>
          </w:tcPr>
          <w:p>
            <w:pPr>
              <w:spacing w:after="20" w:before="20"/>
            </w:pPr>
            <w:r>
              <w:rPr>
                <w:rFonts w:ascii="Calibri" w:hAnsi="Calibri"/>
                <w:color w:val="222A28"/>
                <w:sz w:val="16"/>
              </w:rPr>
              <w:t>less: non-controlling interests</w:t>
            </w:r>
          </w:p>
        </w:tc>
        <w:tc>
          <w:tcPr>
            <w:tcW w:type="dxa" w:w="1728"/>
          </w:tcPr>
          <w:p>
            <w:pPr>
              <w:spacing w:after="20" w:before="20"/>
              <w:jc w:val="right"/>
            </w:pPr>
            <w:r>
              <w:rPr>
                <w:rFonts w:ascii="Calibri" w:hAnsi="Calibri"/>
                <w:color w:val="222A28"/>
                <w:sz w:val="16"/>
              </w:rPr>
              <w:t>(3.0)</w:t>
            </w:r>
          </w:p>
        </w:tc>
      </w:tr>
      <w:tr>
        <w:tc>
          <w:tcPr>
            <w:tcW w:type="dxa" w:w="6624"/>
            <w:shd w:val="clear" w:color="auto" w:fill="E7EDEB"/>
          </w:tcPr>
          <w:p>
            <w:pPr>
              <w:spacing w:after="20" w:before="20"/>
            </w:pPr>
            <w:r>
              <w:rPr>
                <w:rFonts w:ascii="Calibri" w:hAnsi="Calibri"/>
                <w:b/>
                <w:color w:val="1C3A36"/>
                <w:sz w:val="16"/>
              </w:rPr>
              <w:t>Equity value</w:t>
            </w:r>
          </w:p>
        </w:tc>
        <w:tc>
          <w:tcPr>
            <w:tcW w:type="dxa" w:w="1728"/>
            <w:shd w:val="clear" w:color="auto" w:fill="E7EDEB"/>
          </w:tcPr>
          <w:p>
            <w:pPr>
              <w:spacing w:after="20" w:before="20"/>
              <w:jc w:val="right"/>
            </w:pPr>
            <w:r>
              <w:rPr>
                <w:rFonts w:ascii="Calibri" w:hAnsi="Calibri"/>
                <w:b/>
                <w:color w:val="1C3A36"/>
                <w:sz w:val="16"/>
              </w:rPr>
              <w:t>77.0</w:t>
            </w:r>
          </w:p>
        </w:tc>
      </w:tr>
      <w:tr>
        <w:tc>
          <w:tcPr>
            <w:tcW w:type="dxa" w:w="6624"/>
            <w:shd w:val="clear" w:color="auto" w:fill="E7EDEB"/>
          </w:tcPr>
          <w:p>
            <w:pPr>
              <w:spacing w:after="20" w:before="20"/>
            </w:pPr>
            <w:r>
              <w:rPr>
                <w:rFonts w:ascii="Calibri" w:hAnsi="Calibri"/>
                <w:b/>
                <w:color w:val="1C3A36"/>
                <w:sz w:val="16"/>
              </w:rPr>
              <w:t>Fair value per share (AED)</w:t>
            </w:r>
          </w:p>
        </w:tc>
        <w:tc>
          <w:tcPr>
            <w:tcW w:type="dxa" w:w="1728"/>
            <w:shd w:val="clear" w:color="auto" w:fill="E7EDEB"/>
          </w:tcPr>
          <w:p>
            <w:pPr>
              <w:spacing w:after="20" w:before="20"/>
              <w:jc w:val="right"/>
            </w:pPr>
            <w:r>
              <w:rPr>
                <w:rFonts w:ascii="Calibri" w:hAnsi="Calibri"/>
                <w:b/>
                <w:color w:val="1C3A36"/>
                <w:sz w:val="16"/>
              </w:rPr>
              <w:t>9.81</w:t>
            </w:r>
          </w:p>
        </w:tc>
      </w:tr>
      <w:tr>
        <w:tc>
          <w:tcPr>
            <w:tcW w:type="dxa" w:w="6624"/>
          </w:tcPr>
          <w:p>
            <w:pPr>
              <w:spacing w:after="20" w:before="20"/>
            </w:pPr>
            <w:r>
              <w:rPr>
                <w:rFonts w:ascii="Calibri" w:hAnsi="Calibri"/>
                <w:color w:val="222A28"/>
                <w:sz w:val="16"/>
              </w:rPr>
              <w:t>% terminal of EV (device A-7)</w:t>
            </w:r>
          </w:p>
        </w:tc>
        <w:tc>
          <w:tcPr>
            <w:tcW w:type="dxa" w:w="1728"/>
          </w:tcPr>
          <w:p>
            <w:pPr>
              <w:spacing w:after="20" w:before="20"/>
              <w:jc w:val="right"/>
            </w:pPr>
            <w:r>
              <w:rPr>
                <w:rFonts w:ascii="Calibri" w:hAnsi="Calibri"/>
                <w:color w:val="222A28"/>
                <w:sz w:val="16"/>
              </w:rPr>
              <w:t>71%</w:t>
            </w:r>
          </w:p>
        </w:tc>
      </w:tr>
      <w:tr>
        <w:tc>
          <w:tcPr>
            <w:tcW w:type="dxa" w:w="6624"/>
          </w:tcPr>
          <w:p>
            <w:pPr>
              <w:spacing w:after="20" w:before="20"/>
            </w:pPr>
            <w:r>
              <w:rPr>
                <w:rFonts w:ascii="Calibri" w:hAnsi="Calibri"/>
                <w:color w:val="222A28"/>
                <w:sz w:val="16"/>
              </w:rPr>
              <w:t>Memo — Gordon-perpetuity FV (disclosed, not used)</w:t>
            </w:r>
          </w:p>
        </w:tc>
        <w:tc>
          <w:tcPr>
            <w:tcW w:type="dxa" w:w="1728"/>
          </w:tcPr>
          <w:p>
            <w:pPr>
              <w:spacing w:after="20" w:before="20"/>
              <w:jc w:val="right"/>
            </w:pPr>
            <w:r>
              <w:rPr>
                <w:rFonts w:ascii="Calibri" w:hAnsi="Calibri"/>
                <w:color w:val="222A28"/>
                <w:sz w:val="16"/>
              </w:rPr>
              <w:t>13.84</w:t>
            </w:r>
          </w:p>
        </w:tc>
      </w:tr>
      <w:tr>
        <w:tc>
          <w:tcPr>
            <w:tcW w:type="dxa" w:w="6624"/>
          </w:tcPr>
          <w:p>
            <w:pPr>
              <w:spacing w:after="20" w:before="20"/>
            </w:pPr>
            <w:r>
              <w:rPr>
                <w:rFonts w:ascii="Calibri" w:hAnsi="Calibri"/>
                <w:color w:val="222A28"/>
                <w:sz w:val="16"/>
              </w:rPr>
              <w:t>WACC (≈ Ke, modest net debt)</w:t>
            </w:r>
          </w:p>
        </w:tc>
        <w:tc>
          <w:tcPr>
            <w:tcW w:type="dxa" w:w="1728"/>
          </w:tcPr>
          <w:p>
            <w:pPr>
              <w:spacing w:after="20" w:before="20"/>
              <w:jc w:val="right"/>
            </w:pPr>
            <w:r>
              <w:rPr>
                <w:rFonts w:ascii="Calibri" w:hAnsi="Calibri"/>
                <w:color w:val="222A28"/>
                <w:sz w:val="16"/>
              </w:rPr>
              <w:t>8.5%</w:t>
            </w:r>
          </w:p>
        </w:tc>
      </w:tr>
      <w:tr>
        <w:tc>
          <w:tcPr>
            <w:tcW w:type="dxa" w:w="6624"/>
          </w:tcPr>
          <w:p>
            <w:pPr>
              <w:spacing w:after="20" w:before="20"/>
            </w:pPr>
            <w:r>
              <w:rPr>
                <w:rFonts w:ascii="Calibri" w:hAnsi="Calibri"/>
                <w:color w:val="222A28"/>
                <w:sz w:val="16"/>
              </w:rPr>
              <w:t>Ke = rf 4.8% + beta 1.00 × ERP 4.4%</w:t>
            </w:r>
          </w:p>
        </w:tc>
        <w:tc>
          <w:tcPr>
            <w:tcW w:type="dxa" w:w="1728"/>
          </w:tcPr>
          <w:p>
            <w:pPr>
              <w:spacing w:after="20" w:before="20"/>
              <w:jc w:val="right"/>
            </w:pPr>
            <w:r>
              <w:rPr>
                <w:rFonts w:ascii="Calibri" w:hAnsi="Calibri"/>
                <w:color w:val="222A28"/>
                <w:sz w:val="16"/>
              </w:rPr>
              <w:t>9.2%</w:t>
            </w:r>
          </w:p>
        </w:tc>
      </w:tr>
    </w:tbl>
    <w:p>
      <w:pPr>
        <w:spacing w:after="40"/>
      </w:pPr>
    </w:p>
    <w:p>
      <w:pPr>
        <w:spacing w:after="120" w:before="0"/>
      </w:pPr>
      <w:r>
        <w:rPr>
          <w:rFonts w:ascii="Calibri" w:hAnsi="Calibri"/>
          <w:b/>
          <w:i w:val="0"/>
          <w:color w:val="222A28"/>
          <w:sz w:val="20"/>
        </w:rPr>
        <w:t>DCF base ≈ AED 9.81</w:t>
      </w:r>
      <w:r>
        <w:rPr>
          <w:rFonts w:ascii="Calibri" w:hAnsi="Calibri"/>
          <w:b w:val="0"/>
          <w:i w:val="0"/>
          <w:color w:val="222A28"/>
          <w:sz w:val="20"/>
        </w:rPr>
        <w:t>, with the terminal at 71% of EV — high, but it reflects Aldar's large permanent recurring platform — struck on a market-anchored exit multiple rather than the even larger figure (implying AED 13.84) that a Gordon perpetuity would carry. The two anchor lenses — RNAV AED 10.14 and DCF AED 9.81 — sit close together despite sharing almost no inputs, which is reassuring for a cyclical.</w:t>
      </w:r>
    </w:p>
    <w:p>
      <w:pPr>
        <w:spacing w:before="200" w:after="80"/>
      </w:pPr>
      <w:r>
        <w:rPr>
          <w:rFonts w:ascii="Calibri" w:hAnsi="Calibri"/>
          <w:b/>
          <w:color w:val="896F36"/>
          <w:sz w:val="24"/>
        </w:rPr>
        <w:t>1.3  Relative multiples and discount-to-NAV</w:t>
      </w:r>
    </w:p>
    <w:p>
      <w:pPr>
        <w:spacing w:after="80" w:before="0"/>
      </w:pPr>
      <w:r>
        <w:rPr>
          <w:rFonts w:ascii="Calibri" w:hAnsi="Calibri"/>
          <w:b w:val="0"/>
          <w:i w:val="0"/>
          <w:color w:val="222A28"/>
          <w:sz w:val="19"/>
        </w:rPr>
        <w:t>Where the intrinsic methods ask what the assets are worth, relative multiples ask what the market pays for comparable developer-landlords. Each row pairs Aldar's current multiple with a fair range and the implied equity value per share.</w:t>
      </w:r>
    </w:p>
    <w:tbl>
      <w:tblPr>
        <w:tblStyle w:val="TableGrid"/>
        <w:tblW w:type="auto" w:w="0"/>
        <w:jc w:val="center"/>
        <w:tblLook w:firstColumn="1" w:firstRow="1" w:lastColumn="0" w:lastRow="0" w:noHBand="0" w:noVBand="1" w:val="04A0"/>
        <w:tblLayout w:type="fixed"/>
      </w:tblPr>
      <w:tblGrid>
        <w:gridCol w:w="2484"/>
        <w:gridCol w:w="2484"/>
        <w:gridCol w:w="2484"/>
        <w:gridCol w:w="2484"/>
      </w:tblGrid>
      <w:tr>
        <w:tc>
          <w:tcPr>
            <w:tcW w:type="dxa" w:w="3456"/>
            <w:shd w:val="clear" w:color="auto" w:fill="1C3A36"/>
          </w:tcPr>
          <w:p>
            <w:pPr>
              <w:spacing w:after="20" w:before="20"/>
            </w:pPr>
            <w:r>
              <w:rPr>
                <w:rFonts w:ascii="Calibri" w:hAnsi="Calibri"/>
                <w:b/>
                <w:color w:val="FFFFFF"/>
                <w:sz w:val="17"/>
              </w:rPr>
              <w:t>Lens</w:t>
            </w:r>
          </w:p>
        </w:tc>
        <w:tc>
          <w:tcPr>
            <w:tcW w:type="dxa" w:w="1728"/>
            <w:shd w:val="clear" w:color="auto" w:fill="1C3A36"/>
          </w:tcPr>
          <w:p>
            <w:pPr>
              <w:spacing w:after="20" w:before="20"/>
              <w:jc w:val="right"/>
            </w:pPr>
            <w:r>
              <w:rPr>
                <w:rFonts w:ascii="Calibri" w:hAnsi="Calibri"/>
                <w:b/>
                <w:color w:val="FFFFFF"/>
                <w:sz w:val="17"/>
              </w:rPr>
              <w:t>Aldar now</w:t>
            </w:r>
          </w:p>
        </w:tc>
        <w:tc>
          <w:tcPr>
            <w:tcW w:type="dxa" w:w="2160"/>
            <w:shd w:val="clear" w:color="auto" w:fill="1C3A36"/>
          </w:tcPr>
          <w:p>
            <w:pPr>
              <w:spacing w:after="20" w:before="20"/>
              <w:jc w:val="right"/>
            </w:pPr>
            <w:r>
              <w:rPr>
                <w:rFonts w:ascii="Calibri" w:hAnsi="Calibri"/>
                <w:b/>
                <w:color w:val="FFFFFF"/>
                <w:sz w:val="17"/>
              </w:rPr>
              <w:t>Fair range</w:t>
            </w:r>
          </w:p>
        </w:tc>
        <w:tc>
          <w:tcPr>
            <w:tcW w:type="dxa" w:w="2448"/>
            <w:shd w:val="clear" w:color="auto" w:fill="1C3A36"/>
          </w:tcPr>
          <w:p>
            <w:pPr>
              <w:spacing w:after="20" w:before="20"/>
              <w:jc w:val="right"/>
            </w:pPr>
            <w:r>
              <w:rPr>
                <w:rFonts w:ascii="Calibri" w:hAnsi="Calibri"/>
                <w:b/>
                <w:color w:val="FFFFFF"/>
                <w:sz w:val="17"/>
              </w:rPr>
              <w:t>Implied AED/sh</w:t>
            </w:r>
          </w:p>
        </w:tc>
      </w:tr>
      <w:tr>
        <w:tc>
          <w:tcPr>
            <w:tcW w:type="dxa" w:w="3456"/>
          </w:tcPr>
          <w:p>
            <w:pPr>
              <w:spacing w:after="20" w:before="20"/>
            </w:pPr>
            <w:r>
              <w:rPr>
                <w:rFonts w:ascii="Calibri" w:hAnsi="Calibri"/>
                <w:color w:val="222A28"/>
                <w:sz w:val="17"/>
              </w:rPr>
              <w:t>P/E (FY25 EPS 0.96)</w:t>
            </w:r>
          </w:p>
        </w:tc>
        <w:tc>
          <w:tcPr>
            <w:tcW w:type="dxa" w:w="1728"/>
          </w:tcPr>
          <w:p>
            <w:pPr>
              <w:spacing w:after="20" w:before="20"/>
              <w:jc w:val="right"/>
            </w:pPr>
            <w:r>
              <w:rPr>
                <w:rFonts w:ascii="Calibri" w:hAnsi="Calibri"/>
                <w:color w:val="222A28"/>
                <w:sz w:val="17"/>
              </w:rPr>
              <w:t>8.6x</w:t>
            </w:r>
          </w:p>
        </w:tc>
        <w:tc>
          <w:tcPr>
            <w:tcW w:type="dxa" w:w="2160"/>
          </w:tcPr>
          <w:p>
            <w:pPr>
              <w:spacing w:after="20" w:before="20"/>
              <w:jc w:val="right"/>
            </w:pPr>
            <w:r>
              <w:rPr>
                <w:rFonts w:ascii="Calibri" w:hAnsi="Calibri"/>
                <w:color w:val="222A28"/>
                <w:sz w:val="17"/>
              </w:rPr>
              <w:t>9.0–12.0x</w:t>
            </w:r>
          </w:p>
        </w:tc>
        <w:tc>
          <w:tcPr>
            <w:tcW w:type="dxa" w:w="2448"/>
          </w:tcPr>
          <w:p>
            <w:pPr>
              <w:spacing w:after="20" w:before="20"/>
              <w:jc w:val="right"/>
            </w:pPr>
            <w:r>
              <w:rPr>
                <w:rFonts w:ascii="Calibri" w:hAnsi="Calibri"/>
                <w:color w:val="222A28"/>
                <w:sz w:val="17"/>
              </w:rPr>
              <w:t>8.6 – 11.5</w:t>
            </w:r>
          </w:p>
        </w:tc>
      </w:tr>
      <w:tr>
        <w:tc>
          <w:tcPr>
            <w:tcW w:type="dxa" w:w="3456"/>
          </w:tcPr>
          <w:p>
            <w:pPr>
              <w:spacing w:after="20" w:before="20"/>
            </w:pPr>
            <w:r>
              <w:rPr>
                <w:rFonts w:ascii="Calibri" w:hAnsi="Calibri"/>
                <w:color w:val="222A28"/>
                <w:sz w:val="17"/>
              </w:rPr>
              <w:t>P/B (BVPS ~5.1)</w:t>
            </w:r>
          </w:p>
        </w:tc>
        <w:tc>
          <w:tcPr>
            <w:tcW w:type="dxa" w:w="1728"/>
          </w:tcPr>
          <w:p>
            <w:pPr>
              <w:spacing w:after="20" w:before="20"/>
              <w:jc w:val="right"/>
            </w:pPr>
            <w:r>
              <w:rPr>
                <w:rFonts w:ascii="Calibri" w:hAnsi="Calibri"/>
                <w:color w:val="222A28"/>
                <w:sz w:val="17"/>
              </w:rPr>
              <w:t>1.6x</w:t>
            </w:r>
          </w:p>
        </w:tc>
        <w:tc>
          <w:tcPr>
            <w:tcW w:type="dxa" w:w="2160"/>
          </w:tcPr>
          <w:p>
            <w:pPr>
              <w:spacing w:after="20" w:before="20"/>
              <w:jc w:val="right"/>
            </w:pPr>
            <w:r>
              <w:rPr>
                <w:rFonts w:ascii="Calibri" w:hAnsi="Calibri"/>
                <w:color w:val="222A28"/>
                <w:sz w:val="17"/>
              </w:rPr>
              <w:t>1.3–1.8x</w:t>
            </w:r>
          </w:p>
        </w:tc>
        <w:tc>
          <w:tcPr>
            <w:tcW w:type="dxa" w:w="2448"/>
          </w:tcPr>
          <w:p>
            <w:pPr>
              <w:spacing w:after="20" w:before="20"/>
              <w:jc w:val="right"/>
            </w:pPr>
            <w:r>
              <w:rPr>
                <w:rFonts w:ascii="Calibri" w:hAnsi="Calibri"/>
                <w:color w:val="222A28"/>
                <w:sz w:val="17"/>
              </w:rPr>
              <w:t>6.6 – 9.2</w:t>
            </w:r>
          </w:p>
        </w:tc>
      </w:tr>
      <w:tr>
        <w:tc>
          <w:tcPr>
            <w:tcW w:type="dxa" w:w="3456"/>
          </w:tcPr>
          <w:p>
            <w:pPr>
              <w:spacing w:after="20" w:before="20"/>
            </w:pPr>
            <w:r>
              <w:rPr>
                <w:rFonts w:ascii="Calibri" w:hAnsi="Calibri"/>
                <w:color w:val="222A28"/>
                <w:sz w:val="17"/>
              </w:rPr>
              <w:t>EV/EBITDA (FY25 11.2)</w:t>
            </w:r>
          </w:p>
        </w:tc>
        <w:tc>
          <w:tcPr>
            <w:tcW w:type="dxa" w:w="1728"/>
          </w:tcPr>
          <w:p>
            <w:pPr>
              <w:spacing w:after="20" w:before="20"/>
              <w:jc w:val="right"/>
            </w:pPr>
            <w:r>
              <w:rPr>
                <w:rFonts w:ascii="Calibri" w:hAnsi="Calibri"/>
                <w:color w:val="222A28"/>
                <w:sz w:val="17"/>
              </w:rPr>
              <w:t>6.3x</w:t>
            </w:r>
          </w:p>
        </w:tc>
        <w:tc>
          <w:tcPr>
            <w:tcW w:type="dxa" w:w="2160"/>
          </w:tcPr>
          <w:p>
            <w:pPr>
              <w:spacing w:after="20" w:before="20"/>
              <w:jc w:val="right"/>
            </w:pPr>
            <w:r>
              <w:rPr>
                <w:rFonts w:ascii="Calibri" w:hAnsi="Calibri"/>
                <w:color w:val="222A28"/>
                <w:sz w:val="17"/>
              </w:rPr>
              <w:t>7.0–9.0x</w:t>
            </w:r>
          </w:p>
        </w:tc>
        <w:tc>
          <w:tcPr>
            <w:tcW w:type="dxa" w:w="2448"/>
          </w:tcPr>
          <w:p>
            <w:pPr>
              <w:spacing w:after="20" w:before="20"/>
              <w:jc w:val="right"/>
            </w:pPr>
            <w:r>
              <w:rPr>
                <w:rFonts w:ascii="Calibri" w:hAnsi="Calibri"/>
                <w:color w:val="222A28"/>
                <w:sz w:val="17"/>
              </w:rPr>
              <w:t>9.3 – 12.1</w:t>
            </w:r>
          </w:p>
        </w:tc>
      </w:tr>
      <w:tr>
        <w:tc>
          <w:tcPr>
            <w:tcW w:type="dxa" w:w="3456"/>
          </w:tcPr>
          <w:p>
            <w:pPr>
              <w:spacing w:after="20" w:before="20"/>
            </w:pPr>
            <w:r>
              <w:rPr>
                <w:rFonts w:ascii="Calibri" w:hAnsi="Calibri"/>
                <w:color w:val="222A28"/>
                <w:sz w:val="17"/>
              </w:rPr>
              <w:t>Discount to NAV</w:t>
            </w:r>
          </w:p>
        </w:tc>
        <w:tc>
          <w:tcPr>
            <w:tcW w:type="dxa" w:w="1728"/>
          </w:tcPr>
          <w:p>
            <w:pPr>
              <w:spacing w:after="20" w:before="20"/>
              <w:jc w:val="right"/>
            </w:pPr>
            <w:r>
              <w:rPr>
                <w:rFonts w:ascii="Calibri" w:hAnsi="Calibri"/>
                <w:color w:val="222A28"/>
                <w:sz w:val="17"/>
              </w:rPr>
              <w:t>18%</w:t>
            </w:r>
          </w:p>
        </w:tc>
        <w:tc>
          <w:tcPr>
            <w:tcW w:type="dxa" w:w="2160"/>
          </w:tcPr>
          <w:p>
            <w:pPr>
              <w:spacing w:after="20" w:before="20"/>
              <w:jc w:val="right"/>
            </w:pPr>
            <w:r>
              <w:rPr>
                <w:rFonts w:ascii="Calibri" w:hAnsi="Calibri"/>
                <w:color w:val="222A28"/>
                <w:sz w:val="17"/>
              </w:rPr>
              <w:t>5–15%</w:t>
            </w:r>
          </w:p>
        </w:tc>
        <w:tc>
          <w:tcPr>
            <w:tcW w:type="dxa" w:w="2448"/>
          </w:tcPr>
          <w:p>
            <w:pPr>
              <w:spacing w:after="20" w:before="20"/>
              <w:jc w:val="right"/>
            </w:pPr>
            <w:r>
              <w:rPr>
                <w:rFonts w:ascii="Calibri" w:hAnsi="Calibri"/>
                <w:color w:val="222A28"/>
                <w:sz w:val="17"/>
              </w:rPr>
              <w:t>8.6 – 9.6</w:t>
            </w:r>
          </w:p>
        </w:tc>
      </w:tr>
      <w:tr>
        <w:tc>
          <w:tcPr>
            <w:tcW w:type="dxa" w:w="3456"/>
            <w:shd w:val="clear" w:color="auto" w:fill="E7EDEB"/>
          </w:tcPr>
          <w:p>
            <w:pPr>
              <w:spacing w:after="20" w:before="20"/>
            </w:pPr>
            <w:r>
              <w:rPr>
                <w:rFonts w:ascii="Calibri" w:hAnsi="Calibri"/>
                <w:b/>
                <w:color w:val="1C3A36"/>
                <w:sz w:val="17"/>
              </w:rPr>
              <w:t>Relative blended midpoint</w:t>
            </w:r>
          </w:p>
        </w:tc>
        <w:tc>
          <w:tcPr>
            <w:tcW w:type="dxa" w:w="1728"/>
            <w:shd w:val="clear" w:color="auto" w:fill="E7EDEB"/>
          </w:tcPr>
          <w:p>
            <w:pPr>
              <w:spacing w:after="20" w:before="20"/>
              <w:jc w:val="right"/>
            </w:pPr>
            <w:r>
              <w:rPr>
                <w:rFonts w:ascii="Calibri" w:hAnsi="Calibri"/>
                <w:b/>
                <w:color w:val="1C3A36"/>
                <w:sz w:val="17"/>
              </w:rPr>
            </w:r>
          </w:p>
        </w:tc>
        <w:tc>
          <w:tcPr>
            <w:tcW w:type="dxa" w:w="2160"/>
            <w:shd w:val="clear" w:color="auto" w:fill="E7EDEB"/>
          </w:tcPr>
          <w:p>
            <w:pPr>
              <w:spacing w:after="20" w:before="20"/>
              <w:jc w:val="right"/>
            </w:pPr>
            <w:r>
              <w:rPr>
                <w:rFonts w:ascii="Calibri" w:hAnsi="Calibri"/>
                <w:b/>
                <w:color w:val="1C3A36"/>
                <w:sz w:val="17"/>
              </w:rPr>
            </w:r>
          </w:p>
        </w:tc>
        <w:tc>
          <w:tcPr>
            <w:tcW w:type="dxa" w:w="2448"/>
            <w:shd w:val="clear" w:color="auto" w:fill="E7EDEB"/>
          </w:tcPr>
          <w:p>
            <w:pPr>
              <w:spacing w:after="20" w:before="20"/>
              <w:jc w:val="right"/>
            </w:pPr>
            <w:r>
              <w:rPr>
                <w:rFonts w:ascii="Calibri" w:hAnsi="Calibri"/>
                <w:b/>
                <w:color w:val="1C3A36"/>
                <w:sz w:val="17"/>
              </w:rPr>
              <w:t>≈ 9.5</w:t>
            </w:r>
          </w:p>
        </w:tc>
      </w:tr>
    </w:tbl>
    <w:p>
      <w:pPr>
        <w:spacing w:after="40"/>
      </w:pPr>
    </w:p>
    <w:p>
      <w:pPr>
        <w:spacing w:after="120" w:before="0"/>
      </w:pPr>
      <w:r>
        <w:rPr>
          <w:rFonts w:ascii="Calibri" w:hAnsi="Calibri"/>
          <w:b w:val="0"/>
          <w:i w:val="0"/>
          <w:color w:val="222A28"/>
          <w:sz w:val="20"/>
        </w:rPr>
        <w:t>The relative lenses cluster around AED 9.5 — below the intrinsic SOTP but above the current price. On near-term earnings Aldar screens roughly in line to modestly cheap (P/E ~8.6×), even as it looks discounted against its asset base. That gap is the structural discount-to-NAV a developer-landlord carries; the families of method answer different questions and are deliberately not blended into one number without judgement (device A-8).</w:t>
      </w:r>
    </w:p>
    <w:p>
      <w:pPr>
        <w:spacing w:before="200" w:after="80"/>
      </w:pPr>
      <w:r>
        <w:rPr>
          <w:rFonts w:ascii="Calibri" w:hAnsi="Calibri"/>
          <w:b/>
          <w:color w:val="896F36"/>
          <w:sz w:val="24"/>
        </w:rPr>
        <w:t>1.4  Property-cycle framing — where Aldar sits in the cycle</w:t>
      </w:r>
    </w:p>
    <w:p>
      <w:pPr>
        <w:spacing w:after="120" w:before="0"/>
      </w:pPr>
      <w:r>
        <w:rPr>
          <w:rFonts w:ascii="Calibri" w:hAnsi="Calibri"/>
          <w:b w:val="0"/>
          <w:i w:val="0"/>
          <w:color w:val="222A28"/>
          <w:sz w:val="20"/>
        </w:rPr>
        <w:t xml:space="preserve">For a developer, </w:t>
      </w:r>
      <w:r>
        <w:rPr>
          <w:rFonts w:ascii="Calibri" w:hAnsi="Calibri"/>
          <w:b/>
          <w:i w:val="0"/>
          <w:color w:val="222A28"/>
          <w:sz w:val="20"/>
        </w:rPr>
        <w:t xml:space="preserve">normalized through-cycle earnings are near-meaningless — each project is finite — so we state cycle position instead. </w:t>
      </w:r>
      <w:r>
        <w:rPr>
          <w:rFonts w:ascii="Calibri" w:hAnsi="Calibri"/>
          <w:b w:val="0"/>
          <w:i w:val="0"/>
          <w:color w:val="222A28"/>
          <w:sz w:val="20"/>
        </w:rPr>
        <w:t xml:space="preserve">Abu Dhabi and Dubai residential are in the mature-but-extending phase of a multi-year up-cycle that began in 2021: population inflows, a golden-visa-driven demand base, limited prime supply and property as an inflation and safe-haven hedge have driven successive record sales years (Aldar group sales AED 27.9bn → 33.6bn → 40.6bn across FY2023–25). Off-plan penetration is high and payment plans have lengthened, which historically flags mid-to-late cycle. The important structural difference from a pure homebuilder — and from a finite land-monetiser — is that Aldar </w:t>
      </w:r>
      <w:r>
        <w:rPr>
          <w:rFonts w:ascii="Calibri" w:hAnsi="Calibri"/>
          <w:b/>
          <w:i w:val="0"/>
          <w:color w:val="222A28"/>
          <w:sz w:val="20"/>
        </w:rPr>
        <w:t>replenishes</w:t>
      </w:r>
      <w:r>
        <w:rPr>
          <w:rFonts w:ascii="Calibri" w:hAnsi="Calibri"/>
          <w:b w:val="0"/>
          <w:i w:val="0"/>
          <w:color w:val="222A28"/>
          <w:sz w:val="20"/>
        </w:rPr>
        <w:t xml:space="preserve"> its landbank continuously (AED 61bn of gross development value added in Q1 2026 alone across Abu Dhabi and Dubai) and carries a growing recurring-income platform that cushions the development cycle. The bear case is a UAE property cyclical turn — off-plan demand cooling, payment terms extending further, a sales-pace step-down — which the Q1 2026 print already hinted at (group sales −25% YoY on deliberately moderated launches). The recurring platform, at 96% occupancy on long leases, is the ballast that keeps the through-cycle floor well above a pure developer's.</w:t>
      </w:r>
    </w:p>
    <w:p>
      <w:pPr>
        <w:spacing w:before="200" w:after="80"/>
      </w:pPr>
      <w:r>
        <w:rPr>
          <w:rFonts w:ascii="Calibri" w:hAnsi="Calibri"/>
          <w:b/>
          <w:color w:val="896F36"/>
          <w:sz w:val="24"/>
        </w:rPr>
        <w:t>1.5  Synthesis — four lenses</w:t>
      </w:r>
    </w:p>
    <w:p>
      <w:pPr>
        <w:spacing w:after="80" w:before="0"/>
      </w:pPr>
      <w:r>
        <w:rPr>
          <w:rFonts w:ascii="Calibri" w:hAnsi="Calibri"/>
          <w:b w:val="0"/>
          <w:i w:val="0"/>
          <w:color w:val="222A28"/>
          <w:sz w:val="19"/>
        </w:rPr>
        <w:t>We weight the SOTP most heavily because it respects the differing economics of the two legs; the going-concern DCF, on an exit-multiple terminal, converges with the RNAV; the relative lens is the market-reality check; the full-execution SOTP marks the ceiling.</w:t>
      </w:r>
    </w:p>
    <w:tbl>
      <w:tblPr>
        <w:tblStyle w:val="TableGrid"/>
        <w:tblW w:type="auto" w:w="0"/>
        <w:jc w:val="center"/>
        <w:tblLook w:firstColumn="1" w:firstRow="1" w:lastColumn="0" w:lastRow="0" w:noHBand="0" w:noVBand="1" w:val="04A0"/>
        <w:tblLayout w:type="fixed"/>
      </w:tblPr>
      <w:tblGrid>
        <w:gridCol w:w="1987"/>
        <w:gridCol w:w="1987"/>
        <w:gridCol w:w="1987"/>
        <w:gridCol w:w="1987"/>
        <w:gridCol w:w="1987"/>
      </w:tblGrid>
      <w:tr>
        <w:tc>
          <w:tcPr>
            <w:tcW w:type="dxa" w:w="3744"/>
            <w:shd w:val="clear" w:color="auto" w:fill="1C3A36"/>
          </w:tcPr>
          <w:p>
            <w:pPr>
              <w:spacing w:after="20" w:before="20"/>
            </w:pPr>
            <w:r>
              <w:rPr>
                <w:rFonts w:ascii="Calibri" w:hAnsi="Calibri"/>
                <w:b/>
                <w:color w:val="FFFFFF"/>
                <w:sz w:val="17"/>
              </w:rPr>
              <w:t>Lens</w:t>
            </w:r>
          </w:p>
        </w:tc>
        <w:tc>
          <w:tcPr>
            <w:tcW w:type="dxa" w:w="1440"/>
            <w:shd w:val="clear" w:color="auto" w:fill="1C3A36"/>
          </w:tcPr>
          <w:p>
            <w:pPr>
              <w:spacing w:after="20" w:before="20"/>
              <w:jc w:val="right"/>
            </w:pPr>
            <w:r>
              <w:rPr>
                <w:rFonts w:ascii="Calibri" w:hAnsi="Calibri"/>
                <w:b/>
                <w:color w:val="FFFFFF"/>
                <w:sz w:val="17"/>
              </w:rPr>
              <w:t>Weight</w:t>
            </w:r>
          </w:p>
        </w:tc>
        <w:tc>
          <w:tcPr>
            <w:tcW w:type="dxa" w:w="1584"/>
            <w:shd w:val="clear" w:color="auto" w:fill="1C3A36"/>
          </w:tcPr>
          <w:p>
            <w:pPr>
              <w:spacing w:after="20" w:before="20"/>
              <w:jc w:val="right"/>
            </w:pPr>
            <w:r>
              <w:rPr>
                <w:rFonts w:ascii="Calibri" w:hAnsi="Calibri"/>
                <w:b/>
                <w:color w:val="FFFFFF"/>
                <w:sz w:val="17"/>
              </w:rPr>
              <w:t>Bear</w:t>
            </w:r>
          </w:p>
        </w:tc>
        <w:tc>
          <w:tcPr>
            <w:tcW w:type="dxa" w:w="1584"/>
            <w:shd w:val="clear" w:color="auto" w:fill="1C3A36"/>
          </w:tcPr>
          <w:p>
            <w:pPr>
              <w:spacing w:after="20" w:before="20"/>
              <w:jc w:val="right"/>
            </w:pPr>
            <w:r>
              <w:rPr>
                <w:rFonts w:ascii="Calibri" w:hAnsi="Calibri"/>
                <w:b/>
                <w:color w:val="FFFFFF"/>
                <w:sz w:val="17"/>
              </w:rPr>
              <w:t>Base</w:t>
            </w:r>
          </w:p>
        </w:tc>
        <w:tc>
          <w:tcPr>
            <w:tcW w:type="dxa" w:w="1584"/>
            <w:shd w:val="clear" w:color="auto" w:fill="1C3A36"/>
          </w:tcPr>
          <w:p>
            <w:pPr>
              <w:spacing w:after="20" w:before="20"/>
              <w:jc w:val="right"/>
            </w:pPr>
            <w:r>
              <w:rPr>
                <w:rFonts w:ascii="Calibri" w:hAnsi="Calibri"/>
                <w:b/>
                <w:color w:val="FFFFFF"/>
                <w:sz w:val="17"/>
              </w:rPr>
              <w:t>Bull</w:t>
            </w:r>
          </w:p>
        </w:tc>
      </w:tr>
      <w:tr>
        <w:tc>
          <w:tcPr>
            <w:tcW w:type="dxa" w:w="3744"/>
          </w:tcPr>
          <w:p>
            <w:pPr>
              <w:spacing w:after="20" w:before="20"/>
            </w:pPr>
            <w:r>
              <w:rPr>
                <w:rFonts w:ascii="Calibri" w:hAnsi="Calibri"/>
                <w:color w:val="222A28"/>
                <w:sz w:val="17"/>
              </w:rPr>
              <w:t>SOTP / RNAV</w:t>
            </w:r>
          </w:p>
        </w:tc>
        <w:tc>
          <w:tcPr>
            <w:tcW w:type="dxa" w:w="1440"/>
          </w:tcPr>
          <w:p>
            <w:pPr>
              <w:spacing w:after="20" w:before="20"/>
              <w:jc w:val="right"/>
            </w:pPr>
            <w:r>
              <w:rPr>
                <w:rFonts w:ascii="Calibri" w:hAnsi="Calibri"/>
                <w:color w:val="222A28"/>
                <w:sz w:val="17"/>
              </w:rPr>
              <w:t>40%</w:t>
            </w:r>
          </w:p>
        </w:tc>
        <w:tc>
          <w:tcPr>
            <w:tcW w:type="dxa" w:w="1584"/>
          </w:tcPr>
          <w:p>
            <w:pPr>
              <w:spacing w:after="20" w:before="20"/>
              <w:jc w:val="right"/>
            </w:pPr>
            <w:r>
              <w:rPr>
                <w:rFonts w:ascii="Calibri" w:hAnsi="Calibri"/>
                <w:color w:val="222A28"/>
                <w:sz w:val="17"/>
              </w:rPr>
              <w:t>7.24</w:t>
            </w:r>
          </w:p>
        </w:tc>
        <w:tc>
          <w:tcPr>
            <w:tcW w:type="dxa" w:w="1584"/>
          </w:tcPr>
          <w:p>
            <w:pPr>
              <w:spacing w:after="20" w:before="20"/>
              <w:jc w:val="right"/>
            </w:pPr>
            <w:r>
              <w:rPr>
                <w:rFonts w:ascii="Calibri" w:hAnsi="Calibri"/>
                <w:color w:val="222A28"/>
                <w:sz w:val="17"/>
              </w:rPr>
              <w:t>10.14</w:t>
            </w:r>
          </w:p>
        </w:tc>
        <w:tc>
          <w:tcPr>
            <w:tcW w:type="dxa" w:w="1584"/>
          </w:tcPr>
          <w:p>
            <w:pPr>
              <w:spacing w:after="20" w:before="20"/>
              <w:jc w:val="right"/>
            </w:pPr>
            <w:r>
              <w:rPr>
                <w:rFonts w:ascii="Calibri" w:hAnsi="Calibri"/>
                <w:color w:val="222A28"/>
                <w:sz w:val="17"/>
              </w:rPr>
              <w:t>11.29</w:t>
            </w:r>
          </w:p>
        </w:tc>
      </w:tr>
      <w:tr>
        <w:tc>
          <w:tcPr>
            <w:tcW w:type="dxa" w:w="3744"/>
          </w:tcPr>
          <w:p>
            <w:pPr>
              <w:spacing w:after="20" w:before="20"/>
            </w:pPr>
            <w:r>
              <w:rPr>
                <w:rFonts w:ascii="Calibri" w:hAnsi="Calibri"/>
                <w:color w:val="222A28"/>
                <w:sz w:val="17"/>
              </w:rPr>
              <w:t>Consolidated DCF</w:t>
            </w:r>
          </w:p>
        </w:tc>
        <w:tc>
          <w:tcPr>
            <w:tcW w:type="dxa" w:w="1440"/>
          </w:tcPr>
          <w:p>
            <w:pPr>
              <w:spacing w:after="20" w:before="20"/>
              <w:jc w:val="right"/>
            </w:pPr>
            <w:r>
              <w:rPr>
                <w:rFonts w:ascii="Calibri" w:hAnsi="Calibri"/>
                <w:color w:val="222A28"/>
                <w:sz w:val="17"/>
              </w:rPr>
              <w:t>25%</w:t>
            </w:r>
          </w:p>
        </w:tc>
        <w:tc>
          <w:tcPr>
            <w:tcW w:type="dxa" w:w="1584"/>
          </w:tcPr>
          <w:p>
            <w:pPr>
              <w:spacing w:after="20" w:before="20"/>
              <w:jc w:val="right"/>
            </w:pPr>
            <w:r>
              <w:rPr>
                <w:rFonts w:ascii="Calibri" w:hAnsi="Calibri"/>
                <w:color w:val="222A28"/>
                <w:sz w:val="17"/>
              </w:rPr>
              <w:t>8.14</w:t>
            </w:r>
          </w:p>
        </w:tc>
        <w:tc>
          <w:tcPr>
            <w:tcW w:type="dxa" w:w="1584"/>
          </w:tcPr>
          <w:p>
            <w:pPr>
              <w:spacing w:after="20" w:before="20"/>
              <w:jc w:val="right"/>
            </w:pPr>
            <w:r>
              <w:rPr>
                <w:rFonts w:ascii="Calibri" w:hAnsi="Calibri"/>
                <w:color w:val="222A28"/>
                <w:sz w:val="17"/>
              </w:rPr>
              <w:t>9.81</w:t>
            </w:r>
          </w:p>
        </w:tc>
        <w:tc>
          <w:tcPr>
            <w:tcW w:type="dxa" w:w="1584"/>
          </w:tcPr>
          <w:p>
            <w:pPr>
              <w:spacing w:after="20" w:before="20"/>
              <w:jc w:val="right"/>
            </w:pPr>
            <w:r>
              <w:rPr>
                <w:rFonts w:ascii="Calibri" w:hAnsi="Calibri"/>
                <w:color w:val="222A28"/>
                <w:sz w:val="17"/>
              </w:rPr>
              <w:t>11.62</w:t>
            </w:r>
          </w:p>
        </w:tc>
      </w:tr>
      <w:tr>
        <w:tc>
          <w:tcPr>
            <w:tcW w:type="dxa" w:w="3744"/>
          </w:tcPr>
          <w:p>
            <w:pPr>
              <w:spacing w:after="20" w:before="20"/>
            </w:pPr>
            <w:r>
              <w:rPr>
                <w:rFonts w:ascii="Calibri" w:hAnsi="Calibri"/>
                <w:color w:val="222A28"/>
                <w:sz w:val="17"/>
              </w:rPr>
              <w:t>Relative multiples</w:t>
            </w:r>
          </w:p>
        </w:tc>
        <w:tc>
          <w:tcPr>
            <w:tcW w:type="dxa" w:w="1440"/>
          </w:tcPr>
          <w:p>
            <w:pPr>
              <w:spacing w:after="20" w:before="20"/>
              <w:jc w:val="right"/>
            </w:pPr>
            <w:r>
              <w:rPr>
                <w:rFonts w:ascii="Calibri" w:hAnsi="Calibri"/>
                <w:color w:val="222A28"/>
                <w:sz w:val="17"/>
              </w:rPr>
              <w:t>15%</w:t>
            </w:r>
          </w:p>
        </w:tc>
        <w:tc>
          <w:tcPr>
            <w:tcW w:type="dxa" w:w="1584"/>
          </w:tcPr>
          <w:p>
            <w:pPr>
              <w:spacing w:after="20" w:before="20"/>
              <w:jc w:val="right"/>
            </w:pPr>
            <w:r>
              <w:rPr>
                <w:rFonts w:ascii="Calibri" w:hAnsi="Calibri"/>
                <w:color w:val="222A28"/>
                <w:sz w:val="17"/>
              </w:rPr>
              <w:t>6.62</w:t>
            </w:r>
          </w:p>
        </w:tc>
        <w:tc>
          <w:tcPr>
            <w:tcW w:type="dxa" w:w="1584"/>
          </w:tcPr>
          <w:p>
            <w:pPr>
              <w:spacing w:after="20" w:before="20"/>
              <w:jc w:val="right"/>
            </w:pPr>
            <w:r>
              <w:rPr>
                <w:rFonts w:ascii="Calibri" w:hAnsi="Calibri"/>
                <w:color w:val="222A28"/>
                <w:sz w:val="17"/>
              </w:rPr>
              <w:t>9.45</w:t>
            </w:r>
          </w:p>
        </w:tc>
        <w:tc>
          <w:tcPr>
            <w:tcW w:type="dxa" w:w="1584"/>
          </w:tcPr>
          <w:p>
            <w:pPr>
              <w:spacing w:after="20" w:before="20"/>
              <w:jc w:val="right"/>
            </w:pPr>
            <w:r>
              <w:rPr>
                <w:rFonts w:ascii="Calibri" w:hAnsi="Calibri"/>
                <w:color w:val="222A28"/>
                <w:sz w:val="17"/>
              </w:rPr>
              <w:t>12.13</w:t>
            </w:r>
          </w:p>
        </w:tc>
      </w:tr>
      <w:tr>
        <w:tc>
          <w:tcPr>
            <w:tcW w:type="dxa" w:w="3744"/>
          </w:tcPr>
          <w:p>
            <w:pPr>
              <w:spacing w:after="20" w:before="20"/>
            </w:pPr>
            <w:r>
              <w:rPr>
                <w:rFonts w:ascii="Calibri" w:hAnsi="Calibri"/>
                <w:color w:val="222A28"/>
                <w:sz w:val="17"/>
              </w:rPr>
              <w:t>SOTP — full execution</w:t>
            </w:r>
          </w:p>
        </w:tc>
        <w:tc>
          <w:tcPr>
            <w:tcW w:type="dxa" w:w="1440"/>
          </w:tcPr>
          <w:p>
            <w:pPr>
              <w:spacing w:after="20" w:before="20"/>
              <w:jc w:val="right"/>
            </w:pPr>
            <w:r>
              <w:rPr>
                <w:rFonts w:ascii="Calibri" w:hAnsi="Calibri"/>
                <w:color w:val="222A28"/>
                <w:sz w:val="17"/>
              </w:rPr>
              <w:t>20%</w:t>
            </w:r>
          </w:p>
        </w:tc>
        <w:tc>
          <w:tcPr>
            <w:tcW w:type="dxa" w:w="1584"/>
          </w:tcPr>
          <w:p>
            <w:pPr>
              <w:spacing w:after="20" w:before="20"/>
              <w:jc w:val="right"/>
            </w:pPr>
            <w:r>
              <w:rPr>
                <w:rFonts w:ascii="Calibri" w:hAnsi="Calibri"/>
                <w:color w:val="222A28"/>
                <w:sz w:val="17"/>
              </w:rPr>
              <w:t>10.14</w:t>
            </w:r>
          </w:p>
        </w:tc>
        <w:tc>
          <w:tcPr>
            <w:tcW w:type="dxa" w:w="1584"/>
          </w:tcPr>
          <w:p>
            <w:pPr>
              <w:spacing w:after="20" w:before="20"/>
              <w:jc w:val="right"/>
            </w:pPr>
            <w:r>
              <w:rPr>
                <w:rFonts w:ascii="Calibri" w:hAnsi="Calibri"/>
                <w:color w:val="222A28"/>
                <w:sz w:val="17"/>
              </w:rPr>
              <w:t>11.29</w:t>
            </w:r>
          </w:p>
        </w:tc>
        <w:tc>
          <w:tcPr>
            <w:tcW w:type="dxa" w:w="1584"/>
          </w:tcPr>
          <w:p>
            <w:pPr>
              <w:spacing w:after="20" w:before="20"/>
              <w:jc w:val="right"/>
            </w:pPr>
            <w:r>
              <w:rPr>
                <w:rFonts w:ascii="Calibri" w:hAnsi="Calibri"/>
                <w:color w:val="222A28"/>
                <w:sz w:val="17"/>
              </w:rPr>
              <w:t>12.64</w:t>
            </w:r>
          </w:p>
        </w:tc>
      </w:tr>
      <w:tr>
        <w:tc>
          <w:tcPr>
            <w:tcW w:type="dxa" w:w="3744"/>
            <w:shd w:val="clear" w:color="auto" w:fill="E7EDEB"/>
          </w:tcPr>
          <w:p>
            <w:pPr>
              <w:spacing w:after="20" w:before="20"/>
            </w:pPr>
            <w:r>
              <w:rPr>
                <w:rFonts w:ascii="Calibri" w:hAnsi="Calibri"/>
                <w:b/>
                <w:color w:val="1C3A36"/>
                <w:sz w:val="17"/>
              </w:rPr>
              <w:t>Weighted central</w:t>
            </w:r>
          </w:p>
        </w:tc>
        <w:tc>
          <w:tcPr>
            <w:tcW w:type="dxa" w:w="1440"/>
            <w:shd w:val="clear" w:color="auto" w:fill="E7EDEB"/>
          </w:tcPr>
          <w:p>
            <w:pPr>
              <w:spacing w:after="20" w:before="20"/>
              <w:jc w:val="right"/>
            </w:pPr>
            <w:r>
              <w:rPr>
                <w:rFonts w:ascii="Calibri" w:hAnsi="Calibri"/>
                <w:b/>
                <w:color w:val="1C3A36"/>
                <w:sz w:val="17"/>
              </w:rPr>
            </w:r>
          </w:p>
        </w:tc>
        <w:tc>
          <w:tcPr>
            <w:tcW w:type="dxa" w:w="1584"/>
            <w:shd w:val="clear" w:color="auto" w:fill="E7EDEB"/>
          </w:tcPr>
          <w:p>
            <w:pPr>
              <w:spacing w:after="20" w:before="20"/>
              <w:jc w:val="right"/>
            </w:pPr>
            <w:r>
              <w:rPr>
                <w:rFonts w:ascii="Calibri" w:hAnsi="Calibri"/>
                <w:b/>
                <w:color w:val="1C3A36"/>
                <w:sz w:val="17"/>
              </w:rPr>
              <w:t>7.95</w:t>
            </w:r>
          </w:p>
        </w:tc>
        <w:tc>
          <w:tcPr>
            <w:tcW w:type="dxa" w:w="1584"/>
            <w:shd w:val="clear" w:color="auto" w:fill="E7EDEB"/>
          </w:tcPr>
          <w:p>
            <w:pPr>
              <w:spacing w:after="20" w:before="20"/>
              <w:jc w:val="right"/>
            </w:pPr>
            <w:r>
              <w:rPr>
                <w:rFonts w:ascii="Calibri" w:hAnsi="Calibri"/>
                <w:b/>
                <w:color w:val="1C3A36"/>
                <w:sz w:val="17"/>
              </w:rPr>
              <w:t>10.18</w:t>
            </w:r>
          </w:p>
        </w:tc>
        <w:tc>
          <w:tcPr>
            <w:tcW w:type="dxa" w:w="1584"/>
            <w:shd w:val="clear" w:color="auto" w:fill="E7EDEB"/>
          </w:tcPr>
          <w:p>
            <w:pPr>
              <w:spacing w:after="20" w:before="20"/>
              <w:jc w:val="right"/>
            </w:pPr>
            <w:r>
              <w:rPr>
                <w:rFonts w:ascii="Calibri" w:hAnsi="Calibri"/>
                <w:b/>
                <w:color w:val="1C3A36"/>
                <w:sz w:val="17"/>
              </w:rPr>
              <w:t>11.77</w:t>
            </w:r>
          </w:p>
        </w:tc>
      </w:tr>
    </w:tbl>
    <w:p>
      <w:pPr>
        <w:spacing w:after="40"/>
      </w:pPr>
    </w:p>
    <w:p>
      <w:pPr>
        <w:jc w:val="center"/>
      </w:pPr>
      <w:r>
        <w:drawing>
          <wp:inline xmlns:a="http://schemas.openxmlformats.org/drawingml/2006/main" xmlns:pic="http://schemas.openxmlformats.org/drawingml/2006/picture">
            <wp:extent cx="5486400" cy="2648280"/>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486400" cy="2648280"/>
                    </a:xfrm>
                    <a:prstGeom prst="rect"/>
                  </pic:spPr>
                </pic:pic>
              </a:graphicData>
            </a:graphic>
          </wp:inline>
        </w:drawing>
      </w:r>
    </w:p>
    <w:p>
      <w:pPr>
        <w:spacing w:after="160" w:before="0"/>
        <w:jc w:val="center"/>
      </w:pPr>
      <w:r>
        <w:rPr>
          <w:rFonts w:ascii="Calibri" w:hAnsi="Calibri"/>
          <w:b w:val="0"/>
          <w:i/>
          <w:color w:val="5B6B67"/>
          <w:sz w:val="16"/>
        </w:rPr>
        <w:t>Figure 1 — Valuation football field. Bars span bear–bull per lens; the brass diamond is each base case; the gold band is the blended central range; the dark dashed line is spot.</w:t>
      </w:r>
    </w:p>
    <w:p>
      <w:pPr>
        <w:spacing w:after="120" w:before="0"/>
      </w:pPr>
      <w:r>
        <w:rPr>
          <w:rFonts w:ascii="Calibri" w:hAnsi="Calibri"/>
          <w:b/>
          <w:i w:val="0"/>
          <w:color w:val="222A28"/>
          <w:sz w:val="20"/>
        </w:rPr>
        <w:t>Central fair value ≈ AED 10.18/share</w:t>
      </w:r>
      <w:r>
        <w:rPr>
          <w:rFonts w:ascii="Calibri" w:hAnsi="Calibri"/>
          <w:b w:val="0"/>
          <w:i w:val="0"/>
          <w:color w:val="222A28"/>
          <w:sz w:val="20"/>
        </w:rPr>
        <w:t>, about 23% above spot. The spread of the lenses (AED 9.81 to 11.29 at base) is itself the message: this is not a deep-value or an expensive name, but a quality developer-landlord trading at a discount to a defensible asset value, whose re-rating depends on the market crediting more of the development franchise and/or a firmer recurring cap rate.</w:t>
      </w:r>
    </w:p>
    <w:p>
      <w:pPr>
        <w:spacing w:before="200" w:after="80"/>
      </w:pPr>
      <w:r>
        <w:rPr>
          <w:rFonts w:ascii="Calibri" w:hAnsi="Calibri"/>
          <w:b/>
          <w:color w:val="896F36"/>
          <w:sz w:val="24"/>
        </w:rPr>
        <w:t>1.6  The two platforms — a deeper look</w:t>
      </w:r>
    </w:p>
    <w:p>
      <w:pPr>
        <w:spacing w:after="80" w:before="0"/>
      </w:pPr>
      <w:r>
        <w:rPr>
          <w:rFonts w:ascii="Calibri" w:hAnsi="Calibri"/>
          <w:b/>
          <w:i w:val="0"/>
          <w:color w:val="222A28"/>
          <w:sz w:val="20"/>
        </w:rPr>
        <w:t>Aldar Development</w:t>
      </w:r>
      <w:r>
        <w:rPr>
          <w:rFonts w:ascii="Calibri" w:hAnsi="Calibri"/>
          <w:b w:val="0"/>
          <w:i w:val="0"/>
          <w:color w:val="222A28"/>
          <w:sz w:val="20"/>
        </w:rPr>
        <w:t xml:space="preserve"> (FY2025: revenue AED 24.8bn, EBITDA AED 7.2bn, backlog AED 71.7bn) is the region's largest sales franchise — record group sales of AED 40.6bn, a landbank replenished faster than it is consumed, and international optionality through SODIC (Egypt) and London Square (UK). </w:t>
      </w:r>
      <w:r>
        <w:rPr>
          <w:rFonts w:ascii="Calibri" w:hAnsi="Calibri"/>
          <w:b/>
          <w:i w:val="0"/>
          <w:color w:val="222A28"/>
          <w:sz w:val="20"/>
        </w:rPr>
        <w:t>Aldar Investment</w:t>
      </w:r>
      <w:r>
        <w:rPr>
          <w:rFonts w:ascii="Calibri" w:hAnsi="Calibri"/>
          <w:b w:val="0"/>
          <w:i w:val="0"/>
          <w:color w:val="222A28"/>
          <w:sz w:val="20"/>
        </w:rPr>
        <w:t xml:space="preserve"> (FY2025: adjusted EBITDA AED 3.2bn on a ~AED 52bn asset base, 96% occupancy) is the ballast: Investment Properties (commercial, retail, residential, industrial-and-logistics), Hospitality &amp; Leisure, Education and the asset-light Estates fee business. The table scores each leg on the axes that matter.</w:t>
      </w:r>
    </w:p>
    <w:tbl>
      <w:tblPr>
        <w:tblStyle w:val="TableGrid"/>
        <w:tblW w:type="auto" w:w="0"/>
        <w:jc w:val="center"/>
        <w:tblLook w:firstColumn="1" w:firstRow="1" w:lastColumn="0" w:lastRow="0" w:noHBand="0" w:noVBand="1" w:val="04A0"/>
        <w:tblLayout w:type="fixed"/>
      </w:tblPr>
      <w:tblGrid>
        <w:gridCol w:w="1987"/>
        <w:gridCol w:w="1987"/>
        <w:gridCol w:w="1987"/>
        <w:gridCol w:w="1987"/>
        <w:gridCol w:w="1987"/>
      </w:tblGrid>
      <w:tr>
        <w:tc>
          <w:tcPr>
            <w:tcW w:type="dxa" w:w="2160"/>
            <w:shd w:val="clear" w:color="auto" w:fill="1C3A36"/>
          </w:tcPr>
          <w:p>
            <w:pPr>
              <w:spacing w:after="20" w:before="20"/>
            </w:pPr>
            <w:r>
              <w:rPr>
                <w:rFonts w:ascii="Calibri" w:hAnsi="Calibri"/>
                <w:b/>
                <w:color w:val="FFFFFF"/>
                <w:sz w:val="16"/>
              </w:rPr>
              <w:t>Leg</w:t>
            </w:r>
          </w:p>
        </w:tc>
        <w:tc>
          <w:tcPr>
            <w:tcW w:type="dxa" w:w="2880"/>
            <w:shd w:val="clear" w:color="auto" w:fill="1C3A36"/>
          </w:tcPr>
          <w:p>
            <w:pPr>
              <w:spacing w:after="20" w:before="20"/>
            </w:pPr>
            <w:r>
              <w:rPr>
                <w:rFonts w:ascii="Calibri" w:hAnsi="Calibri"/>
                <w:b/>
                <w:color w:val="FFFFFF"/>
                <w:sz w:val="16"/>
              </w:rPr>
              <w:t>Cyclicality</w:t>
            </w:r>
          </w:p>
        </w:tc>
        <w:tc>
          <w:tcPr>
            <w:tcW w:type="dxa" w:w="2304"/>
            <w:shd w:val="clear" w:color="auto" w:fill="1C3A36"/>
          </w:tcPr>
          <w:p>
            <w:pPr>
              <w:spacing w:after="20" w:before="20"/>
            </w:pPr>
            <w:r>
              <w:rPr>
                <w:rFonts w:ascii="Calibri" w:hAnsi="Calibri"/>
                <w:b/>
                <w:color w:val="FFFFFF"/>
                <w:sz w:val="16"/>
              </w:rPr>
              <w:t>Margin trend</w:t>
            </w:r>
          </w:p>
        </w:tc>
        <w:tc>
          <w:tcPr>
            <w:tcW w:type="dxa" w:w="1872"/>
            <w:shd w:val="clear" w:color="auto" w:fill="1C3A36"/>
          </w:tcPr>
          <w:p>
            <w:pPr>
              <w:spacing w:after="20" w:before="20"/>
            </w:pPr>
            <w:r>
              <w:rPr>
                <w:rFonts w:ascii="Calibri" w:hAnsi="Calibri"/>
                <w:b/>
                <w:color w:val="FFFFFF"/>
                <w:sz w:val="16"/>
              </w:rPr>
              <w:t>Capital intensity</w:t>
            </w:r>
          </w:p>
        </w:tc>
        <w:tc>
          <w:tcPr>
            <w:tcW w:type="dxa" w:w="2016"/>
            <w:shd w:val="clear" w:color="auto" w:fill="1C3A36"/>
          </w:tcPr>
          <w:p>
            <w:pPr>
              <w:spacing w:after="20" w:before="20"/>
            </w:pPr>
            <w:r>
              <w:rPr>
                <w:rFonts w:ascii="Calibri" w:hAnsi="Calibri"/>
                <w:b/>
                <w:color w:val="FFFFFF"/>
                <w:sz w:val="16"/>
              </w:rPr>
              <w:t>Swing role</w:t>
            </w:r>
          </w:p>
        </w:tc>
      </w:tr>
      <w:tr>
        <w:tc>
          <w:tcPr>
            <w:tcW w:type="dxa" w:w="2160"/>
          </w:tcPr>
          <w:p>
            <w:pPr>
              <w:spacing w:after="20" w:before="20"/>
            </w:pPr>
            <w:r>
              <w:rPr>
                <w:rFonts w:ascii="Calibri" w:hAnsi="Calibri"/>
                <w:color w:val="222A28"/>
                <w:sz w:val="16"/>
              </w:rPr>
              <w:t>Aldar Development</w:t>
            </w:r>
          </w:p>
        </w:tc>
        <w:tc>
          <w:tcPr>
            <w:tcW w:type="dxa" w:w="2880"/>
          </w:tcPr>
          <w:p>
            <w:pPr>
              <w:spacing w:after="20" w:before="20"/>
            </w:pPr>
            <w:r>
              <w:rPr>
                <w:rFonts w:ascii="Calibri" w:hAnsi="Calibri"/>
                <w:color w:val="222A28"/>
                <w:sz w:val="16"/>
              </w:rPr>
              <w:t>High (launch timing, off-plan demand)</w:t>
            </w:r>
          </w:p>
        </w:tc>
        <w:tc>
          <w:tcPr>
            <w:tcW w:type="dxa" w:w="2304"/>
          </w:tcPr>
          <w:p>
            <w:pPr>
              <w:spacing w:after="20" w:before="20"/>
            </w:pPr>
            <w:r>
              <w:rPr>
                <w:rFonts w:ascii="Calibri" w:hAnsi="Calibri"/>
                <w:color w:val="222A28"/>
                <w:sz w:val="16"/>
              </w:rPr>
              <w:t>Peak-ish (~29% EBITDA)</w:t>
            </w:r>
          </w:p>
        </w:tc>
        <w:tc>
          <w:tcPr>
            <w:tcW w:type="dxa" w:w="1872"/>
          </w:tcPr>
          <w:p>
            <w:pPr>
              <w:spacing w:after="20" w:before="20"/>
            </w:pPr>
            <w:r>
              <w:rPr>
                <w:rFonts w:ascii="Calibri" w:hAnsi="Calibri"/>
                <w:color w:val="222A28"/>
                <w:sz w:val="16"/>
              </w:rPr>
              <w:t>Moderate (land + build)</w:t>
            </w:r>
          </w:p>
        </w:tc>
        <w:tc>
          <w:tcPr>
            <w:tcW w:type="dxa" w:w="2016"/>
          </w:tcPr>
          <w:p>
            <w:pPr>
              <w:spacing w:after="20" w:before="20"/>
            </w:pPr>
            <w:r>
              <w:rPr>
                <w:rFonts w:ascii="Calibri" w:hAnsi="Calibri"/>
                <w:color w:val="222A28"/>
                <w:sz w:val="16"/>
              </w:rPr>
              <w:t>Dominant swing</w:t>
            </w:r>
          </w:p>
        </w:tc>
      </w:tr>
      <w:tr>
        <w:tc>
          <w:tcPr>
            <w:tcW w:type="dxa" w:w="2160"/>
          </w:tcPr>
          <w:p>
            <w:pPr>
              <w:spacing w:after="20" w:before="20"/>
            </w:pPr>
            <w:r>
              <w:rPr>
                <w:rFonts w:ascii="Calibri" w:hAnsi="Calibri"/>
                <w:color w:val="222A28"/>
                <w:sz w:val="16"/>
              </w:rPr>
              <w:t>Aldar Investment</w:t>
            </w:r>
          </w:p>
        </w:tc>
        <w:tc>
          <w:tcPr>
            <w:tcW w:type="dxa" w:w="2880"/>
          </w:tcPr>
          <w:p>
            <w:pPr>
              <w:spacing w:after="20" w:before="20"/>
            </w:pPr>
            <w:r>
              <w:rPr>
                <w:rFonts w:ascii="Calibri" w:hAnsi="Calibri"/>
                <w:color w:val="222A28"/>
                <w:sz w:val="16"/>
              </w:rPr>
              <w:t>Low (long leases, 96% occ.)</w:t>
            </w:r>
          </w:p>
        </w:tc>
        <w:tc>
          <w:tcPr>
            <w:tcW w:type="dxa" w:w="2304"/>
          </w:tcPr>
          <w:p>
            <w:pPr>
              <w:spacing w:after="20" w:before="20"/>
            </w:pPr>
            <w:r>
              <w:rPr>
                <w:rFonts w:ascii="Calibri" w:hAnsi="Calibri"/>
                <w:color w:val="222A28"/>
                <w:sz w:val="16"/>
              </w:rPr>
              <w:t>Improving (rent + occupancy)</w:t>
            </w:r>
          </w:p>
        </w:tc>
        <w:tc>
          <w:tcPr>
            <w:tcW w:type="dxa" w:w="1872"/>
          </w:tcPr>
          <w:p>
            <w:pPr>
              <w:spacing w:after="20" w:before="20"/>
            </w:pPr>
            <w:r>
              <w:rPr>
                <w:rFonts w:ascii="Calibri" w:hAnsi="Calibri"/>
                <w:color w:val="222A28"/>
                <w:sz w:val="16"/>
              </w:rPr>
              <w:t>High (develop-to-hold)</w:t>
            </w:r>
          </w:p>
        </w:tc>
        <w:tc>
          <w:tcPr>
            <w:tcW w:type="dxa" w:w="2016"/>
          </w:tcPr>
          <w:p>
            <w:pPr>
              <w:spacing w:after="20" w:before="20"/>
            </w:pPr>
            <w:r>
              <w:rPr>
                <w:rFonts w:ascii="Calibri" w:hAnsi="Calibri"/>
                <w:color w:val="222A28"/>
                <w:sz w:val="16"/>
              </w:rPr>
              <w:t>Ballast / cap-rate re-rate</w:t>
            </w:r>
          </w:p>
        </w:tc>
      </w:tr>
    </w:tbl>
    <w:p>
      <w:pPr>
        <w:spacing w:after="40"/>
      </w:pPr>
    </w:p>
    <w:p>
      <w:pPr>
        <w:spacing w:after="120" w:before="0"/>
      </w:pPr>
      <w:r>
        <w:rPr>
          <w:rFonts w:ascii="Calibri" w:hAnsi="Calibri"/>
          <w:b w:val="0"/>
          <w:i/>
          <w:color w:val="5B6B67"/>
          <w:sz w:val="17"/>
        </w:rPr>
        <w:t>Sub-segment adjusted EBITDA (Q1 2026 run-rate): Investment Properties AED 632m (Commercial 235, Retail 228, Industrial &amp; Logistics 43), Hospitality &amp; Leisure 98, Education 67, Estates 87 — a diversified, largely contractual recurring base that a pure-developer frame under-credits.</w:t>
      </w:r>
    </w:p>
    <w:p>
      <w:pPr>
        <w:spacing w:before="200" w:after="80"/>
      </w:pPr>
      <w:r>
        <w:rPr>
          <w:rFonts w:ascii="Calibri" w:hAnsi="Calibri"/>
          <w:b/>
          <w:color w:val="896F36"/>
          <w:sz w:val="24"/>
        </w:rPr>
        <w:t>1.7  The crux — development-franchise value and the recurring cap rate</w:t>
      </w:r>
    </w:p>
    <w:p>
      <w:pPr>
        <w:spacing w:after="80" w:before="0"/>
      </w:pPr>
      <w:r>
        <w:rPr>
          <w:rFonts w:ascii="Calibri" w:hAnsi="Calibri"/>
          <w:b w:val="0"/>
          <w:i w:val="0"/>
          <w:color w:val="222A28"/>
          <w:sz w:val="20"/>
        </w:rPr>
        <w:t xml:space="preserve">Two judgments drive the valuation more than any other, and we sensitise each in real, observable units rather than an abstract margin. </w:t>
      </w:r>
      <w:r>
        <w:rPr>
          <w:rFonts w:ascii="Calibri" w:hAnsi="Calibri"/>
          <w:b/>
          <w:i w:val="0"/>
          <w:color w:val="222A28"/>
          <w:sz w:val="20"/>
        </w:rPr>
        <w:t xml:space="preserve">First, the development free-cash stream. </w:t>
      </w:r>
      <w:r>
        <w:rPr>
          <w:rFonts w:ascii="Calibri" w:hAnsi="Calibri"/>
          <w:b w:val="0"/>
          <w:i w:val="0"/>
          <w:color w:val="222A28"/>
          <w:sz w:val="20"/>
        </w:rPr>
        <w:t xml:space="preserve">It is built bottom-up from the disclosed backlog conversion and a normalised, fading launch programme (the full FCFF waterfall is in §1.2); the swing is the development EBITDA level — a proxy for absorption velocity × realised margin — and the discount rate, dissected in the SOTP grid at §1.9. </w:t>
      </w:r>
      <w:r>
        <w:rPr>
          <w:rFonts w:ascii="Calibri" w:hAnsi="Calibri"/>
          <w:b/>
          <w:i w:val="0"/>
          <w:color w:val="222A28"/>
          <w:sz w:val="20"/>
        </w:rPr>
        <w:t xml:space="preserve">Second, the recurring cap rate. </w:t>
      </w:r>
      <w:r>
        <w:rPr>
          <w:rFonts w:ascii="Calibri" w:hAnsi="Calibri"/>
          <w:b w:val="0"/>
          <w:i w:val="0"/>
          <w:color w:val="222A28"/>
          <w:sz w:val="20"/>
        </w:rPr>
        <w:t xml:space="preserve">The AED 52bn platform is marked at an implied ~6.2% gross yield; every 25bp of cap-rate compression or expansion moves the recurring leg by roughly AED 0.25/share. </w:t>
      </w:r>
      <w:r>
        <w:rPr>
          <w:rFonts w:ascii="Calibri" w:hAnsi="Calibri"/>
          <w:b/>
          <w:i w:val="0"/>
          <w:color w:val="222A28"/>
          <w:sz w:val="20"/>
        </w:rPr>
        <w:t xml:space="preserve">Third, the DCF terminal. </w:t>
      </w:r>
      <w:r>
        <w:rPr>
          <w:rFonts w:ascii="Calibri" w:hAnsi="Calibri"/>
          <w:b w:val="0"/>
          <w:i w:val="0"/>
          <w:color w:val="222A28"/>
          <w:sz w:val="20"/>
        </w:rPr>
        <w:t>Because the going-concern DCF (§1.2) capitalises the terminal on an exit EV/EBITDA multiple, its swing is that multiple against the discount rate — the grid below re-prices the DCF from the low-8s (high WACC, 5.0× exit) to the mid-11s (low WACC, 7.0× exit), with the base at AED 9.81.</w:t>
      </w:r>
    </w:p>
    <w:p>
      <w:pPr>
        <w:jc w:val="center"/>
      </w:pPr>
      <w:r>
        <w:drawing>
          <wp:inline xmlns:a="http://schemas.openxmlformats.org/drawingml/2006/main" xmlns:pic="http://schemas.openxmlformats.org/drawingml/2006/picture">
            <wp:extent cx="5303520" cy="2926920"/>
            <wp:docPr id="2" name="Picture 2"/>
            <wp:cNvGraphicFramePr>
              <a:graphicFrameLocks noChangeAspect="1"/>
            </wp:cNvGraphicFramePr>
            <a:graphic>
              <a:graphicData uri="http://schemas.openxmlformats.org/drawingml/2006/picture">
                <pic:pic>
                  <pic:nvPicPr>
                    <pic:cNvPr id="0" name="fig7_dcf_sens.png"/>
                    <pic:cNvPicPr/>
                  </pic:nvPicPr>
                  <pic:blipFill>
                    <a:blip r:embed="rId10"/>
                    <a:stretch>
                      <a:fillRect/>
                    </a:stretch>
                  </pic:blipFill>
                  <pic:spPr>
                    <a:xfrm>
                      <a:off x="0" y="0"/>
                      <a:ext cx="5303520" cy="2926920"/>
                    </a:xfrm>
                    <a:prstGeom prst="rect"/>
                  </pic:spPr>
                </pic:pic>
              </a:graphicData>
            </a:graphic>
          </wp:inline>
        </w:drawing>
      </w:r>
    </w:p>
    <w:p>
      <w:pPr>
        <w:spacing w:after="160" w:before="0"/>
        <w:jc w:val="center"/>
      </w:pPr>
      <w:r>
        <w:rPr>
          <w:rFonts w:ascii="Calibri" w:hAnsi="Calibri"/>
          <w:b w:val="0"/>
          <w:i/>
          <w:color w:val="5B6B67"/>
          <w:sz w:val="16"/>
        </w:rPr>
        <w:t>Figure 7 — Consolidated DCF sensitivity (AED/share): WACC × exit EV/EBITDA multiple. Ke is published as rf + ERP (§1.1); the terminal is an exit multiple anchored to Aldar's own current ~6.6×, not a Gordon perpetuity.</w:t>
      </w:r>
    </w:p>
    <w:p>
      <w:pPr>
        <w:spacing w:before="200" w:after="80"/>
      </w:pPr>
      <w:r>
        <w:rPr>
          <w:rFonts w:ascii="Calibri" w:hAnsi="Calibri"/>
          <w:b/>
          <w:color w:val="896F36"/>
          <w:sz w:val="24"/>
        </w:rPr>
        <w:t>1.8  Macro and country — the UAE, oil, rates and regional security</w:t>
      </w:r>
    </w:p>
    <w:p>
      <w:pPr>
        <w:spacing w:after="120" w:before="0"/>
      </w:pPr>
      <w:r>
        <w:rPr>
          <w:rFonts w:ascii="Calibri" w:hAnsi="Calibri"/>
          <w:b w:val="0"/>
          <w:i w:val="0"/>
          <w:color w:val="222A28"/>
          <w:sz w:val="20"/>
        </w:rPr>
        <w:t xml:space="preserve">Aldar is an Abu Dhabi cyclical with three external levers. </w:t>
      </w:r>
      <w:r>
        <w:rPr>
          <w:rFonts w:ascii="Calibri" w:hAnsi="Calibri"/>
          <w:b/>
          <w:i w:val="0"/>
          <w:color w:val="222A28"/>
          <w:sz w:val="20"/>
        </w:rPr>
        <w:t>The dirham peg to the US dollar</w:t>
      </w:r>
      <w:r>
        <w:rPr>
          <w:rFonts w:ascii="Calibri" w:hAnsi="Calibri"/>
          <w:b w:val="0"/>
          <w:i w:val="0"/>
          <w:color w:val="222A28"/>
          <w:sz w:val="20"/>
        </w:rPr>
        <w:t xml:space="preserve"> means UAE policy rates track the Fed; a lower-rate path supports both mortgage-driven demand and the recurring platform's cap rate, while the peg mutes the FX translation risk that dominates emerging-market developers. </w:t>
      </w:r>
      <w:r>
        <w:rPr>
          <w:rFonts w:ascii="Calibri" w:hAnsi="Calibri"/>
          <w:b/>
          <w:i w:val="0"/>
          <w:color w:val="222A28"/>
          <w:sz w:val="20"/>
        </w:rPr>
        <w:t>Oil and Abu Dhabi's fiscal position</w:t>
      </w:r>
      <w:r>
        <w:rPr>
          <w:rFonts w:ascii="Calibri" w:hAnsi="Calibri"/>
          <w:b w:val="0"/>
          <w:i w:val="0"/>
          <w:color w:val="222A28"/>
          <w:sz w:val="20"/>
        </w:rPr>
        <w:t xml:space="preserve"> set the liquidity backdrop — sovereign and quasi-sovereign flows, population growth and prime-buyer purchasing power. </w:t>
      </w:r>
      <w:r>
        <w:rPr>
          <w:rFonts w:ascii="Calibri" w:hAnsi="Calibri"/>
          <w:b/>
          <w:i w:val="0"/>
          <w:color w:val="222A28"/>
          <w:sz w:val="20"/>
        </w:rPr>
        <w:t>Regional security</w:t>
      </w:r>
      <w:r>
        <w:rPr>
          <w:rFonts w:ascii="Calibri" w:hAnsi="Calibri"/>
          <w:b w:val="0"/>
          <w:i w:val="0"/>
          <w:color w:val="222A28"/>
          <w:sz w:val="20"/>
        </w:rPr>
        <w:t xml:space="preserve"> is the tail: the stock fell roughly 18% into the low-8s on the mid-2026 Strait-of-Hormuz tensions, a clean illustration of the risk-premium shock that anchors the left tail of the Monte Carlo. These levers are the swing factors behind the bear and bull cases in §1.5 and the catalysts in §5.</w:t>
      </w:r>
    </w:p>
    <w:p>
      <w:pPr>
        <w:spacing w:before="200" w:after="80"/>
      </w:pPr>
      <w:r>
        <w:rPr>
          <w:rFonts w:ascii="Calibri" w:hAnsi="Calibri"/>
          <w:b/>
          <w:color w:val="896F36"/>
          <w:sz w:val="24"/>
        </w:rPr>
        <w:t>1.9  SOTP sensitivity — the development swing</w:t>
      </w:r>
    </w:p>
    <w:p>
      <w:pPr>
        <w:spacing w:after="80" w:before="0"/>
      </w:pPr>
      <w:r>
        <w:rPr>
          <w:rFonts w:ascii="Calibri" w:hAnsi="Calibri"/>
          <w:b w:val="0"/>
          <w:i w:val="0"/>
          <w:color w:val="222A28"/>
          <w:sz w:val="19"/>
        </w:rPr>
        <w:t>Holding the recurring platform at its marked GAV, the grid re-prices the SOTP across the development discount rate and the development EBITDA level. The value runs from the low-8s (high WACC / lower EBITDA) to the low-12s (low WACC / higher EBITDA).</w:t>
      </w:r>
    </w:p>
    <w:p>
      <w:pPr>
        <w:jc w:val="center"/>
      </w:pPr>
      <w:r>
        <w:drawing>
          <wp:inline xmlns:a="http://schemas.openxmlformats.org/drawingml/2006/main" xmlns:pic="http://schemas.openxmlformats.org/drawingml/2006/picture">
            <wp:extent cx="5120640" cy="2854828"/>
            <wp:docPr id="3" name="Picture 3"/>
            <wp:cNvGraphicFramePr>
              <a:graphicFrameLocks noChangeAspect="1"/>
            </wp:cNvGraphicFramePr>
            <a:graphic>
              <a:graphicData uri="http://schemas.openxmlformats.org/drawingml/2006/picture">
                <pic:pic>
                  <pic:nvPicPr>
                    <pic:cNvPr id="0" name="fig2_sotp_sens.png"/>
                    <pic:cNvPicPr/>
                  </pic:nvPicPr>
                  <pic:blipFill>
                    <a:blip r:embed="rId11"/>
                    <a:stretch>
                      <a:fillRect/>
                    </a:stretch>
                  </pic:blipFill>
                  <pic:spPr>
                    <a:xfrm>
                      <a:off x="0" y="0"/>
                      <a:ext cx="5120640" cy="2854828"/>
                    </a:xfrm>
                    <a:prstGeom prst="rect"/>
                  </pic:spPr>
                </pic:pic>
              </a:graphicData>
            </a:graphic>
          </wp:inline>
        </w:drawing>
      </w:r>
    </w:p>
    <w:p>
      <w:pPr>
        <w:spacing w:after="160" w:before="0"/>
        <w:jc w:val="center"/>
      </w:pPr>
      <w:r>
        <w:rPr>
          <w:rFonts w:ascii="Calibri" w:hAnsi="Calibri"/>
          <w:b w:val="0"/>
          <w:i/>
          <w:color w:val="5B6B67"/>
          <w:sz w:val="16"/>
        </w:rPr>
        <w:t>Figure 2 — SOTP sensitivity to the development swing inputs (AED/share, split-legs).</w:t>
      </w:r>
    </w:p>
    <w:p>
      <w:pPr>
        <w:spacing w:after="120" w:before="0"/>
      </w:pPr>
      <w:r>
        <w:rPr>
          <w:rFonts w:ascii="Calibri" w:hAnsi="Calibri"/>
          <w:b w:val="0"/>
          <w:i/>
          <w:color w:val="5B6B67"/>
          <w:sz w:val="17"/>
        </w:rPr>
        <w:t>Read it as the bet you are taking: the market price is consistent with a development EBITDA roughly AED 0.6–1.2bn below our base at a ~9–9.5% discount — i.e. the market credits only part of the replenishing franchise, and none of a recurring re-rating.</w:t>
      </w:r>
    </w:p>
    <w:p>
      <w:pPr>
        <w:spacing w:before="280" w:after="120"/>
        <w:pBdr>
          <w:bottom w:val="single" w:sz="6" w:space="2" w:color="C0A45F"/>
        </w:pBdr>
      </w:pPr>
      <w:r>
        <w:rPr>
          <w:rFonts w:ascii="Calibri" w:hAnsi="Calibri"/>
          <w:b/>
          <w:color w:val="1C3A36"/>
          <w:sz w:val="30"/>
        </w:rPr>
        <w:t>2  Technical and price structure</w:t>
      </w:r>
    </w:p>
    <w:p>
      <w:pPr>
        <w:spacing w:after="80" w:before="0"/>
      </w:pPr>
      <w:r>
        <w:rPr>
          <w:rFonts w:ascii="Calibri" w:hAnsi="Calibri"/>
          <w:b w:val="0"/>
          <w:i w:val="0"/>
          <w:color w:val="222A28"/>
          <w:sz w:val="20"/>
        </w:rPr>
        <w:t>The tape is two-sided and mid-recovery. Aldar trades above its rising short-term averages but below the 100/150/200-day stack, which now caps the range after the round-trip from the AED 11.80 high to the AED 7.03 low. RSI is neutral at 53.5 and the MACD histogram has just rolled marginally negative — momentum flattening after a bounce, not a decisive break either way. The structure is a base: a corrective decline that has stabilised and is probing the underside of its longer-term moving-average band.</w:t>
      </w:r>
    </w:p>
    <w:tbl>
      <w:tblPr>
        <w:tblStyle w:val="TableGrid"/>
        <w:tblW w:type="auto" w:w="0"/>
        <w:jc w:val="center"/>
        <w:tblLook w:firstColumn="1" w:firstRow="1" w:lastColumn="0" w:lastRow="0" w:noHBand="0" w:noVBand="1" w:val="04A0"/>
        <w:tblLayout w:type="fixed"/>
      </w:tblPr>
      <w:tblGrid>
        <w:gridCol w:w="3312"/>
        <w:gridCol w:w="3312"/>
        <w:gridCol w:w="3312"/>
      </w:tblGrid>
      <w:tr>
        <w:tc>
          <w:tcPr>
            <w:tcW w:type="dxa" w:w="2736"/>
            <w:shd w:val="clear" w:color="auto" w:fill="1C3A36"/>
          </w:tcPr>
          <w:p>
            <w:pPr>
              <w:spacing w:after="20" w:before="20"/>
            </w:pPr>
            <w:r>
              <w:rPr>
                <w:rFonts w:ascii="Calibri" w:hAnsi="Calibri"/>
                <w:b/>
                <w:color w:val="FFFFFF"/>
                <w:sz w:val="16"/>
              </w:rPr>
              <w:t>Indicator</w:t>
            </w:r>
          </w:p>
        </w:tc>
        <w:tc>
          <w:tcPr>
            <w:tcW w:type="dxa" w:w="3456"/>
            <w:shd w:val="clear" w:color="auto" w:fill="1C3A36"/>
          </w:tcPr>
          <w:p>
            <w:pPr>
              <w:spacing w:after="20" w:before="20"/>
            </w:pPr>
            <w:r>
              <w:rPr>
                <w:rFonts w:ascii="Calibri" w:hAnsi="Calibri"/>
                <w:b/>
                <w:color w:val="FFFFFF"/>
                <w:sz w:val="16"/>
              </w:rPr>
              <w:t>Reading</w:t>
            </w:r>
          </w:p>
        </w:tc>
        <w:tc>
          <w:tcPr>
            <w:tcW w:type="dxa" w:w="3600"/>
            <w:shd w:val="clear" w:color="auto" w:fill="1C3A36"/>
          </w:tcPr>
          <w:p>
            <w:pPr>
              <w:spacing w:after="20" w:before="20"/>
            </w:pPr>
            <w:r>
              <w:rPr>
                <w:rFonts w:ascii="Calibri" w:hAnsi="Calibri"/>
                <w:b/>
                <w:color w:val="FFFFFF"/>
                <w:sz w:val="16"/>
              </w:rPr>
              <w:t>Signal</w:t>
            </w:r>
          </w:p>
        </w:tc>
      </w:tr>
      <w:tr>
        <w:tc>
          <w:tcPr>
            <w:tcW w:type="dxa" w:w="2736"/>
          </w:tcPr>
          <w:p>
            <w:pPr>
              <w:spacing w:after="20" w:before="20"/>
            </w:pPr>
            <w:r>
              <w:rPr>
                <w:rFonts w:ascii="Calibri" w:hAnsi="Calibri"/>
                <w:color w:val="222A28"/>
                <w:sz w:val="16"/>
              </w:rPr>
              <w:t>Spot</w:t>
            </w:r>
          </w:p>
        </w:tc>
        <w:tc>
          <w:tcPr>
            <w:tcW w:type="dxa" w:w="3456"/>
          </w:tcPr>
          <w:p>
            <w:pPr>
              <w:spacing w:after="20" w:before="20"/>
            </w:pPr>
            <w:r>
              <w:rPr>
                <w:rFonts w:ascii="Calibri" w:hAnsi="Calibri"/>
                <w:color w:val="222A28"/>
                <w:sz w:val="16"/>
              </w:rPr>
              <w:t>AED 8.30</w:t>
            </w:r>
          </w:p>
        </w:tc>
        <w:tc>
          <w:tcPr>
            <w:tcW w:type="dxa" w:w="3600"/>
          </w:tcPr>
          <w:p>
            <w:pPr>
              <w:spacing w:after="20" w:before="20"/>
            </w:pPr>
            <w:r>
              <w:rPr>
                <w:rFonts w:ascii="Calibri" w:hAnsi="Calibri"/>
                <w:color w:val="222A28"/>
                <w:sz w:val="16"/>
              </w:rPr>
              <w:t>—</w:t>
            </w:r>
          </w:p>
        </w:tc>
      </w:tr>
      <w:tr>
        <w:tc>
          <w:tcPr>
            <w:tcW w:type="dxa" w:w="2736"/>
          </w:tcPr>
          <w:p>
            <w:pPr>
              <w:spacing w:after="20" w:before="20"/>
            </w:pPr>
            <w:r>
              <w:rPr>
                <w:rFonts w:ascii="Calibri" w:hAnsi="Calibri"/>
                <w:color w:val="222A28"/>
                <w:sz w:val="16"/>
              </w:rPr>
              <w:t>SMA 20 / 50</w:t>
            </w:r>
          </w:p>
        </w:tc>
        <w:tc>
          <w:tcPr>
            <w:tcW w:type="dxa" w:w="3456"/>
          </w:tcPr>
          <w:p>
            <w:pPr>
              <w:spacing w:after="20" w:before="20"/>
            </w:pPr>
            <w:r>
              <w:rPr>
                <w:rFonts w:ascii="Calibri" w:hAnsi="Calibri"/>
                <w:color w:val="222A28"/>
                <w:sz w:val="16"/>
              </w:rPr>
              <w:t>AED 8.16 / 7.98</w:t>
            </w:r>
          </w:p>
        </w:tc>
        <w:tc>
          <w:tcPr>
            <w:tcW w:type="dxa" w:w="3600"/>
          </w:tcPr>
          <w:p>
            <w:pPr>
              <w:spacing w:after="20" w:before="20"/>
            </w:pPr>
            <w:r>
              <w:rPr>
                <w:rFonts w:ascii="Calibri" w:hAnsi="Calibri"/>
                <w:color w:val="222A28"/>
                <w:sz w:val="16"/>
              </w:rPr>
              <w:t>Above both — short-term up</w:t>
            </w:r>
          </w:p>
        </w:tc>
      </w:tr>
      <w:tr>
        <w:tc>
          <w:tcPr>
            <w:tcW w:type="dxa" w:w="2736"/>
          </w:tcPr>
          <w:p>
            <w:pPr>
              <w:spacing w:after="20" w:before="20"/>
            </w:pPr>
            <w:r>
              <w:rPr>
                <w:rFonts w:ascii="Calibri" w:hAnsi="Calibri"/>
                <w:color w:val="222A28"/>
                <w:sz w:val="16"/>
              </w:rPr>
              <w:t>SMA 100 / 150 / 200</w:t>
            </w:r>
          </w:p>
        </w:tc>
        <w:tc>
          <w:tcPr>
            <w:tcW w:type="dxa" w:w="3456"/>
          </w:tcPr>
          <w:p>
            <w:pPr>
              <w:spacing w:after="20" w:before="20"/>
            </w:pPr>
            <w:r>
              <w:rPr>
                <w:rFonts w:ascii="Calibri" w:hAnsi="Calibri"/>
                <w:color w:val="222A28"/>
                <w:sz w:val="16"/>
              </w:rPr>
              <w:t>AED 8.62 / 8.72 / 8.87</w:t>
            </w:r>
          </w:p>
        </w:tc>
        <w:tc>
          <w:tcPr>
            <w:tcW w:type="dxa" w:w="3600"/>
          </w:tcPr>
          <w:p>
            <w:pPr>
              <w:spacing w:after="20" w:before="20"/>
            </w:pPr>
            <w:r>
              <w:rPr>
                <w:rFonts w:ascii="Calibri" w:hAnsi="Calibri"/>
                <w:color w:val="222A28"/>
                <w:sz w:val="16"/>
              </w:rPr>
              <w:t>Below the stack — overhead resistance</w:t>
            </w:r>
          </w:p>
        </w:tc>
      </w:tr>
      <w:tr>
        <w:tc>
          <w:tcPr>
            <w:tcW w:type="dxa" w:w="2736"/>
          </w:tcPr>
          <w:p>
            <w:pPr>
              <w:spacing w:after="20" w:before="20"/>
            </w:pPr>
            <w:r>
              <w:rPr>
                <w:rFonts w:ascii="Calibri" w:hAnsi="Calibri"/>
                <w:color w:val="222A28"/>
                <w:sz w:val="16"/>
              </w:rPr>
              <w:t>RSI (14, Wilder)</w:t>
            </w:r>
          </w:p>
        </w:tc>
        <w:tc>
          <w:tcPr>
            <w:tcW w:type="dxa" w:w="3456"/>
          </w:tcPr>
          <w:p>
            <w:pPr>
              <w:spacing w:after="20" w:before="20"/>
            </w:pPr>
            <w:r>
              <w:rPr>
                <w:rFonts w:ascii="Calibri" w:hAnsi="Calibri"/>
                <w:color w:val="222A28"/>
                <w:sz w:val="16"/>
              </w:rPr>
              <w:t>53.5</w:t>
            </w:r>
          </w:p>
        </w:tc>
        <w:tc>
          <w:tcPr>
            <w:tcW w:type="dxa" w:w="3600"/>
          </w:tcPr>
          <w:p>
            <w:pPr>
              <w:spacing w:after="20" w:before="20"/>
            </w:pPr>
            <w:r>
              <w:rPr>
                <w:rFonts w:ascii="Calibri" w:hAnsi="Calibri"/>
                <w:color w:val="222A28"/>
                <w:sz w:val="16"/>
              </w:rPr>
              <w:t>Neutral</w:t>
            </w:r>
          </w:p>
        </w:tc>
      </w:tr>
      <w:tr>
        <w:tc>
          <w:tcPr>
            <w:tcW w:type="dxa" w:w="2736"/>
          </w:tcPr>
          <w:p>
            <w:pPr>
              <w:spacing w:after="20" w:before="20"/>
            </w:pPr>
            <w:r>
              <w:rPr>
                <w:rFonts w:ascii="Calibri" w:hAnsi="Calibri"/>
                <w:color w:val="222A28"/>
                <w:sz w:val="16"/>
              </w:rPr>
              <w:t>MACD (12,26,9)</w:t>
            </w:r>
          </w:p>
        </w:tc>
        <w:tc>
          <w:tcPr>
            <w:tcW w:type="dxa" w:w="3456"/>
          </w:tcPr>
          <w:p>
            <w:pPr>
              <w:spacing w:after="20" w:before="20"/>
            </w:pPr>
            <w:r>
              <w:rPr>
                <w:rFonts w:ascii="Calibri" w:hAnsi="Calibri"/>
                <w:color w:val="222A28"/>
                <w:sz w:val="16"/>
              </w:rPr>
              <w:t>0.136 line / 0.159 signal / −0.02 hist</w:t>
            </w:r>
          </w:p>
        </w:tc>
        <w:tc>
          <w:tcPr>
            <w:tcW w:type="dxa" w:w="3600"/>
          </w:tcPr>
          <w:p>
            <w:pPr>
              <w:spacing w:after="20" w:before="20"/>
            </w:pPr>
            <w:r>
              <w:rPr>
                <w:rFonts w:ascii="Calibri" w:hAnsi="Calibri"/>
                <w:color w:val="222A28"/>
                <w:sz w:val="16"/>
              </w:rPr>
              <w:t>Marginally bearish, flattening</w:t>
            </w:r>
          </w:p>
        </w:tc>
      </w:tr>
      <w:tr>
        <w:tc>
          <w:tcPr>
            <w:tcW w:type="dxa" w:w="2736"/>
          </w:tcPr>
          <w:p>
            <w:pPr>
              <w:spacing w:after="20" w:before="20"/>
            </w:pPr>
            <w:r>
              <w:rPr>
                <w:rFonts w:ascii="Calibri" w:hAnsi="Calibri"/>
                <w:color w:val="222A28"/>
                <w:sz w:val="16"/>
              </w:rPr>
              <w:t>52-week range</w:t>
            </w:r>
          </w:p>
        </w:tc>
        <w:tc>
          <w:tcPr>
            <w:tcW w:type="dxa" w:w="3456"/>
          </w:tcPr>
          <w:p>
            <w:pPr>
              <w:spacing w:after="20" w:before="20"/>
            </w:pPr>
            <w:r>
              <w:rPr>
                <w:rFonts w:ascii="Calibri" w:hAnsi="Calibri"/>
                <w:color w:val="222A28"/>
                <w:sz w:val="16"/>
              </w:rPr>
              <w:t>AED 7.03 – 11.80</w:t>
            </w:r>
          </w:p>
        </w:tc>
        <w:tc>
          <w:tcPr>
            <w:tcW w:type="dxa" w:w="3600"/>
          </w:tcPr>
          <w:p>
            <w:pPr>
              <w:spacing w:after="20" w:before="20"/>
            </w:pPr>
            <w:r>
              <w:rPr>
                <w:rFonts w:ascii="Calibri" w:hAnsi="Calibri"/>
                <w:color w:val="222A28"/>
                <w:sz w:val="16"/>
              </w:rPr>
              <w:t>Mid-range</w:t>
            </w:r>
          </w:p>
        </w:tc>
      </w:tr>
      <w:tr>
        <w:tc>
          <w:tcPr>
            <w:tcW w:type="dxa" w:w="2736"/>
          </w:tcPr>
          <w:p>
            <w:pPr>
              <w:spacing w:after="20" w:before="20"/>
            </w:pPr>
            <w:r>
              <w:rPr>
                <w:rFonts w:ascii="Calibri" w:hAnsi="Calibri"/>
                <w:color w:val="222A28"/>
                <w:sz w:val="16"/>
              </w:rPr>
              <w:t>ATR(14)</w:t>
            </w:r>
          </w:p>
        </w:tc>
        <w:tc>
          <w:tcPr>
            <w:tcW w:type="dxa" w:w="3456"/>
          </w:tcPr>
          <w:p>
            <w:pPr>
              <w:spacing w:after="20" w:before="20"/>
            </w:pPr>
            <w:r>
              <w:rPr>
                <w:rFonts w:ascii="Calibri" w:hAnsi="Calibri"/>
                <w:color w:val="222A28"/>
                <w:sz w:val="16"/>
              </w:rPr>
              <w:t>AED 0.269 (3.2%)</w:t>
            </w:r>
          </w:p>
        </w:tc>
        <w:tc>
          <w:tcPr>
            <w:tcW w:type="dxa" w:w="3600"/>
          </w:tcPr>
          <w:p>
            <w:pPr>
              <w:spacing w:after="20" w:before="20"/>
            </w:pPr>
            <w:r>
              <w:rPr>
                <w:rFonts w:ascii="Calibri" w:hAnsi="Calibri"/>
                <w:color w:val="222A28"/>
                <w:sz w:val="16"/>
              </w:rPr>
              <w:t>Moderate</w:t>
            </w:r>
          </w:p>
        </w:tc>
      </w:tr>
      <w:tr>
        <w:tc>
          <w:tcPr>
            <w:tcW w:type="dxa" w:w="2736"/>
          </w:tcPr>
          <w:p>
            <w:pPr>
              <w:spacing w:after="20" w:before="20"/>
            </w:pPr>
            <w:r>
              <w:rPr>
                <w:rFonts w:ascii="Calibri" w:hAnsi="Calibri"/>
                <w:color w:val="222A28"/>
                <w:sz w:val="16"/>
              </w:rPr>
              <w:t>Realized vol (252d / 60d)</w:t>
            </w:r>
          </w:p>
        </w:tc>
        <w:tc>
          <w:tcPr>
            <w:tcW w:type="dxa" w:w="3456"/>
          </w:tcPr>
          <w:p>
            <w:pPr>
              <w:spacing w:after="20" w:before="20"/>
            </w:pPr>
            <w:r>
              <w:rPr>
                <w:rFonts w:ascii="Calibri" w:hAnsi="Calibri"/>
                <w:color w:val="222A28"/>
                <w:sz w:val="16"/>
              </w:rPr>
              <w:t>34.0% / 40.8%</w:t>
            </w:r>
          </w:p>
        </w:tc>
        <w:tc>
          <w:tcPr>
            <w:tcW w:type="dxa" w:w="3600"/>
          </w:tcPr>
          <w:p>
            <w:pPr>
              <w:spacing w:after="20" w:before="20"/>
            </w:pPr>
            <w:r>
              <w:rPr>
                <w:rFonts w:ascii="Calibri" w:hAnsi="Calibri"/>
                <w:color w:val="222A28"/>
                <w:sz w:val="16"/>
              </w:rPr>
              <w:t>Elevated near-term</w:t>
            </w:r>
          </w:p>
        </w:tc>
      </w:tr>
    </w:tbl>
    <w:p>
      <w:pPr>
        <w:spacing w:after="40"/>
      </w:pPr>
    </w:p>
    <w:p>
      <w:pPr>
        <w:jc w:val="center"/>
      </w:pPr>
      <w:r>
        <w:drawing>
          <wp:inline xmlns:a="http://schemas.openxmlformats.org/drawingml/2006/main" xmlns:pic="http://schemas.openxmlformats.org/drawingml/2006/picture">
            <wp:extent cx="5669280" cy="3035069"/>
            <wp:docPr id="4" name="Picture 4"/>
            <wp:cNvGraphicFramePr>
              <a:graphicFrameLocks noChangeAspect="1"/>
            </wp:cNvGraphicFramePr>
            <a:graphic>
              <a:graphicData uri="http://schemas.openxmlformats.org/drawingml/2006/picture">
                <pic:pic>
                  <pic:nvPicPr>
                    <pic:cNvPr id="0" name="fig3_mastack.png"/>
                    <pic:cNvPicPr/>
                  </pic:nvPicPr>
                  <pic:blipFill>
                    <a:blip r:embed="rId12"/>
                    <a:stretch>
                      <a:fillRect/>
                    </a:stretch>
                  </pic:blipFill>
                  <pic:spPr>
                    <a:xfrm>
                      <a:off x="0" y="0"/>
                      <a:ext cx="5669280" cy="3035069"/>
                    </a:xfrm>
                    <a:prstGeom prst="rect"/>
                  </pic:spPr>
                </pic:pic>
              </a:graphicData>
            </a:graphic>
          </wp:inline>
        </w:drawing>
      </w:r>
    </w:p>
    <w:p>
      <w:pPr>
        <w:spacing w:after="160" w:before="0"/>
        <w:jc w:val="center"/>
      </w:pPr>
      <w:r>
        <w:rPr>
          <w:rFonts w:ascii="Calibri" w:hAnsi="Calibri"/>
          <w:b w:val="0"/>
          <w:i/>
          <w:color w:val="5B6B67"/>
          <w:sz w:val="16"/>
        </w:rPr>
        <w:t>Figure 3 — Price versus the moving-average stack (last 300 sessions), with RSI(14) below.</w:t>
      </w:r>
    </w:p>
    <w:p>
      <w:pPr>
        <w:spacing w:after="120" w:before="0"/>
      </w:pPr>
      <w:r>
        <w:rPr>
          <w:rFonts w:ascii="Calibri" w:hAnsi="Calibri"/>
          <w:b/>
          <w:i w:val="0"/>
          <w:color w:val="222A28"/>
          <w:sz w:val="20"/>
        </w:rPr>
        <w:t xml:space="preserve">Levels. </w:t>
      </w:r>
      <w:r>
        <w:rPr>
          <w:rFonts w:ascii="Calibri" w:hAnsi="Calibri"/>
          <w:b w:val="0"/>
          <w:i w:val="0"/>
          <w:color w:val="222A28"/>
          <w:sz w:val="20"/>
        </w:rPr>
        <w:t>Resistance sits at the moving-average band AED 8.6–8.9 (a clean daily close above it opens the AED 9.5–10 zone toward fair value); support is the rising SMA20/50 at AED 8.0–8.2, then the AED 7.03 52-week low. For the probabilistic work this matters in one way: a basing tape below its long-term averages keeps the near-term distribution roughly symmetric around spot, with the fundamentals arguing the upside over quarters, not days. §6 reads the resulting zones without forcing a reconciliation.</w:t>
      </w:r>
    </w:p>
    <w:p>
      <w:pPr>
        <w:spacing w:before="280" w:after="120"/>
        <w:pBdr>
          <w:bottom w:val="single" w:sz="6" w:space="2" w:color="C0A45F"/>
        </w:pBdr>
      </w:pPr>
      <w:r>
        <w:rPr>
          <w:rFonts w:ascii="Calibri" w:hAnsi="Calibri"/>
          <w:b/>
          <w:color w:val="1C3A36"/>
          <w:sz w:val="30"/>
        </w:rPr>
        <w:t>3  Monte Carlo — a probabilistic price map</w:t>
      </w:r>
    </w:p>
    <w:p>
      <w:pPr>
        <w:spacing w:after="80" w:before="0"/>
      </w:pPr>
      <w:r>
        <w:rPr>
          <w:rFonts w:ascii="Calibri" w:hAnsi="Calibri"/>
          <w:b w:val="0"/>
          <w:i w:val="0"/>
          <w:color w:val="222A28"/>
          <w:sz w:val="20"/>
        </w:rPr>
        <w:t xml:space="preserve">We simulate 50,000 three-month price paths (seed 42) with the house YZ-HAR engine: width from a gap-aware Yang-Zhang variance proxy projected through a HAR cascade (regime-conditional, ~30.3% annualised here), shape from unit-variance Student-t(5) innovations (honest fat tails), and — because Aldar is an international name — </w:t>
      </w:r>
      <w:r>
        <w:rPr>
          <w:rFonts w:ascii="Calibri" w:hAnsi="Calibri"/>
          <w:b/>
          <w:i w:val="0"/>
          <w:color w:val="222A28"/>
          <w:sz w:val="20"/>
        </w:rPr>
        <w:t>zero secular drift</w:t>
      </w:r>
      <w:r>
        <w:rPr>
          <w:rFonts w:ascii="Calibri" w:hAnsi="Calibri"/>
          <w:b w:val="0"/>
          <w:i w:val="0"/>
          <w:color w:val="222A28"/>
          <w:sz w:val="20"/>
        </w:rPr>
        <w:t xml:space="preserve">, so direction is never manufactured. On top of the diffusion sit sixteen factors: seven continuous macro/operating drivers contributing a small net forward tilt (+1.6% over the quarter) and nine discrete events that each fire with a probability and an impact. </w:t>
      </w:r>
      <w:r>
        <w:rPr>
          <w:rFonts w:ascii="Calibri" w:hAnsi="Calibri"/>
          <w:b/>
          <w:i w:val="0"/>
          <w:color w:val="222A28"/>
          <w:sz w:val="20"/>
        </w:rPr>
        <w:t>By design the paths diffuse from spot, and the §1 value gap is kept out of the drift</w:t>
      </w:r>
      <w:r>
        <w:rPr>
          <w:rFonts w:ascii="Calibri" w:hAnsi="Calibri"/>
          <w:b w:val="0"/>
          <w:i w:val="0"/>
          <w:color w:val="222A28"/>
          <w:sz w:val="20"/>
        </w:rPr>
        <w:t xml:space="preserve"> — the fundamental NAV gap lives in §1, not here; §3 maps where price could go from today, not where value sits. Before use, the engine is calibrated out-of-sample on Aldar's own five-year history and beats a zero-drift random-walk benchmark on probabilistic score (CRPS and interval skill both positive, roughly uniform PIT); the calibration detail is maintained in the Testahil ledger rather than reproduced here.</w:t>
      </w:r>
    </w:p>
    <w:p>
      <w:pPr>
        <w:spacing w:before="200" w:after="80"/>
      </w:pPr>
      <w:r>
        <w:rPr>
          <w:rFonts w:ascii="Calibri" w:hAnsi="Calibri"/>
          <w:b/>
          <w:color w:val="896F36"/>
          <w:sz w:val="24"/>
        </w:rPr>
        <w:t>The probability read — how the distribution leans</w:t>
      </w:r>
    </w:p>
    <w:p>
      <w:pPr>
        <w:spacing w:after="80" w:before="0"/>
      </w:pPr>
      <w:r>
        <w:rPr>
          <w:rFonts w:ascii="Calibri" w:hAnsi="Calibri"/>
          <w:b w:val="0"/>
          <w:i w:val="0"/>
          <w:color w:val="222A28"/>
          <w:sz w:val="19"/>
        </w:rPr>
        <w:t>Read this first: it summarises the direction and skew already in the 50,000 paths, computed after simulation (it never feeds the drift or width).</w:t>
      </w:r>
    </w:p>
    <w:tbl>
      <w:tblPr>
        <w:tblStyle w:val="TableGrid"/>
        <w:tblW w:type="auto" w:w="0"/>
        <w:jc w:val="center"/>
        <w:tblLook w:firstColumn="1" w:firstRow="1" w:lastColumn="0" w:lastRow="0" w:noHBand="0" w:noVBand="1" w:val="04A0"/>
        <w:tblLayout w:type="fixed"/>
      </w:tblPr>
      <w:tblGrid>
        <w:gridCol w:w="3312"/>
        <w:gridCol w:w="3312"/>
        <w:gridCol w:w="3312"/>
      </w:tblGrid>
      <w:tr>
        <w:tc>
          <w:tcPr>
            <w:tcW w:type="dxa" w:w="3024"/>
            <w:shd w:val="clear" w:color="auto" w:fill="1C3A36"/>
          </w:tcPr>
          <w:p>
            <w:pPr>
              <w:spacing w:after="20" w:before="20"/>
            </w:pPr>
            <w:r>
              <w:rPr>
                <w:rFonts w:ascii="Calibri" w:hAnsi="Calibri"/>
                <w:b/>
                <w:color w:val="FFFFFF"/>
                <w:sz w:val="16"/>
              </w:rPr>
              <w:t>Probability read (T+60)</w:t>
            </w:r>
          </w:p>
        </w:tc>
        <w:tc>
          <w:tcPr>
            <w:tcW w:type="dxa" w:w="3312"/>
            <w:shd w:val="clear" w:color="auto" w:fill="1C3A36"/>
          </w:tcPr>
          <w:p>
            <w:pPr>
              <w:spacing w:after="20" w:before="20"/>
            </w:pPr>
            <w:r>
              <w:rPr>
                <w:rFonts w:ascii="Calibri" w:hAnsi="Calibri"/>
                <w:b/>
                <w:color w:val="FFFFFF"/>
                <w:sz w:val="16"/>
              </w:rPr>
              <w:t>Value</w:t>
            </w:r>
          </w:p>
        </w:tc>
        <w:tc>
          <w:tcPr>
            <w:tcW w:type="dxa" w:w="3456"/>
            <w:shd w:val="clear" w:color="auto" w:fill="1C3A36"/>
          </w:tcPr>
          <w:p>
            <w:pPr>
              <w:spacing w:after="20" w:before="20"/>
            </w:pPr>
            <w:r>
              <w:rPr>
                <w:rFonts w:ascii="Calibri" w:hAnsi="Calibri"/>
                <w:b/>
                <w:color w:val="FFFFFF"/>
                <w:sz w:val="16"/>
              </w:rPr>
              <w:t>Reading</w:t>
            </w:r>
          </w:p>
        </w:tc>
      </w:tr>
      <w:tr>
        <w:tc>
          <w:tcPr>
            <w:tcW w:type="dxa" w:w="3024"/>
          </w:tcPr>
          <w:p>
            <w:pPr>
              <w:spacing w:after="20" w:before="20"/>
            </w:pPr>
            <w:r>
              <w:rPr>
                <w:rFonts w:ascii="Calibri" w:hAnsi="Calibri"/>
                <w:color w:val="222A28"/>
                <w:sz w:val="16"/>
              </w:rPr>
              <w:t>P(price above spot) at T+60</w:t>
            </w:r>
          </w:p>
        </w:tc>
        <w:tc>
          <w:tcPr>
            <w:tcW w:type="dxa" w:w="3312"/>
          </w:tcPr>
          <w:p>
            <w:pPr>
              <w:spacing w:after="20" w:before="20"/>
            </w:pPr>
            <w:r>
              <w:rPr>
                <w:rFonts w:ascii="Calibri" w:hAnsi="Calibri"/>
                <w:color w:val="222A28"/>
                <w:sz w:val="16"/>
              </w:rPr>
              <w:t>56%</w:t>
            </w:r>
          </w:p>
        </w:tc>
        <w:tc>
          <w:tcPr>
            <w:tcW w:type="dxa" w:w="3456"/>
          </w:tcPr>
          <w:p>
            <w:pPr>
              <w:spacing w:after="20" w:before="20"/>
            </w:pPr>
            <w:r>
              <w:rPr>
                <w:rFonts w:ascii="Calibri" w:hAnsi="Calibri"/>
                <w:color w:val="222A28"/>
                <w:sz w:val="16"/>
              </w:rPr>
              <w:t>Near-even — a two-sided quarter</w:t>
            </w:r>
          </w:p>
        </w:tc>
      </w:tr>
      <w:tr>
        <w:tc>
          <w:tcPr>
            <w:tcW w:type="dxa" w:w="3024"/>
          </w:tcPr>
          <w:p>
            <w:pPr>
              <w:spacing w:after="20" w:before="20"/>
            </w:pPr>
            <w:r>
              <w:rPr>
                <w:rFonts w:ascii="Calibri" w:hAnsi="Calibri"/>
                <w:color w:val="222A28"/>
                <w:sz w:val="16"/>
              </w:rPr>
              <w:t>P(+10%) vs P(−10%)</w:t>
            </w:r>
          </w:p>
        </w:tc>
        <w:tc>
          <w:tcPr>
            <w:tcW w:type="dxa" w:w="3312"/>
          </w:tcPr>
          <w:p>
            <w:pPr>
              <w:spacing w:after="20" w:before="20"/>
            </w:pPr>
            <w:r>
              <w:rPr>
                <w:rFonts w:ascii="Calibri" w:hAnsi="Calibri"/>
                <w:color w:val="222A28"/>
                <w:sz w:val="16"/>
              </w:rPr>
              <w:t>33% vs 22%  (odds 1.50×)</w:t>
            </w:r>
          </w:p>
        </w:tc>
        <w:tc>
          <w:tcPr>
            <w:tcW w:type="dxa" w:w="3456"/>
          </w:tcPr>
          <w:p>
            <w:pPr>
              <w:spacing w:after="20" w:before="20"/>
            </w:pPr>
            <w:r>
              <w:rPr>
                <w:rFonts w:ascii="Calibri" w:hAnsi="Calibri"/>
                <w:color w:val="222A28"/>
                <w:sz w:val="16"/>
              </w:rPr>
              <w:t>Mild upside skew from launch/M&amp;A events</w:t>
            </w:r>
          </w:p>
        </w:tc>
      </w:tr>
      <w:tr>
        <w:tc>
          <w:tcPr>
            <w:tcW w:type="dxa" w:w="3024"/>
          </w:tcPr>
          <w:p>
            <w:pPr>
              <w:spacing w:after="20" w:before="20"/>
            </w:pPr>
            <w:r>
              <w:rPr>
                <w:rFonts w:ascii="Calibri" w:hAnsi="Calibri"/>
                <w:color w:val="222A28"/>
                <w:sz w:val="16"/>
              </w:rPr>
              <w:t>Median level (and move)</w:t>
            </w:r>
          </w:p>
        </w:tc>
        <w:tc>
          <w:tcPr>
            <w:tcW w:type="dxa" w:w="3312"/>
          </w:tcPr>
          <w:p>
            <w:pPr>
              <w:spacing w:after="20" w:before="20"/>
            </w:pPr>
            <w:r>
              <w:rPr>
                <w:rFonts w:ascii="Calibri" w:hAnsi="Calibri"/>
                <w:color w:val="222A28"/>
                <w:sz w:val="16"/>
              </w:rPr>
              <w:t>AED 8.50  (+2.4%)</w:t>
            </w:r>
          </w:p>
        </w:tc>
        <w:tc>
          <w:tcPr>
            <w:tcW w:type="dxa" w:w="3456"/>
          </w:tcPr>
          <w:p>
            <w:pPr>
              <w:spacing w:after="20" w:before="20"/>
            </w:pPr>
            <w:r>
              <w:rPr>
                <w:rFonts w:ascii="Calibri" w:hAnsi="Calibri"/>
                <w:color w:val="222A28"/>
                <w:sz w:val="16"/>
              </w:rPr>
              <w:t>Just above spot</w:t>
            </w:r>
          </w:p>
        </w:tc>
      </w:tr>
      <w:tr>
        <w:tc>
          <w:tcPr>
            <w:tcW w:type="dxa" w:w="3024"/>
          </w:tcPr>
          <w:p>
            <w:pPr>
              <w:spacing w:after="20" w:before="20"/>
            </w:pPr>
            <w:r>
              <w:rPr>
                <w:rFonts w:ascii="Calibri" w:hAnsi="Calibri"/>
                <w:color w:val="222A28"/>
                <w:sz w:val="16"/>
              </w:rPr>
              <w:t>50% band (25th–75th)</w:t>
            </w:r>
          </w:p>
        </w:tc>
        <w:tc>
          <w:tcPr>
            <w:tcW w:type="dxa" w:w="3312"/>
          </w:tcPr>
          <w:p>
            <w:pPr>
              <w:spacing w:after="20" w:before="20"/>
            </w:pPr>
            <w:r>
              <w:rPr>
                <w:rFonts w:ascii="Calibri" w:hAnsi="Calibri"/>
                <w:color w:val="222A28"/>
                <w:sz w:val="16"/>
              </w:rPr>
              <w:t>AED 7.60 – 9.48  (-8% / +14%)</w:t>
            </w:r>
          </w:p>
        </w:tc>
        <w:tc>
          <w:tcPr>
            <w:tcW w:type="dxa" w:w="3456"/>
          </w:tcPr>
          <w:p>
            <w:pPr>
              <w:spacing w:after="20" w:before="20"/>
            </w:pPr>
            <w:r>
              <w:rPr>
                <w:rFonts w:ascii="Calibri" w:hAnsi="Calibri"/>
                <w:color w:val="222A28"/>
                <w:sz w:val="16"/>
              </w:rPr>
              <w:t>Where most of the mass sits</w:t>
            </w:r>
          </w:p>
        </w:tc>
      </w:tr>
      <w:tr>
        <w:tc>
          <w:tcPr>
            <w:tcW w:type="dxa" w:w="3024"/>
          </w:tcPr>
          <w:p>
            <w:pPr>
              <w:spacing w:after="20" w:before="20"/>
            </w:pPr>
            <w:r>
              <w:rPr>
                <w:rFonts w:ascii="Calibri" w:hAnsi="Calibri"/>
                <w:color w:val="222A28"/>
                <w:sz w:val="16"/>
              </w:rPr>
              <w:t>Touch +10% / −10%</w:t>
            </w:r>
          </w:p>
        </w:tc>
        <w:tc>
          <w:tcPr>
            <w:tcW w:type="dxa" w:w="3312"/>
          </w:tcPr>
          <w:p>
            <w:pPr>
              <w:spacing w:after="20" w:before="20"/>
            </w:pPr>
            <w:r>
              <w:rPr>
                <w:rFonts w:ascii="Calibri" w:hAnsi="Calibri"/>
                <w:color w:val="222A28"/>
                <w:sz w:val="16"/>
              </w:rPr>
              <w:t>56% / 42%</w:t>
            </w:r>
          </w:p>
        </w:tc>
        <w:tc>
          <w:tcPr>
            <w:tcW w:type="dxa" w:w="3456"/>
          </w:tcPr>
          <w:p>
            <w:pPr>
              <w:spacing w:after="20" w:before="20"/>
            </w:pPr>
            <w:r>
              <w:rPr>
                <w:rFonts w:ascii="Calibri" w:hAnsi="Calibri"/>
                <w:color w:val="222A28"/>
                <w:sz w:val="16"/>
              </w:rPr>
              <w:t>Upside more reachable intramonth</w:t>
            </w:r>
          </w:p>
        </w:tc>
      </w:tr>
    </w:tbl>
    <w:p>
      <w:pPr>
        <w:spacing w:after="40"/>
      </w:pPr>
    </w:p>
    <w:p>
      <w:pPr>
        <w:spacing w:after="40" w:before="80"/>
      </w:pPr>
      <w:r>
        <w:rPr>
          <w:rFonts w:ascii="Calibri" w:hAnsi="Calibri"/>
          <w:b/>
          <w:i w:val="0"/>
          <w:color w:val="222A28"/>
          <w:sz w:val="19"/>
        </w:rPr>
        <w:t>The sixteen factors — the table IS the model.</w:t>
      </w:r>
    </w:p>
    <w:tbl>
      <w:tblPr>
        <w:tblStyle w:val="TableGrid"/>
        <w:tblW w:type="auto" w:w="0"/>
        <w:jc w:val="center"/>
        <w:tblLook w:firstColumn="1" w:firstRow="1" w:lastColumn="0" w:lastRow="0" w:noHBand="0" w:noVBand="1" w:val="04A0"/>
        <w:tblLayout w:type="fixed"/>
      </w:tblPr>
      <w:tblGrid>
        <w:gridCol w:w="1987"/>
        <w:gridCol w:w="1987"/>
        <w:gridCol w:w="1987"/>
        <w:gridCol w:w="1987"/>
        <w:gridCol w:w="1987"/>
      </w:tblGrid>
      <w:tr>
        <w:tc>
          <w:tcPr>
            <w:tcW w:type="dxa" w:w="3168"/>
            <w:shd w:val="clear" w:color="auto" w:fill="1C3A36"/>
          </w:tcPr>
          <w:p>
            <w:pPr>
              <w:spacing w:after="20" w:before="20"/>
            </w:pPr>
            <w:r>
              <w:rPr>
                <w:rFonts w:ascii="Calibri" w:hAnsi="Calibri"/>
                <w:b/>
                <w:color w:val="FFFFFF"/>
                <w:sz w:val="15"/>
              </w:rPr>
              <w:t>Continuous factor (7)</w:t>
            </w:r>
          </w:p>
        </w:tc>
        <w:tc>
          <w:tcPr>
            <w:tcW w:type="dxa" w:w="792"/>
            <w:shd w:val="clear" w:color="auto" w:fill="1C3A36"/>
          </w:tcPr>
          <w:p>
            <w:pPr>
              <w:spacing w:after="20" w:before="20"/>
            </w:pPr>
            <w:r>
              <w:rPr>
                <w:rFonts w:ascii="Calibri" w:hAnsi="Calibri"/>
                <w:b/>
                <w:color w:val="FFFFFF"/>
                <w:sz w:val="15"/>
              </w:rPr>
              <w:t>Dir.</w:t>
            </w:r>
          </w:p>
        </w:tc>
        <w:tc>
          <w:tcPr>
            <w:tcW w:type="dxa" w:w="3384"/>
            <w:shd w:val="clear" w:color="auto" w:fill="1C3A36"/>
          </w:tcPr>
          <w:p>
            <w:pPr>
              <w:spacing w:after="20" w:before="20"/>
            </w:pPr>
            <w:r>
              <w:rPr>
                <w:rFonts w:ascii="Calibri" w:hAnsi="Calibri"/>
                <w:b/>
                <w:color w:val="FFFFFF"/>
                <w:sz w:val="15"/>
              </w:rPr>
              <w:t>Discrete event (9)</w:t>
            </w:r>
          </w:p>
        </w:tc>
        <w:tc>
          <w:tcPr>
            <w:tcW w:type="dxa" w:w="1080"/>
            <w:shd w:val="clear" w:color="auto" w:fill="1C3A36"/>
          </w:tcPr>
          <w:p>
            <w:pPr>
              <w:spacing w:after="20" w:before="20"/>
              <w:jc w:val="right"/>
            </w:pPr>
            <w:r>
              <w:rPr>
                <w:rFonts w:ascii="Calibri" w:hAnsi="Calibri"/>
                <w:b/>
                <w:color w:val="FFFFFF"/>
                <w:sz w:val="15"/>
              </w:rPr>
              <w:t>Prob.</w:t>
            </w:r>
          </w:p>
        </w:tc>
        <w:tc>
          <w:tcPr>
            <w:tcW w:type="dxa" w:w="1512"/>
            <w:shd w:val="clear" w:color="auto" w:fill="1C3A36"/>
          </w:tcPr>
          <w:p>
            <w:pPr>
              <w:spacing w:after="20" w:before="20"/>
              <w:jc w:val="right"/>
            </w:pPr>
            <w:r>
              <w:rPr>
                <w:rFonts w:ascii="Calibri" w:hAnsi="Calibri"/>
                <w:b/>
                <w:color w:val="FFFFFF"/>
                <w:sz w:val="15"/>
              </w:rPr>
              <w:t>Mean impact</w:t>
            </w:r>
          </w:p>
        </w:tc>
      </w:tr>
      <w:tr>
        <w:tc>
          <w:tcPr>
            <w:tcW w:type="dxa" w:w="3168"/>
          </w:tcPr>
          <w:p>
            <w:pPr>
              <w:spacing w:after="20" w:before="20"/>
            </w:pPr>
            <w:r>
              <w:rPr>
                <w:rFonts w:ascii="Calibri" w:hAnsi="Calibri"/>
                <w:color w:val="222A28"/>
                <w:sz w:val="15"/>
              </w:rPr>
              <w:t>US/UAE rate path (AED peg → Fed)</w:t>
            </w:r>
          </w:p>
        </w:tc>
        <w:tc>
          <w:tcPr>
            <w:tcW w:type="dxa" w:w="792"/>
          </w:tcPr>
          <w:p>
            <w:pPr>
              <w:spacing w:after="20" w:before="20"/>
            </w:pPr>
            <w:r>
              <w:rPr>
                <w:rFonts w:ascii="Calibri" w:hAnsi="Calibri"/>
                <w:color w:val="222A28"/>
                <w:sz w:val="15"/>
              </w:rPr>
              <w:t>−</w:t>
            </w:r>
          </w:p>
        </w:tc>
        <w:tc>
          <w:tcPr>
            <w:tcW w:type="dxa" w:w="3384"/>
          </w:tcPr>
          <w:p>
            <w:pPr>
              <w:spacing w:after="20" w:before="20"/>
            </w:pPr>
            <w:r>
              <w:rPr>
                <w:rFonts w:ascii="Calibri" w:hAnsi="Calibri"/>
                <w:color w:val="222A28"/>
                <w:sz w:val="15"/>
              </w:rPr>
              <w:t>Regional geopolitics / Hormuz</w:t>
            </w:r>
          </w:p>
        </w:tc>
        <w:tc>
          <w:tcPr>
            <w:tcW w:type="dxa" w:w="1080"/>
          </w:tcPr>
          <w:p>
            <w:pPr>
              <w:spacing w:after="20" w:before="20"/>
              <w:jc w:val="right"/>
            </w:pPr>
            <w:r>
              <w:rPr>
                <w:rFonts w:ascii="Calibri" w:hAnsi="Calibri"/>
                <w:color w:val="222A28"/>
                <w:sz w:val="15"/>
              </w:rPr>
              <w:t>35%</w:t>
            </w:r>
          </w:p>
        </w:tc>
        <w:tc>
          <w:tcPr>
            <w:tcW w:type="dxa" w:w="1512"/>
          </w:tcPr>
          <w:p>
            <w:pPr>
              <w:spacing w:after="20" w:before="20"/>
              <w:jc w:val="right"/>
            </w:pPr>
            <w:r>
              <w:rPr>
                <w:rFonts w:ascii="Calibri" w:hAnsi="Calibri"/>
                <w:color w:val="222A28"/>
                <w:sz w:val="15"/>
              </w:rPr>
              <w:t>−9.0%</w:t>
            </w:r>
          </w:p>
        </w:tc>
      </w:tr>
      <w:tr>
        <w:tc>
          <w:tcPr>
            <w:tcW w:type="dxa" w:w="3168"/>
          </w:tcPr>
          <w:p>
            <w:pPr>
              <w:spacing w:after="20" w:before="20"/>
            </w:pPr>
            <w:r>
              <w:rPr>
                <w:rFonts w:ascii="Calibri" w:hAnsi="Calibri"/>
                <w:color w:val="222A28"/>
                <w:sz w:val="15"/>
              </w:rPr>
              <w:t>Oil / Abu Dhabi fiscal &amp; liquidity</w:t>
            </w:r>
          </w:p>
        </w:tc>
        <w:tc>
          <w:tcPr>
            <w:tcW w:type="dxa" w:w="792"/>
          </w:tcPr>
          <w:p>
            <w:pPr>
              <w:spacing w:after="20" w:before="20"/>
            </w:pPr>
            <w:r>
              <w:rPr>
                <w:rFonts w:ascii="Calibri" w:hAnsi="Calibri"/>
                <w:color w:val="222A28"/>
                <w:sz w:val="15"/>
              </w:rPr>
              <w:t>+</w:t>
            </w:r>
          </w:p>
        </w:tc>
        <w:tc>
          <w:tcPr>
            <w:tcW w:type="dxa" w:w="3384"/>
          </w:tcPr>
          <w:p>
            <w:pPr>
              <w:spacing w:after="20" w:before="20"/>
            </w:pPr>
            <w:r>
              <w:rPr>
                <w:rFonts w:ascii="Calibri" w:hAnsi="Calibri"/>
                <w:color w:val="222A28"/>
                <w:sz w:val="15"/>
              </w:rPr>
              <w:t>New mega-launch execution</w:t>
            </w:r>
          </w:p>
        </w:tc>
        <w:tc>
          <w:tcPr>
            <w:tcW w:type="dxa" w:w="1080"/>
          </w:tcPr>
          <w:p>
            <w:pPr>
              <w:spacing w:after="20" w:before="20"/>
              <w:jc w:val="right"/>
            </w:pPr>
            <w:r>
              <w:rPr>
                <w:rFonts w:ascii="Calibri" w:hAnsi="Calibri"/>
                <w:color w:val="222A28"/>
                <w:sz w:val="15"/>
              </w:rPr>
              <w:t>55%</w:t>
            </w:r>
          </w:p>
        </w:tc>
        <w:tc>
          <w:tcPr>
            <w:tcW w:type="dxa" w:w="1512"/>
          </w:tcPr>
          <w:p>
            <w:pPr>
              <w:spacing w:after="20" w:before="20"/>
              <w:jc w:val="right"/>
            </w:pPr>
            <w:r>
              <w:rPr>
                <w:rFonts w:ascii="Calibri" w:hAnsi="Calibri"/>
                <w:color w:val="222A28"/>
                <w:sz w:val="15"/>
              </w:rPr>
              <w:t>+6.0%</w:t>
            </w:r>
          </w:p>
        </w:tc>
      </w:tr>
      <w:tr>
        <w:tc>
          <w:tcPr>
            <w:tcW w:type="dxa" w:w="3168"/>
          </w:tcPr>
          <w:p>
            <w:pPr>
              <w:spacing w:after="20" w:before="20"/>
            </w:pPr>
            <w:r>
              <w:rPr>
                <w:rFonts w:ascii="Calibri" w:hAnsi="Calibri"/>
                <w:color w:val="222A28"/>
                <w:sz w:val="15"/>
              </w:rPr>
              <w:t>AD &amp; Dubai residential price cycle</w:t>
            </w:r>
          </w:p>
        </w:tc>
        <w:tc>
          <w:tcPr>
            <w:tcW w:type="dxa" w:w="792"/>
          </w:tcPr>
          <w:p>
            <w:pPr>
              <w:spacing w:after="20" w:before="20"/>
            </w:pPr>
            <w:r>
              <w:rPr>
                <w:rFonts w:ascii="Calibri" w:hAnsi="Calibri"/>
                <w:color w:val="222A28"/>
                <w:sz w:val="15"/>
              </w:rPr>
              <w:t>+</w:t>
            </w:r>
          </w:p>
        </w:tc>
        <w:tc>
          <w:tcPr>
            <w:tcW w:type="dxa" w:w="3384"/>
          </w:tcPr>
          <w:p>
            <w:pPr>
              <w:spacing w:after="20" w:before="20"/>
            </w:pPr>
            <w:r>
              <w:rPr>
                <w:rFonts w:ascii="Calibri" w:hAnsi="Calibri"/>
                <w:color w:val="222A28"/>
                <w:sz w:val="15"/>
              </w:rPr>
              <w:t>Quarterly results (backlog→rev)</w:t>
            </w:r>
          </w:p>
        </w:tc>
        <w:tc>
          <w:tcPr>
            <w:tcW w:type="dxa" w:w="1080"/>
          </w:tcPr>
          <w:p>
            <w:pPr>
              <w:spacing w:after="20" w:before="20"/>
              <w:jc w:val="right"/>
            </w:pPr>
            <w:r>
              <w:rPr>
                <w:rFonts w:ascii="Calibri" w:hAnsi="Calibri"/>
                <w:color w:val="222A28"/>
                <w:sz w:val="15"/>
              </w:rPr>
              <w:t>55%</w:t>
            </w:r>
          </w:p>
        </w:tc>
        <w:tc>
          <w:tcPr>
            <w:tcW w:type="dxa" w:w="1512"/>
          </w:tcPr>
          <w:p>
            <w:pPr>
              <w:spacing w:after="20" w:before="20"/>
              <w:jc w:val="right"/>
            </w:pPr>
            <w:r>
              <w:rPr>
                <w:rFonts w:ascii="Calibri" w:hAnsi="Calibri"/>
                <w:color w:val="222A28"/>
                <w:sz w:val="15"/>
              </w:rPr>
              <w:t>+2.0%</w:t>
            </w:r>
          </w:p>
        </w:tc>
      </w:tr>
      <w:tr>
        <w:tc>
          <w:tcPr>
            <w:tcW w:type="dxa" w:w="3168"/>
          </w:tcPr>
          <w:p>
            <w:pPr>
              <w:spacing w:after="20" w:before="20"/>
            </w:pPr>
            <w:r>
              <w:rPr>
                <w:rFonts w:ascii="Calibri" w:hAnsi="Calibri"/>
                <w:color w:val="222A28"/>
                <w:sz w:val="15"/>
              </w:rPr>
              <w:t>ADX / EM &amp; GCC equity flows</w:t>
            </w:r>
          </w:p>
        </w:tc>
        <w:tc>
          <w:tcPr>
            <w:tcW w:type="dxa" w:w="792"/>
          </w:tcPr>
          <w:p>
            <w:pPr>
              <w:spacing w:after="20" w:before="20"/>
            </w:pPr>
            <w:r>
              <w:rPr>
                <w:rFonts w:ascii="Calibri" w:hAnsi="Calibri"/>
                <w:color w:val="222A28"/>
                <w:sz w:val="15"/>
              </w:rPr>
              <w:t>+</w:t>
            </w:r>
          </w:p>
        </w:tc>
        <w:tc>
          <w:tcPr>
            <w:tcW w:type="dxa" w:w="3384"/>
          </w:tcPr>
          <w:p>
            <w:pPr>
              <w:spacing w:after="20" w:before="20"/>
            </w:pPr>
            <w:r>
              <w:rPr>
                <w:rFonts w:ascii="Calibri" w:hAnsi="Calibri"/>
                <w:color w:val="222A28"/>
                <w:sz w:val="15"/>
              </w:rPr>
              <w:t>Investment-platform M&amp;A / D2H</w:t>
            </w:r>
          </w:p>
        </w:tc>
        <w:tc>
          <w:tcPr>
            <w:tcW w:type="dxa" w:w="1080"/>
          </w:tcPr>
          <w:p>
            <w:pPr>
              <w:spacing w:after="20" w:before="20"/>
              <w:jc w:val="right"/>
            </w:pPr>
            <w:r>
              <w:rPr>
                <w:rFonts w:ascii="Calibri" w:hAnsi="Calibri"/>
                <w:color w:val="222A28"/>
                <w:sz w:val="15"/>
              </w:rPr>
              <w:t>40%</w:t>
            </w:r>
          </w:p>
        </w:tc>
        <w:tc>
          <w:tcPr>
            <w:tcW w:type="dxa" w:w="1512"/>
          </w:tcPr>
          <w:p>
            <w:pPr>
              <w:spacing w:after="20" w:before="20"/>
              <w:jc w:val="right"/>
            </w:pPr>
            <w:r>
              <w:rPr>
                <w:rFonts w:ascii="Calibri" w:hAnsi="Calibri"/>
                <w:color w:val="222A28"/>
                <w:sz w:val="15"/>
              </w:rPr>
              <w:t>+3.0%</w:t>
            </w:r>
          </w:p>
        </w:tc>
      </w:tr>
      <w:tr>
        <w:tc>
          <w:tcPr>
            <w:tcW w:type="dxa" w:w="3168"/>
          </w:tcPr>
          <w:p>
            <w:pPr>
              <w:spacing w:after="20" w:before="20"/>
            </w:pPr>
            <w:r>
              <w:rPr>
                <w:rFonts w:ascii="Calibri" w:hAnsi="Calibri"/>
                <w:color w:val="222A28"/>
                <w:sz w:val="15"/>
              </w:rPr>
              <w:t>USD/AED peg &amp; imported-input inflation</w:t>
            </w:r>
          </w:p>
        </w:tc>
        <w:tc>
          <w:tcPr>
            <w:tcW w:type="dxa" w:w="792"/>
          </w:tcPr>
          <w:p>
            <w:pPr>
              <w:spacing w:after="20" w:before="20"/>
            </w:pPr>
            <w:r>
              <w:rPr>
                <w:rFonts w:ascii="Calibri" w:hAnsi="Calibri"/>
                <w:color w:val="222A28"/>
                <w:sz w:val="15"/>
              </w:rPr>
              <w:t>mixed</w:t>
            </w:r>
          </w:p>
        </w:tc>
        <w:tc>
          <w:tcPr>
            <w:tcW w:type="dxa" w:w="3384"/>
          </w:tcPr>
          <w:p>
            <w:pPr>
              <w:spacing w:after="20" w:before="20"/>
            </w:pPr>
            <w:r>
              <w:rPr>
                <w:rFonts w:ascii="Calibri" w:hAnsi="Calibri"/>
                <w:color w:val="222A28"/>
                <w:sz w:val="15"/>
              </w:rPr>
              <w:t>Recurring re-rating / cap-rate compression</w:t>
            </w:r>
          </w:p>
        </w:tc>
        <w:tc>
          <w:tcPr>
            <w:tcW w:type="dxa" w:w="1080"/>
          </w:tcPr>
          <w:p>
            <w:pPr>
              <w:spacing w:after="20" w:before="20"/>
              <w:jc w:val="right"/>
            </w:pPr>
            <w:r>
              <w:rPr>
                <w:rFonts w:ascii="Calibri" w:hAnsi="Calibri"/>
                <w:color w:val="222A28"/>
                <w:sz w:val="15"/>
              </w:rPr>
              <w:t>30%</w:t>
            </w:r>
          </w:p>
        </w:tc>
        <w:tc>
          <w:tcPr>
            <w:tcW w:type="dxa" w:w="1512"/>
          </w:tcPr>
          <w:p>
            <w:pPr>
              <w:spacing w:after="20" w:before="20"/>
              <w:jc w:val="right"/>
            </w:pPr>
            <w:r>
              <w:rPr>
                <w:rFonts w:ascii="Calibri" w:hAnsi="Calibri"/>
                <w:color w:val="222A28"/>
                <w:sz w:val="15"/>
              </w:rPr>
              <w:t>+3.0%</w:t>
            </w:r>
          </w:p>
        </w:tc>
      </w:tr>
      <w:tr>
        <w:tc>
          <w:tcPr>
            <w:tcW w:type="dxa" w:w="3168"/>
          </w:tcPr>
          <w:p>
            <w:pPr>
              <w:spacing w:after="20" w:before="20"/>
            </w:pPr>
            <w:r>
              <w:rPr>
                <w:rFonts w:ascii="Calibri" w:hAnsi="Calibri"/>
                <w:color w:val="222A28"/>
                <w:sz w:val="15"/>
              </w:rPr>
              <w:t>Global risk appetite / EM spreads</w:t>
            </w:r>
          </w:p>
        </w:tc>
        <w:tc>
          <w:tcPr>
            <w:tcW w:type="dxa" w:w="792"/>
          </w:tcPr>
          <w:p>
            <w:pPr>
              <w:spacing w:after="20" w:before="20"/>
            </w:pPr>
            <w:r>
              <w:rPr>
                <w:rFonts w:ascii="Calibri" w:hAnsi="Calibri"/>
                <w:color w:val="222A28"/>
                <w:sz w:val="15"/>
              </w:rPr>
              <w:t>mixed</w:t>
            </w:r>
          </w:p>
        </w:tc>
        <w:tc>
          <w:tcPr>
            <w:tcW w:type="dxa" w:w="3384"/>
          </w:tcPr>
          <w:p>
            <w:pPr>
              <w:spacing w:after="20" w:before="20"/>
            </w:pPr>
            <w:r>
              <w:rPr>
                <w:rFonts w:ascii="Calibri" w:hAnsi="Calibri"/>
                <w:color w:val="222A28"/>
                <w:sz w:val="15"/>
              </w:rPr>
              <w:t>Dividend / capital-return surprise</w:t>
            </w:r>
          </w:p>
        </w:tc>
        <w:tc>
          <w:tcPr>
            <w:tcW w:type="dxa" w:w="1080"/>
          </w:tcPr>
          <w:p>
            <w:pPr>
              <w:spacing w:after="20" w:before="20"/>
              <w:jc w:val="right"/>
            </w:pPr>
            <w:r>
              <w:rPr>
                <w:rFonts w:ascii="Calibri" w:hAnsi="Calibri"/>
                <w:color w:val="222A28"/>
                <w:sz w:val="15"/>
              </w:rPr>
              <w:t>25%</w:t>
            </w:r>
          </w:p>
        </w:tc>
        <w:tc>
          <w:tcPr>
            <w:tcW w:type="dxa" w:w="1512"/>
          </w:tcPr>
          <w:p>
            <w:pPr>
              <w:spacing w:after="20" w:before="20"/>
              <w:jc w:val="right"/>
            </w:pPr>
            <w:r>
              <w:rPr>
                <w:rFonts w:ascii="Calibri" w:hAnsi="Calibri"/>
                <w:color w:val="222A28"/>
                <w:sz w:val="15"/>
              </w:rPr>
              <w:t>+2.0%</w:t>
            </w:r>
          </w:p>
        </w:tc>
      </w:tr>
      <w:tr>
        <w:tc>
          <w:tcPr>
            <w:tcW w:type="dxa" w:w="3168"/>
          </w:tcPr>
          <w:p>
            <w:pPr>
              <w:spacing w:after="20" w:before="20"/>
            </w:pPr>
            <w:r>
              <w:rPr>
                <w:rFonts w:ascii="Calibri" w:hAnsi="Calibri"/>
                <w:color w:val="222A28"/>
                <w:sz w:val="15"/>
              </w:rPr>
              <w:t>Recurring occupancy &amp; rent trend</w:t>
            </w:r>
          </w:p>
        </w:tc>
        <w:tc>
          <w:tcPr>
            <w:tcW w:type="dxa" w:w="792"/>
          </w:tcPr>
          <w:p>
            <w:pPr>
              <w:spacing w:after="20" w:before="20"/>
            </w:pPr>
            <w:r>
              <w:rPr>
                <w:rFonts w:ascii="Calibri" w:hAnsi="Calibri"/>
                <w:color w:val="222A28"/>
                <w:sz w:val="15"/>
              </w:rPr>
              <w:t>+</w:t>
            </w:r>
          </w:p>
        </w:tc>
        <w:tc>
          <w:tcPr>
            <w:tcW w:type="dxa" w:w="3384"/>
          </w:tcPr>
          <w:p>
            <w:pPr>
              <w:spacing w:after="20" w:before="20"/>
            </w:pPr>
            <w:r>
              <w:rPr>
                <w:rFonts w:ascii="Calibri" w:hAnsi="Calibri"/>
                <w:color w:val="222A28"/>
                <w:sz w:val="15"/>
              </w:rPr>
              <w:t>Fed / UAE rate decision</w:t>
            </w:r>
          </w:p>
        </w:tc>
        <w:tc>
          <w:tcPr>
            <w:tcW w:type="dxa" w:w="1080"/>
          </w:tcPr>
          <w:p>
            <w:pPr>
              <w:spacing w:after="20" w:before="20"/>
              <w:jc w:val="right"/>
            </w:pPr>
            <w:r>
              <w:rPr>
                <w:rFonts w:ascii="Calibri" w:hAnsi="Calibri"/>
                <w:color w:val="222A28"/>
                <w:sz w:val="15"/>
              </w:rPr>
              <w:t>40%</w:t>
            </w:r>
          </w:p>
        </w:tc>
        <w:tc>
          <w:tcPr>
            <w:tcW w:type="dxa" w:w="1512"/>
          </w:tcPr>
          <w:p>
            <w:pPr>
              <w:spacing w:after="20" w:before="20"/>
              <w:jc w:val="right"/>
            </w:pPr>
            <w:r>
              <w:rPr>
                <w:rFonts w:ascii="Calibri" w:hAnsi="Calibri"/>
                <w:color w:val="222A28"/>
                <w:sz w:val="15"/>
              </w:rPr>
              <w:t>0.0%</w:t>
            </w:r>
          </w:p>
        </w:tc>
      </w:tr>
      <w:tr>
        <w:tc>
          <w:tcPr>
            <w:tcW w:type="dxa" w:w="3168"/>
          </w:tcPr>
          <w:p>
            <w:pPr>
              <w:spacing w:after="20" w:before="20"/>
            </w:pPr>
            <w:r>
              <w:rPr>
                <w:rFonts w:ascii="Calibri" w:hAnsi="Calibri"/>
                <w:color w:val="222A28"/>
                <w:sz w:val="15"/>
              </w:rPr>
            </w:r>
          </w:p>
        </w:tc>
        <w:tc>
          <w:tcPr>
            <w:tcW w:type="dxa" w:w="792"/>
          </w:tcPr>
          <w:p>
            <w:pPr>
              <w:spacing w:after="20" w:before="20"/>
            </w:pPr>
            <w:r>
              <w:rPr>
                <w:rFonts w:ascii="Calibri" w:hAnsi="Calibri"/>
                <w:color w:val="222A28"/>
                <w:sz w:val="15"/>
              </w:rPr>
            </w:r>
          </w:p>
        </w:tc>
        <w:tc>
          <w:tcPr>
            <w:tcW w:type="dxa" w:w="3384"/>
          </w:tcPr>
          <w:p>
            <w:pPr>
              <w:spacing w:after="20" w:before="20"/>
            </w:pPr>
            <w:r>
              <w:rPr>
                <w:rFonts w:ascii="Calibri" w:hAnsi="Calibri"/>
                <w:color w:val="222A28"/>
                <w:sz w:val="15"/>
              </w:rPr>
              <w:t>Sales-guidance / launch-pace miss</w:t>
            </w:r>
          </w:p>
        </w:tc>
        <w:tc>
          <w:tcPr>
            <w:tcW w:type="dxa" w:w="1080"/>
          </w:tcPr>
          <w:p>
            <w:pPr>
              <w:spacing w:after="20" w:before="20"/>
              <w:jc w:val="right"/>
            </w:pPr>
            <w:r>
              <w:rPr>
                <w:rFonts w:ascii="Calibri" w:hAnsi="Calibri"/>
                <w:color w:val="222A28"/>
                <w:sz w:val="15"/>
              </w:rPr>
              <w:t>35%</w:t>
            </w:r>
          </w:p>
        </w:tc>
        <w:tc>
          <w:tcPr>
            <w:tcW w:type="dxa" w:w="1512"/>
          </w:tcPr>
          <w:p>
            <w:pPr>
              <w:spacing w:after="20" w:before="20"/>
              <w:jc w:val="right"/>
            </w:pPr>
            <w:r>
              <w:rPr>
                <w:rFonts w:ascii="Calibri" w:hAnsi="Calibri"/>
                <w:color w:val="222A28"/>
                <w:sz w:val="15"/>
              </w:rPr>
              <w:t>−5.0%</w:t>
            </w:r>
          </w:p>
        </w:tc>
      </w:tr>
      <w:tr>
        <w:tc>
          <w:tcPr>
            <w:tcW w:type="dxa" w:w="3168"/>
          </w:tcPr>
          <w:p>
            <w:pPr>
              <w:spacing w:after="20" w:before="20"/>
            </w:pPr>
            <w:r>
              <w:rPr>
                <w:rFonts w:ascii="Calibri" w:hAnsi="Calibri"/>
                <w:color w:val="222A28"/>
                <w:sz w:val="15"/>
              </w:rPr>
            </w:r>
          </w:p>
        </w:tc>
        <w:tc>
          <w:tcPr>
            <w:tcW w:type="dxa" w:w="792"/>
          </w:tcPr>
          <w:p>
            <w:pPr>
              <w:spacing w:after="20" w:before="20"/>
            </w:pPr>
            <w:r>
              <w:rPr>
                <w:rFonts w:ascii="Calibri" w:hAnsi="Calibri"/>
                <w:color w:val="222A28"/>
                <w:sz w:val="15"/>
              </w:rPr>
            </w:r>
          </w:p>
        </w:tc>
        <w:tc>
          <w:tcPr>
            <w:tcW w:type="dxa" w:w="3384"/>
          </w:tcPr>
          <w:p>
            <w:pPr>
              <w:spacing w:after="20" w:before="20"/>
            </w:pPr>
            <w:r>
              <w:rPr>
                <w:rFonts w:ascii="Calibri" w:hAnsi="Calibri"/>
                <w:color w:val="222A28"/>
                <w:sz w:val="15"/>
              </w:rPr>
              <w:t>Index / passive-flow rebalancing</w:t>
            </w:r>
          </w:p>
        </w:tc>
        <w:tc>
          <w:tcPr>
            <w:tcW w:type="dxa" w:w="1080"/>
          </w:tcPr>
          <w:p>
            <w:pPr>
              <w:spacing w:after="20" w:before="20"/>
              <w:jc w:val="right"/>
            </w:pPr>
            <w:r>
              <w:rPr>
                <w:rFonts w:ascii="Calibri" w:hAnsi="Calibri"/>
                <w:color w:val="222A28"/>
                <w:sz w:val="15"/>
              </w:rPr>
              <w:t>25%</w:t>
            </w:r>
          </w:p>
        </w:tc>
        <w:tc>
          <w:tcPr>
            <w:tcW w:type="dxa" w:w="1512"/>
          </w:tcPr>
          <w:p>
            <w:pPr>
              <w:spacing w:after="20" w:before="20"/>
              <w:jc w:val="right"/>
            </w:pPr>
            <w:r>
              <w:rPr>
                <w:rFonts w:ascii="Calibri" w:hAnsi="Calibri"/>
                <w:color w:val="222A28"/>
                <w:sz w:val="15"/>
              </w:rPr>
              <w:t>+1.0%</w:t>
            </w:r>
          </w:p>
        </w:tc>
      </w:tr>
    </w:tbl>
    <w:p>
      <w:pPr>
        <w:spacing w:after="40"/>
      </w:pPr>
    </w:p>
    <w:p>
      <w:pPr>
        <w:spacing w:after="40" w:before="80"/>
      </w:pPr>
      <w:r>
        <w:rPr>
          <w:rFonts w:ascii="Calibri" w:hAnsi="Calibri"/>
          <w:b/>
          <w:i w:val="0"/>
          <w:color w:val="222A28"/>
          <w:sz w:val="19"/>
        </w:rPr>
        <w:t>Percentile map (AED/share):</w:t>
      </w:r>
    </w:p>
    <w:tbl>
      <w:tblPr>
        <w:tblStyle w:val="TableGrid"/>
        <w:tblW w:type="auto" w:w="0"/>
        <w:jc w:val="center"/>
        <w:tblLook w:firstColumn="1" w:firstRow="1" w:lastColumn="0" w:lastRow="0" w:noHBand="0" w:noVBand="1" w:val="04A0"/>
        <w:tblLayout w:type="fixed"/>
      </w:tblPr>
      <w:tblGrid>
        <w:gridCol w:w="1656"/>
        <w:gridCol w:w="1656"/>
        <w:gridCol w:w="1656"/>
        <w:gridCol w:w="1656"/>
        <w:gridCol w:w="1656"/>
        <w:gridCol w:w="1656"/>
      </w:tblGrid>
      <w:tr>
        <w:tc>
          <w:tcPr>
            <w:tcW w:type="dxa" w:w="2880"/>
            <w:shd w:val="clear" w:color="auto" w:fill="1C3A36"/>
          </w:tcPr>
          <w:p>
            <w:pPr>
              <w:spacing w:after="20" w:before="20"/>
            </w:pPr>
            <w:r>
              <w:rPr>
                <w:rFonts w:ascii="Calibri" w:hAnsi="Calibri"/>
                <w:b/>
                <w:color w:val="FFFFFF"/>
                <w:sz w:val="16"/>
              </w:rPr>
              <w:t>Horizon</w:t>
            </w:r>
          </w:p>
        </w:tc>
        <w:tc>
          <w:tcPr>
            <w:tcW w:type="dxa" w:w="1368"/>
            <w:shd w:val="clear" w:color="auto" w:fill="1C3A36"/>
          </w:tcPr>
          <w:p>
            <w:pPr>
              <w:spacing w:after="20" w:before="20"/>
              <w:jc w:val="right"/>
            </w:pPr>
            <w:r>
              <w:rPr>
                <w:rFonts w:ascii="Calibri" w:hAnsi="Calibri"/>
                <w:b/>
                <w:color w:val="FFFFFF"/>
                <w:sz w:val="16"/>
              </w:rPr>
              <w:t>p5</w:t>
            </w:r>
          </w:p>
        </w:tc>
        <w:tc>
          <w:tcPr>
            <w:tcW w:type="dxa" w:w="1368"/>
            <w:shd w:val="clear" w:color="auto" w:fill="1C3A36"/>
          </w:tcPr>
          <w:p>
            <w:pPr>
              <w:spacing w:after="20" w:before="20"/>
              <w:jc w:val="right"/>
            </w:pPr>
            <w:r>
              <w:rPr>
                <w:rFonts w:ascii="Calibri" w:hAnsi="Calibri"/>
                <w:b/>
                <w:color w:val="FFFFFF"/>
                <w:sz w:val="16"/>
              </w:rPr>
              <w:t>p25</w:t>
            </w:r>
          </w:p>
        </w:tc>
        <w:tc>
          <w:tcPr>
            <w:tcW w:type="dxa" w:w="1368"/>
            <w:shd w:val="clear" w:color="auto" w:fill="1C3A36"/>
          </w:tcPr>
          <w:p>
            <w:pPr>
              <w:spacing w:after="20" w:before="20"/>
              <w:jc w:val="right"/>
            </w:pPr>
            <w:r>
              <w:rPr>
                <w:rFonts w:ascii="Calibri" w:hAnsi="Calibri"/>
                <w:b/>
                <w:color w:val="FFFFFF"/>
                <w:sz w:val="16"/>
              </w:rPr>
              <w:t>p50</w:t>
            </w:r>
          </w:p>
        </w:tc>
        <w:tc>
          <w:tcPr>
            <w:tcW w:type="dxa" w:w="1368"/>
            <w:shd w:val="clear" w:color="auto" w:fill="1C3A36"/>
          </w:tcPr>
          <w:p>
            <w:pPr>
              <w:spacing w:after="20" w:before="20"/>
              <w:jc w:val="right"/>
            </w:pPr>
            <w:r>
              <w:rPr>
                <w:rFonts w:ascii="Calibri" w:hAnsi="Calibri"/>
                <w:b/>
                <w:color w:val="FFFFFF"/>
                <w:sz w:val="16"/>
              </w:rPr>
              <w:t>p75</w:t>
            </w:r>
          </w:p>
        </w:tc>
        <w:tc>
          <w:tcPr>
            <w:tcW w:type="dxa" w:w="1368"/>
            <w:shd w:val="clear" w:color="auto" w:fill="1C3A36"/>
          </w:tcPr>
          <w:p>
            <w:pPr>
              <w:spacing w:after="20" w:before="20"/>
              <w:jc w:val="right"/>
            </w:pPr>
            <w:r>
              <w:rPr>
                <w:rFonts w:ascii="Calibri" w:hAnsi="Calibri"/>
                <w:b/>
                <w:color w:val="FFFFFF"/>
                <w:sz w:val="16"/>
              </w:rPr>
              <w:t>p95</w:t>
            </w:r>
          </w:p>
        </w:tc>
      </w:tr>
      <w:tr>
        <w:tc>
          <w:tcPr>
            <w:tcW w:type="dxa" w:w="2880"/>
          </w:tcPr>
          <w:p>
            <w:pPr>
              <w:spacing w:after="20" w:before="20"/>
            </w:pPr>
            <w:r>
              <w:rPr>
                <w:rFonts w:ascii="Calibri" w:hAnsi="Calibri"/>
                <w:color w:val="222A28"/>
                <w:sz w:val="16"/>
              </w:rPr>
              <w:t>T+20 sessions</w:t>
            </w:r>
          </w:p>
        </w:tc>
        <w:tc>
          <w:tcPr>
            <w:tcW w:type="dxa" w:w="1368"/>
          </w:tcPr>
          <w:p>
            <w:pPr>
              <w:spacing w:after="20" w:before="20"/>
              <w:jc w:val="right"/>
            </w:pPr>
            <w:r>
              <w:rPr>
                <w:rFonts w:ascii="Calibri" w:hAnsi="Calibri"/>
                <w:color w:val="222A28"/>
                <w:sz w:val="16"/>
              </w:rPr>
              <w:t>7.02</w:t>
            </w:r>
          </w:p>
        </w:tc>
        <w:tc>
          <w:tcPr>
            <w:tcW w:type="dxa" w:w="1368"/>
          </w:tcPr>
          <w:p>
            <w:pPr>
              <w:spacing w:after="20" w:before="20"/>
              <w:jc w:val="right"/>
            </w:pPr>
            <w:r>
              <w:rPr>
                <w:rFonts w:ascii="Calibri" w:hAnsi="Calibri"/>
                <w:color w:val="222A28"/>
                <w:sz w:val="16"/>
              </w:rPr>
              <w:t>7.86</w:t>
            </w:r>
          </w:p>
        </w:tc>
        <w:tc>
          <w:tcPr>
            <w:tcW w:type="dxa" w:w="1368"/>
          </w:tcPr>
          <w:p>
            <w:pPr>
              <w:spacing w:after="20" w:before="20"/>
              <w:jc w:val="right"/>
            </w:pPr>
            <w:r>
              <w:rPr>
                <w:rFonts w:ascii="Calibri" w:hAnsi="Calibri"/>
                <w:color w:val="222A28"/>
                <w:sz w:val="16"/>
              </w:rPr>
              <w:t>8.37</w:t>
            </w:r>
          </w:p>
        </w:tc>
        <w:tc>
          <w:tcPr>
            <w:tcW w:type="dxa" w:w="1368"/>
          </w:tcPr>
          <w:p>
            <w:pPr>
              <w:spacing w:after="20" w:before="20"/>
              <w:jc w:val="right"/>
            </w:pPr>
            <w:r>
              <w:rPr>
                <w:rFonts w:ascii="Calibri" w:hAnsi="Calibri"/>
                <w:color w:val="222A28"/>
                <w:sz w:val="16"/>
              </w:rPr>
              <w:t>8.92</w:t>
            </w:r>
          </w:p>
        </w:tc>
        <w:tc>
          <w:tcPr>
            <w:tcW w:type="dxa" w:w="1368"/>
          </w:tcPr>
          <w:p>
            <w:pPr>
              <w:spacing w:after="20" w:before="20"/>
              <w:jc w:val="right"/>
            </w:pPr>
            <w:r>
              <w:rPr>
                <w:rFonts w:ascii="Calibri" w:hAnsi="Calibri"/>
                <w:color w:val="222A28"/>
                <w:sz w:val="16"/>
              </w:rPr>
              <w:t>9.91</w:t>
            </w:r>
          </w:p>
        </w:tc>
      </w:tr>
      <w:tr>
        <w:tc>
          <w:tcPr>
            <w:tcW w:type="dxa" w:w="2880"/>
          </w:tcPr>
          <w:p>
            <w:pPr>
              <w:spacing w:after="20" w:before="20"/>
            </w:pPr>
            <w:r>
              <w:rPr>
                <w:rFonts w:ascii="Calibri" w:hAnsi="Calibri"/>
                <w:color w:val="222A28"/>
                <w:sz w:val="16"/>
              </w:rPr>
              <w:t>T+60 sessions</w:t>
            </w:r>
          </w:p>
        </w:tc>
        <w:tc>
          <w:tcPr>
            <w:tcW w:type="dxa" w:w="1368"/>
          </w:tcPr>
          <w:p>
            <w:pPr>
              <w:spacing w:after="20" w:before="20"/>
              <w:jc w:val="right"/>
            </w:pPr>
            <w:r>
              <w:rPr>
                <w:rFonts w:ascii="Calibri" w:hAnsi="Calibri"/>
                <w:color w:val="222A28"/>
                <w:sz w:val="16"/>
              </w:rPr>
              <w:t>6.36</w:t>
            </w:r>
          </w:p>
        </w:tc>
        <w:tc>
          <w:tcPr>
            <w:tcW w:type="dxa" w:w="1368"/>
          </w:tcPr>
          <w:p>
            <w:pPr>
              <w:spacing w:after="20" w:before="20"/>
              <w:jc w:val="right"/>
            </w:pPr>
            <w:r>
              <w:rPr>
                <w:rFonts w:ascii="Calibri" w:hAnsi="Calibri"/>
                <w:color w:val="222A28"/>
                <w:sz w:val="16"/>
              </w:rPr>
              <w:t>7.60</w:t>
            </w:r>
          </w:p>
        </w:tc>
        <w:tc>
          <w:tcPr>
            <w:tcW w:type="dxa" w:w="1368"/>
          </w:tcPr>
          <w:p>
            <w:pPr>
              <w:spacing w:after="20" w:before="20"/>
              <w:jc w:val="right"/>
            </w:pPr>
            <w:r>
              <w:rPr>
                <w:rFonts w:ascii="Calibri" w:hAnsi="Calibri"/>
                <w:color w:val="222A28"/>
                <w:sz w:val="16"/>
              </w:rPr>
              <w:t>8.50</w:t>
            </w:r>
          </w:p>
        </w:tc>
        <w:tc>
          <w:tcPr>
            <w:tcW w:type="dxa" w:w="1368"/>
          </w:tcPr>
          <w:p>
            <w:pPr>
              <w:spacing w:after="20" w:before="20"/>
              <w:jc w:val="right"/>
            </w:pPr>
            <w:r>
              <w:rPr>
                <w:rFonts w:ascii="Calibri" w:hAnsi="Calibri"/>
                <w:color w:val="222A28"/>
                <w:sz w:val="16"/>
              </w:rPr>
              <w:t>9.48</w:t>
            </w:r>
          </w:p>
        </w:tc>
        <w:tc>
          <w:tcPr>
            <w:tcW w:type="dxa" w:w="1368"/>
          </w:tcPr>
          <w:p>
            <w:pPr>
              <w:spacing w:after="20" w:before="20"/>
              <w:jc w:val="right"/>
            </w:pPr>
            <w:r>
              <w:rPr>
                <w:rFonts w:ascii="Calibri" w:hAnsi="Calibri"/>
                <w:color w:val="222A28"/>
                <w:sz w:val="16"/>
              </w:rPr>
              <w:t>11.29</w:t>
            </w:r>
          </w:p>
        </w:tc>
      </w:tr>
    </w:tbl>
    <w:p>
      <w:pPr>
        <w:spacing w:after="40"/>
      </w:pPr>
    </w:p>
    <w:p>
      <w:pPr>
        <w:jc w:val="center"/>
      </w:pPr>
      <w:r>
        <w:drawing>
          <wp:inline xmlns:a="http://schemas.openxmlformats.org/drawingml/2006/main" xmlns:pic="http://schemas.openxmlformats.org/drawingml/2006/picture">
            <wp:extent cx="5486400" cy="2626468"/>
            <wp:docPr id="5" name="Picture 5"/>
            <wp:cNvGraphicFramePr>
              <a:graphicFrameLocks noChangeAspect="1"/>
            </wp:cNvGraphicFramePr>
            <a:graphic>
              <a:graphicData uri="http://schemas.openxmlformats.org/drawingml/2006/picture">
                <pic:pic>
                  <pic:nvPicPr>
                    <pic:cNvPr id="0" name="fig4_cone.png"/>
                    <pic:cNvPicPr/>
                  </pic:nvPicPr>
                  <pic:blipFill>
                    <a:blip r:embed="rId13"/>
                    <a:stretch>
                      <a:fillRect/>
                    </a:stretch>
                  </pic:blipFill>
                  <pic:spPr>
                    <a:xfrm>
                      <a:off x="0" y="0"/>
                      <a:ext cx="5486400" cy="2626468"/>
                    </a:xfrm>
                    <a:prstGeom prst="rect"/>
                  </pic:spPr>
                </pic:pic>
              </a:graphicData>
            </a:graphic>
          </wp:inline>
        </w:drawing>
      </w:r>
    </w:p>
    <w:p>
      <w:pPr>
        <w:spacing w:after="160" w:before="0"/>
        <w:jc w:val="center"/>
      </w:pPr>
      <w:r>
        <w:rPr>
          <w:rFonts w:ascii="Calibri" w:hAnsi="Calibri"/>
          <w:b w:val="0"/>
          <w:i/>
          <w:color w:val="5B6B67"/>
          <w:sz w:val="16"/>
        </w:rPr>
        <w:t>Figure 4 — Forward price cone to T+60. Median tracks just above spot; the gold dotted line marks the AED 10.2 fundamental central, deliberately above the cone.</w:t>
      </w:r>
    </w:p>
    <w:p>
      <w:pPr>
        <w:jc w:val="center"/>
      </w:pPr>
      <w:r>
        <w:drawing>
          <wp:inline xmlns:a="http://schemas.openxmlformats.org/drawingml/2006/main" xmlns:pic="http://schemas.openxmlformats.org/drawingml/2006/picture">
            <wp:extent cx="4937760" cy="2290107"/>
            <wp:docPr id="6" name="Picture 6"/>
            <wp:cNvGraphicFramePr>
              <a:graphicFrameLocks noChangeAspect="1"/>
            </wp:cNvGraphicFramePr>
            <a:graphic>
              <a:graphicData uri="http://schemas.openxmlformats.org/drawingml/2006/picture">
                <pic:pic>
                  <pic:nvPicPr>
                    <pic:cNvPr id="0" name="fig5_dist_T+20.png"/>
                    <pic:cNvPicPr/>
                  </pic:nvPicPr>
                  <pic:blipFill>
                    <a:blip r:embed="rId14"/>
                    <a:stretch>
                      <a:fillRect/>
                    </a:stretch>
                  </pic:blipFill>
                  <pic:spPr>
                    <a:xfrm>
                      <a:off x="0" y="0"/>
                      <a:ext cx="4937760" cy="2290107"/>
                    </a:xfrm>
                    <a:prstGeom prst="rect"/>
                  </pic:spPr>
                </pic:pic>
              </a:graphicData>
            </a:graphic>
          </wp:inline>
        </w:drawing>
      </w:r>
    </w:p>
    <w:p>
      <w:pPr>
        <w:spacing w:after="160" w:before="0"/>
        <w:jc w:val="center"/>
      </w:pPr>
      <w:r>
        <w:rPr>
          <w:rFonts w:ascii="Calibri" w:hAnsi="Calibri"/>
          <w:b w:val="0"/>
          <w:i/>
          <w:color w:val="5B6B67"/>
          <w:sz w:val="16"/>
        </w:rPr>
        <w:t>Figure 5 — Price distribution at T+20.</w:t>
      </w:r>
    </w:p>
    <w:p>
      <w:pPr>
        <w:jc w:val="center"/>
      </w:pPr>
      <w:r>
        <w:drawing>
          <wp:inline xmlns:a="http://schemas.openxmlformats.org/drawingml/2006/main" xmlns:pic="http://schemas.openxmlformats.org/drawingml/2006/picture">
            <wp:extent cx="4937760" cy="2290107"/>
            <wp:docPr id="7" name="Picture 7"/>
            <wp:cNvGraphicFramePr>
              <a:graphicFrameLocks noChangeAspect="1"/>
            </wp:cNvGraphicFramePr>
            <a:graphic>
              <a:graphicData uri="http://schemas.openxmlformats.org/drawingml/2006/picture">
                <pic:pic>
                  <pic:nvPicPr>
                    <pic:cNvPr id="0" name="fig6_dist_T+60.png"/>
                    <pic:cNvPicPr/>
                  </pic:nvPicPr>
                  <pic:blipFill>
                    <a:blip r:embed="rId15"/>
                    <a:stretch>
                      <a:fillRect/>
                    </a:stretch>
                  </pic:blipFill>
                  <pic:spPr>
                    <a:xfrm>
                      <a:off x="0" y="0"/>
                      <a:ext cx="4937760" cy="2290107"/>
                    </a:xfrm>
                    <a:prstGeom prst="rect"/>
                  </pic:spPr>
                </pic:pic>
              </a:graphicData>
            </a:graphic>
          </wp:inline>
        </w:drawing>
      </w:r>
    </w:p>
    <w:p>
      <w:pPr>
        <w:spacing w:after="160" w:before="0"/>
        <w:jc w:val="center"/>
      </w:pPr>
      <w:r>
        <w:rPr>
          <w:rFonts w:ascii="Calibri" w:hAnsi="Calibri"/>
          <w:b w:val="0"/>
          <w:i/>
          <w:color w:val="5B6B67"/>
          <w:sz w:val="16"/>
        </w:rPr>
        <w:t>Figure 6 — Price distribution at T+60.</w:t>
      </w:r>
    </w:p>
    <w:p>
      <w:pPr>
        <w:spacing w:after="40" w:before="80"/>
      </w:pPr>
      <w:r>
        <w:rPr>
          <w:rFonts w:ascii="Calibri" w:hAnsi="Calibri"/>
          <w:b/>
          <w:i w:val="0"/>
          <w:color w:val="222A28"/>
          <w:sz w:val="19"/>
        </w:rPr>
        <w:t>Level-touch ladder — the probability that price touches a level at any point by the horizon (running max for upside, running min for downside):</w:t>
      </w:r>
    </w:p>
    <w:tbl>
      <w:tblPr>
        <w:tblStyle w:val="TableGrid"/>
        <w:tblW w:type="auto" w:w="0"/>
        <w:jc w:val="center"/>
        <w:tblLook w:firstColumn="1" w:firstRow="1" w:lastColumn="0" w:lastRow="0" w:noHBand="0" w:noVBand="1" w:val="04A0"/>
        <w:tblLayout w:type="fixed"/>
      </w:tblPr>
      <w:tblGrid>
        <w:gridCol w:w="2484"/>
        <w:gridCol w:w="2484"/>
        <w:gridCol w:w="2484"/>
        <w:gridCol w:w="2484"/>
      </w:tblGrid>
      <w:tr>
        <w:tc>
          <w:tcPr>
            <w:tcW w:type="dxa" w:w="1584"/>
            <w:shd w:val="clear" w:color="auto" w:fill="1C3A36"/>
          </w:tcPr>
          <w:p>
            <w:pPr>
              <w:spacing w:after="20" w:before="20"/>
            </w:pPr>
            <w:r>
              <w:rPr>
                <w:rFonts w:ascii="Calibri" w:hAnsi="Calibri"/>
                <w:b/>
                <w:color w:val="FFFFFF"/>
                <w:sz w:val="16"/>
              </w:rPr>
              <w:t>Level</w:t>
            </w:r>
          </w:p>
        </w:tc>
        <w:tc>
          <w:tcPr>
            <w:tcW w:type="dxa" w:w="1872"/>
            <w:shd w:val="clear" w:color="auto" w:fill="1C3A36"/>
          </w:tcPr>
          <w:p>
            <w:pPr>
              <w:spacing w:after="20" w:before="20"/>
              <w:jc w:val="right"/>
            </w:pPr>
            <w:r>
              <w:rPr>
                <w:rFonts w:ascii="Calibri" w:hAnsi="Calibri"/>
                <w:b/>
                <w:color w:val="FFFFFF"/>
                <w:sz w:val="16"/>
              </w:rPr>
              <w:t>T+20 touch</w:t>
            </w:r>
          </w:p>
        </w:tc>
        <w:tc>
          <w:tcPr>
            <w:tcW w:type="dxa" w:w="1872"/>
            <w:shd w:val="clear" w:color="auto" w:fill="1C3A36"/>
          </w:tcPr>
          <w:p>
            <w:pPr>
              <w:spacing w:after="20" w:before="20"/>
              <w:jc w:val="right"/>
            </w:pPr>
            <w:r>
              <w:rPr>
                <w:rFonts w:ascii="Calibri" w:hAnsi="Calibri"/>
                <w:b/>
                <w:color w:val="FFFFFF"/>
                <w:sz w:val="16"/>
              </w:rPr>
              <w:t>T+60 touch</w:t>
            </w:r>
          </w:p>
        </w:tc>
        <w:tc>
          <w:tcPr>
            <w:tcW w:type="dxa" w:w="4176"/>
            <w:shd w:val="clear" w:color="auto" w:fill="1C3A36"/>
          </w:tcPr>
          <w:p>
            <w:pPr>
              <w:spacing w:after="20" w:before="20"/>
              <w:jc w:val="right"/>
            </w:pPr>
            <w:r>
              <w:rPr>
                <w:rFonts w:ascii="Calibri" w:hAnsi="Calibri"/>
                <w:b/>
                <w:color w:val="FFFFFF"/>
                <w:sz w:val="16"/>
              </w:rPr>
              <w:t>Note</w:t>
            </w:r>
          </w:p>
        </w:tc>
      </w:tr>
      <w:tr>
        <w:tc>
          <w:tcPr>
            <w:tcW w:type="dxa" w:w="1584"/>
          </w:tcPr>
          <w:p>
            <w:pPr>
              <w:spacing w:after="20" w:before="20"/>
            </w:pPr>
            <w:r>
              <w:rPr>
                <w:rFonts w:ascii="Calibri" w:hAnsi="Calibri"/>
                <w:color w:val="222A28"/>
                <w:sz w:val="16"/>
              </w:rPr>
              <w:t>10.50</w:t>
            </w:r>
          </w:p>
        </w:tc>
        <w:tc>
          <w:tcPr>
            <w:tcW w:type="dxa" w:w="1872"/>
          </w:tcPr>
          <w:p>
            <w:pPr>
              <w:spacing w:after="20" w:before="20"/>
              <w:jc w:val="right"/>
            </w:pPr>
            <w:r>
              <w:rPr>
                <w:rFonts w:ascii="Calibri" w:hAnsi="Calibri"/>
                <w:color w:val="222A28"/>
                <w:sz w:val="16"/>
              </w:rPr>
              <w:t>3%</w:t>
            </w:r>
          </w:p>
        </w:tc>
        <w:tc>
          <w:tcPr>
            <w:tcW w:type="dxa" w:w="1872"/>
          </w:tcPr>
          <w:p>
            <w:pPr>
              <w:spacing w:after="20" w:before="20"/>
              <w:jc w:val="right"/>
            </w:pPr>
            <w:r>
              <w:rPr>
                <w:rFonts w:ascii="Calibri" w:hAnsi="Calibri"/>
                <w:color w:val="222A28"/>
                <w:sz w:val="16"/>
              </w:rPr>
              <w:t>17%</w:t>
            </w:r>
          </w:p>
        </w:tc>
        <w:tc>
          <w:tcPr>
            <w:tcW w:type="dxa" w:w="4176"/>
          </w:tcPr>
          <w:p>
            <w:pPr>
              <w:spacing w:after="20" w:before="20"/>
              <w:jc w:val="right"/>
            </w:pPr>
            <w:r>
              <w:rPr>
                <w:rFonts w:ascii="Calibri" w:hAnsi="Calibri"/>
                <w:color w:val="222A28"/>
                <w:sz w:val="16"/>
              </w:rPr>
              <w:t>toward sell-side target zone</w:t>
            </w:r>
          </w:p>
        </w:tc>
      </w:tr>
      <w:tr>
        <w:tc>
          <w:tcPr>
            <w:tcW w:type="dxa" w:w="1584"/>
          </w:tcPr>
          <w:p>
            <w:pPr>
              <w:spacing w:after="20" w:before="20"/>
            </w:pPr>
            <w:r>
              <w:rPr>
                <w:rFonts w:ascii="Calibri" w:hAnsi="Calibri"/>
                <w:color w:val="222A28"/>
                <w:sz w:val="16"/>
              </w:rPr>
              <w:t>10.00</w:t>
            </w:r>
          </w:p>
        </w:tc>
        <w:tc>
          <w:tcPr>
            <w:tcW w:type="dxa" w:w="1872"/>
          </w:tcPr>
          <w:p>
            <w:pPr>
              <w:spacing w:after="20" w:before="20"/>
              <w:jc w:val="right"/>
            </w:pPr>
            <w:r>
              <w:rPr>
                <w:rFonts w:ascii="Calibri" w:hAnsi="Calibri"/>
                <w:color w:val="222A28"/>
                <w:sz w:val="16"/>
              </w:rPr>
              <w:t>7%</w:t>
            </w:r>
          </w:p>
        </w:tc>
        <w:tc>
          <w:tcPr>
            <w:tcW w:type="dxa" w:w="1872"/>
          </w:tcPr>
          <w:p>
            <w:pPr>
              <w:spacing w:after="20" w:before="20"/>
              <w:jc w:val="right"/>
            </w:pPr>
            <w:r>
              <w:rPr>
                <w:rFonts w:ascii="Calibri" w:hAnsi="Calibri"/>
                <w:color w:val="222A28"/>
                <w:sz w:val="16"/>
              </w:rPr>
              <w:t>27%</w:t>
            </w:r>
          </w:p>
        </w:tc>
        <w:tc>
          <w:tcPr>
            <w:tcW w:type="dxa" w:w="4176"/>
          </w:tcPr>
          <w:p>
            <w:pPr>
              <w:spacing w:after="20" w:before="20"/>
              <w:jc w:val="right"/>
            </w:pPr>
            <w:r>
              <w:rPr>
                <w:rFonts w:ascii="Calibri" w:hAnsi="Calibri"/>
                <w:color w:val="222A28"/>
                <w:sz w:val="16"/>
              </w:rPr>
              <w:t>upper fair-value</w:t>
            </w:r>
          </w:p>
        </w:tc>
      </w:tr>
      <w:tr>
        <w:tc>
          <w:tcPr>
            <w:tcW w:type="dxa" w:w="1584"/>
          </w:tcPr>
          <w:p>
            <w:pPr>
              <w:spacing w:after="20" w:before="20"/>
            </w:pPr>
            <w:r>
              <w:rPr>
                <w:rFonts w:ascii="Calibri" w:hAnsi="Calibri"/>
                <w:color w:val="222A28"/>
                <w:sz w:val="16"/>
              </w:rPr>
              <w:t>9.50</w:t>
            </w:r>
          </w:p>
        </w:tc>
        <w:tc>
          <w:tcPr>
            <w:tcW w:type="dxa" w:w="1872"/>
          </w:tcPr>
          <w:p>
            <w:pPr>
              <w:spacing w:after="20" w:before="20"/>
              <w:jc w:val="right"/>
            </w:pPr>
            <w:r>
              <w:rPr>
                <w:rFonts w:ascii="Calibri" w:hAnsi="Calibri"/>
                <w:color w:val="222A28"/>
                <w:sz w:val="16"/>
              </w:rPr>
              <w:t>15%</w:t>
            </w:r>
          </w:p>
        </w:tc>
        <w:tc>
          <w:tcPr>
            <w:tcW w:type="dxa" w:w="1872"/>
          </w:tcPr>
          <w:p>
            <w:pPr>
              <w:spacing w:after="20" w:before="20"/>
              <w:jc w:val="right"/>
            </w:pPr>
            <w:r>
              <w:rPr>
                <w:rFonts w:ascii="Calibri" w:hAnsi="Calibri"/>
                <w:color w:val="222A28"/>
                <w:sz w:val="16"/>
              </w:rPr>
              <w:t>42%</w:t>
            </w:r>
          </w:p>
        </w:tc>
        <w:tc>
          <w:tcPr>
            <w:tcW w:type="dxa" w:w="4176"/>
          </w:tcPr>
          <w:p>
            <w:pPr>
              <w:spacing w:after="20" w:before="20"/>
              <w:jc w:val="right"/>
            </w:pPr>
            <w:r>
              <w:rPr>
                <w:rFonts w:ascii="Calibri" w:hAnsi="Calibri"/>
                <w:color w:val="222A28"/>
                <w:sz w:val="16"/>
              </w:rPr>
              <w:t>fair-value zone</w:t>
            </w:r>
          </w:p>
        </w:tc>
      </w:tr>
      <w:tr>
        <w:tc>
          <w:tcPr>
            <w:tcW w:type="dxa" w:w="1584"/>
          </w:tcPr>
          <w:p>
            <w:pPr>
              <w:spacing w:after="20" w:before="20"/>
            </w:pPr>
            <w:r>
              <w:rPr>
                <w:rFonts w:ascii="Calibri" w:hAnsi="Calibri"/>
                <w:color w:val="222A28"/>
                <w:sz w:val="16"/>
              </w:rPr>
              <w:t>9.00</w:t>
            </w:r>
          </w:p>
        </w:tc>
        <w:tc>
          <w:tcPr>
            <w:tcW w:type="dxa" w:w="1872"/>
          </w:tcPr>
          <w:p>
            <w:pPr>
              <w:spacing w:after="20" w:before="20"/>
              <w:jc w:val="right"/>
            </w:pPr>
            <w:r>
              <w:rPr>
                <w:rFonts w:ascii="Calibri" w:hAnsi="Calibri"/>
                <w:color w:val="222A28"/>
                <w:sz w:val="16"/>
              </w:rPr>
              <w:t>35%</w:t>
            </w:r>
          </w:p>
        </w:tc>
        <w:tc>
          <w:tcPr>
            <w:tcW w:type="dxa" w:w="1872"/>
          </w:tcPr>
          <w:p>
            <w:pPr>
              <w:spacing w:after="20" w:before="20"/>
              <w:jc w:val="right"/>
            </w:pPr>
            <w:r>
              <w:rPr>
                <w:rFonts w:ascii="Calibri" w:hAnsi="Calibri"/>
                <w:color w:val="222A28"/>
                <w:sz w:val="16"/>
              </w:rPr>
              <w:t>61%</w:t>
            </w:r>
          </w:p>
        </w:tc>
        <w:tc>
          <w:tcPr>
            <w:tcW w:type="dxa" w:w="4176"/>
          </w:tcPr>
          <w:p>
            <w:pPr>
              <w:spacing w:after="20" w:before="20"/>
              <w:jc w:val="right"/>
            </w:pPr>
            <w:r>
              <w:rPr>
                <w:rFonts w:ascii="Calibri" w:hAnsi="Calibri"/>
                <w:color w:val="222A28"/>
                <w:sz w:val="16"/>
              </w:rPr>
              <w:t>re-rating zone</w:t>
            </w:r>
          </w:p>
        </w:tc>
      </w:tr>
      <w:tr>
        <w:tc>
          <w:tcPr>
            <w:tcW w:type="dxa" w:w="1584"/>
          </w:tcPr>
          <w:p>
            <w:pPr>
              <w:spacing w:after="20" w:before="20"/>
            </w:pPr>
            <w:r>
              <w:rPr>
                <w:rFonts w:ascii="Calibri" w:hAnsi="Calibri"/>
                <w:color w:val="222A28"/>
                <w:sz w:val="16"/>
              </w:rPr>
              <w:t>8.60</w:t>
            </w:r>
          </w:p>
        </w:tc>
        <w:tc>
          <w:tcPr>
            <w:tcW w:type="dxa" w:w="1872"/>
          </w:tcPr>
          <w:p>
            <w:pPr>
              <w:spacing w:after="20" w:before="20"/>
              <w:jc w:val="right"/>
            </w:pPr>
            <w:r>
              <w:rPr>
                <w:rFonts w:ascii="Calibri" w:hAnsi="Calibri"/>
                <w:color w:val="222A28"/>
                <w:sz w:val="16"/>
              </w:rPr>
              <w:t>61%</w:t>
            </w:r>
          </w:p>
        </w:tc>
        <w:tc>
          <w:tcPr>
            <w:tcW w:type="dxa" w:w="1872"/>
          </w:tcPr>
          <w:p>
            <w:pPr>
              <w:spacing w:after="20" w:before="20"/>
              <w:jc w:val="right"/>
            </w:pPr>
            <w:r>
              <w:rPr>
                <w:rFonts w:ascii="Calibri" w:hAnsi="Calibri"/>
                <w:color w:val="222A28"/>
                <w:sz w:val="16"/>
              </w:rPr>
              <w:t>79%</w:t>
            </w:r>
          </w:p>
        </w:tc>
        <w:tc>
          <w:tcPr>
            <w:tcW w:type="dxa" w:w="4176"/>
          </w:tcPr>
          <w:p>
            <w:pPr>
              <w:spacing w:after="20" w:before="20"/>
              <w:jc w:val="right"/>
            </w:pPr>
            <w:r>
              <w:rPr>
                <w:rFonts w:ascii="Calibri" w:hAnsi="Calibri"/>
                <w:color w:val="222A28"/>
                <w:sz w:val="16"/>
              </w:rPr>
              <w:t>MA-stack resistance</w:t>
            </w:r>
          </w:p>
        </w:tc>
      </w:tr>
      <w:tr>
        <w:tc>
          <w:tcPr>
            <w:tcW w:type="dxa" w:w="1584"/>
          </w:tcPr>
          <w:p>
            <w:pPr>
              <w:spacing w:after="20" w:before="20"/>
            </w:pPr>
            <w:r>
              <w:rPr>
                <w:rFonts w:ascii="Calibri" w:hAnsi="Calibri"/>
                <w:color w:val="222A28"/>
                <w:sz w:val="16"/>
              </w:rPr>
              <w:t>8.00</w:t>
            </w:r>
          </w:p>
        </w:tc>
        <w:tc>
          <w:tcPr>
            <w:tcW w:type="dxa" w:w="1872"/>
          </w:tcPr>
          <w:p>
            <w:pPr>
              <w:spacing w:after="20" w:before="20"/>
              <w:jc w:val="right"/>
            </w:pPr>
            <w:r>
              <w:rPr>
                <w:rFonts w:ascii="Calibri" w:hAnsi="Calibri"/>
                <w:color w:val="222A28"/>
                <w:sz w:val="16"/>
              </w:rPr>
              <w:t>54%</w:t>
            </w:r>
          </w:p>
        </w:tc>
        <w:tc>
          <w:tcPr>
            <w:tcW w:type="dxa" w:w="1872"/>
          </w:tcPr>
          <w:p>
            <w:pPr>
              <w:spacing w:after="20" w:before="20"/>
              <w:jc w:val="right"/>
            </w:pPr>
            <w:r>
              <w:rPr>
                <w:rFonts w:ascii="Calibri" w:hAnsi="Calibri"/>
                <w:color w:val="222A28"/>
                <w:sz w:val="16"/>
              </w:rPr>
              <w:t>71%</w:t>
            </w:r>
          </w:p>
        </w:tc>
        <w:tc>
          <w:tcPr>
            <w:tcW w:type="dxa" w:w="4176"/>
          </w:tcPr>
          <w:p>
            <w:pPr>
              <w:spacing w:after="20" w:before="20"/>
              <w:jc w:val="right"/>
            </w:pPr>
            <w:r>
              <w:rPr>
                <w:rFonts w:ascii="Calibri" w:hAnsi="Calibri"/>
                <w:color w:val="222A28"/>
                <w:sz w:val="16"/>
              </w:rPr>
              <w:t>just below spot</w:t>
            </w:r>
          </w:p>
        </w:tc>
      </w:tr>
      <w:tr>
        <w:tc>
          <w:tcPr>
            <w:tcW w:type="dxa" w:w="1584"/>
          </w:tcPr>
          <w:p>
            <w:pPr>
              <w:spacing w:after="20" w:before="20"/>
            </w:pPr>
            <w:r>
              <w:rPr>
                <w:rFonts w:ascii="Calibri" w:hAnsi="Calibri"/>
                <w:color w:val="222A28"/>
                <w:sz w:val="16"/>
              </w:rPr>
              <w:t>7.60</w:t>
            </w:r>
          </w:p>
        </w:tc>
        <w:tc>
          <w:tcPr>
            <w:tcW w:type="dxa" w:w="1872"/>
          </w:tcPr>
          <w:p>
            <w:pPr>
              <w:spacing w:after="20" w:before="20"/>
              <w:jc w:val="right"/>
            </w:pPr>
            <w:r>
              <w:rPr>
                <w:rFonts w:ascii="Calibri" w:hAnsi="Calibri"/>
                <w:color w:val="222A28"/>
                <w:sz w:val="16"/>
              </w:rPr>
              <w:t>26%</w:t>
            </w:r>
          </w:p>
        </w:tc>
        <w:tc>
          <w:tcPr>
            <w:tcW w:type="dxa" w:w="1872"/>
          </w:tcPr>
          <w:p>
            <w:pPr>
              <w:spacing w:after="20" w:before="20"/>
              <w:jc w:val="right"/>
            </w:pPr>
            <w:r>
              <w:rPr>
                <w:rFonts w:ascii="Calibri" w:hAnsi="Calibri"/>
                <w:color w:val="222A28"/>
                <w:sz w:val="16"/>
              </w:rPr>
              <w:t>49%</w:t>
            </w:r>
          </w:p>
        </w:tc>
        <w:tc>
          <w:tcPr>
            <w:tcW w:type="dxa" w:w="4176"/>
          </w:tcPr>
          <w:p>
            <w:pPr>
              <w:spacing w:after="20" w:before="20"/>
              <w:jc w:val="right"/>
            </w:pPr>
            <w:r>
              <w:rPr>
                <w:rFonts w:ascii="Calibri" w:hAnsi="Calibri"/>
                <w:color w:val="222A28"/>
                <w:sz w:val="16"/>
              </w:rPr>
              <w:t>lower band</w:t>
            </w:r>
          </w:p>
        </w:tc>
      </w:tr>
      <w:tr>
        <w:tc>
          <w:tcPr>
            <w:tcW w:type="dxa" w:w="1584"/>
          </w:tcPr>
          <w:p>
            <w:pPr>
              <w:spacing w:after="20" w:before="20"/>
            </w:pPr>
            <w:r>
              <w:rPr>
                <w:rFonts w:ascii="Calibri" w:hAnsi="Calibri"/>
                <w:color w:val="222A28"/>
                <w:sz w:val="16"/>
              </w:rPr>
              <w:t>7.20</w:t>
            </w:r>
          </w:p>
        </w:tc>
        <w:tc>
          <w:tcPr>
            <w:tcW w:type="dxa" w:w="1872"/>
          </w:tcPr>
          <w:p>
            <w:pPr>
              <w:spacing w:after="20" w:before="20"/>
              <w:jc w:val="right"/>
            </w:pPr>
            <w:r>
              <w:rPr>
                <w:rFonts w:ascii="Calibri" w:hAnsi="Calibri"/>
                <w:color w:val="222A28"/>
                <w:sz w:val="16"/>
              </w:rPr>
              <w:t>12%</w:t>
            </w:r>
          </w:p>
        </w:tc>
        <w:tc>
          <w:tcPr>
            <w:tcW w:type="dxa" w:w="1872"/>
          </w:tcPr>
          <w:p>
            <w:pPr>
              <w:spacing w:after="20" w:before="20"/>
              <w:jc w:val="right"/>
            </w:pPr>
            <w:r>
              <w:rPr>
                <w:rFonts w:ascii="Calibri" w:hAnsi="Calibri"/>
                <w:color w:val="222A28"/>
                <w:sz w:val="16"/>
              </w:rPr>
              <w:t>31%</w:t>
            </w:r>
          </w:p>
        </w:tc>
        <w:tc>
          <w:tcPr>
            <w:tcW w:type="dxa" w:w="4176"/>
          </w:tcPr>
          <w:p>
            <w:pPr>
              <w:spacing w:after="20" w:before="20"/>
              <w:jc w:val="right"/>
            </w:pPr>
            <w:r>
              <w:rPr>
                <w:rFonts w:ascii="Calibri" w:hAnsi="Calibri"/>
                <w:color w:val="222A28"/>
                <w:sz w:val="16"/>
              </w:rPr>
              <w:t>toward 52-wk low</w:t>
            </w:r>
          </w:p>
        </w:tc>
      </w:tr>
      <w:tr>
        <w:tc>
          <w:tcPr>
            <w:tcW w:type="dxa" w:w="1584"/>
          </w:tcPr>
          <w:p>
            <w:pPr>
              <w:spacing w:after="20" w:before="20"/>
            </w:pPr>
            <w:r>
              <w:rPr>
                <w:rFonts w:ascii="Calibri" w:hAnsi="Calibri"/>
                <w:color w:val="222A28"/>
                <w:sz w:val="16"/>
              </w:rPr>
              <w:t>7.00</w:t>
            </w:r>
          </w:p>
        </w:tc>
        <w:tc>
          <w:tcPr>
            <w:tcW w:type="dxa" w:w="1872"/>
          </w:tcPr>
          <w:p>
            <w:pPr>
              <w:spacing w:after="20" w:before="20"/>
              <w:jc w:val="right"/>
            </w:pPr>
            <w:r>
              <w:rPr>
                <w:rFonts w:ascii="Calibri" w:hAnsi="Calibri"/>
                <w:color w:val="222A28"/>
                <w:sz w:val="16"/>
              </w:rPr>
              <w:t>8%</w:t>
            </w:r>
          </w:p>
        </w:tc>
        <w:tc>
          <w:tcPr>
            <w:tcW w:type="dxa" w:w="1872"/>
          </w:tcPr>
          <w:p>
            <w:pPr>
              <w:spacing w:after="20" w:before="20"/>
              <w:jc w:val="right"/>
            </w:pPr>
            <w:r>
              <w:rPr>
                <w:rFonts w:ascii="Calibri" w:hAnsi="Calibri"/>
                <w:color w:val="222A28"/>
                <w:sz w:val="16"/>
              </w:rPr>
              <w:t>24%</w:t>
            </w:r>
          </w:p>
        </w:tc>
        <w:tc>
          <w:tcPr>
            <w:tcW w:type="dxa" w:w="4176"/>
          </w:tcPr>
          <w:p>
            <w:pPr>
              <w:spacing w:after="20" w:before="20"/>
              <w:jc w:val="right"/>
            </w:pPr>
            <w:r>
              <w:rPr>
                <w:rFonts w:ascii="Calibri" w:hAnsi="Calibri"/>
                <w:color w:val="222A28"/>
                <w:sz w:val="16"/>
              </w:rPr>
              <w:t>52-wk low zone</w:t>
            </w:r>
          </w:p>
        </w:tc>
      </w:tr>
    </w:tbl>
    <w:p>
      <w:pPr>
        <w:spacing w:after="40"/>
      </w:pPr>
    </w:p>
    <w:p>
      <w:pPr>
        <w:spacing w:before="280" w:after="120"/>
        <w:pBdr>
          <w:bottom w:val="single" w:sz="6" w:space="2" w:color="C0A45F"/>
        </w:pBdr>
      </w:pPr>
      <w:r>
        <w:rPr>
          <w:rFonts w:ascii="Calibri" w:hAnsi="Calibri"/>
          <w:b/>
          <w:color w:val="1C3A36"/>
          <w:sz w:val="30"/>
        </w:rPr>
        <w:t>4  Comparison of the lenses, and a verdict</w:t>
      </w:r>
    </w:p>
    <w:p>
      <w:pPr>
        <w:spacing w:after="80" w:before="0"/>
      </w:pPr>
      <w:r>
        <w:rPr>
          <w:rFonts w:ascii="Calibri" w:hAnsi="Calibri"/>
          <w:b w:val="0"/>
          <w:i w:val="0"/>
          <w:color w:val="222A28"/>
          <w:sz w:val="20"/>
        </w:rPr>
        <w:t xml:space="preserve">Three readings sit side by side. The </w:t>
      </w:r>
      <w:r>
        <w:rPr>
          <w:rFonts w:ascii="Calibri" w:hAnsi="Calibri"/>
          <w:b/>
          <w:i w:val="0"/>
          <w:color w:val="222A28"/>
          <w:sz w:val="20"/>
        </w:rPr>
        <w:t>fundamental</w:t>
      </w:r>
      <w:r>
        <w:rPr>
          <w:rFonts w:ascii="Calibri" w:hAnsi="Calibri"/>
          <w:b w:val="0"/>
          <w:i w:val="0"/>
          <w:color w:val="222A28"/>
          <w:sz w:val="20"/>
        </w:rPr>
        <w:t xml:space="preserve"> lenses cluster at AED 9.45–11.29 with a central AED 10.18 — modestly above spot, contingent on how much development-franchise value and recurring re-rating the market credits. The </w:t>
      </w:r>
      <w:r>
        <w:rPr>
          <w:rFonts w:ascii="Calibri" w:hAnsi="Calibri"/>
          <w:b/>
          <w:i w:val="0"/>
          <w:color w:val="222A28"/>
          <w:sz w:val="20"/>
        </w:rPr>
        <w:t>technical</w:t>
      </w:r>
      <w:r>
        <w:rPr>
          <w:rFonts w:ascii="Calibri" w:hAnsi="Calibri"/>
          <w:b w:val="0"/>
          <w:i w:val="0"/>
          <w:color w:val="222A28"/>
          <w:sz w:val="20"/>
        </w:rPr>
        <w:t xml:space="preserve"> picture is neutral: basing below the long-term averages, with support at AED 8.0–8.2 and the AED 7.03 floor. The </w:t>
      </w:r>
      <w:r>
        <w:rPr>
          <w:rFonts w:ascii="Calibri" w:hAnsi="Calibri"/>
          <w:b/>
          <w:i w:val="0"/>
          <w:color w:val="222A28"/>
          <w:sz w:val="20"/>
        </w:rPr>
        <w:t>probabilistic</w:t>
      </w:r>
      <w:r>
        <w:rPr>
          <w:rFonts w:ascii="Calibri" w:hAnsi="Calibri"/>
          <w:b w:val="0"/>
          <w:i w:val="0"/>
          <w:color w:val="222A28"/>
          <w:sz w:val="20"/>
        </w:rPr>
        <w:t xml:space="preserve"> map says that over three months price is roughly symmetric around spot with a mild right tail — the median is AED 8.50, not AED 10.18, because the simulation does not assume the value gap closes inside the quarter.</w:t>
      </w:r>
    </w:p>
    <w:tbl>
      <w:tblPr>
        <w:tblStyle w:val="TableGrid"/>
        <w:tblW w:type="auto" w:w="0"/>
        <w:jc w:val="center"/>
        <w:tblLook w:firstColumn="1" w:firstRow="1" w:lastColumn="0" w:lastRow="0" w:noHBand="0" w:noVBand="1" w:val="04A0"/>
        <w:tblLayout w:type="fixed"/>
      </w:tblPr>
      <w:tblGrid>
        <w:gridCol w:w="3312"/>
        <w:gridCol w:w="3312"/>
        <w:gridCol w:w="3312"/>
      </w:tblGrid>
      <w:tr>
        <w:tc>
          <w:tcPr>
            <w:tcW w:type="dxa" w:w="2592"/>
            <w:shd w:val="clear" w:color="auto" w:fill="1C3A36"/>
          </w:tcPr>
          <w:p>
            <w:pPr>
              <w:spacing w:after="20" w:before="20"/>
            </w:pPr>
            <w:r>
              <w:rPr>
                <w:rFonts w:ascii="Calibri" w:hAnsi="Calibri"/>
                <w:b/>
                <w:color w:val="FFFFFF"/>
                <w:sz w:val="16"/>
              </w:rPr>
              <w:t>Lens</w:t>
            </w:r>
          </w:p>
        </w:tc>
        <w:tc>
          <w:tcPr>
            <w:tcW w:type="dxa" w:w="2736"/>
            <w:shd w:val="clear" w:color="auto" w:fill="1C3A36"/>
          </w:tcPr>
          <w:p>
            <w:pPr>
              <w:spacing w:after="20" w:before="20"/>
            </w:pPr>
            <w:r>
              <w:rPr>
                <w:rFonts w:ascii="Calibri" w:hAnsi="Calibri"/>
                <w:b/>
                <w:color w:val="FFFFFF"/>
                <w:sz w:val="16"/>
              </w:rPr>
              <w:t>Reads</w:t>
            </w:r>
          </w:p>
        </w:tc>
        <w:tc>
          <w:tcPr>
            <w:tcW w:type="dxa" w:w="4176"/>
            <w:shd w:val="clear" w:color="auto" w:fill="1C3A36"/>
          </w:tcPr>
          <w:p>
            <w:pPr>
              <w:spacing w:after="20" w:before="20"/>
            </w:pPr>
            <w:r>
              <w:rPr>
                <w:rFonts w:ascii="Calibri" w:hAnsi="Calibri"/>
                <w:b/>
                <w:color w:val="FFFFFF"/>
                <w:sz w:val="16"/>
              </w:rPr>
              <w:t>Central / implication</w:t>
            </w:r>
          </w:p>
        </w:tc>
      </w:tr>
      <w:tr>
        <w:tc>
          <w:tcPr>
            <w:tcW w:type="dxa" w:w="2592"/>
          </w:tcPr>
          <w:p>
            <w:pPr>
              <w:spacing w:after="20" w:before="20"/>
            </w:pPr>
            <w:r>
              <w:rPr>
                <w:rFonts w:ascii="Calibri" w:hAnsi="Calibri"/>
                <w:color w:val="222A28"/>
                <w:sz w:val="16"/>
              </w:rPr>
              <w:t>Fundamental (4-lens)</w:t>
            </w:r>
          </w:p>
        </w:tc>
        <w:tc>
          <w:tcPr>
            <w:tcW w:type="dxa" w:w="2736"/>
          </w:tcPr>
          <w:p>
            <w:pPr>
              <w:spacing w:after="20" w:before="20"/>
            </w:pPr>
            <w:r>
              <w:rPr>
                <w:rFonts w:ascii="Calibri" w:hAnsi="Calibri"/>
                <w:color w:val="222A28"/>
                <w:sz w:val="16"/>
              </w:rPr>
              <w:t>Moderately cheap</w:t>
            </w:r>
          </w:p>
        </w:tc>
        <w:tc>
          <w:tcPr>
            <w:tcW w:type="dxa" w:w="4176"/>
          </w:tcPr>
          <w:p>
            <w:pPr>
              <w:spacing w:after="20" w:before="20"/>
            </w:pPr>
            <w:r>
              <w:rPr>
                <w:rFonts w:ascii="Calibri" w:hAnsi="Calibri"/>
                <w:color w:val="222A28"/>
                <w:sz w:val="16"/>
              </w:rPr>
              <w:t>AED 10.18 (+23%)</w:t>
            </w:r>
          </w:p>
        </w:tc>
      </w:tr>
      <w:tr>
        <w:tc>
          <w:tcPr>
            <w:tcW w:type="dxa" w:w="2592"/>
          </w:tcPr>
          <w:p>
            <w:pPr>
              <w:spacing w:after="20" w:before="20"/>
            </w:pPr>
            <w:r>
              <w:rPr>
                <w:rFonts w:ascii="Calibri" w:hAnsi="Calibri"/>
                <w:color w:val="222A28"/>
                <w:sz w:val="16"/>
              </w:rPr>
              <w:t>Technical</w:t>
            </w:r>
          </w:p>
        </w:tc>
        <w:tc>
          <w:tcPr>
            <w:tcW w:type="dxa" w:w="2736"/>
          </w:tcPr>
          <w:p>
            <w:pPr>
              <w:spacing w:after="20" w:before="20"/>
            </w:pPr>
            <w:r>
              <w:rPr>
                <w:rFonts w:ascii="Calibri" w:hAnsi="Calibri"/>
                <w:color w:val="222A28"/>
                <w:sz w:val="16"/>
              </w:rPr>
              <w:t>Basing / neutral</w:t>
            </w:r>
          </w:p>
        </w:tc>
        <w:tc>
          <w:tcPr>
            <w:tcW w:type="dxa" w:w="4176"/>
          </w:tcPr>
          <w:p>
            <w:pPr>
              <w:spacing w:after="20" w:before="20"/>
            </w:pPr>
            <w:r>
              <w:rPr>
                <w:rFonts w:ascii="Calibri" w:hAnsi="Calibri"/>
                <w:color w:val="222A28"/>
                <w:sz w:val="16"/>
              </w:rPr>
              <w:t>Support 8.0–8.2; resistance 8.6–8.9; floor 7.03</w:t>
            </w:r>
          </w:p>
        </w:tc>
      </w:tr>
      <w:tr>
        <w:tc>
          <w:tcPr>
            <w:tcW w:type="dxa" w:w="2592"/>
          </w:tcPr>
          <w:p>
            <w:pPr>
              <w:spacing w:after="20" w:before="20"/>
            </w:pPr>
            <w:r>
              <w:rPr>
                <w:rFonts w:ascii="Calibri" w:hAnsi="Calibri"/>
                <w:color w:val="222A28"/>
                <w:sz w:val="16"/>
              </w:rPr>
              <w:t>Monte Carlo (3-month)</w:t>
            </w:r>
          </w:p>
        </w:tc>
        <w:tc>
          <w:tcPr>
            <w:tcW w:type="dxa" w:w="2736"/>
          </w:tcPr>
          <w:p>
            <w:pPr>
              <w:spacing w:after="20" w:before="20"/>
            </w:pPr>
            <w:r>
              <w:rPr>
                <w:rFonts w:ascii="Calibri" w:hAnsi="Calibri"/>
                <w:color w:val="222A28"/>
                <w:sz w:val="16"/>
              </w:rPr>
              <w:t>Two-sided, mild right-skew</w:t>
            </w:r>
          </w:p>
        </w:tc>
        <w:tc>
          <w:tcPr>
            <w:tcW w:type="dxa" w:w="4176"/>
          </w:tcPr>
          <w:p>
            <w:pPr>
              <w:spacing w:after="20" w:before="20"/>
            </w:pPr>
            <w:r>
              <w:rPr>
                <w:rFonts w:ascii="Calibri" w:hAnsi="Calibri"/>
                <w:color w:val="222A28"/>
                <w:sz w:val="16"/>
              </w:rPr>
              <w:t>Median AED 8.50; p5–p95 6.36–11.29</w:t>
            </w:r>
          </w:p>
        </w:tc>
      </w:tr>
    </w:tbl>
    <w:p>
      <w:pPr>
        <w:spacing w:after="40"/>
      </w:pPr>
    </w:p>
    <w:p>
      <w:pPr>
        <w:spacing w:after="120" w:before="0"/>
      </w:pPr>
      <w:r>
        <w:rPr>
          <w:rFonts w:ascii="Calibri" w:hAnsi="Calibri"/>
          <w:b/>
          <w:i w:val="0"/>
          <w:color w:val="222A28"/>
          <w:sz w:val="20"/>
        </w:rPr>
        <w:t xml:space="preserve">Verdict (a fair-value read, not a recommendation). </w:t>
      </w:r>
      <w:r>
        <w:rPr>
          <w:rFonts w:ascii="Calibri" w:hAnsi="Calibri"/>
          <w:b w:val="0"/>
          <w:i w:val="0"/>
          <w:color w:val="222A28"/>
          <w:sz w:val="20"/>
        </w:rPr>
        <w:t>Aldar looks modestly-to-moderately cheap on a split-legs asset value, with two clear swing factors: the going-concern worth of the development franchise beyond its backlog, and the recurring-platform cap rate. The neutral technical tape and the near-symmetric three-month distribution argue that any re-rating is a question of operating proof and cap-rate direction over quarters, not of an imminent move. The honest summary is a value modestly above price, a near-term distribution centred on price, and an outcome that hinges on the market crediting more of a proven, replenishing franchise — which is why the bear–bull span (AED 7.4–11.8) is wide. Readers should weigh the lenses themselves; we publish the distribution, not a target.</w:t>
      </w:r>
    </w:p>
    <w:p>
      <w:pPr>
        <w:spacing w:before="280" w:after="120"/>
        <w:pBdr>
          <w:bottom w:val="single" w:sz="6" w:space="2" w:color="C0A45F"/>
        </w:pBdr>
      </w:pPr>
      <w:r>
        <w:rPr>
          <w:rFonts w:ascii="Calibri" w:hAnsi="Calibri"/>
          <w:b/>
          <w:color w:val="1C3A36"/>
          <w:sz w:val="30"/>
        </w:rPr>
        <w:t>5  Catalysts to watch</w:t>
      </w:r>
    </w:p>
    <w:p>
      <w:pPr>
        <w:pStyle w:val="ListBullet"/>
        <w:spacing w:after="80"/>
      </w:pPr>
      <w:r>
        <w:rPr>
          <w:rFonts w:ascii="Calibri" w:hAnsi="Calibri"/>
          <w:b/>
          <w:i w:val="0"/>
          <w:color w:val="222A28"/>
          <w:sz w:val="20"/>
        </w:rPr>
        <w:t xml:space="preserve">Q2 2026 results (≈ Aug 2026). </w:t>
      </w:r>
      <w:r>
        <w:rPr>
          <w:rFonts w:ascii="Calibri" w:hAnsi="Calibri"/>
          <w:b w:val="0"/>
          <w:i w:val="0"/>
          <w:color w:val="222A28"/>
          <w:sz w:val="20"/>
        </w:rPr>
        <w:t>First read on whether the moderated launch pace of Q1 is a pause or a trend, and on recurring-EBITDA momentum and occupancy.</w:t>
      </w:r>
    </w:p>
    <w:p>
      <w:pPr>
        <w:pStyle w:val="ListBullet"/>
        <w:spacing w:after="80"/>
      </w:pPr>
      <w:r>
        <w:rPr>
          <w:rFonts w:ascii="Calibri" w:hAnsi="Calibri"/>
          <w:b/>
          <w:i w:val="0"/>
          <w:color w:val="222A28"/>
          <w:sz w:val="20"/>
        </w:rPr>
        <w:t xml:space="preserve">Development launches &amp; sales. </w:t>
      </w:r>
      <w:r>
        <w:rPr>
          <w:rFonts w:ascii="Calibri" w:hAnsi="Calibri"/>
          <w:b w:val="0"/>
          <w:i w:val="0"/>
          <w:color w:val="222A28"/>
          <w:sz w:val="20"/>
        </w:rPr>
        <w:t>New Abu Dhabi and Dubai master-plan releases and absorption — the largest single upside factor in the simulation (launch event p = 55%).</w:t>
      </w:r>
    </w:p>
    <w:p>
      <w:pPr>
        <w:pStyle w:val="ListBullet"/>
        <w:spacing w:after="80"/>
      </w:pPr>
      <w:r>
        <w:rPr>
          <w:rFonts w:ascii="Calibri" w:hAnsi="Calibri"/>
          <w:b/>
          <w:i w:val="0"/>
          <w:color w:val="222A28"/>
          <w:sz w:val="20"/>
        </w:rPr>
        <w:t xml:space="preserve">Landbank replenishment. </w:t>
      </w:r>
      <w:r>
        <w:rPr>
          <w:rFonts w:ascii="Calibri" w:hAnsi="Calibri"/>
          <w:b w:val="0"/>
          <w:i w:val="0"/>
          <w:color w:val="222A28"/>
          <w:sz w:val="20"/>
        </w:rPr>
        <w:t>Further GDV additions (AED 61bn added in Q1 2026) that extend the franchise's going-concern value beyond current backlog.</w:t>
      </w:r>
    </w:p>
    <w:p>
      <w:pPr>
        <w:pStyle w:val="ListBullet"/>
        <w:spacing w:after="80"/>
      </w:pPr>
      <w:r>
        <w:rPr>
          <w:rFonts w:ascii="Calibri" w:hAnsi="Calibri"/>
          <w:b/>
          <w:i w:val="0"/>
          <w:color w:val="222A28"/>
          <w:sz w:val="20"/>
        </w:rPr>
        <w:t xml:space="preserve">Recurring platform &amp; cap rate. </w:t>
      </w:r>
      <w:r>
        <w:rPr>
          <w:rFonts w:ascii="Calibri" w:hAnsi="Calibri"/>
          <w:b w:val="0"/>
          <w:i w:val="0"/>
          <w:color w:val="222A28"/>
          <w:sz w:val="20"/>
        </w:rPr>
        <w:t>Develop-to-hold deliveries, occupancy, and any yield compression that re-rates the ~AED 52bn base — worth ~AED 0.25/share per 25bp.</w:t>
      </w:r>
    </w:p>
    <w:p>
      <w:pPr>
        <w:pStyle w:val="ListBullet"/>
        <w:spacing w:after="80"/>
      </w:pPr>
      <w:r>
        <w:rPr>
          <w:rFonts w:ascii="Calibri" w:hAnsi="Calibri"/>
          <w:b/>
          <w:i w:val="0"/>
          <w:color w:val="222A28"/>
          <w:sz w:val="20"/>
        </w:rPr>
        <w:t xml:space="preserve">UAE / Fed rate path. </w:t>
      </w:r>
      <w:r>
        <w:rPr>
          <w:rFonts w:ascii="Calibri" w:hAnsi="Calibri"/>
          <w:b w:val="0"/>
          <w:i w:val="0"/>
          <w:color w:val="222A28"/>
          <w:sz w:val="20"/>
        </w:rPr>
        <w:t>The peg means a lower-rate path aids both mortgage demand and the recurring cap rate; a higher-for-longer path is the reverse.</w:t>
      </w:r>
    </w:p>
    <w:p>
      <w:pPr>
        <w:pStyle w:val="ListBullet"/>
        <w:spacing w:after="80"/>
      </w:pPr>
      <w:r>
        <w:rPr>
          <w:rFonts w:ascii="Calibri" w:hAnsi="Calibri"/>
          <w:b/>
          <w:i w:val="0"/>
          <w:color w:val="222A28"/>
          <w:sz w:val="20"/>
        </w:rPr>
        <w:t xml:space="preserve">Regional security. </w:t>
      </w:r>
      <w:r>
        <w:rPr>
          <w:rFonts w:ascii="Calibri" w:hAnsi="Calibri"/>
          <w:b w:val="0"/>
          <w:i w:val="0"/>
          <w:color w:val="222A28"/>
          <w:sz w:val="20"/>
        </w:rPr>
        <w:t>Any escalation or de-escalation around the Strait of Hormuz re-prices the risk premium directly (the left-tail event).</w:t>
      </w:r>
    </w:p>
    <w:p>
      <w:pPr>
        <w:pStyle w:val="ListBullet"/>
        <w:spacing w:after="80"/>
      </w:pPr>
      <w:r>
        <w:rPr>
          <w:rFonts w:ascii="Calibri" w:hAnsi="Calibri"/>
          <w:b/>
          <w:i w:val="0"/>
          <w:color w:val="222A28"/>
          <w:sz w:val="20"/>
        </w:rPr>
        <w:t xml:space="preserve">Capital &amp; index events. </w:t>
      </w:r>
      <w:r>
        <w:rPr>
          <w:rFonts w:ascii="Calibri" w:hAnsi="Calibri"/>
          <w:b w:val="0"/>
          <w:i w:val="0"/>
          <w:color w:val="222A28"/>
          <w:sz w:val="20"/>
        </w:rPr>
        <w:t>Hybrid/refinancing actions, dividend policy, Apollo/Mubadala JV developments, and MSCI/FTSE flow rebalancing.</w:t>
      </w:r>
    </w:p>
    <w:p>
      <w:pPr>
        <w:spacing w:before="280" w:after="120"/>
        <w:pBdr>
          <w:bottom w:val="single" w:sz="6" w:space="2" w:color="C0A45F"/>
        </w:pBdr>
      </w:pPr>
      <w:r>
        <w:rPr>
          <w:rFonts w:ascii="Calibri" w:hAnsi="Calibri"/>
          <w:b/>
          <w:color w:val="1C3A36"/>
          <w:sz w:val="30"/>
        </w:rPr>
        <w:t>6  Reading the probability zones</w:t>
      </w:r>
    </w:p>
    <w:p>
      <w:pPr>
        <w:spacing w:after="80" w:before="0"/>
      </w:pPr>
      <w:r>
        <w:rPr>
          <w:rFonts w:ascii="Calibri" w:hAnsi="Calibri"/>
          <w:b w:val="0"/>
          <w:i w:val="0"/>
          <w:color w:val="222A28"/>
          <w:sz w:val="19"/>
        </w:rPr>
        <w:t>Translating the three-month distribution into plain zones, anchored on spot AED 8.30 and the fair-value cluster:</w:t>
      </w:r>
    </w:p>
    <w:tbl>
      <w:tblPr>
        <w:tblStyle w:val="TableGrid"/>
        <w:tblW w:type="auto" w:w="0"/>
        <w:jc w:val="center"/>
        <w:tblLook w:firstColumn="1" w:firstRow="1" w:lastColumn="0" w:lastRow="0" w:noHBand="0" w:noVBand="1" w:val="04A0"/>
        <w:tblLayout w:type="fixed"/>
      </w:tblPr>
      <w:tblGrid>
        <w:gridCol w:w="2484"/>
        <w:gridCol w:w="2484"/>
        <w:gridCol w:w="2484"/>
        <w:gridCol w:w="2484"/>
      </w:tblGrid>
      <w:tr>
        <w:tc>
          <w:tcPr>
            <w:tcW w:type="dxa" w:w="2016"/>
            <w:shd w:val="clear" w:color="auto" w:fill="1C3A36"/>
          </w:tcPr>
          <w:p>
            <w:pPr>
              <w:spacing w:after="20" w:before="20"/>
            </w:pPr>
            <w:r>
              <w:rPr>
                <w:rFonts w:ascii="Calibri" w:hAnsi="Calibri"/>
                <w:b/>
                <w:color w:val="FFFFFF"/>
                <w:sz w:val="16"/>
              </w:rPr>
              <w:t>Zone (T+60)</w:t>
            </w:r>
          </w:p>
        </w:tc>
        <w:tc>
          <w:tcPr>
            <w:tcW w:type="dxa" w:w="2160"/>
            <w:shd w:val="clear" w:color="auto" w:fill="1C3A36"/>
          </w:tcPr>
          <w:p>
            <w:pPr>
              <w:spacing w:after="20" w:before="20"/>
            </w:pPr>
            <w:r>
              <w:rPr>
                <w:rFonts w:ascii="Calibri" w:hAnsi="Calibri"/>
                <w:b/>
                <w:color w:val="FFFFFF"/>
                <w:sz w:val="16"/>
              </w:rPr>
              <w:t>Range</w:t>
            </w:r>
          </w:p>
        </w:tc>
        <w:tc>
          <w:tcPr>
            <w:tcW w:type="dxa" w:w="1728"/>
            <w:shd w:val="clear" w:color="auto" w:fill="1C3A36"/>
          </w:tcPr>
          <w:p>
            <w:pPr>
              <w:spacing w:after="20" w:before="20"/>
            </w:pPr>
            <w:r>
              <w:rPr>
                <w:rFonts w:ascii="Calibri" w:hAnsi="Calibri"/>
                <w:b/>
                <w:color w:val="FFFFFF"/>
                <w:sz w:val="16"/>
              </w:rPr>
              <w:t>Approx. prob.</w:t>
            </w:r>
          </w:p>
        </w:tc>
        <w:tc>
          <w:tcPr>
            <w:tcW w:type="dxa" w:w="3600"/>
            <w:shd w:val="clear" w:color="auto" w:fill="1C3A36"/>
          </w:tcPr>
          <w:p>
            <w:pPr>
              <w:spacing w:after="20" w:before="20"/>
            </w:pPr>
            <w:r>
              <w:rPr>
                <w:rFonts w:ascii="Calibri" w:hAnsi="Calibri"/>
                <w:b/>
                <w:color w:val="FFFFFF"/>
                <w:sz w:val="16"/>
              </w:rPr>
              <w:t>What it would mean</w:t>
            </w:r>
          </w:p>
        </w:tc>
      </w:tr>
      <w:tr>
        <w:tc>
          <w:tcPr>
            <w:tcW w:type="dxa" w:w="2016"/>
          </w:tcPr>
          <w:p>
            <w:pPr>
              <w:spacing w:after="20" w:before="20"/>
            </w:pPr>
            <w:r>
              <w:rPr>
                <w:rFonts w:ascii="Calibri" w:hAnsi="Calibri"/>
                <w:color w:val="222A28"/>
                <w:sz w:val="16"/>
              </w:rPr>
              <w:t>Deep downside</w:t>
            </w:r>
          </w:p>
        </w:tc>
        <w:tc>
          <w:tcPr>
            <w:tcW w:type="dxa" w:w="2160"/>
          </w:tcPr>
          <w:p>
            <w:pPr>
              <w:spacing w:after="20" w:before="20"/>
            </w:pPr>
            <w:r>
              <w:rPr>
                <w:rFonts w:ascii="Calibri" w:hAnsi="Calibri"/>
                <w:color w:val="222A28"/>
                <w:sz w:val="16"/>
              </w:rPr>
              <w:t>&lt; AED 7.20</w:t>
            </w:r>
          </w:p>
        </w:tc>
        <w:tc>
          <w:tcPr>
            <w:tcW w:type="dxa" w:w="1728"/>
          </w:tcPr>
          <w:p>
            <w:pPr>
              <w:spacing w:after="20" w:before="20"/>
            </w:pPr>
            <w:r>
              <w:rPr>
                <w:rFonts w:ascii="Calibri" w:hAnsi="Calibri"/>
                <w:color w:val="222A28"/>
                <w:sz w:val="16"/>
              </w:rPr>
              <w:t>~24%</w:t>
            </w:r>
          </w:p>
        </w:tc>
        <w:tc>
          <w:tcPr>
            <w:tcW w:type="dxa" w:w="3600"/>
          </w:tcPr>
          <w:p>
            <w:pPr>
              <w:spacing w:after="20" w:before="20"/>
            </w:pPr>
            <w:r>
              <w:rPr>
                <w:rFonts w:ascii="Calibri" w:hAnsi="Calibri"/>
                <w:color w:val="222A28"/>
                <w:sz w:val="16"/>
              </w:rPr>
              <w:t>Regional risk-off / launch stall; tests the 52-wk low</w:t>
            </w:r>
          </w:p>
        </w:tc>
      </w:tr>
      <w:tr>
        <w:tc>
          <w:tcPr>
            <w:tcW w:type="dxa" w:w="2016"/>
          </w:tcPr>
          <w:p>
            <w:pPr>
              <w:spacing w:after="20" w:before="20"/>
            </w:pPr>
            <w:r>
              <w:rPr>
                <w:rFonts w:ascii="Calibri" w:hAnsi="Calibri"/>
                <w:color w:val="222A28"/>
                <w:sz w:val="16"/>
              </w:rPr>
              <w:t>Lower band</w:t>
            </w:r>
          </w:p>
        </w:tc>
        <w:tc>
          <w:tcPr>
            <w:tcW w:type="dxa" w:w="2160"/>
          </w:tcPr>
          <w:p>
            <w:pPr>
              <w:spacing w:after="20" w:before="20"/>
            </w:pPr>
            <w:r>
              <w:rPr>
                <w:rFonts w:ascii="Calibri" w:hAnsi="Calibri"/>
                <w:color w:val="222A28"/>
                <w:sz w:val="16"/>
              </w:rPr>
              <w:t>AED 7.20–8.00</w:t>
            </w:r>
          </w:p>
        </w:tc>
        <w:tc>
          <w:tcPr>
            <w:tcW w:type="dxa" w:w="1728"/>
          </w:tcPr>
          <w:p>
            <w:pPr>
              <w:spacing w:after="20" w:before="20"/>
            </w:pPr>
            <w:r>
              <w:rPr>
                <w:rFonts w:ascii="Calibri" w:hAnsi="Calibri"/>
                <w:color w:val="222A28"/>
                <w:sz w:val="16"/>
              </w:rPr>
              <w:t>~22%</w:t>
            </w:r>
          </w:p>
        </w:tc>
        <w:tc>
          <w:tcPr>
            <w:tcW w:type="dxa" w:w="3600"/>
          </w:tcPr>
          <w:p>
            <w:pPr>
              <w:spacing w:after="20" w:before="20"/>
            </w:pPr>
            <w:r>
              <w:rPr>
                <w:rFonts w:ascii="Calibri" w:hAnsi="Calibri"/>
                <w:color w:val="222A28"/>
                <w:sz w:val="16"/>
              </w:rPr>
              <w:t>Basing persists; consolidated-DCF floor dominates</w:t>
            </w:r>
          </w:p>
        </w:tc>
      </w:tr>
      <w:tr>
        <w:tc>
          <w:tcPr>
            <w:tcW w:type="dxa" w:w="2016"/>
          </w:tcPr>
          <w:p>
            <w:pPr>
              <w:spacing w:after="20" w:before="20"/>
            </w:pPr>
            <w:r>
              <w:rPr>
                <w:rFonts w:ascii="Calibri" w:hAnsi="Calibri"/>
                <w:color w:val="222A28"/>
                <w:sz w:val="16"/>
              </w:rPr>
              <w:t>Around spot</w:t>
            </w:r>
          </w:p>
        </w:tc>
        <w:tc>
          <w:tcPr>
            <w:tcW w:type="dxa" w:w="2160"/>
          </w:tcPr>
          <w:p>
            <w:pPr>
              <w:spacing w:after="20" w:before="20"/>
            </w:pPr>
            <w:r>
              <w:rPr>
                <w:rFonts w:ascii="Calibri" w:hAnsi="Calibri"/>
                <w:color w:val="222A28"/>
                <w:sz w:val="16"/>
              </w:rPr>
              <w:t>AED 8.00–8.90</w:t>
            </w:r>
          </w:p>
        </w:tc>
        <w:tc>
          <w:tcPr>
            <w:tcW w:type="dxa" w:w="1728"/>
          </w:tcPr>
          <w:p>
            <w:pPr>
              <w:spacing w:after="20" w:before="20"/>
            </w:pPr>
            <w:r>
              <w:rPr>
                <w:rFonts w:ascii="Calibri" w:hAnsi="Calibri"/>
                <w:color w:val="222A28"/>
                <w:sz w:val="16"/>
              </w:rPr>
              <w:t>~25%</w:t>
            </w:r>
          </w:p>
        </w:tc>
        <w:tc>
          <w:tcPr>
            <w:tcW w:type="dxa" w:w="3600"/>
          </w:tcPr>
          <w:p>
            <w:pPr>
              <w:spacing w:after="20" w:before="20"/>
            </w:pPr>
            <w:r>
              <w:rPr>
                <w:rFonts w:ascii="Calibri" w:hAnsi="Calibri"/>
                <w:color w:val="222A28"/>
                <w:sz w:val="16"/>
              </w:rPr>
              <w:t>Status quo; value gap unclosed; MA-stack caps</w:t>
            </w:r>
          </w:p>
        </w:tc>
      </w:tr>
      <w:tr>
        <w:tc>
          <w:tcPr>
            <w:tcW w:type="dxa" w:w="2016"/>
          </w:tcPr>
          <w:p>
            <w:pPr>
              <w:spacing w:after="20" w:before="20"/>
            </w:pPr>
            <w:r>
              <w:rPr>
                <w:rFonts w:ascii="Calibri" w:hAnsi="Calibri"/>
                <w:color w:val="222A28"/>
                <w:sz w:val="16"/>
              </w:rPr>
              <w:t>Upper band</w:t>
            </w:r>
          </w:p>
        </w:tc>
        <w:tc>
          <w:tcPr>
            <w:tcW w:type="dxa" w:w="2160"/>
          </w:tcPr>
          <w:p>
            <w:pPr>
              <w:spacing w:after="20" w:before="20"/>
            </w:pPr>
            <w:r>
              <w:rPr>
                <w:rFonts w:ascii="Calibri" w:hAnsi="Calibri"/>
                <w:color w:val="222A28"/>
                <w:sz w:val="16"/>
              </w:rPr>
              <w:t>AED 8.90–9.90</w:t>
            </w:r>
          </w:p>
        </w:tc>
        <w:tc>
          <w:tcPr>
            <w:tcW w:type="dxa" w:w="1728"/>
          </w:tcPr>
          <w:p>
            <w:pPr>
              <w:spacing w:after="20" w:before="20"/>
            </w:pPr>
            <w:r>
              <w:rPr>
                <w:rFonts w:ascii="Calibri" w:hAnsi="Calibri"/>
                <w:color w:val="222A28"/>
                <w:sz w:val="16"/>
              </w:rPr>
              <w:t>~18%</w:t>
            </w:r>
          </w:p>
        </w:tc>
        <w:tc>
          <w:tcPr>
            <w:tcW w:type="dxa" w:w="3600"/>
          </w:tcPr>
          <w:p>
            <w:pPr>
              <w:spacing w:after="20" w:before="20"/>
            </w:pPr>
            <w:r>
              <w:rPr>
                <w:rFonts w:ascii="Calibri" w:hAnsi="Calibri"/>
                <w:color w:val="222A28"/>
                <w:sz w:val="16"/>
              </w:rPr>
              <w:t>Franchise credited; toward central/relative lens</w:t>
            </w:r>
          </w:p>
        </w:tc>
      </w:tr>
      <w:tr>
        <w:tc>
          <w:tcPr>
            <w:tcW w:type="dxa" w:w="2016"/>
          </w:tcPr>
          <w:p>
            <w:pPr>
              <w:spacing w:after="20" w:before="20"/>
            </w:pPr>
            <w:r>
              <w:rPr>
                <w:rFonts w:ascii="Calibri" w:hAnsi="Calibri"/>
                <w:color w:val="222A28"/>
                <w:sz w:val="16"/>
              </w:rPr>
              <w:t>Strong upside</w:t>
            </w:r>
          </w:p>
        </w:tc>
        <w:tc>
          <w:tcPr>
            <w:tcW w:type="dxa" w:w="2160"/>
          </w:tcPr>
          <w:p>
            <w:pPr>
              <w:spacing w:after="20" w:before="20"/>
            </w:pPr>
            <w:r>
              <w:rPr>
                <w:rFonts w:ascii="Calibri" w:hAnsi="Calibri"/>
                <w:color w:val="222A28"/>
                <w:sz w:val="16"/>
              </w:rPr>
              <w:t>&gt; AED 9.90</w:t>
            </w:r>
          </w:p>
        </w:tc>
        <w:tc>
          <w:tcPr>
            <w:tcW w:type="dxa" w:w="1728"/>
          </w:tcPr>
          <w:p>
            <w:pPr>
              <w:spacing w:after="20" w:before="20"/>
            </w:pPr>
            <w:r>
              <w:rPr>
                <w:rFonts w:ascii="Calibri" w:hAnsi="Calibri"/>
                <w:color w:val="222A28"/>
                <w:sz w:val="16"/>
              </w:rPr>
              <w:t>~11%</w:t>
            </w:r>
          </w:p>
        </w:tc>
        <w:tc>
          <w:tcPr>
            <w:tcW w:type="dxa" w:w="3600"/>
          </w:tcPr>
          <w:p>
            <w:pPr>
              <w:spacing w:after="20" w:before="20"/>
            </w:pPr>
            <w:r>
              <w:rPr>
                <w:rFonts w:ascii="Calibri" w:hAnsi="Calibri"/>
                <w:color w:val="222A28"/>
                <w:sz w:val="16"/>
              </w:rPr>
              <w:t>Re-rating + cap-rate compression together</w:t>
            </w:r>
          </w:p>
        </w:tc>
      </w:tr>
    </w:tbl>
    <w:p>
      <w:pPr>
        <w:spacing w:after="40"/>
      </w:pPr>
    </w:p>
    <w:p>
      <w:pPr>
        <w:spacing w:after="120" w:before="0"/>
      </w:pPr>
      <w:r>
        <w:rPr>
          <w:rFonts w:ascii="Calibri" w:hAnsi="Calibri"/>
          <w:b w:val="0"/>
          <w:i w:val="0"/>
          <w:color w:val="222A28"/>
          <w:sz w:val="18"/>
        </w:rPr>
        <w:t>The distribution is close to symmetric, with a slightly heavier upper tail from the discrete upside events (launches, M&amp;A, cap-rate compression). It is not a forecast; it is the spread of outcomes consistent with the stock's own volatility and the factor stack.</w:t>
      </w:r>
    </w:p>
    <w:p>
      <w:pPr>
        <w:spacing w:before="280" w:after="120"/>
        <w:pBdr>
          <w:bottom w:val="single" w:sz="6" w:space="2" w:color="C0A45F"/>
        </w:pBdr>
      </w:pPr>
      <w:r>
        <w:rPr>
          <w:rFonts w:ascii="Calibri" w:hAnsi="Calibri"/>
          <w:b/>
          <w:color w:val="1C3A36"/>
          <w:sz w:val="30"/>
        </w:rPr>
        <w:t>7  Caveats and what would change our mind</w:t>
      </w:r>
    </w:p>
    <w:p>
      <w:pPr>
        <w:pStyle w:val="ListBullet"/>
        <w:spacing w:after="80"/>
      </w:pPr>
      <w:r>
        <w:rPr>
          <w:rFonts w:ascii="Calibri" w:hAnsi="Calibri"/>
          <w:b/>
          <w:i w:val="0"/>
          <w:color w:val="222A28"/>
          <w:sz w:val="20"/>
        </w:rPr>
        <w:t xml:space="preserve">The development-franchise value is the swing — interrogate it first. </w:t>
      </w:r>
      <w:r>
        <w:rPr>
          <w:rFonts w:ascii="Calibri" w:hAnsi="Calibri"/>
          <w:b w:val="0"/>
          <w:i w:val="0"/>
          <w:color w:val="222A28"/>
          <w:sz w:val="20"/>
        </w:rPr>
        <w:t>Within the SOTP, the development leg (AED 4.60/share) rests on backlog conversion plus a modest replenishment tail; §1.9 shows the value running from the low-8s to the low-12s on the development EBITDA level and discount rate alone. The going-concern DCF converges with the RNAV at ~AED 10 only because its exit multiple is anchored to today's trading level — lift or cut that multiple and it moves as much as the SOTP. If launches slow structurally or margins compress, the value falls toward the bear; if the franchise keeps replenishing at record pace, it rises toward full execution.</w:t>
      </w:r>
    </w:p>
    <w:p>
      <w:pPr>
        <w:pStyle w:val="ListBullet"/>
        <w:spacing w:after="80"/>
      </w:pPr>
      <w:r>
        <w:rPr>
          <w:rFonts w:ascii="Calibri" w:hAnsi="Calibri"/>
          <w:b/>
          <w:i w:val="0"/>
          <w:color w:val="222A28"/>
          <w:sz w:val="20"/>
        </w:rPr>
        <w:t xml:space="preserve">Split-NAV deviation, disclosed. </w:t>
      </w:r>
      <w:r>
        <w:rPr>
          <w:rFonts w:ascii="Calibri" w:hAnsi="Calibri"/>
          <w:b w:val="0"/>
          <w:i w:val="0"/>
          <w:color w:val="222A28"/>
          <w:sz w:val="20"/>
        </w:rPr>
        <w:t>We credit Aldar Development a finite going-concern DCF with a small land-replenishment tail rather than zero terminal value, because — unlike a finite land-monetiser — Aldar demonstrably replenishes its landbank. That is a deliberate, conservative deviation from the house rule; the tail is kept to ~14% of the development leg and the whole leg is stress-tested in §1.9.</w:t>
      </w:r>
    </w:p>
    <w:p>
      <w:pPr>
        <w:pStyle w:val="ListBullet"/>
        <w:spacing w:after="80"/>
      </w:pPr>
      <w:r>
        <w:rPr>
          <w:rFonts w:ascii="Calibri" w:hAnsi="Calibri"/>
          <w:b/>
          <w:i w:val="0"/>
          <w:color w:val="222A28"/>
          <w:sz w:val="20"/>
        </w:rPr>
        <w:t xml:space="preserve">The recurring GAV is a mark. </w:t>
      </w:r>
      <w:r>
        <w:rPr>
          <w:rFonts w:ascii="Calibri" w:hAnsi="Calibri"/>
          <w:b w:val="0"/>
          <w:i w:val="0"/>
          <w:color w:val="222A28"/>
          <w:sz w:val="20"/>
        </w:rPr>
        <w:t>The AED 52bn recurring-asset value is management's stated figure; an independent revaluation, a softer cap rate, or a weaker Abu Dhabi office/retail cycle would reshape the largest single line. Every 25bp of cap rate ≈ AED 0.25/share.</w:t>
      </w:r>
    </w:p>
    <w:p>
      <w:pPr>
        <w:pStyle w:val="ListBullet"/>
        <w:spacing w:after="80"/>
      </w:pPr>
      <w:r>
        <w:rPr>
          <w:rFonts w:ascii="Calibri" w:hAnsi="Calibri"/>
          <w:b/>
          <w:i w:val="0"/>
          <w:color w:val="222A28"/>
          <w:sz w:val="20"/>
        </w:rPr>
        <w:t xml:space="preserve">Hybrids and minorities rank ahead. </w:t>
      </w:r>
      <w:r>
        <w:rPr>
          <w:rFonts w:ascii="Calibri" w:hAnsi="Calibri"/>
          <w:b w:val="0"/>
          <w:i w:val="0"/>
          <w:color w:val="222A28"/>
          <w:sz w:val="20"/>
        </w:rPr>
        <w:t>We deduct net debt including hybrid instruments and non-controlling interests (Apollo in Aldar Investment Properties, Mubadala in the retail JV) as senior claims on the gross asset value; different treatment of the hybrids as equity would lift the per-share NAV.</w:t>
      </w:r>
    </w:p>
    <w:p>
      <w:pPr>
        <w:pStyle w:val="ListBullet"/>
        <w:spacing w:after="80"/>
      </w:pPr>
      <w:r>
        <w:rPr>
          <w:rFonts w:ascii="Calibri" w:hAnsi="Calibri"/>
          <w:b/>
          <w:i w:val="0"/>
          <w:color w:val="222A28"/>
          <w:sz w:val="20"/>
        </w:rPr>
        <w:t xml:space="preserve">Cyclicality can bite. </w:t>
      </w:r>
      <w:r>
        <w:rPr>
          <w:rFonts w:ascii="Calibri" w:hAnsi="Calibri"/>
          <w:b w:val="0"/>
          <w:i w:val="0"/>
          <w:color w:val="222A28"/>
          <w:sz w:val="20"/>
        </w:rPr>
        <w:t>Off-plan penetration is high and payment terms have lengthened; a UAE property cyclical turn would compress development margins and sales pace, as the Q1 2026 −25% sales print hinted.</w:t>
      </w:r>
    </w:p>
    <w:p>
      <w:pPr>
        <w:pStyle w:val="ListBullet"/>
        <w:spacing w:after="80"/>
      </w:pPr>
      <w:r>
        <w:rPr>
          <w:rFonts w:ascii="Calibri" w:hAnsi="Calibri"/>
          <w:b/>
          <w:i w:val="0"/>
          <w:color w:val="222A28"/>
          <w:sz w:val="20"/>
        </w:rPr>
        <w:t xml:space="preserve">Monte Carlo is price, not value. </w:t>
      </w:r>
      <w:r>
        <w:rPr>
          <w:rFonts w:ascii="Calibri" w:hAnsi="Calibri"/>
          <w:b w:val="0"/>
          <w:i w:val="0"/>
          <w:color w:val="222A28"/>
          <w:sz w:val="20"/>
        </w:rPr>
        <w:t>The factors are independent judgments; event timing is uniform-random within the window; the zero-drift choice deliberately declines to extrapolate the five-year uptrend, so the median sits at spot, not at fair value.</w:t>
      </w:r>
    </w:p>
    <w:p>
      <w:pPr>
        <w:spacing w:before="280" w:after="120"/>
        <w:pBdr>
          <w:bottom w:val="single" w:sz="6" w:space="2" w:color="C0A45F"/>
        </w:pBdr>
      </w:pPr>
      <w:r>
        <w:rPr>
          <w:rFonts w:ascii="Calibri" w:hAnsi="Calibri"/>
          <w:b/>
          <w:color w:val="1C3A36"/>
          <w:sz w:val="30"/>
        </w:rPr>
        <w:t>Appendix A  Financial statements</w:t>
      </w:r>
    </w:p>
    <w:p>
      <w:pPr>
        <w:spacing w:after="80" w:before="0"/>
      </w:pPr>
      <w:r>
        <w:rPr>
          <w:rFonts w:ascii="Calibri" w:hAnsi="Calibri"/>
          <w:b w:val="0"/>
          <w:i w:val="0"/>
          <w:color w:val="222A28"/>
          <w:sz w:val="18"/>
        </w:rPr>
        <w:t>Selected consolidated figures. FY2023–FY2025 are the company's disclosure (FY2025 results and Q1 2026); the 2026e–2030e forecast is the study's independent operating model, shown over the near-term five-year horizon consistent with developer-valuation practice. Some balance-sheet lines are estimated to balance to disclosed totals and are flagged. Currency AED bn; per-share AED.</w:t>
      </w:r>
    </w:p>
    <w:p>
      <w:pPr>
        <w:spacing w:before="200" w:after="80"/>
      </w:pPr>
      <w:r>
        <w:rPr>
          <w:rFonts w:ascii="Calibri" w:hAnsi="Calibri"/>
          <w:b/>
          <w:color w:val="896F36"/>
          <w:sz w:val="24"/>
        </w:rPr>
        <w:t>A.1  Income statement (consolidated, AED bn)</w:t>
      </w:r>
    </w:p>
    <w:tbl>
      <w:tblPr>
        <w:tblStyle w:val="TableGrid"/>
        <w:tblW w:type="auto" w:w="0"/>
        <w:jc w:val="center"/>
        <w:tblLook w:firstColumn="1" w:firstRow="1" w:lastColumn="0" w:lastRow="0" w:noHBand="0" w:noVBand="1" w:val="04A0"/>
        <w:tblLayout w:type="fixed"/>
      </w:tblPr>
      <w:tblGrid>
        <w:gridCol w:w="1104"/>
        <w:gridCol w:w="1104"/>
        <w:gridCol w:w="1104"/>
        <w:gridCol w:w="1104"/>
        <w:gridCol w:w="1104"/>
        <w:gridCol w:w="1104"/>
        <w:gridCol w:w="1104"/>
        <w:gridCol w:w="1104"/>
        <w:gridCol w:w="1104"/>
      </w:tblGrid>
      <w:tr>
        <w:tc>
          <w:tcPr>
            <w:tcW w:type="dxa" w:w="2664"/>
            <w:shd w:val="clear" w:color="auto" w:fill="1C3A36"/>
          </w:tcPr>
          <w:p>
            <w:pPr>
              <w:spacing w:after="20" w:before="20"/>
            </w:pPr>
            <w:r>
              <w:rPr>
                <w:rFonts w:ascii="Calibri" w:hAnsi="Calibri"/>
                <w:b/>
                <w:color w:val="FFFFFF"/>
                <w:sz w:val="15"/>
              </w:rPr>
              <w:t>AED bn</w:t>
            </w:r>
          </w:p>
        </w:tc>
        <w:tc>
          <w:tcPr>
            <w:tcW w:type="dxa" w:w="1037"/>
            <w:shd w:val="clear" w:color="auto" w:fill="1C3A36"/>
          </w:tcPr>
          <w:p>
            <w:pPr>
              <w:spacing w:after="20" w:before="20"/>
              <w:jc w:val="right"/>
            </w:pPr>
            <w:r>
              <w:rPr>
                <w:rFonts w:ascii="Calibri" w:hAnsi="Calibri"/>
                <w:b/>
                <w:color w:val="FFFFFF"/>
                <w:sz w:val="15"/>
              </w:rPr>
              <w:t>FY23a</w:t>
            </w:r>
          </w:p>
        </w:tc>
        <w:tc>
          <w:tcPr>
            <w:tcW w:type="dxa" w:w="1037"/>
            <w:shd w:val="clear" w:color="auto" w:fill="1C3A36"/>
          </w:tcPr>
          <w:p>
            <w:pPr>
              <w:spacing w:after="20" w:before="20"/>
              <w:jc w:val="right"/>
            </w:pPr>
            <w:r>
              <w:rPr>
                <w:rFonts w:ascii="Calibri" w:hAnsi="Calibri"/>
                <w:b/>
                <w:color w:val="FFFFFF"/>
                <w:sz w:val="15"/>
              </w:rPr>
              <w:t>FY24a</w:t>
            </w:r>
          </w:p>
        </w:tc>
        <w:tc>
          <w:tcPr>
            <w:tcW w:type="dxa" w:w="1037"/>
            <w:shd w:val="clear" w:color="auto" w:fill="1C3A36"/>
          </w:tcPr>
          <w:p>
            <w:pPr>
              <w:spacing w:after="20" w:before="20"/>
              <w:jc w:val="right"/>
            </w:pPr>
            <w:r>
              <w:rPr>
                <w:rFonts w:ascii="Calibri" w:hAnsi="Calibri"/>
                <w:b/>
                <w:color w:val="FFFFFF"/>
                <w:sz w:val="15"/>
              </w:rPr>
              <w:t>FY25a</w:t>
            </w:r>
          </w:p>
        </w:tc>
        <w:tc>
          <w:tcPr>
            <w:tcW w:type="dxa" w:w="1037"/>
            <w:shd w:val="clear" w:color="auto" w:fill="1C3A36"/>
          </w:tcPr>
          <w:p>
            <w:pPr>
              <w:spacing w:after="20" w:before="20"/>
              <w:jc w:val="right"/>
            </w:pPr>
            <w:r>
              <w:rPr>
                <w:rFonts w:ascii="Calibri" w:hAnsi="Calibri"/>
                <w:b/>
                <w:color w:val="FFFFFF"/>
                <w:sz w:val="15"/>
              </w:rPr>
              <w:t>2026e</w:t>
            </w:r>
          </w:p>
        </w:tc>
        <w:tc>
          <w:tcPr>
            <w:tcW w:type="dxa" w:w="1037"/>
            <w:shd w:val="clear" w:color="auto" w:fill="1C3A36"/>
          </w:tcPr>
          <w:p>
            <w:pPr>
              <w:spacing w:after="20" w:before="20"/>
              <w:jc w:val="right"/>
            </w:pPr>
            <w:r>
              <w:rPr>
                <w:rFonts w:ascii="Calibri" w:hAnsi="Calibri"/>
                <w:b/>
                <w:color w:val="FFFFFF"/>
                <w:sz w:val="15"/>
              </w:rPr>
              <w:t>2027e</w:t>
            </w:r>
          </w:p>
        </w:tc>
        <w:tc>
          <w:tcPr>
            <w:tcW w:type="dxa" w:w="1037"/>
            <w:shd w:val="clear" w:color="auto" w:fill="1C3A36"/>
          </w:tcPr>
          <w:p>
            <w:pPr>
              <w:spacing w:after="20" w:before="20"/>
              <w:jc w:val="right"/>
            </w:pPr>
            <w:r>
              <w:rPr>
                <w:rFonts w:ascii="Calibri" w:hAnsi="Calibri"/>
                <w:b/>
                <w:color w:val="FFFFFF"/>
                <w:sz w:val="15"/>
              </w:rPr>
              <w:t>2028e</w:t>
            </w:r>
          </w:p>
        </w:tc>
        <w:tc>
          <w:tcPr>
            <w:tcW w:type="dxa" w:w="1037"/>
            <w:shd w:val="clear" w:color="auto" w:fill="1C3A36"/>
          </w:tcPr>
          <w:p>
            <w:pPr>
              <w:spacing w:after="20" w:before="20"/>
              <w:jc w:val="right"/>
            </w:pPr>
            <w:r>
              <w:rPr>
                <w:rFonts w:ascii="Calibri" w:hAnsi="Calibri"/>
                <w:b/>
                <w:color w:val="FFFFFF"/>
                <w:sz w:val="15"/>
              </w:rPr>
              <w:t>2029e</w:t>
            </w:r>
          </w:p>
        </w:tc>
        <w:tc>
          <w:tcPr>
            <w:tcW w:type="dxa" w:w="1037"/>
            <w:shd w:val="clear" w:color="auto" w:fill="1C3A36"/>
          </w:tcPr>
          <w:p>
            <w:pPr>
              <w:spacing w:after="20" w:before="20"/>
              <w:jc w:val="right"/>
            </w:pPr>
            <w:r>
              <w:rPr>
                <w:rFonts w:ascii="Calibri" w:hAnsi="Calibri"/>
                <w:b/>
                <w:color w:val="FFFFFF"/>
                <w:sz w:val="15"/>
              </w:rPr>
              <w:t>2030e</w:t>
            </w:r>
          </w:p>
        </w:tc>
      </w:tr>
      <w:tr>
        <w:tc>
          <w:tcPr>
            <w:tcW w:type="dxa" w:w="2664"/>
          </w:tcPr>
          <w:p>
            <w:pPr>
              <w:spacing w:after="20" w:before="20"/>
            </w:pPr>
            <w:r>
              <w:rPr>
                <w:rFonts w:ascii="Calibri" w:hAnsi="Calibri"/>
                <w:color w:val="222A28"/>
                <w:sz w:val="15"/>
              </w:rPr>
              <w:t>Revenue</w:t>
            </w:r>
          </w:p>
        </w:tc>
        <w:tc>
          <w:tcPr>
            <w:tcW w:type="dxa" w:w="1037"/>
          </w:tcPr>
          <w:p>
            <w:pPr>
              <w:spacing w:after="20" w:before="20"/>
              <w:jc w:val="right"/>
            </w:pPr>
            <w:r>
              <w:rPr>
                <w:rFonts w:ascii="Calibri" w:hAnsi="Calibri"/>
                <w:color w:val="222A28"/>
                <w:sz w:val="15"/>
              </w:rPr>
              <w:t>14.2</w:t>
            </w:r>
          </w:p>
        </w:tc>
        <w:tc>
          <w:tcPr>
            <w:tcW w:type="dxa" w:w="1037"/>
          </w:tcPr>
          <w:p>
            <w:pPr>
              <w:spacing w:after="20" w:before="20"/>
              <w:jc w:val="right"/>
            </w:pPr>
            <w:r>
              <w:rPr>
                <w:rFonts w:ascii="Calibri" w:hAnsi="Calibri"/>
                <w:color w:val="222A28"/>
                <w:sz w:val="15"/>
              </w:rPr>
              <w:t>23.0</w:t>
            </w:r>
          </w:p>
        </w:tc>
        <w:tc>
          <w:tcPr>
            <w:tcW w:type="dxa" w:w="1037"/>
          </w:tcPr>
          <w:p>
            <w:pPr>
              <w:spacing w:after="20" w:before="20"/>
              <w:jc w:val="right"/>
            </w:pPr>
            <w:r>
              <w:rPr>
                <w:rFonts w:ascii="Calibri" w:hAnsi="Calibri"/>
                <w:color w:val="222A28"/>
                <w:sz w:val="15"/>
              </w:rPr>
              <w:t>33.8</w:t>
            </w:r>
          </w:p>
        </w:tc>
        <w:tc>
          <w:tcPr>
            <w:tcW w:type="dxa" w:w="1037"/>
          </w:tcPr>
          <w:p>
            <w:pPr>
              <w:spacing w:after="20" w:before="20"/>
              <w:jc w:val="right"/>
            </w:pPr>
            <w:r>
              <w:rPr>
                <w:rFonts w:ascii="Calibri" w:hAnsi="Calibri"/>
                <w:color w:val="222A28"/>
                <w:sz w:val="15"/>
              </w:rPr>
              <w:t>37.0</w:t>
            </w:r>
          </w:p>
        </w:tc>
        <w:tc>
          <w:tcPr>
            <w:tcW w:type="dxa" w:w="1037"/>
          </w:tcPr>
          <w:p>
            <w:pPr>
              <w:spacing w:after="20" w:before="20"/>
              <w:jc w:val="right"/>
            </w:pPr>
            <w:r>
              <w:rPr>
                <w:rFonts w:ascii="Calibri" w:hAnsi="Calibri"/>
                <w:color w:val="222A28"/>
                <w:sz w:val="15"/>
              </w:rPr>
              <w:t>41.0</w:t>
            </w:r>
          </w:p>
        </w:tc>
        <w:tc>
          <w:tcPr>
            <w:tcW w:type="dxa" w:w="1037"/>
          </w:tcPr>
          <w:p>
            <w:pPr>
              <w:spacing w:after="20" w:before="20"/>
              <w:jc w:val="right"/>
            </w:pPr>
            <w:r>
              <w:rPr>
                <w:rFonts w:ascii="Calibri" w:hAnsi="Calibri"/>
                <w:color w:val="222A28"/>
                <w:sz w:val="15"/>
              </w:rPr>
              <w:t>45.0</w:t>
            </w:r>
          </w:p>
        </w:tc>
        <w:tc>
          <w:tcPr>
            <w:tcW w:type="dxa" w:w="1037"/>
          </w:tcPr>
          <w:p>
            <w:pPr>
              <w:spacing w:after="20" w:before="20"/>
              <w:jc w:val="right"/>
            </w:pPr>
            <w:r>
              <w:rPr>
                <w:rFonts w:ascii="Calibri" w:hAnsi="Calibri"/>
                <w:color w:val="222A28"/>
                <w:sz w:val="15"/>
              </w:rPr>
              <w:t>48.0</w:t>
            </w:r>
          </w:p>
        </w:tc>
        <w:tc>
          <w:tcPr>
            <w:tcW w:type="dxa" w:w="1037"/>
          </w:tcPr>
          <w:p>
            <w:pPr>
              <w:spacing w:after="20" w:before="20"/>
              <w:jc w:val="right"/>
            </w:pPr>
            <w:r>
              <w:rPr>
                <w:rFonts w:ascii="Calibri" w:hAnsi="Calibri"/>
                <w:color w:val="222A28"/>
                <w:sz w:val="15"/>
              </w:rPr>
              <w:t>50.5</w:t>
            </w:r>
          </w:p>
        </w:tc>
      </w:tr>
      <w:tr>
        <w:tc>
          <w:tcPr>
            <w:tcW w:type="dxa" w:w="2664"/>
          </w:tcPr>
          <w:p>
            <w:pPr>
              <w:spacing w:after="20" w:before="20"/>
            </w:pPr>
            <w:r>
              <w:rPr>
                <w:rFonts w:ascii="Calibri" w:hAnsi="Calibri"/>
                <w:color w:val="222A28"/>
                <w:sz w:val="15"/>
              </w:rPr>
              <w:t>EBITDA</w:t>
            </w:r>
          </w:p>
        </w:tc>
        <w:tc>
          <w:tcPr>
            <w:tcW w:type="dxa" w:w="1037"/>
          </w:tcPr>
          <w:p>
            <w:pPr>
              <w:spacing w:after="20" w:before="20"/>
              <w:jc w:val="right"/>
            </w:pPr>
            <w:r>
              <w:rPr>
                <w:rFonts w:ascii="Calibri" w:hAnsi="Calibri"/>
                <w:color w:val="222A28"/>
                <w:sz w:val="15"/>
              </w:rPr>
              <w:t>5.1</w:t>
            </w:r>
          </w:p>
        </w:tc>
        <w:tc>
          <w:tcPr>
            <w:tcW w:type="dxa" w:w="1037"/>
          </w:tcPr>
          <w:p>
            <w:pPr>
              <w:spacing w:after="20" w:before="20"/>
              <w:jc w:val="right"/>
            </w:pPr>
            <w:r>
              <w:rPr>
                <w:rFonts w:ascii="Calibri" w:hAnsi="Calibri"/>
                <w:color w:val="222A28"/>
                <w:sz w:val="15"/>
              </w:rPr>
              <w:t>7.7</w:t>
            </w:r>
          </w:p>
        </w:tc>
        <w:tc>
          <w:tcPr>
            <w:tcW w:type="dxa" w:w="1037"/>
          </w:tcPr>
          <w:p>
            <w:pPr>
              <w:spacing w:after="20" w:before="20"/>
              <w:jc w:val="right"/>
            </w:pPr>
            <w:r>
              <w:rPr>
                <w:rFonts w:ascii="Calibri" w:hAnsi="Calibri"/>
                <w:color w:val="222A28"/>
                <w:sz w:val="15"/>
              </w:rPr>
              <w:t>11.2</w:t>
            </w:r>
          </w:p>
        </w:tc>
        <w:tc>
          <w:tcPr>
            <w:tcW w:type="dxa" w:w="1037"/>
          </w:tcPr>
          <w:p>
            <w:pPr>
              <w:spacing w:after="20" w:before="20"/>
              <w:jc w:val="right"/>
            </w:pPr>
            <w:r>
              <w:rPr>
                <w:rFonts w:ascii="Calibri" w:hAnsi="Calibri"/>
                <w:color w:val="222A28"/>
                <w:sz w:val="15"/>
              </w:rPr>
              <w:t>11.7</w:t>
            </w:r>
          </w:p>
        </w:tc>
        <w:tc>
          <w:tcPr>
            <w:tcW w:type="dxa" w:w="1037"/>
          </w:tcPr>
          <w:p>
            <w:pPr>
              <w:spacing w:after="20" w:before="20"/>
              <w:jc w:val="right"/>
            </w:pPr>
            <w:r>
              <w:rPr>
                <w:rFonts w:ascii="Calibri" w:hAnsi="Calibri"/>
                <w:color w:val="222A28"/>
                <w:sz w:val="15"/>
              </w:rPr>
              <w:t>12.7</w:t>
            </w:r>
          </w:p>
        </w:tc>
        <w:tc>
          <w:tcPr>
            <w:tcW w:type="dxa" w:w="1037"/>
          </w:tcPr>
          <w:p>
            <w:pPr>
              <w:spacing w:after="20" w:before="20"/>
              <w:jc w:val="right"/>
            </w:pPr>
            <w:r>
              <w:rPr>
                <w:rFonts w:ascii="Calibri" w:hAnsi="Calibri"/>
                <w:color w:val="222A28"/>
                <w:sz w:val="15"/>
              </w:rPr>
              <w:t>13.7</w:t>
            </w:r>
          </w:p>
        </w:tc>
        <w:tc>
          <w:tcPr>
            <w:tcW w:type="dxa" w:w="1037"/>
          </w:tcPr>
          <w:p>
            <w:pPr>
              <w:spacing w:after="20" w:before="20"/>
              <w:jc w:val="right"/>
            </w:pPr>
            <w:r>
              <w:rPr>
                <w:rFonts w:ascii="Calibri" w:hAnsi="Calibri"/>
                <w:color w:val="222A28"/>
                <w:sz w:val="15"/>
              </w:rPr>
              <w:t>14.5</w:t>
            </w:r>
          </w:p>
        </w:tc>
        <w:tc>
          <w:tcPr>
            <w:tcW w:type="dxa" w:w="1037"/>
          </w:tcPr>
          <w:p>
            <w:pPr>
              <w:spacing w:after="20" w:before="20"/>
              <w:jc w:val="right"/>
            </w:pPr>
            <w:r>
              <w:rPr>
                <w:rFonts w:ascii="Calibri" w:hAnsi="Calibri"/>
                <w:color w:val="222A28"/>
                <w:sz w:val="15"/>
              </w:rPr>
              <w:t>15.3</w:t>
            </w:r>
          </w:p>
        </w:tc>
      </w:tr>
      <w:tr>
        <w:tc>
          <w:tcPr>
            <w:tcW w:type="dxa" w:w="2664"/>
          </w:tcPr>
          <w:p>
            <w:pPr>
              <w:spacing w:after="20" w:before="20"/>
            </w:pPr>
            <w:r>
              <w:rPr>
                <w:rFonts w:ascii="Calibri" w:hAnsi="Calibri"/>
                <w:color w:val="222A28"/>
                <w:sz w:val="15"/>
              </w:rPr>
              <w:t>EBITDA margin</w:t>
            </w:r>
          </w:p>
        </w:tc>
        <w:tc>
          <w:tcPr>
            <w:tcW w:type="dxa" w:w="1037"/>
          </w:tcPr>
          <w:p>
            <w:pPr>
              <w:spacing w:after="20" w:before="20"/>
              <w:jc w:val="right"/>
            </w:pPr>
            <w:r>
              <w:rPr>
                <w:rFonts w:ascii="Calibri" w:hAnsi="Calibri"/>
                <w:color w:val="222A28"/>
                <w:sz w:val="15"/>
              </w:rPr>
              <w:t>36%</w:t>
            </w:r>
          </w:p>
        </w:tc>
        <w:tc>
          <w:tcPr>
            <w:tcW w:type="dxa" w:w="1037"/>
          </w:tcPr>
          <w:p>
            <w:pPr>
              <w:spacing w:after="20" w:before="20"/>
              <w:jc w:val="right"/>
            </w:pPr>
            <w:r>
              <w:rPr>
                <w:rFonts w:ascii="Calibri" w:hAnsi="Calibri"/>
                <w:color w:val="222A28"/>
                <w:sz w:val="15"/>
              </w:rPr>
              <w:t>34%</w:t>
            </w:r>
          </w:p>
        </w:tc>
        <w:tc>
          <w:tcPr>
            <w:tcW w:type="dxa" w:w="1037"/>
          </w:tcPr>
          <w:p>
            <w:pPr>
              <w:spacing w:after="20" w:before="20"/>
              <w:jc w:val="right"/>
            </w:pPr>
            <w:r>
              <w:rPr>
                <w:rFonts w:ascii="Calibri" w:hAnsi="Calibri"/>
                <w:color w:val="222A28"/>
                <w:sz w:val="15"/>
              </w:rPr>
              <w:t>33%</w:t>
            </w:r>
          </w:p>
        </w:tc>
        <w:tc>
          <w:tcPr>
            <w:tcW w:type="dxa" w:w="1037"/>
          </w:tcPr>
          <w:p>
            <w:pPr>
              <w:spacing w:after="20" w:before="20"/>
              <w:jc w:val="right"/>
            </w:pPr>
            <w:r>
              <w:rPr>
                <w:rFonts w:ascii="Calibri" w:hAnsi="Calibri"/>
                <w:color w:val="222A28"/>
                <w:sz w:val="15"/>
              </w:rPr>
              <w:t>32%</w:t>
            </w:r>
          </w:p>
        </w:tc>
        <w:tc>
          <w:tcPr>
            <w:tcW w:type="dxa" w:w="1037"/>
          </w:tcPr>
          <w:p>
            <w:pPr>
              <w:spacing w:after="20" w:before="20"/>
              <w:jc w:val="right"/>
            </w:pPr>
            <w:r>
              <w:rPr>
                <w:rFonts w:ascii="Calibri" w:hAnsi="Calibri"/>
                <w:color w:val="222A28"/>
                <w:sz w:val="15"/>
              </w:rPr>
              <w:t>31%</w:t>
            </w:r>
          </w:p>
        </w:tc>
        <w:tc>
          <w:tcPr>
            <w:tcW w:type="dxa" w:w="1037"/>
          </w:tcPr>
          <w:p>
            <w:pPr>
              <w:spacing w:after="20" w:before="20"/>
              <w:jc w:val="right"/>
            </w:pPr>
            <w:r>
              <w:rPr>
                <w:rFonts w:ascii="Calibri" w:hAnsi="Calibri"/>
                <w:color w:val="222A28"/>
                <w:sz w:val="15"/>
              </w:rPr>
              <w:t>30%</w:t>
            </w:r>
          </w:p>
        </w:tc>
        <w:tc>
          <w:tcPr>
            <w:tcW w:type="dxa" w:w="1037"/>
          </w:tcPr>
          <w:p>
            <w:pPr>
              <w:spacing w:after="20" w:before="20"/>
              <w:jc w:val="right"/>
            </w:pPr>
            <w:r>
              <w:rPr>
                <w:rFonts w:ascii="Calibri" w:hAnsi="Calibri"/>
                <w:color w:val="222A28"/>
                <w:sz w:val="15"/>
              </w:rPr>
              <w:t>30%</w:t>
            </w:r>
          </w:p>
        </w:tc>
        <w:tc>
          <w:tcPr>
            <w:tcW w:type="dxa" w:w="1037"/>
          </w:tcPr>
          <w:p>
            <w:pPr>
              <w:spacing w:after="20" w:before="20"/>
              <w:jc w:val="right"/>
            </w:pPr>
            <w:r>
              <w:rPr>
                <w:rFonts w:ascii="Calibri" w:hAnsi="Calibri"/>
                <w:color w:val="222A28"/>
                <w:sz w:val="15"/>
              </w:rPr>
              <w:t>30%</w:t>
            </w:r>
          </w:p>
        </w:tc>
      </w:tr>
      <w:tr>
        <w:tc>
          <w:tcPr>
            <w:tcW w:type="dxa" w:w="2664"/>
          </w:tcPr>
          <w:p>
            <w:pPr>
              <w:spacing w:after="20" w:before="20"/>
            </w:pPr>
            <w:r>
              <w:rPr>
                <w:rFonts w:ascii="Calibri" w:hAnsi="Calibri"/>
                <w:color w:val="222A28"/>
                <w:sz w:val="15"/>
              </w:rPr>
              <w:t>D&amp;A</w:t>
            </w:r>
          </w:p>
        </w:tc>
        <w:tc>
          <w:tcPr>
            <w:tcW w:type="dxa" w:w="1037"/>
          </w:tcPr>
          <w:p>
            <w:pPr>
              <w:spacing w:after="20" w:before="20"/>
              <w:jc w:val="right"/>
            </w:pPr>
            <w:r>
              <w:rPr>
                <w:rFonts w:ascii="Calibri" w:hAnsi="Calibri"/>
                <w:color w:val="222A28"/>
                <w:sz w:val="15"/>
              </w:rPr>
              <w:t>-0.5</w:t>
            </w:r>
          </w:p>
        </w:tc>
        <w:tc>
          <w:tcPr>
            <w:tcW w:type="dxa" w:w="1037"/>
          </w:tcPr>
          <w:p>
            <w:pPr>
              <w:spacing w:after="20" w:before="20"/>
              <w:jc w:val="right"/>
            </w:pPr>
            <w:r>
              <w:rPr>
                <w:rFonts w:ascii="Calibri" w:hAnsi="Calibri"/>
                <w:color w:val="222A28"/>
                <w:sz w:val="15"/>
              </w:rPr>
              <w:t>-0.6</w:t>
            </w:r>
          </w:p>
        </w:tc>
        <w:tc>
          <w:tcPr>
            <w:tcW w:type="dxa" w:w="1037"/>
          </w:tcPr>
          <w:p>
            <w:pPr>
              <w:spacing w:after="20" w:before="20"/>
              <w:jc w:val="right"/>
            </w:pPr>
            <w:r>
              <w:rPr>
                <w:rFonts w:ascii="Calibri" w:hAnsi="Calibri"/>
                <w:color w:val="222A28"/>
                <w:sz w:val="15"/>
              </w:rPr>
              <w:t>-0.7</w:t>
            </w:r>
          </w:p>
        </w:tc>
        <w:tc>
          <w:tcPr>
            <w:tcW w:type="dxa" w:w="1037"/>
          </w:tcPr>
          <w:p>
            <w:pPr>
              <w:spacing w:after="20" w:before="20"/>
              <w:jc w:val="right"/>
            </w:pPr>
            <w:r>
              <w:rPr>
                <w:rFonts w:ascii="Calibri" w:hAnsi="Calibri"/>
                <w:color w:val="222A28"/>
                <w:sz w:val="15"/>
              </w:rPr>
              <w:t>-0.7</w:t>
            </w:r>
          </w:p>
        </w:tc>
        <w:tc>
          <w:tcPr>
            <w:tcW w:type="dxa" w:w="1037"/>
          </w:tcPr>
          <w:p>
            <w:pPr>
              <w:spacing w:after="20" w:before="20"/>
              <w:jc w:val="right"/>
            </w:pPr>
            <w:r>
              <w:rPr>
                <w:rFonts w:ascii="Calibri" w:hAnsi="Calibri"/>
                <w:color w:val="222A28"/>
                <w:sz w:val="15"/>
              </w:rPr>
              <w:t>-0.8</w:t>
            </w:r>
          </w:p>
        </w:tc>
        <w:tc>
          <w:tcPr>
            <w:tcW w:type="dxa" w:w="1037"/>
          </w:tcPr>
          <w:p>
            <w:pPr>
              <w:spacing w:after="20" w:before="20"/>
              <w:jc w:val="right"/>
            </w:pPr>
            <w:r>
              <w:rPr>
                <w:rFonts w:ascii="Calibri" w:hAnsi="Calibri"/>
                <w:color w:val="222A28"/>
                <w:sz w:val="15"/>
              </w:rPr>
              <w:t>-0.9</w:t>
            </w:r>
          </w:p>
        </w:tc>
        <w:tc>
          <w:tcPr>
            <w:tcW w:type="dxa" w:w="1037"/>
          </w:tcPr>
          <w:p>
            <w:pPr>
              <w:spacing w:after="20" w:before="20"/>
              <w:jc w:val="right"/>
            </w:pPr>
            <w:r>
              <w:rPr>
                <w:rFonts w:ascii="Calibri" w:hAnsi="Calibri"/>
                <w:color w:val="222A28"/>
                <w:sz w:val="15"/>
              </w:rPr>
              <w:t>-1.0</w:t>
            </w:r>
          </w:p>
        </w:tc>
        <w:tc>
          <w:tcPr>
            <w:tcW w:type="dxa" w:w="1037"/>
          </w:tcPr>
          <w:p>
            <w:pPr>
              <w:spacing w:after="20" w:before="20"/>
              <w:jc w:val="right"/>
            </w:pPr>
            <w:r>
              <w:rPr>
                <w:rFonts w:ascii="Calibri" w:hAnsi="Calibri"/>
                <w:color w:val="222A28"/>
                <w:sz w:val="15"/>
              </w:rPr>
              <w:t>-1.0</w:t>
            </w:r>
          </w:p>
        </w:tc>
      </w:tr>
      <w:tr>
        <w:tc>
          <w:tcPr>
            <w:tcW w:type="dxa" w:w="2664"/>
          </w:tcPr>
          <w:p>
            <w:pPr>
              <w:spacing w:after="20" w:before="20"/>
            </w:pPr>
            <w:r>
              <w:rPr>
                <w:rFonts w:ascii="Calibri" w:hAnsi="Calibri"/>
                <w:color w:val="222A28"/>
                <w:sz w:val="15"/>
              </w:rPr>
              <w:t>EBIT</w:t>
            </w:r>
          </w:p>
        </w:tc>
        <w:tc>
          <w:tcPr>
            <w:tcW w:type="dxa" w:w="1037"/>
          </w:tcPr>
          <w:p>
            <w:pPr>
              <w:spacing w:after="20" w:before="20"/>
              <w:jc w:val="right"/>
            </w:pPr>
            <w:r>
              <w:rPr>
                <w:rFonts w:ascii="Calibri" w:hAnsi="Calibri"/>
                <w:color w:val="222A28"/>
                <w:sz w:val="15"/>
              </w:rPr>
              <w:t>4.6</w:t>
            </w:r>
          </w:p>
        </w:tc>
        <w:tc>
          <w:tcPr>
            <w:tcW w:type="dxa" w:w="1037"/>
          </w:tcPr>
          <w:p>
            <w:pPr>
              <w:spacing w:after="20" w:before="20"/>
              <w:jc w:val="right"/>
            </w:pPr>
            <w:r>
              <w:rPr>
                <w:rFonts w:ascii="Calibri" w:hAnsi="Calibri"/>
                <w:color w:val="222A28"/>
                <w:sz w:val="15"/>
              </w:rPr>
              <w:t>7.1</w:t>
            </w:r>
          </w:p>
        </w:tc>
        <w:tc>
          <w:tcPr>
            <w:tcW w:type="dxa" w:w="1037"/>
          </w:tcPr>
          <w:p>
            <w:pPr>
              <w:spacing w:after="20" w:before="20"/>
              <w:jc w:val="right"/>
            </w:pPr>
            <w:r>
              <w:rPr>
                <w:rFonts w:ascii="Calibri" w:hAnsi="Calibri"/>
                <w:color w:val="222A28"/>
                <w:sz w:val="15"/>
              </w:rPr>
              <w:t>10.5</w:t>
            </w:r>
          </w:p>
        </w:tc>
        <w:tc>
          <w:tcPr>
            <w:tcW w:type="dxa" w:w="1037"/>
          </w:tcPr>
          <w:p>
            <w:pPr>
              <w:spacing w:after="20" w:before="20"/>
              <w:jc w:val="right"/>
            </w:pPr>
            <w:r>
              <w:rPr>
                <w:rFonts w:ascii="Calibri" w:hAnsi="Calibri"/>
                <w:color w:val="222A28"/>
                <w:sz w:val="15"/>
              </w:rPr>
              <w:t>10.9</w:t>
            </w:r>
          </w:p>
        </w:tc>
        <w:tc>
          <w:tcPr>
            <w:tcW w:type="dxa" w:w="1037"/>
          </w:tcPr>
          <w:p>
            <w:pPr>
              <w:spacing w:after="20" w:before="20"/>
              <w:jc w:val="right"/>
            </w:pPr>
            <w:r>
              <w:rPr>
                <w:rFonts w:ascii="Calibri" w:hAnsi="Calibri"/>
                <w:color w:val="222A28"/>
                <w:sz w:val="15"/>
              </w:rPr>
              <w:t>11.9</w:t>
            </w:r>
          </w:p>
        </w:tc>
        <w:tc>
          <w:tcPr>
            <w:tcW w:type="dxa" w:w="1037"/>
          </w:tcPr>
          <w:p>
            <w:pPr>
              <w:spacing w:after="20" w:before="20"/>
              <w:jc w:val="right"/>
            </w:pPr>
            <w:r>
              <w:rPr>
                <w:rFonts w:ascii="Calibri" w:hAnsi="Calibri"/>
                <w:color w:val="222A28"/>
                <w:sz w:val="15"/>
              </w:rPr>
              <w:t>12.8</w:t>
            </w:r>
          </w:p>
        </w:tc>
        <w:tc>
          <w:tcPr>
            <w:tcW w:type="dxa" w:w="1037"/>
          </w:tcPr>
          <w:p>
            <w:pPr>
              <w:spacing w:after="20" w:before="20"/>
              <w:jc w:val="right"/>
            </w:pPr>
            <w:r>
              <w:rPr>
                <w:rFonts w:ascii="Calibri" w:hAnsi="Calibri"/>
                <w:color w:val="222A28"/>
                <w:sz w:val="15"/>
              </w:rPr>
              <w:t>13.6</w:t>
            </w:r>
          </w:p>
        </w:tc>
        <w:tc>
          <w:tcPr>
            <w:tcW w:type="dxa" w:w="1037"/>
          </w:tcPr>
          <w:p>
            <w:pPr>
              <w:spacing w:after="20" w:before="20"/>
              <w:jc w:val="right"/>
            </w:pPr>
            <w:r>
              <w:rPr>
                <w:rFonts w:ascii="Calibri" w:hAnsi="Calibri"/>
                <w:color w:val="222A28"/>
                <w:sz w:val="15"/>
              </w:rPr>
              <w:t>14.2</w:t>
            </w:r>
          </w:p>
        </w:tc>
      </w:tr>
      <w:tr>
        <w:tc>
          <w:tcPr>
            <w:tcW w:type="dxa" w:w="2664"/>
          </w:tcPr>
          <w:p>
            <w:pPr>
              <w:spacing w:after="20" w:before="20"/>
            </w:pPr>
            <w:r>
              <w:rPr>
                <w:rFonts w:ascii="Calibri" w:hAnsi="Calibri"/>
                <w:color w:val="222A28"/>
                <w:sz w:val="15"/>
              </w:rPr>
              <w:t>Net finance cost</w:t>
            </w:r>
          </w:p>
        </w:tc>
        <w:tc>
          <w:tcPr>
            <w:tcW w:type="dxa" w:w="1037"/>
          </w:tcPr>
          <w:p>
            <w:pPr>
              <w:spacing w:after="20" w:before="20"/>
              <w:jc w:val="right"/>
            </w:pPr>
            <w:r>
              <w:rPr>
                <w:rFonts w:ascii="Calibri" w:hAnsi="Calibri"/>
                <w:color w:val="222A28"/>
                <w:sz w:val="15"/>
              </w:rPr>
              <w:t>-0.4</w:t>
            </w:r>
          </w:p>
        </w:tc>
        <w:tc>
          <w:tcPr>
            <w:tcW w:type="dxa" w:w="1037"/>
          </w:tcPr>
          <w:p>
            <w:pPr>
              <w:spacing w:after="20" w:before="20"/>
              <w:jc w:val="right"/>
            </w:pPr>
            <w:r>
              <w:rPr>
                <w:rFonts w:ascii="Calibri" w:hAnsi="Calibri"/>
                <w:color w:val="222A28"/>
                <w:sz w:val="15"/>
              </w:rPr>
              <w:t>-0.5</w:t>
            </w:r>
          </w:p>
        </w:tc>
        <w:tc>
          <w:tcPr>
            <w:tcW w:type="dxa" w:w="1037"/>
          </w:tcPr>
          <w:p>
            <w:pPr>
              <w:spacing w:after="20" w:before="20"/>
              <w:jc w:val="right"/>
            </w:pPr>
            <w:r>
              <w:rPr>
                <w:rFonts w:ascii="Calibri" w:hAnsi="Calibri"/>
                <w:color w:val="222A28"/>
                <w:sz w:val="15"/>
              </w:rPr>
              <w:t>-0.9</w:t>
            </w:r>
          </w:p>
        </w:tc>
        <w:tc>
          <w:tcPr>
            <w:tcW w:type="dxa" w:w="1037"/>
          </w:tcPr>
          <w:p>
            <w:pPr>
              <w:spacing w:after="20" w:before="20"/>
              <w:jc w:val="right"/>
            </w:pPr>
            <w:r>
              <w:rPr>
                <w:rFonts w:ascii="Calibri" w:hAnsi="Calibri"/>
                <w:color w:val="222A28"/>
                <w:sz w:val="15"/>
              </w:rPr>
              <w:t>-0.9</w:t>
            </w:r>
          </w:p>
        </w:tc>
        <w:tc>
          <w:tcPr>
            <w:tcW w:type="dxa" w:w="1037"/>
          </w:tcPr>
          <w:p>
            <w:pPr>
              <w:spacing w:after="20" w:before="20"/>
              <w:jc w:val="right"/>
            </w:pPr>
            <w:r>
              <w:rPr>
                <w:rFonts w:ascii="Calibri" w:hAnsi="Calibri"/>
                <w:color w:val="222A28"/>
                <w:sz w:val="15"/>
              </w:rPr>
              <w:t>-0.9</w:t>
            </w:r>
          </w:p>
        </w:tc>
        <w:tc>
          <w:tcPr>
            <w:tcW w:type="dxa" w:w="1037"/>
          </w:tcPr>
          <w:p>
            <w:pPr>
              <w:spacing w:after="20" w:before="20"/>
              <w:jc w:val="right"/>
            </w:pPr>
            <w:r>
              <w:rPr>
                <w:rFonts w:ascii="Calibri" w:hAnsi="Calibri"/>
                <w:color w:val="222A28"/>
                <w:sz w:val="15"/>
              </w:rPr>
              <w:t>-0.9</w:t>
            </w:r>
          </w:p>
        </w:tc>
        <w:tc>
          <w:tcPr>
            <w:tcW w:type="dxa" w:w="1037"/>
          </w:tcPr>
          <w:p>
            <w:pPr>
              <w:spacing w:after="20" w:before="20"/>
              <w:jc w:val="right"/>
            </w:pPr>
            <w:r>
              <w:rPr>
                <w:rFonts w:ascii="Calibri" w:hAnsi="Calibri"/>
                <w:color w:val="222A28"/>
                <w:sz w:val="15"/>
              </w:rPr>
              <w:t>-0.9</w:t>
            </w:r>
          </w:p>
        </w:tc>
        <w:tc>
          <w:tcPr>
            <w:tcW w:type="dxa" w:w="1037"/>
          </w:tcPr>
          <w:p>
            <w:pPr>
              <w:spacing w:after="20" w:before="20"/>
              <w:jc w:val="right"/>
            </w:pPr>
            <w:r>
              <w:rPr>
                <w:rFonts w:ascii="Calibri" w:hAnsi="Calibri"/>
                <w:color w:val="222A28"/>
                <w:sz w:val="15"/>
              </w:rPr>
              <w:t>-0.9</w:t>
            </w:r>
          </w:p>
        </w:tc>
      </w:tr>
      <w:tr>
        <w:tc>
          <w:tcPr>
            <w:tcW w:type="dxa" w:w="2664"/>
          </w:tcPr>
          <w:p>
            <w:pPr>
              <w:spacing w:after="20" w:before="20"/>
            </w:pPr>
            <w:r>
              <w:rPr>
                <w:rFonts w:ascii="Calibri" w:hAnsi="Calibri"/>
                <w:color w:val="222A28"/>
                <w:sz w:val="15"/>
              </w:rPr>
              <w:t>Fair-value / other (actuals)</w:t>
            </w:r>
          </w:p>
        </w:tc>
        <w:tc>
          <w:tcPr>
            <w:tcW w:type="dxa" w:w="1037"/>
          </w:tcPr>
          <w:p>
            <w:pPr>
              <w:spacing w:after="20" w:before="20"/>
              <w:jc w:val="right"/>
            </w:pPr>
            <w:r>
              <w:rPr>
                <w:rFonts w:ascii="Calibri" w:hAnsi="Calibri"/>
                <w:color w:val="222A28"/>
                <w:sz w:val="15"/>
              </w:rPr>
              <w:t>0.3</w:t>
            </w:r>
          </w:p>
        </w:tc>
        <w:tc>
          <w:tcPr>
            <w:tcW w:type="dxa" w:w="1037"/>
          </w:tcPr>
          <w:p>
            <w:pPr>
              <w:spacing w:after="20" w:before="20"/>
              <w:jc w:val="right"/>
            </w:pPr>
            <w:r>
              <w:rPr>
                <w:rFonts w:ascii="Calibri" w:hAnsi="Calibri"/>
                <w:color w:val="222A28"/>
                <w:sz w:val="15"/>
              </w:rPr>
              <w:t>0.5</w:t>
            </w:r>
          </w:p>
        </w:tc>
        <w:tc>
          <w:tcPr>
            <w:tcW w:type="dxa" w:w="1037"/>
          </w:tcPr>
          <w:p>
            <w:pPr>
              <w:spacing w:after="20" w:before="20"/>
              <w:jc w:val="right"/>
            </w:pPr>
            <w:r>
              <w:rPr>
                <w:rFonts w:ascii="Calibri" w:hAnsi="Calibri"/>
                <w:color w:val="222A28"/>
                <w:sz w:val="15"/>
              </w:rPr>
              <w:t>0.6</w:t>
            </w:r>
          </w:p>
        </w:tc>
        <w:tc>
          <w:tcPr>
            <w:tcW w:type="dxa" w:w="1037"/>
          </w:tcPr>
          <w:p>
            <w:pPr>
              <w:spacing w:after="20" w:before="20"/>
              <w:jc w:val="right"/>
            </w:pPr>
            <w:r>
              <w:rPr>
                <w:rFonts w:ascii="Calibri" w:hAnsi="Calibri"/>
                <w:color w:val="222A28"/>
                <w:sz w:val="15"/>
              </w:rPr>
              <w:t>0.0</w:t>
            </w:r>
          </w:p>
        </w:tc>
        <w:tc>
          <w:tcPr>
            <w:tcW w:type="dxa" w:w="1037"/>
          </w:tcPr>
          <w:p>
            <w:pPr>
              <w:spacing w:after="20" w:before="20"/>
              <w:jc w:val="right"/>
            </w:pPr>
            <w:r>
              <w:rPr>
                <w:rFonts w:ascii="Calibri" w:hAnsi="Calibri"/>
                <w:color w:val="222A28"/>
                <w:sz w:val="15"/>
              </w:rPr>
              <w:t>0.0</w:t>
            </w:r>
          </w:p>
        </w:tc>
        <w:tc>
          <w:tcPr>
            <w:tcW w:type="dxa" w:w="1037"/>
          </w:tcPr>
          <w:p>
            <w:pPr>
              <w:spacing w:after="20" w:before="20"/>
              <w:jc w:val="right"/>
            </w:pPr>
            <w:r>
              <w:rPr>
                <w:rFonts w:ascii="Calibri" w:hAnsi="Calibri"/>
                <w:color w:val="222A28"/>
                <w:sz w:val="15"/>
              </w:rPr>
              <w:t>0.0</w:t>
            </w:r>
          </w:p>
        </w:tc>
        <w:tc>
          <w:tcPr>
            <w:tcW w:type="dxa" w:w="1037"/>
          </w:tcPr>
          <w:p>
            <w:pPr>
              <w:spacing w:after="20" w:before="20"/>
              <w:jc w:val="right"/>
            </w:pPr>
            <w:r>
              <w:rPr>
                <w:rFonts w:ascii="Calibri" w:hAnsi="Calibri"/>
                <w:color w:val="222A28"/>
                <w:sz w:val="15"/>
              </w:rPr>
              <w:t>0.0</w:t>
            </w:r>
          </w:p>
        </w:tc>
        <w:tc>
          <w:tcPr>
            <w:tcW w:type="dxa" w:w="1037"/>
          </w:tcPr>
          <w:p>
            <w:pPr>
              <w:spacing w:after="20" w:before="20"/>
              <w:jc w:val="right"/>
            </w:pPr>
            <w:r>
              <w:rPr>
                <w:rFonts w:ascii="Calibri" w:hAnsi="Calibri"/>
                <w:color w:val="222A28"/>
                <w:sz w:val="15"/>
              </w:rPr>
              <w:t>0.0</w:t>
            </w:r>
          </w:p>
        </w:tc>
      </w:tr>
      <w:tr>
        <w:tc>
          <w:tcPr>
            <w:tcW w:type="dxa" w:w="2664"/>
            <w:shd w:val="clear" w:color="auto" w:fill="E7EDEB"/>
          </w:tcPr>
          <w:p>
            <w:pPr>
              <w:spacing w:after="20" w:before="20"/>
            </w:pPr>
            <w:r>
              <w:rPr>
                <w:rFonts w:ascii="Calibri" w:hAnsi="Calibri"/>
                <w:b/>
                <w:color w:val="1C3A36"/>
                <w:sz w:val="15"/>
              </w:rPr>
              <w:t>Profit before tax</w:t>
            </w:r>
          </w:p>
        </w:tc>
        <w:tc>
          <w:tcPr>
            <w:tcW w:type="dxa" w:w="1037"/>
            <w:shd w:val="clear" w:color="auto" w:fill="E7EDEB"/>
          </w:tcPr>
          <w:p>
            <w:pPr>
              <w:spacing w:after="20" w:before="20"/>
              <w:jc w:val="right"/>
            </w:pPr>
            <w:r>
              <w:rPr>
                <w:rFonts w:ascii="Calibri" w:hAnsi="Calibri"/>
                <w:b/>
                <w:color w:val="1C3A36"/>
                <w:sz w:val="15"/>
              </w:rPr>
              <w:t>4.5</w:t>
            </w:r>
          </w:p>
        </w:tc>
        <w:tc>
          <w:tcPr>
            <w:tcW w:type="dxa" w:w="1037"/>
            <w:shd w:val="clear" w:color="auto" w:fill="E7EDEB"/>
          </w:tcPr>
          <w:p>
            <w:pPr>
              <w:spacing w:after="20" w:before="20"/>
              <w:jc w:val="right"/>
            </w:pPr>
            <w:r>
              <w:rPr>
                <w:rFonts w:ascii="Calibri" w:hAnsi="Calibri"/>
                <w:b/>
                <w:color w:val="1C3A36"/>
                <w:sz w:val="15"/>
              </w:rPr>
              <w:t>7.1</w:t>
            </w:r>
          </w:p>
        </w:tc>
        <w:tc>
          <w:tcPr>
            <w:tcW w:type="dxa" w:w="1037"/>
            <w:shd w:val="clear" w:color="auto" w:fill="E7EDEB"/>
          </w:tcPr>
          <w:p>
            <w:pPr>
              <w:spacing w:after="20" w:before="20"/>
              <w:jc w:val="right"/>
            </w:pPr>
            <w:r>
              <w:rPr>
                <w:rFonts w:ascii="Calibri" w:hAnsi="Calibri"/>
                <w:b/>
                <w:color w:val="1C3A36"/>
                <w:sz w:val="15"/>
              </w:rPr>
              <w:t>10.2</w:t>
            </w:r>
          </w:p>
        </w:tc>
        <w:tc>
          <w:tcPr>
            <w:tcW w:type="dxa" w:w="1037"/>
            <w:shd w:val="clear" w:color="auto" w:fill="E7EDEB"/>
          </w:tcPr>
          <w:p>
            <w:pPr>
              <w:spacing w:after="20" w:before="20"/>
              <w:jc w:val="right"/>
            </w:pPr>
            <w:r>
              <w:rPr>
                <w:rFonts w:ascii="Calibri" w:hAnsi="Calibri"/>
                <w:b/>
                <w:color w:val="1C3A36"/>
                <w:sz w:val="15"/>
              </w:rPr>
              <w:t>10.0</w:t>
            </w:r>
          </w:p>
        </w:tc>
        <w:tc>
          <w:tcPr>
            <w:tcW w:type="dxa" w:w="1037"/>
            <w:shd w:val="clear" w:color="auto" w:fill="E7EDEB"/>
          </w:tcPr>
          <w:p>
            <w:pPr>
              <w:spacing w:after="20" w:before="20"/>
              <w:jc w:val="right"/>
            </w:pPr>
            <w:r>
              <w:rPr>
                <w:rFonts w:ascii="Calibri" w:hAnsi="Calibri"/>
                <w:b/>
                <w:color w:val="1C3A36"/>
                <w:sz w:val="15"/>
              </w:rPr>
              <w:t>11.0</w:t>
            </w:r>
          </w:p>
        </w:tc>
        <w:tc>
          <w:tcPr>
            <w:tcW w:type="dxa" w:w="1037"/>
            <w:shd w:val="clear" w:color="auto" w:fill="E7EDEB"/>
          </w:tcPr>
          <w:p>
            <w:pPr>
              <w:spacing w:after="20" w:before="20"/>
              <w:jc w:val="right"/>
            </w:pPr>
            <w:r>
              <w:rPr>
                <w:rFonts w:ascii="Calibri" w:hAnsi="Calibri"/>
                <w:b/>
                <w:color w:val="1C3A36"/>
                <w:sz w:val="15"/>
              </w:rPr>
              <w:t>11.9</w:t>
            </w:r>
          </w:p>
        </w:tc>
        <w:tc>
          <w:tcPr>
            <w:tcW w:type="dxa" w:w="1037"/>
            <w:shd w:val="clear" w:color="auto" w:fill="E7EDEB"/>
          </w:tcPr>
          <w:p>
            <w:pPr>
              <w:spacing w:after="20" w:before="20"/>
              <w:jc w:val="right"/>
            </w:pPr>
            <w:r>
              <w:rPr>
                <w:rFonts w:ascii="Calibri" w:hAnsi="Calibri"/>
                <w:b/>
                <w:color w:val="1C3A36"/>
                <w:sz w:val="15"/>
              </w:rPr>
              <w:t>12.7</w:t>
            </w:r>
          </w:p>
        </w:tc>
        <w:tc>
          <w:tcPr>
            <w:tcW w:type="dxa" w:w="1037"/>
            <w:shd w:val="clear" w:color="auto" w:fill="E7EDEB"/>
          </w:tcPr>
          <w:p>
            <w:pPr>
              <w:spacing w:after="20" w:before="20"/>
              <w:jc w:val="right"/>
            </w:pPr>
            <w:r>
              <w:rPr>
                <w:rFonts w:ascii="Calibri" w:hAnsi="Calibri"/>
                <w:b/>
                <w:color w:val="1C3A36"/>
                <w:sz w:val="15"/>
              </w:rPr>
              <w:t>13.3</w:t>
            </w:r>
          </w:p>
        </w:tc>
      </w:tr>
      <w:tr>
        <w:tc>
          <w:tcPr>
            <w:tcW w:type="dxa" w:w="2664"/>
          </w:tcPr>
          <w:p>
            <w:pPr>
              <w:spacing w:after="20" w:before="20"/>
            </w:pPr>
            <w:r>
              <w:rPr>
                <w:rFonts w:ascii="Calibri" w:hAnsi="Calibri"/>
                <w:color w:val="222A28"/>
                <w:sz w:val="15"/>
              </w:rPr>
              <w:t>Tax</w:t>
            </w:r>
          </w:p>
        </w:tc>
        <w:tc>
          <w:tcPr>
            <w:tcW w:type="dxa" w:w="1037"/>
          </w:tcPr>
          <w:p>
            <w:pPr>
              <w:spacing w:after="20" w:before="20"/>
              <w:jc w:val="right"/>
            </w:pPr>
            <w:r>
              <w:rPr>
                <w:rFonts w:ascii="Calibri" w:hAnsi="Calibri"/>
                <w:color w:val="222A28"/>
                <w:sz w:val="15"/>
              </w:rPr>
              <w:t>-0.3</w:t>
            </w:r>
          </w:p>
        </w:tc>
        <w:tc>
          <w:tcPr>
            <w:tcW w:type="dxa" w:w="1037"/>
          </w:tcPr>
          <w:p>
            <w:pPr>
              <w:spacing w:after="20" w:before="20"/>
              <w:jc w:val="right"/>
            </w:pPr>
            <w:r>
              <w:rPr>
                <w:rFonts w:ascii="Calibri" w:hAnsi="Calibri"/>
                <w:color w:val="222A28"/>
                <w:sz w:val="15"/>
              </w:rPr>
              <w:t>-0.7</w:t>
            </w:r>
          </w:p>
        </w:tc>
        <w:tc>
          <w:tcPr>
            <w:tcW w:type="dxa" w:w="1037"/>
          </w:tcPr>
          <w:p>
            <w:pPr>
              <w:spacing w:after="20" w:before="20"/>
              <w:jc w:val="right"/>
            </w:pPr>
            <w:r>
              <w:rPr>
                <w:rFonts w:ascii="Calibri" w:hAnsi="Calibri"/>
                <w:color w:val="222A28"/>
                <w:sz w:val="15"/>
              </w:rPr>
              <w:t>-1.4</w:t>
            </w:r>
          </w:p>
        </w:tc>
        <w:tc>
          <w:tcPr>
            <w:tcW w:type="dxa" w:w="1037"/>
          </w:tcPr>
          <w:p>
            <w:pPr>
              <w:spacing w:after="20" w:before="20"/>
              <w:jc w:val="right"/>
            </w:pPr>
            <w:r>
              <w:rPr>
                <w:rFonts w:ascii="Calibri" w:hAnsi="Calibri"/>
                <w:color w:val="222A28"/>
                <w:sz w:val="15"/>
              </w:rPr>
              <w:t>-1.2</w:t>
            </w:r>
          </w:p>
        </w:tc>
        <w:tc>
          <w:tcPr>
            <w:tcW w:type="dxa" w:w="1037"/>
          </w:tcPr>
          <w:p>
            <w:pPr>
              <w:spacing w:after="20" w:before="20"/>
              <w:jc w:val="right"/>
            </w:pPr>
            <w:r>
              <w:rPr>
                <w:rFonts w:ascii="Calibri" w:hAnsi="Calibri"/>
                <w:color w:val="222A28"/>
                <w:sz w:val="15"/>
              </w:rPr>
              <w:t>-1.3</w:t>
            </w:r>
          </w:p>
        </w:tc>
        <w:tc>
          <w:tcPr>
            <w:tcW w:type="dxa" w:w="1037"/>
          </w:tcPr>
          <w:p>
            <w:pPr>
              <w:spacing w:after="20" w:before="20"/>
              <w:jc w:val="right"/>
            </w:pPr>
            <w:r>
              <w:rPr>
                <w:rFonts w:ascii="Calibri" w:hAnsi="Calibri"/>
                <w:color w:val="222A28"/>
                <w:sz w:val="15"/>
              </w:rPr>
              <w:t>-1.4</w:t>
            </w:r>
          </w:p>
        </w:tc>
        <w:tc>
          <w:tcPr>
            <w:tcW w:type="dxa" w:w="1037"/>
          </w:tcPr>
          <w:p>
            <w:pPr>
              <w:spacing w:after="20" w:before="20"/>
              <w:jc w:val="right"/>
            </w:pPr>
            <w:r>
              <w:rPr>
                <w:rFonts w:ascii="Calibri" w:hAnsi="Calibri"/>
                <w:color w:val="222A28"/>
                <w:sz w:val="15"/>
              </w:rPr>
              <w:t>-1.5</w:t>
            </w:r>
          </w:p>
        </w:tc>
        <w:tc>
          <w:tcPr>
            <w:tcW w:type="dxa" w:w="1037"/>
          </w:tcPr>
          <w:p>
            <w:pPr>
              <w:spacing w:after="20" w:before="20"/>
              <w:jc w:val="right"/>
            </w:pPr>
            <w:r>
              <w:rPr>
                <w:rFonts w:ascii="Calibri" w:hAnsi="Calibri"/>
                <w:color w:val="222A28"/>
                <w:sz w:val="15"/>
              </w:rPr>
              <w:t>-1.6</w:t>
            </w:r>
          </w:p>
        </w:tc>
      </w:tr>
      <w:tr>
        <w:tc>
          <w:tcPr>
            <w:tcW w:type="dxa" w:w="2664"/>
          </w:tcPr>
          <w:p>
            <w:pPr>
              <w:spacing w:after="20" w:before="20"/>
            </w:pPr>
            <w:r>
              <w:rPr>
                <w:rFonts w:ascii="Calibri" w:hAnsi="Calibri"/>
                <w:color w:val="222A28"/>
                <w:sz w:val="15"/>
              </w:rPr>
              <w:t>Net profit (group)</w:t>
            </w:r>
          </w:p>
        </w:tc>
        <w:tc>
          <w:tcPr>
            <w:tcW w:type="dxa" w:w="1037"/>
          </w:tcPr>
          <w:p>
            <w:pPr>
              <w:spacing w:after="20" w:before="20"/>
              <w:jc w:val="right"/>
            </w:pPr>
            <w:r>
              <w:rPr>
                <w:rFonts w:ascii="Calibri" w:hAnsi="Calibri"/>
                <w:color w:val="222A28"/>
                <w:sz w:val="15"/>
              </w:rPr>
              <w:t>4.2</w:t>
            </w:r>
          </w:p>
        </w:tc>
        <w:tc>
          <w:tcPr>
            <w:tcW w:type="dxa" w:w="1037"/>
          </w:tcPr>
          <w:p>
            <w:pPr>
              <w:spacing w:after="20" w:before="20"/>
              <w:jc w:val="right"/>
            </w:pPr>
            <w:r>
              <w:rPr>
                <w:rFonts w:ascii="Calibri" w:hAnsi="Calibri"/>
                <w:color w:val="222A28"/>
                <w:sz w:val="15"/>
              </w:rPr>
              <w:t>6.4</w:t>
            </w:r>
          </w:p>
        </w:tc>
        <w:tc>
          <w:tcPr>
            <w:tcW w:type="dxa" w:w="1037"/>
          </w:tcPr>
          <w:p>
            <w:pPr>
              <w:spacing w:after="20" w:before="20"/>
              <w:jc w:val="right"/>
            </w:pPr>
            <w:r>
              <w:rPr>
                <w:rFonts w:ascii="Calibri" w:hAnsi="Calibri"/>
                <w:color w:val="222A28"/>
                <w:sz w:val="15"/>
              </w:rPr>
              <w:t>8.8</w:t>
            </w:r>
          </w:p>
        </w:tc>
        <w:tc>
          <w:tcPr>
            <w:tcW w:type="dxa" w:w="1037"/>
          </w:tcPr>
          <w:p>
            <w:pPr>
              <w:spacing w:after="20" w:before="20"/>
              <w:jc w:val="right"/>
            </w:pPr>
            <w:r>
              <w:rPr>
                <w:rFonts w:ascii="Calibri" w:hAnsi="Calibri"/>
                <w:color w:val="222A28"/>
                <w:sz w:val="15"/>
              </w:rPr>
              <w:t>8.8</w:t>
            </w:r>
          </w:p>
        </w:tc>
        <w:tc>
          <w:tcPr>
            <w:tcW w:type="dxa" w:w="1037"/>
          </w:tcPr>
          <w:p>
            <w:pPr>
              <w:spacing w:after="20" w:before="20"/>
              <w:jc w:val="right"/>
            </w:pPr>
            <w:r>
              <w:rPr>
                <w:rFonts w:ascii="Calibri" w:hAnsi="Calibri"/>
                <w:color w:val="222A28"/>
                <w:sz w:val="15"/>
              </w:rPr>
              <w:t>9.7</w:t>
            </w:r>
          </w:p>
        </w:tc>
        <w:tc>
          <w:tcPr>
            <w:tcW w:type="dxa" w:w="1037"/>
          </w:tcPr>
          <w:p>
            <w:pPr>
              <w:spacing w:after="20" w:before="20"/>
              <w:jc w:val="right"/>
            </w:pPr>
            <w:r>
              <w:rPr>
                <w:rFonts w:ascii="Calibri" w:hAnsi="Calibri"/>
                <w:color w:val="222A28"/>
                <w:sz w:val="15"/>
              </w:rPr>
              <w:t>10.5</w:t>
            </w:r>
          </w:p>
        </w:tc>
        <w:tc>
          <w:tcPr>
            <w:tcW w:type="dxa" w:w="1037"/>
          </w:tcPr>
          <w:p>
            <w:pPr>
              <w:spacing w:after="20" w:before="20"/>
              <w:jc w:val="right"/>
            </w:pPr>
            <w:r>
              <w:rPr>
                <w:rFonts w:ascii="Calibri" w:hAnsi="Calibri"/>
                <w:color w:val="222A28"/>
                <w:sz w:val="15"/>
              </w:rPr>
              <w:t>11.2</w:t>
            </w:r>
          </w:p>
        </w:tc>
        <w:tc>
          <w:tcPr>
            <w:tcW w:type="dxa" w:w="1037"/>
          </w:tcPr>
          <w:p>
            <w:pPr>
              <w:spacing w:after="20" w:before="20"/>
              <w:jc w:val="right"/>
            </w:pPr>
            <w:r>
              <w:rPr>
                <w:rFonts w:ascii="Calibri" w:hAnsi="Calibri"/>
                <w:color w:val="222A28"/>
                <w:sz w:val="15"/>
              </w:rPr>
              <w:t>11.7</w:t>
            </w:r>
          </w:p>
        </w:tc>
      </w:tr>
      <w:tr>
        <w:tc>
          <w:tcPr>
            <w:tcW w:type="dxa" w:w="2664"/>
          </w:tcPr>
          <w:p>
            <w:pPr>
              <w:spacing w:after="20" w:before="20"/>
            </w:pPr>
            <w:r>
              <w:rPr>
                <w:rFonts w:ascii="Calibri" w:hAnsi="Calibri"/>
                <w:color w:val="222A28"/>
                <w:sz w:val="15"/>
              </w:rPr>
              <w:t>less: NCI</w:t>
            </w:r>
          </w:p>
        </w:tc>
        <w:tc>
          <w:tcPr>
            <w:tcW w:type="dxa" w:w="1037"/>
          </w:tcPr>
          <w:p>
            <w:pPr>
              <w:spacing w:after="20" w:before="20"/>
              <w:jc w:val="right"/>
            </w:pPr>
            <w:r>
              <w:rPr>
                <w:rFonts w:ascii="Calibri" w:hAnsi="Calibri"/>
                <w:color w:val="222A28"/>
                <w:sz w:val="15"/>
              </w:rPr>
              <w:t>-0.5</w:t>
            </w:r>
          </w:p>
        </w:tc>
        <w:tc>
          <w:tcPr>
            <w:tcW w:type="dxa" w:w="1037"/>
          </w:tcPr>
          <w:p>
            <w:pPr>
              <w:spacing w:after="20" w:before="20"/>
              <w:jc w:val="right"/>
            </w:pPr>
            <w:r>
              <w:rPr>
                <w:rFonts w:ascii="Calibri" w:hAnsi="Calibri"/>
                <w:color w:val="222A28"/>
                <w:sz w:val="15"/>
              </w:rPr>
              <w:t>-0.9</w:t>
            </w:r>
          </w:p>
        </w:tc>
        <w:tc>
          <w:tcPr>
            <w:tcW w:type="dxa" w:w="1037"/>
          </w:tcPr>
          <w:p>
            <w:pPr>
              <w:spacing w:after="20" w:before="20"/>
              <w:jc w:val="right"/>
            </w:pPr>
            <w:r>
              <w:rPr>
                <w:rFonts w:ascii="Calibri" w:hAnsi="Calibri"/>
                <w:color w:val="222A28"/>
                <w:sz w:val="15"/>
              </w:rPr>
              <w:t>-1.2</w:t>
            </w:r>
          </w:p>
        </w:tc>
        <w:tc>
          <w:tcPr>
            <w:tcW w:type="dxa" w:w="1037"/>
          </w:tcPr>
          <w:p>
            <w:pPr>
              <w:spacing w:after="20" w:before="20"/>
              <w:jc w:val="right"/>
            </w:pPr>
            <w:r>
              <w:rPr>
                <w:rFonts w:ascii="Calibri" w:hAnsi="Calibri"/>
                <w:color w:val="222A28"/>
                <w:sz w:val="15"/>
              </w:rPr>
              <w:t>-1.1</w:t>
            </w:r>
          </w:p>
        </w:tc>
        <w:tc>
          <w:tcPr>
            <w:tcW w:type="dxa" w:w="1037"/>
          </w:tcPr>
          <w:p>
            <w:pPr>
              <w:spacing w:after="20" w:before="20"/>
              <w:jc w:val="right"/>
            </w:pPr>
            <w:r>
              <w:rPr>
                <w:rFonts w:ascii="Calibri" w:hAnsi="Calibri"/>
                <w:color w:val="222A28"/>
                <w:sz w:val="15"/>
              </w:rPr>
              <w:t>-1.2</w:t>
            </w:r>
          </w:p>
        </w:tc>
        <w:tc>
          <w:tcPr>
            <w:tcW w:type="dxa" w:w="1037"/>
          </w:tcPr>
          <w:p>
            <w:pPr>
              <w:spacing w:after="20" w:before="20"/>
              <w:jc w:val="right"/>
            </w:pPr>
            <w:r>
              <w:rPr>
                <w:rFonts w:ascii="Calibri" w:hAnsi="Calibri"/>
                <w:color w:val="222A28"/>
                <w:sz w:val="15"/>
              </w:rPr>
              <w:t>-1.3</w:t>
            </w:r>
          </w:p>
        </w:tc>
        <w:tc>
          <w:tcPr>
            <w:tcW w:type="dxa" w:w="1037"/>
          </w:tcPr>
          <w:p>
            <w:pPr>
              <w:spacing w:after="20" w:before="20"/>
              <w:jc w:val="right"/>
            </w:pPr>
            <w:r>
              <w:rPr>
                <w:rFonts w:ascii="Calibri" w:hAnsi="Calibri"/>
                <w:color w:val="222A28"/>
                <w:sz w:val="15"/>
              </w:rPr>
              <w:t>-1.3</w:t>
            </w:r>
          </w:p>
        </w:tc>
        <w:tc>
          <w:tcPr>
            <w:tcW w:type="dxa" w:w="1037"/>
          </w:tcPr>
          <w:p>
            <w:pPr>
              <w:spacing w:after="20" w:before="20"/>
              <w:jc w:val="right"/>
            </w:pPr>
            <w:r>
              <w:rPr>
                <w:rFonts w:ascii="Calibri" w:hAnsi="Calibri"/>
                <w:color w:val="222A28"/>
                <w:sz w:val="15"/>
              </w:rPr>
              <w:t>-1.4</w:t>
            </w:r>
          </w:p>
        </w:tc>
      </w:tr>
      <w:tr>
        <w:tc>
          <w:tcPr>
            <w:tcW w:type="dxa" w:w="2664"/>
            <w:shd w:val="clear" w:color="auto" w:fill="E7EDEB"/>
          </w:tcPr>
          <w:p>
            <w:pPr>
              <w:spacing w:after="20" w:before="20"/>
            </w:pPr>
            <w:r>
              <w:rPr>
                <w:rFonts w:ascii="Calibri" w:hAnsi="Calibri"/>
                <w:b/>
                <w:color w:val="1C3A36"/>
                <w:sz w:val="15"/>
              </w:rPr>
              <w:t>Attributable net profit</w:t>
            </w:r>
          </w:p>
        </w:tc>
        <w:tc>
          <w:tcPr>
            <w:tcW w:type="dxa" w:w="1037"/>
            <w:shd w:val="clear" w:color="auto" w:fill="E7EDEB"/>
          </w:tcPr>
          <w:p>
            <w:pPr>
              <w:spacing w:after="20" w:before="20"/>
              <w:jc w:val="right"/>
            </w:pPr>
            <w:r>
              <w:rPr>
                <w:rFonts w:ascii="Calibri" w:hAnsi="Calibri"/>
                <w:b/>
                <w:color w:val="1C3A36"/>
                <w:sz w:val="15"/>
              </w:rPr>
              <w:t>3.7</w:t>
            </w:r>
          </w:p>
        </w:tc>
        <w:tc>
          <w:tcPr>
            <w:tcW w:type="dxa" w:w="1037"/>
            <w:shd w:val="clear" w:color="auto" w:fill="E7EDEB"/>
          </w:tcPr>
          <w:p>
            <w:pPr>
              <w:spacing w:after="20" w:before="20"/>
              <w:jc w:val="right"/>
            </w:pPr>
            <w:r>
              <w:rPr>
                <w:rFonts w:ascii="Calibri" w:hAnsi="Calibri"/>
                <w:b/>
                <w:color w:val="1C3A36"/>
                <w:sz w:val="15"/>
              </w:rPr>
              <w:t>5.5</w:t>
            </w:r>
          </w:p>
        </w:tc>
        <w:tc>
          <w:tcPr>
            <w:tcW w:type="dxa" w:w="1037"/>
            <w:shd w:val="clear" w:color="auto" w:fill="E7EDEB"/>
          </w:tcPr>
          <w:p>
            <w:pPr>
              <w:spacing w:after="20" w:before="20"/>
              <w:jc w:val="right"/>
            </w:pPr>
            <w:r>
              <w:rPr>
                <w:rFonts w:ascii="Calibri" w:hAnsi="Calibri"/>
                <w:b/>
                <w:color w:val="1C3A36"/>
                <w:sz w:val="15"/>
              </w:rPr>
              <w:t>7.6</w:t>
            </w:r>
          </w:p>
        </w:tc>
        <w:tc>
          <w:tcPr>
            <w:tcW w:type="dxa" w:w="1037"/>
            <w:shd w:val="clear" w:color="auto" w:fill="E7EDEB"/>
          </w:tcPr>
          <w:p>
            <w:pPr>
              <w:spacing w:after="20" w:before="20"/>
              <w:jc w:val="right"/>
            </w:pPr>
            <w:r>
              <w:rPr>
                <w:rFonts w:ascii="Calibri" w:hAnsi="Calibri"/>
                <w:b/>
                <w:color w:val="1C3A36"/>
                <w:sz w:val="15"/>
              </w:rPr>
              <w:t>7.8</w:t>
            </w:r>
          </w:p>
        </w:tc>
        <w:tc>
          <w:tcPr>
            <w:tcW w:type="dxa" w:w="1037"/>
            <w:shd w:val="clear" w:color="auto" w:fill="E7EDEB"/>
          </w:tcPr>
          <w:p>
            <w:pPr>
              <w:spacing w:after="20" w:before="20"/>
              <w:jc w:val="right"/>
            </w:pPr>
            <w:r>
              <w:rPr>
                <w:rFonts w:ascii="Calibri" w:hAnsi="Calibri"/>
                <w:b/>
                <w:color w:val="1C3A36"/>
                <w:sz w:val="15"/>
              </w:rPr>
              <w:t>8.5</w:t>
            </w:r>
          </w:p>
        </w:tc>
        <w:tc>
          <w:tcPr>
            <w:tcW w:type="dxa" w:w="1037"/>
            <w:shd w:val="clear" w:color="auto" w:fill="E7EDEB"/>
          </w:tcPr>
          <w:p>
            <w:pPr>
              <w:spacing w:after="20" w:before="20"/>
              <w:jc w:val="right"/>
            </w:pPr>
            <w:r>
              <w:rPr>
                <w:rFonts w:ascii="Calibri" w:hAnsi="Calibri"/>
                <w:b/>
                <w:color w:val="1C3A36"/>
                <w:sz w:val="15"/>
              </w:rPr>
              <w:t>9.2</w:t>
            </w:r>
          </w:p>
        </w:tc>
        <w:tc>
          <w:tcPr>
            <w:tcW w:type="dxa" w:w="1037"/>
            <w:shd w:val="clear" w:color="auto" w:fill="E7EDEB"/>
          </w:tcPr>
          <w:p>
            <w:pPr>
              <w:spacing w:after="20" w:before="20"/>
              <w:jc w:val="right"/>
            </w:pPr>
            <w:r>
              <w:rPr>
                <w:rFonts w:ascii="Calibri" w:hAnsi="Calibri"/>
                <w:b/>
                <w:color w:val="1C3A36"/>
                <w:sz w:val="15"/>
              </w:rPr>
              <w:t>9.8</w:t>
            </w:r>
          </w:p>
        </w:tc>
        <w:tc>
          <w:tcPr>
            <w:tcW w:type="dxa" w:w="1037"/>
            <w:shd w:val="clear" w:color="auto" w:fill="E7EDEB"/>
          </w:tcPr>
          <w:p>
            <w:pPr>
              <w:spacing w:after="20" w:before="20"/>
              <w:jc w:val="right"/>
            </w:pPr>
            <w:r>
              <w:rPr>
                <w:rFonts w:ascii="Calibri" w:hAnsi="Calibri"/>
                <w:b/>
                <w:color w:val="1C3A36"/>
                <w:sz w:val="15"/>
              </w:rPr>
              <w:t>10.3</w:t>
            </w:r>
          </w:p>
        </w:tc>
      </w:tr>
      <w:tr>
        <w:tc>
          <w:tcPr>
            <w:tcW w:type="dxa" w:w="2664"/>
          </w:tcPr>
          <w:p>
            <w:pPr>
              <w:spacing w:after="20" w:before="20"/>
            </w:pPr>
            <w:r>
              <w:rPr>
                <w:rFonts w:ascii="Calibri" w:hAnsi="Calibri"/>
                <w:color w:val="222A28"/>
                <w:sz w:val="15"/>
              </w:rPr>
              <w:t>EPS (AED)</w:t>
            </w:r>
          </w:p>
        </w:tc>
        <w:tc>
          <w:tcPr>
            <w:tcW w:type="dxa" w:w="1037"/>
          </w:tcPr>
          <w:p>
            <w:pPr>
              <w:spacing w:after="20" w:before="20"/>
              <w:jc w:val="right"/>
            </w:pPr>
            <w:r>
              <w:rPr>
                <w:rFonts w:ascii="Calibri" w:hAnsi="Calibri"/>
                <w:color w:val="222A28"/>
                <w:sz w:val="15"/>
              </w:rPr>
              <w:t>0.47</w:t>
            </w:r>
          </w:p>
        </w:tc>
        <w:tc>
          <w:tcPr>
            <w:tcW w:type="dxa" w:w="1037"/>
          </w:tcPr>
          <w:p>
            <w:pPr>
              <w:spacing w:after="20" w:before="20"/>
              <w:jc w:val="right"/>
            </w:pPr>
            <w:r>
              <w:rPr>
                <w:rFonts w:ascii="Calibri" w:hAnsi="Calibri"/>
                <w:color w:val="222A28"/>
                <w:sz w:val="15"/>
              </w:rPr>
              <w:t>0.70</w:t>
            </w:r>
          </w:p>
        </w:tc>
        <w:tc>
          <w:tcPr>
            <w:tcW w:type="dxa" w:w="1037"/>
          </w:tcPr>
          <w:p>
            <w:pPr>
              <w:spacing w:after="20" w:before="20"/>
              <w:jc w:val="right"/>
            </w:pPr>
            <w:r>
              <w:rPr>
                <w:rFonts w:ascii="Calibri" w:hAnsi="Calibri"/>
                <w:color w:val="222A28"/>
                <w:sz w:val="15"/>
              </w:rPr>
              <w:t>0.97</w:t>
            </w:r>
          </w:p>
        </w:tc>
        <w:tc>
          <w:tcPr>
            <w:tcW w:type="dxa" w:w="1037"/>
          </w:tcPr>
          <w:p>
            <w:pPr>
              <w:spacing w:after="20" w:before="20"/>
              <w:jc w:val="right"/>
            </w:pPr>
            <w:r>
              <w:rPr>
                <w:rFonts w:ascii="Calibri" w:hAnsi="Calibri"/>
                <w:color w:val="222A28"/>
                <w:sz w:val="15"/>
              </w:rPr>
              <w:t>0.99</w:t>
            </w:r>
          </w:p>
        </w:tc>
        <w:tc>
          <w:tcPr>
            <w:tcW w:type="dxa" w:w="1037"/>
          </w:tcPr>
          <w:p>
            <w:pPr>
              <w:spacing w:after="20" w:before="20"/>
              <w:jc w:val="right"/>
            </w:pPr>
            <w:r>
              <w:rPr>
                <w:rFonts w:ascii="Calibri" w:hAnsi="Calibri"/>
                <w:color w:val="222A28"/>
                <w:sz w:val="15"/>
              </w:rPr>
              <w:t>1.08</w:t>
            </w:r>
          </w:p>
        </w:tc>
        <w:tc>
          <w:tcPr>
            <w:tcW w:type="dxa" w:w="1037"/>
          </w:tcPr>
          <w:p>
            <w:pPr>
              <w:spacing w:after="20" w:before="20"/>
              <w:jc w:val="right"/>
            </w:pPr>
            <w:r>
              <w:rPr>
                <w:rFonts w:ascii="Calibri" w:hAnsi="Calibri"/>
                <w:color w:val="222A28"/>
                <w:sz w:val="15"/>
              </w:rPr>
              <w:t>1.18</w:t>
            </w:r>
          </w:p>
        </w:tc>
        <w:tc>
          <w:tcPr>
            <w:tcW w:type="dxa" w:w="1037"/>
          </w:tcPr>
          <w:p>
            <w:pPr>
              <w:spacing w:after="20" w:before="20"/>
              <w:jc w:val="right"/>
            </w:pPr>
            <w:r>
              <w:rPr>
                <w:rFonts w:ascii="Calibri" w:hAnsi="Calibri"/>
                <w:color w:val="222A28"/>
                <w:sz w:val="15"/>
              </w:rPr>
              <w:t>1.25</w:t>
            </w:r>
          </w:p>
        </w:tc>
        <w:tc>
          <w:tcPr>
            <w:tcW w:type="dxa" w:w="1037"/>
          </w:tcPr>
          <w:p>
            <w:pPr>
              <w:spacing w:after="20" w:before="20"/>
              <w:jc w:val="right"/>
            </w:pPr>
            <w:r>
              <w:rPr>
                <w:rFonts w:ascii="Calibri" w:hAnsi="Calibri"/>
                <w:color w:val="222A28"/>
                <w:sz w:val="15"/>
              </w:rPr>
              <w:t>1.32</w:t>
            </w:r>
          </w:p>
        </w:tc>
      </w:tr>
      <w:tr>
        <w:tc>
          <w:tcPr>
            <w:tcW w:type="dxa" w:w="2664"/>
          </w:tcPr>
          <w:p>
            <w:pPr>
              <w:spacing w:after="20" w:before="20"/>
            </w:pPr>
            <w:r>
              <w:rPr>
                <w:rFonts w:ascii="Calibri" w:hAnsi="Calibri"/>
                <w:color w:val="222A28"/>
                <w:sz w:val="15"/>
              </w:rPr>
              <w:t>DPS (AED)</w:t>
            </w:r>
          </w:p>
        </w:tc>
        <w:tc>
          <w:tcPr>
            <w:tcW w:type="dxa" w:w="1037"/>
          </w:tcPr>
          <w:p>
            <w:pPr>
              <w:spacing w:after="20" w:before="20"/>
              <w:jc w:val="right"/>
            </w:pPr>
            <w:r>
              <w:rPr>
                <w:rFonts w:ascii="Calibri" w:hAnsi="Calibri"/>
                <w:color w:val="222A28"/>
                <w:sz w:val="15"/>
              </w:rPr>
              <w:t>0.17</w:t>
            </w:r>
          </w:p>
        </w:tc>
        <w:tc>
          <w:tcPr>
            <w:tcW w:type="dxa" w:w="1037"/>
          </w:tcPr>
          <w:p>
            <w:pPr>
              <w:spacing w:after="20" w:before="20"/>
              <w:jc w:val="right"/>
            </w:pPr>
            <w:r>
              <w:rPr>
                <w:rFonts w:ascii="Calibri" w:hAnsi="Calibri"/>
                <w:color w:val="222A28"/>
                <w:sz w:val="15"/>
              </w:rPr>
              <w:t>0.18</w:t>
            </w:r>
          </w:p>
        </w:tc>
        <w:tc>
          <w:tcPr>
            <w:tcW w:type="dxa" w:w="1037"/>
          </w:tcPr>
          <w:p>
            <w:pPr>
              <w:spacing w:after="20" w:before="20"/>
              <w:jc w:val="right"/>
            </w:pPr>
            <w:r>
              <w:rPr>
                <w:rFonts w:ascii="Calibri" w:hAnsi="Calibri"/>
                <w:color w:val="222A28"/>
                <w:sz w:val="15"/>
              </w:rPr>
              <w:t>0.20</w:t>
            </w:r>
          </w:p>
        </w:tc>
        <w:tc>
          <w:tcPr>
            <w:tcW w:type="dxa" w:w="1037"/>
          </w:tcPr>
          <w:p>
            <w:pPr>
              <w:spacing w:after="20" w:before="20"/>
              <w:jc w:val="right"/>
            </w:pPr>
            <w:r>
              <w:rPr>
                <w:rFonts w:ascii="Calibri" w:hAnsi="Calibri"/>
                <w:color w:val="222A28"/>
                <w:sz w:val="15"/>
              </w:rPr>
              <w:t>0.54</w:t>
            </w:r>
          </w:p>
        </w:tc>
        <w:tc>
          <w:tcPr>
            <w:tcW w:type="dxa" w:w="1037"/>
          </w:tcPr>
          <w:p>
            <w:pPr>
              <w:spacing w:after="20" w:before="20"/>
              <w:jc w:val="right"/>
            </w:pPr>
            <w:r>
              <w:rPr>
                <w:rFonts w:ascii="Calibri" w:hAnsi="Calibri"/>
                <w:color w:val="222A28"/>
                <w:sz w:val="15"/>
              </w:rPr>
              <w:t>0.60</w:t>
            </w:r>
          </w:p>
        </w:tc>
        <w:tc>
          <w:tcPr>
            <w:tcW w:type="dxa" w:w="1037"/>
          </w:tcPr>
          <w:p>
            <w:pPr>
              <w:spacing w:after="20" w:before="20"/>
              <w:jc w:val="right"/>
            </w:pPr>
            <w:r>
              <w:rPr>
                <w:rFonts w:ascii="Calibri" w:hAnsi="Calibri"/>
                <w:color w:val="222A28"/>
                <w:sz w:val="15"/>
              </w:rPr>
              <w:t>0.65</w:t>
            </w:r>
          </w:p>
        </w:tc>
        <w:tc>
          <w:tcPr>
            <w:tcW w:type="dxa" w:w="1037"/>
          </w:tcPr>
          <w:p>
            <w:pPr>
              <w:spacing w:after="20" w:before="20"/>
              <w:jc w:val="right"/>
            </w:pPr>
            <w:r>
              <w:rPr>
                <w:rFonts w:ascii="Calibri" w:hAnsi="Calibri"/>
                <w:color w:val="222A28"/>
                <w:sz w:val="15"/>
              </w:rPr>
              <w:t>0.69</w:t>
            </w:r>
          </w:p>
        </w:tc>
        <w:tc>
          <w:tcPr>
            <w:tcW w:type="dxa" w:w="1037"/>
          </w:tcPr>
          <w:p>
            <w:pPr>
              <w:spacing w:after="20" w:before="20"/>
              <w:jc w:val="right"/>
            </w:pPr>
            <w:r>
              <w:rPr>
                <w:rFonts w:ascii="Calibri" w:hAnsi="Calibri"/>
                <w:color w:val="222A28"/>
                <w:sz w:val="15"/>
              </w:rPr>
              <w:t>0.72</w:t>
            </w:r>
          </w:p>
        </w:tc>
      </w:tr>
    </w:tbl>
    <w:p>
      <w:pPr>
        <w:spacing w:after="40"/>
      </w:pPr>
    </w:p>
    <w:p>
      <w:pPr>
        <w:spacing w:after="80" w:before="0"/>
      </w:pPr>
      <w:r>
        <w:rPr>
          <w:rFonts w:ascii="Calibri" w:hAnsi="Calibri"/>
          <w:b w:val="0"/>
          <w:i/>
          <w:color w:val="5B6B67"/>
          <w:sz w:val="15"/>
        </w:rPr>
        <w:t>Source: Aldar FY2023–FY2025 results &amp; Q1 2026; forecast is the study's operating build. Actuals carry fair-value revaluation in reported profit; forecast is a clean operating build. Figures rounded.</w:t>
      </w:r>
    </w:p>
    <w:p>
      <w:pPr>
        <w:spacing w:before="200" w:after="80"/>
      </w:pPr>
      <w:r>
        <w:rPr>
          <w:rFonts w:ascii="Calibri" w:hAnsi="Calibri"/>
          <w:b/>
          <w:color w:val="896F36"/>
          <w:sz w:val="24"/>
        </w:rPr>
        <w:t>A.2  Balance sheet (consolidated, AED bn)</w:t>
      </w:r>
    </w:p>
    <w:tbl>
      <w:tblPr>
        <w:tblStyle w:val="TableGrid"/>
        <w:tblW w:type="auto" w:w="0"/>
        <w:jc w:val="center"/>
        <w:tblLook w:firstColumn="1" w:firstRow="1" w:lastColumn="0" w:lastRow="0" w:noHBand="0" w:noVBand="1" w:val="04A0"/>
        <w:tblLayout w:type="fixed"/>
      </w:tblPr>
      <w:tblGrid>
        <w:gridCol w:w="1104"/>
        <w:gridCol w:w="1104"/>
        <w:gridCol w:w="1104"/>
        <w:gridCol w:w="1104"/>
        <w:gridCol w:w="1104"/>
        <w:gridCol w:w="1104"/>
        <w:gridCol w:w="1104"/>
        <w:gridCol w:w="1104"/>
        <w:gridCol w:w="1104"/>
      </w:tblGrid>
      <w:tr>
        <w:tc>
          <w:tcPr>
            <w:tcW w:type="dxa" w:w="2664"/>
            <w:shd w:val="clear" w:color="auto" w:fill="1C3A36"/>
          </w:tcPr>
          <w:p>
            <w:pPr>
              <w:spacing w:after="20" w:before="20"/>
            </w:pPr>
            <w:r>
              <w:rPr>
                <w:rFonts w:ascii="Calibri" w:hAnsi="Calibri"/>
                <w:b/>
                <w:color w:val="FFFFFF"/>
                <w:sz w:val="15"/>
              </w:rPr>
              <w:t>AED bn</w:t>
            </w:r>
          </w:p>
        </w:tc>
        <w:tc>
          <w:tcPr>
            <w:tcW w:type="dxa" w:w="1037"/>
            <w:shd w:val="clear" w:color="auto" w:fill="1C3A36"/>
          </w:tcPr>
          <w:p>
            <w:pPr>
              <w:spacing w:after="20" w:before="20"/>
              <w:jc w:val="right"/>
            </w:pPr>
            <w:r>
              <w:rPr>
                <w:rFonts w:ascii="Calibri" w:hAnsi="Calibri"/>
                <w:b/>
                <w:color w:val="FFFFFF"/>
                <w:sz w:val="15"/>
              </w:rPr>
              <w:t>FY23a</w:t>
            </w:r>
          </w:p>
        </w:tc>
        <w:tc>
          <w:tcPr>
            <w:tcW w:type="dxa" w:w="1037"/>
            <w:shd w:val="clear" w:color="auto" w:fill="1C3A36"/>
          </w:tcPr>
          <w:p>
            <w:pPr>
              <w:spacing w:after="20" w:before="20"/>
              <w:jc w:val="right"/>
            </w:pPr>
            <w:r>
              <w:rPr>
                <w:rFonts w:ascii="Calibri" w:hAnsi="Calibri"/>
                <w:b/>
                <w:color w:val="FFFFFF"/>
                <w:sz w:val="15"/>
              </w:rPr>
              <w:t>FY24a</w:t>
            </w:r>
          </w:p>
        </w:tc>
        <w:tc>
          <w:tcPr>
            <w:tcW w:type="dxa" w:w="1037"/>
            <w:shd w:val="clear" w:color="auto" w:fill="1C3A36"/>
          </w:tcPr>
          <w:p>
            <w:pPr>
              <w:spacing w:after="20" w:before="20"/>
              <w:jc w:val="right"/>
            </w:pPr>
            <w:r>
              <w:rPr>
                <w:rFonts w:ascii="Calibri" w:hAnsi="Calibri"/>
                <w:b/>
                <w:color w:val="FFFFFF"/>
                <w:sz w:val="15"/>
              </w:rPr>
              <w:t>FY25a</w:t>
            </w:r>
          </w:p>
        </w:tc>
        <w:tc>
          <w:tcPr>
            <w:tcW w:type="dxa" w:w="1037"/>
            <w:shd w:val="clear" w:color="auto" w:fill="1C3A36"/>
          </w:tcPr>
          <w:p>
            <w:pPr>
              <w:spacing w:after="20" w:before="20"/>
              <w:jc w:val="right"/>
            </w:pPr>
            <w:r>
              <w:rPr>
                <w:rFonts w:ascii="Calibri" w:hAnsi="Calibri"/>
                <w:b/>
                <w:color w:val="FFFFFF"/>
                <w:sz w:val="15"/>
              </w:rPr>
              <w:t>2026e</w:t>
            </w:r>
          </w:p>
        </w:tc>
        <w:tc>
          <w:tcPr>
            <w:tcW w:type="dxa" w:w="1037"/>
            <w:shd w:val="clear" w:color="auto" w:fill="1C3A36"/>
          </w:tcPr>
          <w:p>
            <w:pPr>
              <w:spacing w:after="20" w:before="20"/>
              <w:jc w:val="right"/>
            </w:pPr>
            <w:r>
              <w:rPr>
                <w:rFonts w:ascii="Calibri" w:hAnsi="Calibri"/>
                <w:b/>
                <w:color w:val="FFFFFF"/>
                <w:sz w:val="15"/>
              </w:rPr>
              <w:t>2027e</w:t>
            </w:r>
          </w:p>
        </w:tc>
        <w:tc>
          <w:tcPr>
            <w:tcW w:type="dxa" w:w="1037"/>
            <w:shd w:val="clear" w:color="auto" w:fill="1C3A36"/>
          </w:tcPr>
          <w:p>
            <w:pPr>
              <w:spacing w:after="20" w:before="20"/>
              <w:jc w:val="right"/>
            </w:pPr>
            <w:r>
              <w:rPr>
                <w:rFonts w:ascii="Calibri" w:hAnsi="Calibri"/>
                <w:b/>
                <w:color w:val="FFFFFF"/>
                <w:sz w:val="15"/>
              </w:rPr>
              <w:t>2028e</w:t>
            </w:r>
          </w:p>
        </w:tc>
        <w:tc>
          <w:tcPr>
            <w:tcW w:type="dxa" w:w="1037"/>
            <w:shd w:val="clear" w:color="auto" w:fill="1C3A36"/>
          </w:tcPr>
          <w:p>
            <w:pPr>
              <w:spacing w:after="20" w:before="20"/>
              <w:jc w:val="right"/>
            </w:pPr>
            <w:r>
              <w:rPr>
                <w:rFonts w:ascii="Calibri" w:hAnsi="Calibri"/>
                <w:b/>
                <w:color w:val="FFFFFF"/>
                <w:sz w:val="15"/>
              </w:rPr>
              <w:t>2029e</w:t>
            </w:r>
          </w:p>
        </w:tc>
        <w:tc>
          <w:tcPr>
            <w:tcW w:type="dxa" w:w="1037"/>
            <w:shd w:val="clear" w:color="auto" w:fill="1C3A36"/>
          </w:tcPr>
          <w:p>
            <w:pPr>
              <w:spacing w:after="20" w:before="20"/>
              <w:jc w:val="right"/>
            </w:pPr>
            <w:r>
              <w:rPr>
                <w:rFonts w:ascii="Calibri" w:hAnsi="Calibri"/>
                <w:b/>
                <w:color w:val="FFFFFF"/>
                <w:sz w:val="15"/>
              </w:rPr>
              <w:t>2030e</w:t>
            </w:r>
          </w:p>
        </w:tc>
      </w:tr>
      <w:tr>
        <w:tc>
          <w:tcPr>
            <w:tcW w:type="dxa" w:w="2664"/>
          </w:tcPr>
          <w:p>
            <w:pPr>
              <w:spacing w:after="20" w:before="20"/>
            </w:pPr>
            <w:r>
              <w:rPr>
                <w:rFonts w:ascii="Calibri" w:hAnsi="Calibri"/>
                <w:color w:val="222A28"/>
                <w:sz w:val="15"/>
              </w:rPr>
              <w:t>Cash &amp; deposits</w:t>
            </w:r>
          </w:p>
        </w:tc>
        <w:tc>
          <w:tcPr>
            <w:tcW w:type="dxa" w:w="1037"/>
          </w:tcPr>
          <w:p>
            <w:pPr>
              <w:spacing w:after="20" w:before="20"/>
              <w:jc w:val="right"/>
            </w:pPr>
            <w:r>
              <w:rPr>
                <w:rFonts w:ascii="Calibri" w:hAnsi="Calibri"/>
                <w:color w:val="222A28"/>
                <w:sz w:val="15"/>
              </w:rPr>
              <w:t>11.7</w:t>
            </w:r>
          </w:p>
        </w:tc>
        <w:tc>
          <w:tcPr>
            <w:tcW w:type="dxa" w:w="1037"/>
          </w:tcPr>
          <w:p>
            <w:pPr>
              <w:spacing w:after="20" w:before="20"/>
              <w:jc w:val="right"/>
            </w:pPr>
            <w:r>
              <w:rPr>
                <w:rFonts w:ascii="Calibri" w:hAnsi="Calibri"/>
                <w:color w:val="222A28"/>
                <w:sz w:val="15"/>
              </w:rPr>
              <w:t>15.1</w:t>
            </w:r>
          </w:p>
        </w:tc>
        <w:tc>
          <w:tcPr>
            <w:tcW w:type="dxa" w:w="1037"/>
          </w:tcPr>
          <w:p>
            <w:pPr>
              <w:spacing w:after="20" w:before="20"/>
              <w:jc w:val="right"/>
            </w:pPr>
            <w:r>
              <w:rPr>
                <w:rFonts w:ascii="Calibri" w:hAnsi="Calibri"/>
                <w:color w:val="222A28"/>
                <w:sz w:val="15"/>
              </w:rPr>
              <w:t>21.0</w:t>
            </w:r>
          </w:p>
        </w:tc>
        <w:tc>
          <w:tcPr>
            <w:tcW w:type="dxa" w:w="1037"/>
          </w:tcPr>
          <w:p>
            <w:pPr>
              <w:spacing w:after="20" w:before="20"/>
              <w:jc w:val="right"/>
            </w:pPr>
            <w:r>
              <w:rPr>
                <w:rFonts w:ascii="Calibri" w:hAnsi="Calibri"/>
                <w:color w:val="222A28"/>
                <w:sz w:val="15"/>
              </w:rPr>
              <w:t>22.5</w:t>
            </w:r>
          </w:p>
        </w:tc>
        <w:tc>
          <w:tcPr>
            <w:tcW w:type="dxa" w:w="1037"/>
          </w:tcPr>
          <w:p>
            <w:pPr>
              <w:spacing w:after="20" w:before="20"/>
              <w:jc w:val="right"/>
            </w:pPr>
            <w:r>
              <w:rPr>
                <w:rFonts w:ascii="Calibri" w:hAnsi="Calibri"/>
                <w:color w:val="222A28"/>
                <w:sz w:val="15"/>
              </w:rPr>
              <w:t>24.5</w:t>
            </w:r>
          </w:p>
        </w:tc>
        <w:tc>
          <w:tcPr>
            <w:tcW w:type="dxa" w:w="1037"/>
          </w:tcPr>
          <w:p>
            <w:pPr>
              <w:spacing w:after="20" w:before="20"/>
              <w:jc w:val="right"/>
            </w:pPr>
            <w:r>
              <w:rPr>
                <w:rFonts w:ascii="Calibri" w:hAnsi="Calibri"/>
                <w:color w:val="222A28"/>
                <w:sz w:val="15"/>
              </w:rPr>
              <w:t>27.0</w:t>
            </w:r>
          </w:p>
        </w:tc>
        <w:tc>
          <w:tcPr>
            <w:tcW w:type="dxa" w:w="1037"/>
          </w:tcPr>
          <w:p>
            <w:pPr>
              <w:spacing w:after="20" w:before="20"/>
              <w:jc w:val="right"/>
            </w:pPr>
            <w:r>
              <w:rPr>
                <w:rFonts w:ascii="Calibri" w:hAnsi="Calibri"/>
                <w:color w:val="222A28"/>
                <w:sz w:val="15"/>
              </w:rPr>
              <w:t>30.0</w:t>
            </w:r>
          </w:p>
        </w:tc>
        <w:tc>
          <w:tcPr>
            <w:tcW w:type="dxa" w:w="1037"/>
          </w:tcPr>
          <w:p>
            <w:pPr>
              <w:spacing w:after="20" w:before="20"/>
              <w:jc w:val="right"/>
            </w:pPr>
            <w:r>
              <w:rPr>
                <w:rFonts w:ascii="Calibri" w:hAnsi="Calibri"/>
                <w:color w:val="222A28"/>
                <w:sz w:val="15"/>
              </w:rPr>
              <w:t>33.5</w:t>
            </w:r>
          </w:p>
        </w:tc>
      </w:tr>
      <w:tr>
        <w:tc>
          <w:tcPr>
            <w:tcW w:type="dxa" w:w="2664"/>
          </w:tcPr>
          <w:p>
            <w:pPr>
              <w:spacing w:after="20" w:before="20"/>
            </w:pPr>
            <w:r>
              <w:rPr>
                <w:rFonts w:ascii="Calibri" w:hAnsi="Calibri"/>
                <w:color w:val="222A28"/>
                <w:sz w:val="15"/>
              </w:rPr>
              <w:t>Receivables</w:t>
            </w:r>
          </w:p>
        </w:tc>
        <w:tc>
          <w:tcPr>
            <w:tcW w:type="dxa" w:w="1037"/>
          </w:tcPr>
          <w:p>
            <w:pPr>
              <w:spacing w:after="20" w:before="20"/>
              <w:jc w:val="right"/>
            </w:pPr>
            <w:r>
              <w:rPr>
                <w:rFonts w:ascii="Calibri" w:hAnsi="Calibri"/>
                <w:color w:val="222A28"/>
                <w:sz w:val="15"/>
              </w:rPr>
              <w:t>8.0</w:t>
            </w:r>
          </w:p>
        </w:tc>
        <w:tc>
          <w:tcPr>
            <w:tcW w:type="dxa" w:w="1037"/>
          </w:tcPr>
          <w:p>
            <w:pPr>
              <w:spacing w:after="20" w:before="20"/>
              <w:jc w:val="right"/>
            </w:pPr>
            <w:r>
              <w:rPr>
                <w:rFonts w:ascii="Calibri" w:hAnsi="Calibri"/>
                <w:color w:val="222A28"/>
                <w:sz w:val="15"/>
              </w:rPr>
              <w:t>10.0</w:t>
            </w:r>
          </w:p>
        </w:tc>
        <w:tc>
          <w:tcPr>
            <w:tcW w:type="dxa" w:w="1037"/>
          </w:tcPr>
          <w:p>
            <w:pPr>
              <w:spacing w:after="20" w:before="20"/>
              <w:jc w:val="right"/>
            </w:pPr>
            <w:r>
              <w:rPr>
                <w:rFonts w:ascii="Calibri" w:hAnsi="Calibri"/>
                <w:color w:val="222A28"/>
                <w:sz w:val="15"/>
              </w:rPr>
              <w:t>12.0</w:t>
            </w:r>
          </w:p>
        </w:tc>
        <w:tc>
          <w:tcPr>
            <w:tcW w:type="dxa" w:w="1037"/>
          </w:tcPr>
          <w:p>
            <w:pPr>
              <w:spacing w:after="20" w:before="20"/>
              <w:jc w:val="right"/>
            </w:pPr>
            <w:r>
              <w:rPr>
                <w:rFonts w:ascii="Calibri" w:hAnsi="Calibri"/>
                <w:color w:val="222A28"/>
                <w:sz w:val="15"/>
              </w:rPr>
              <w:t>12.0</w:t>
            </w:r>
          </w:p>
        </w:tc>
        <w:tc>
          <w:tcPr>
            <w:tcW w:type="dxa" w:w="1037"/>
          </w:tcPr>
          <w:p>
            <w:pPr>
              <w:spacing w:after="20" w:before="20"/>
              <w:jc w:val="right"/>
            </w:pPr>
            <w:r>
              <w:rPr>
                <w:rFonts w:ascii="Calibri" w:hAnsi="Calibri"/>
                <w:color w:val="222A28"/>
                <w:sz w:val="15"/>
              </w:rPr>
              <w:t>12.0</w:t>
            </w:r>
          </w:p>
        </w:tc>
        <w:tc>
          <w:tcPr>
            <w:tcW w:type="dxa" w:w="1037"/>
          </w:tcPr>
          <w:p>
            <w:pPr>
              <w:spacing w:after="20" w:before="20"/>
              <w:jc w:val="right"/>
            </w:pPr>
            <w:r>
              <w:rPr>
                <w:rFonts w:ascii="Calibri" w:hAnsi="Calibri"/>
                <w:color w:val="222A28"/>
                <w:sz w:val="15"/>
              </w:rPr>
              <w:t>12.0</w:t>
            </w:r>
          </w:p>
        </w:tc>
        <w:tc>
          <w:tcPr>
            <w:tcW w:type="dxa" w:w="1037"/>
          </w:tcPr>
          <w:p>
            <w:pPr>
              <w:spacing w:after="20" w:before="20"/>
              <w:jc w:val="right"/>
            </w:pPr>
            <w:r>
              <w:rPr>
                <w:rFonts w:ascii="Calibri" w:hAnsi="Calibri"/>
                <w:color w:val="222A28"/>
                <w:sz w:val="15"/>
              </w:rPr>
              <w:t>12.0</w:t>
            </w:r>
          </w:p>
        </w:tc>
        <w:tc>
          <w:tcPr>
            <w:tcW w:type="dxa" w:w="1037"/>
          </w:tcPr>
          <w:p>
            <w:pPr>
              <w:spacing w:after="20" w:before="20"/>
              <w:jc w:val="right"/>
            </w:pPr>
            <w:r>
              <w:rPr>
                <w:rFonts w:ascii="Calibri" w:hAnsi="Calibri"/>
                <w:color w:val="222A28"/>
                <w:sz w:val="15"/>
              </w:rPr>
              <w:t>12.0</w:t>
            </w:r>
          </w:p>
        </w:tc>
      </w:tr>
      <w:tr>
        <w:tc>
          <w:tcPr>
            <w:tcW w:type="dxa" w:w="2664"/>
          </w:tcPr>
          <w:p>
            <w:pPr>
              <w:spacing w:after="20" w:before="20"/>
            </w:pPr>
            <w:r>
              <w:rPr>
                <w:rFonts w:ascii="Calibri" w:hAnsi="Calibri"/>
                <w:color w:val="222A28"/>
                <w:sz w:val="15"/>
              </w:rPr>
              <w:t>Development inventory / WIP</w:t>
            </w:r>
          </w:p>
        </w:tc>
        <w:tc>
          <w:tcPr>
            <w:tcW w:type="dxa" w:w="1037"/>
          </w:tcPr>
          <w:p>
            <w:pPr>
              <w:spacing w:after="20" w:before="20"/>
              <w:jc w:val="right"/>
            </w:pPr>
            <w:r>
              <w:rPr>
                <w:rFonts w:ascii="Calibri" w:hAnsi="Calibri"/>
                <w:color w:val="222A28"/>
                <w:sz w:val="15"/>
              </w:rPr>
              <w:t>28.0</w:t>
            </w:r>
          </w:p>
        </w:tc>
        <w:tc>
          <w:tcPr>
            <w:tcW w:type="dxa" w:w="1037"/>
          </w:tcPr>
          <w:p>
            <w:pPr>
              <w:spacing w:after="20" w:before="20"/>
              <w:jc w:val="right"/>
            </w:pPr>
            <w:r>
              <w:rPr>
                <w:rFonts w:ascii="Calibri" w:hAnsi="Calibri"/>
                <w:color w:val="222A28"/>
                <w:sz w:val="15"/>
              </w:rPr>
              <w:t>33.0</w:t>
            </w:r>
          </w:p>
        </w:tc>
        <w:tc>
          <w:tcPr>
            <w:tcW w:type="dxa" w:w="1037"/>
          </w:tcPr>
          <w:p>
            <w:pPr>
              <w:spacing w:after="20" w:before="20"/>
              <w:jc w:val="right"/>
            </w:pPr>
            <w:r>
              <w:rPr>
                <w:rFonts w:ascii="Calibri" w:hAnsi="Calibri"/>
                <w:color w:val="222A28"/>
                <w:sz w:val="15"/>
              </w:rPr>
              <w:t>34.0</w:t>
            </w:r>
          </w:p>
        </w:tc>
        <w:tc>
          <w:tcPr>
            <w:tcW w:type="dxa" w:w="1037"/>
          </w:tcPr>
          <w:p>
            <w:pPr>
              <w:spacing w:after="20" w:before="20"/>
              <w:jc w:val="right"/>
            </w:pPr>
            <w:r>
              <w:rPr>
                <w:rFonts w:ascii="Calibri" w:hAnsi="Calibri"/>
                <w:color w:val="222A28"/>
                <w:sz w:val="15"/>
              </w:rPr>
              <w:t>34.0</w:t>
            </w:r>
          </w:p>
        </w:tc>
        <w:tc>
          <w:tcPr>
            <w:tcW w:type="dxa" w:w="1037"/>
          </w:tcPr>
          <w:p>
            <w:pPr>
              <w:spacing w:after="20" w:before="20"/>
              <w:jc w:val="right"/>
            </w:pPr>
            <w:r>
              <w:rPr>
                <w:rFonts w:ascii="Calibri" w:hAnsi="Calibri"/>
                <w:color w:val="222A28"/>
                <w:sz w:val="15"/>
              </w:rPr>
              <w:t>34.0</w:t>
            </w:r>
          </w:p>
        </w:tc>
        <w:tc>
          <w:tcPr>
            <w:tcW w:type="dxa" w:w="1037"/>
          </w:tcPr>
          <w:p>
            <w:pPr>
              <w:spacing w:after="20" w:before="20"/>
              <w:jc w:val="right"/>
            </w:pPr>
            <w:r>
              <w:rPr>
                <w:rFonts w:ascii="Calibri" w:hAnsi="Calibri"/>
                <w:color w:val="222A28"/>
                <w:sz w:val="15"/>
              </w:rPr>
              <w:t>34.0</w:t>
            </w:r>
          </w:p>
        </w:tc>
        <w:tc>
          <w:tcPr>
            <w:tcW w:type="dxa" w:w="1037"/>
          </w:tcPr>
          <w:p>
            <w:pPr>
              <w:spacing w:after="20" w:before="20"/>
              <w:jc w:val="right"/>
            </w:pPr>
            <w:r>
              <w:rPr>
                <w:rFonts w:ascii="Calibri" w:hAnsi="Calibri"/>
                <w:color w:val="222A28"/>
                <w:sz w:val="15"/>
              </w:rPr>
              <w:t>34.0</w:t>
            </w:r>
          </w:p>
        </w:tc>
        <w:tc>
          <w:tcPr>
            <w:tcW w:type="dxa" w:w="1037"/>
          </w:tcPr>
          <w:p>
            <w:pPr>
              <w:spacing w:after="20" w:before="20"/>
              <w:jc w:val="right"/>
            </w:pPr>
            <w:r>
              <w:rPr>
                <w:rFonts w:ascii="Calibri" w:hAnsi="Calibri"/>
                <w:color w:val="222A28"/>
                <w:sz w:val="15"/>
              </w:rPr>
              <w:t>34.0</w:t>
            </w:r>
          </w:p>
        </w:tc>
      </w:tr>
      <w:tr>
        <w:tc>
          <w:tcPr>
            <w:tcW w:type="dxa" w:w="2664"/>
          </w:tcPr>
          <w:p>
            <w:pPr>
              <w:spacing w:after="20" w:before="20"/>
            </w:pPr>
            <w:r>
              <w:rPr>
                <w:rFonts w:ascii="Calibri" w:hAnsi="Calibri"/>
                <w:color w:val="222A28"/>
                <w:sz w:val="15"/>
              </w:rPr>
              <w:t>Investment property (recurring)</w:t>
            </w:r>
          </w:p>
        </w:tc>
        <w:tc>
          <w:tcPr>
            <w:tcW w:type="dxa" w:w="1037"/>
          </w:tcPr>
          <w:p>
            <w:pPr>
              <w:spacing w:after="20" w:before="20"/>
              <w:jc w:val="right"/>
            </w:pPr>
            <w:r>
              <w:rPr>
                <w:rFonts w:ascii="Calibri" w:hAnsi="Calibri"/>
                <w:color w:val="222A28"/>
                <w:sz w:val="15"/>
              </w:rPr>
              <w:t>18.0</w:t>
            </w:r>
          </w:p>
        </w:tc>
        <w:tc>
          <w:tcPr>
            <w:tcW w:type="dxa" w:w="1037"/>
          </w:tcPr>
          <w:p>
            <w:pPr>
              <w:spacing w:after="20" w:before="20"/>
              <w:jc w:val="right"/>
            </w:pPr>
            <w:r>
              <w:rPr>
                <w:rFonts w:ascii="Calibri" w:hAnsi="Calibri"/>
                <w:color w:val="222A28"/>
                <w:sz w:val="15"/>
              </w:rPr>
              <w:t>22.0</w:t>
            </w:r>
          </w:p>
        </w:tc>
        <w:tc>
          <w:tcPr>
            <w:tcW w:type="dxa" w:w="1037"/>
          </w:tcPr>
          <w:p>
            <w:pPr>
              <w:spacing w:after="20" w:before="20"/>
              <w:jc w:val="right"/>
            </w:pPr>
            <w:r>
              <w:rPr>
                <w:rFonts w:ascii="Calibri" w:hAnsi="Calibri"/>
                <w:color w:val="222A28"/>
                <w:sz w:val="15"/>
              </w:rPr>
              <w:t>25.0</w:t>
            </w:r>
          </w:p>
        </w:tc>
        <w:tc>
          <w:tcPr>
            <w:tcW w:type="dxa" w:w="1037"/>
          </w:tcPr>
          <w:p>
            <w:pPr>
              <w:spacing w:after="20" w:before="20"/>
              <w:jc w:val="right"/>
            </w:pPr>
            <w:r>
              <w:rPr>
                <w:rFonts w:ascii="Calibri" w:hAnsi="Calibri"/>
                <w:color w:val="222A28"/>
                <w:sz w:val="15"/>
              </w:rPr>
              <w:t>26.0</w:t>
            </w:r>
          </w:p>
        </w:tc>
        <w:tc>
          <w:tcPr>
            <w:tcW w:type="dxa" w:w="1037"/>
          </w:tcPr>
          <w:p>
            <w:pPr>
              <w:spacing w:after="20" w:before="20"/>
              <w:jc w:val="right"/>
            </w:pPr>
            <w:r>
              <w:rPr>
                <w:rFonts w:ascii="Calibri" w:hAnsi="Calibri"/>
                <w:color w:val="222A28"/>
                <w:sz w:val="15"/>
              </w:rPr>
              <w:t>27.0</w:t>
            </w:r>
          </w:p>
        </w:tc>
        <w:tc>
          <w:tcPr>
            <w:tcW w:type="dxa" w:w="1037"/>
          </w:tcPr>
          <w:p>
            <w:pPr>
              <w:spacing w:after="20" w:before="20"/>
              <w:jc w:val="right"/>
            </w:pPr>
            <w:r>
              <w:rPr>
                <w:rFonts w:ascii="Calibri" w:hAnsi="Calibri"/>
                <w:color w:val="222A28"/>
                <w:sz w:val="15"/>
              </w:rPr>
              <w:t>28.0</w:t>
            </w:r>
          </w:p>
        </w:tc>
        <w:tc>
          <w:tcPr>
            <w:tcW w:type="dxa" w:w="1037"/>
          </w:tcPr>
          <w:p>
            <w:pPr>
              <w:spacing w:after="20" w:before="20"/>
              <w:jc w:val="right"/>
            </w:pPr>
            <w:r>
              <w:rPr>
                <w:rFonts w:ascii="Calibri" w:hAnsi="Calibri"/>
                <w:color w:val="222A28"/>
                <w:sz w:val="15"/>
              </w:rPr>
              <w:t>29.0</w:t>
            </w:r>
          </w:p>
        </w:tc>
        <w:tc>
          <w:tcPr>
            <w:tcW w:type="dxa" w:w="1037"/>
          </w:tcPr>
          <w:p>
            <w:pPr>
              <w:spacing w:after="20" w:before="20"/>
              <w:jc w:val="right"/>
            </w:pPr>
            <w:r>
              <w:rPr>
                <w:rFonts w:ascii="Calibri" w:hAnsi="Calibri"/>
                <w:color w:val="222A28"/>
                <w:sz w:val="15"/>
              </w:rPr>
              <w:t>30.0</w:t>
            </w:r>
          </w:p>
        </w:tc>
      </w:tr>
      <w:tr>
        <w:tc>
          <w:tcPr>
            <w:tcW w:type="dxa" w:w="2664"/>
          </w:tcPr>
          <w:p>
            <w:pPr>
              <w:spacing w:after="20" w:before="20"/>
            </w:pPr>
            <w:r>
              <w:rPr>
                <w:rFonts w:ascii="Calibri" w:hAnsi="Calibri"/>
                <w:color w:val="222A28"/>
                <w:sz w:val="15"/>
              </w:rPr>
              <w:t>Other assets (plug)</w:t>
            </w:r>
          </w:p>
        </w:tc>
        <w:tc>
          <w:tcPr>
            <w:tcW w:type="dxa" w:w="1037"/>
          </w:tcPr>
          <w:p>
            <w:pPr>
              <w:spacing w:after="20" w:before="20"/>
              <w:jc w:val="right"/>
            </w:pPr>
            <w:r>
              <w:rPr>
                <w:rFonts w:ascii="Calibri" w:hAnsi="Calibri"/>
                <w:color w:val="222A28"/>
                <w:sz w:val="15"/>
              </w:rPr>
              <w:t>9.3</w:t>
            </w:r>
          </w:p>
        </w:tc>
        <w:tc>
          <w:tcPr>
            <w:tcW w:type="dxa" w:w="1037"/>
          </w:tcPr>
          <w:p>
            <w:pPr>
              <w:spacing w:after="20" w:before="20"/>
              <w:jc w:val="right"/>
            </w:pPr>
            <w:r>
              <w:rPr>
                <w:rFonts w:ascii="Calibri" w:hAnsi="Calibri"/>
                <w:color w:val="222A28"/>
                <w:sz w:val="15"/>
              </w:rPr>
              <w:t>8.5</w:t>
            </w:r>
          </w:p>
        </w:tc>
        <w:tc>
          <w:tcPr>
            <w:tcW w:type="dxa" w:w="1037"/>
          </w:tcPr>
          <w:p>
            <w:pPr>
              <w:spacing w:after="20" w:before="20"/>
              <w:jc w:val="right"/>
            </w:pPr>
            <w:r>
              <w:rPr>
                <w:rFonts w:ascii="Calibri" w:hAnsi="Calibri"/>
                <w:color w:val="222A28"/>
                <w:sz w:val="15"/>
              </w:rPr>
              <w:t>16.0</w:t>
            </w:r>
          </w:p>
        </w:tc>
        <w:tc>
          <w:tcPr>
            <w:tcW w:type="dxa" w:w="1037"/>
          </w:tcPr>
          <w:p>
            <w:pPr>
              <w:spacing w:after="20" w:before="20"/>
              <w:jc w:val="right"/>
            </w:pPr>
            <w:r>
              <w:rPr>
                <w:rFonts w:ascii="Calibri" w:hAnsi="Calibri"/>
                <w:color w:val="222A28"/>
                <w:sz w:val="15"/>
              </w:rPr>
              <w:t>17.8</w:t>
            </w:r>
          </w:p>
        </w:tc>
        <w:tc>
          <w:tcPr>
            <w:tcW w:type="dxa" w:w="1037"/>
          </w:tcPr>
          <w:p>
            <w:pPr>
              <w:spacing w:after="20" w:before="20"/>
              <w:jc w:val="right"/>
            </w:pPr>
            <w:r>
              <w:rPr>
                <w:rFonts w:ascii="Calibri" w:hAnsi="Calibri"/>
                <w:color w:val="222A28"/>
                <w:sz w:val="15"/>
              </w:rPr>
              <w:t>19.4</w:t>
            </w:r>
          </w:p>
        </w:tc>
        <w:tc>
          <w:tcPr>
            <w:tcW w:type="dxa" w:w="1037"/>
          </w:tcPr>
          <w:p>
            <w:pPr>
              <w:spacing w:after="20" w:before="20"/>
              <w:jc w:val="right"/>
            </w:pPr>
            <w:r>
              <w:rPr>
                <w:rFonts w:ascii="Calibri" w:hAnsi="Calibri"/>
                <w:color w:val="222A28"/>
                <w:sz w:val="15"/>
              </w:rPr>
              <w:t>21.0</w:t>
            </w:r>
          </w:p>
        </w:tc>
        <w:tc>
          <w:tcPr>
            <w:tcW w:type="dxa" w:w="1037"/>
          </w:tcPr>
          <w:p>
            <w:pPr>
              <w:spacing w:after="20" w:before="20"/>
              <w:jc w:val="right"/>
            </w:pPr>
            <w:r>
              <w:rPr>
                <w:rFonts w:ascii="Calibri" w:hAnsi="Calibri"/>
                <w:color w:val="222A28"/>
                <w:sz w:val="15"/>
              </w:rPr>
              <w:t>22.4</w:t>
            </w:r>
          </w:p>
        </w:tc>
        <w:tc>
          <w:tcPr>
            <w:tcW w:type="dxa" w:w="1037"/>
          </w:tcPr>
          <w:p>
            <w:pPr>
              <w:spacing w:after="20" w:before="20"/>
              <w:jc w:val="right"/>
            </w:pPr>
            <w:r>
              <w:rPr>
                <w:rFonts w:ascii="Calibri" w:hAnsi="Calibri"/>
                <w:color w:val="222A28"/>
                <w:sz w:val="15"/>
              </w:rPr>
              <w:t>23.6</w:t>
            </w:r>
          </w:p>
        </w:tc>
      </w:tr>
      <w:tr>
        <w:tc>
          <w:tcPr>
            <w:tcW w:type="dxa" w:w="2664"/>
            <w:shd w:val="clear" w:color="auto" w:fill="E7EDEB"/>
          </w:tcPr>
          <w:p>
            <w:pPr>
              <w:spacing w:after="20" w:before="20"/>
            </w:pPr>
            <w:r>
              <w:rPr>
                <w:rFonts w:ascii="Calibri" w:hAnsi="Calibri"/>
                <w:b/>
                <w:color w:val="1C3A36"/>
                <w:sz w:val="15"/>
              </w:rPr>
              <w:t>Total assets</w:t>
            </w:r>
          </w:p>
        </w:tc>
        <w:tc>
          <w:tcPr>
            <w:tcW w:type="dxa" w:w="1037"/>
            <w:shd w:val="clear" w:color="auto" w:fill="E7EDEB"/>
          </w:tcPr>
          <w:p>
            <w:pPr>
              <w:spacing w:after="20" w:before="20"/>
              <w:jc w:val="right"/>
            </w:pPr>
            <w:r>
              <w:rPr>
                <w:rFonts w:ascii="Calibri" w:hAnsi="Calibri"/>
                <w:b/>
                <w:color w:val="1C3A36"/>
                <w:sz w:val="15"/>
              </w:rPr>
              <w:t>75.0</w:t>
            </w:r>
          </w:p>
        </w:tc>
        <w:tc>
          <w:tcPr>
            <w:tcW w:type="dxa" w:w="1037"/>
            <w:shd w:val="clear" w:color="auto" w:fill="E7EDEB"/>
          </w:tcPr>
          <w:p>
            <w:pPr>
              <w:spacing w:after="20" w:before="20"/>
              <w:jc w:val="right"/>
            </w:pPr>
            <w:r>
              <w:rPr>
                <w:rFonts w:ascii="Calibri" w:hAnsi="Calibri"/>
                <w:b/>
                <w:color w:val="1C3A36"/>
                <w:sz w:val="15"/>
              </w:rPr>
              <w:t>88.6</w:t>
            </w:r>
          </w:p>
        </w:tc>
        <w:tc>
          <w:tcPr>
            <w:tcW w:type="dxa" w:w="1037"/>
            <w:shd w:val="clear" w:color="auto" w:fill="E7EDEB"/>
          </w:tcPr>
          <w:p>
            <w:pPr>
              <w:spacing w:after="20" w:before="20"/>
              <w:jc w:val="right"/>
            </w:pPr>
            <w:r>
              <w:rPr>
                <w:rFonts w:ascii="Calibri" w:hAnsi="Calibri"/>
                <w:b/>
                <w:color w:val="1C3A36"/>
                <w:sz w:val="15"/>
              </w:rPr>
              <w:t>108.0</w:t>
            </w:r>
          </w:p>
        </w:tc>
        <w:tc>
          <w:tcPr>
            <w:tcW w:type="dxa" w:w="1037"/>
            <w:shd w:val="clear" w:color="auto" w:fill="E7EDEB"/>
          </w:tcPr>
          <w:p>
            <w:pPr>
              <w:spacing w:after="20" w:before="20"/>
              <w:jc w:val="right"/>
            </w:pPr>
            <w:r>
              <w:rPr>
                <w:rFonts w:ascii="Calibri" w:hAnsi="Calibri"/>
                <w:b/>
                <w:color w:val="1C3A36"/>
                <w:sz w:val="15"/>
              </w:rPr>
              <w:t>112.3</w:t>
            </w:r>
          </w:p>
        </w:tc>
        <w:tc>
          <w:tcPr>
            <w:tcW w:type="dxa" w:w="1037"/>
            <w:shd w:val="clear" w:color="auto" w:fill="E7EDEB"/>
          </w:tcPr>
          <w:p>
            <w:pPr>
              <w:spacing w:after="20" w:before="20"/>
              <w:jc w:val="right"/>
            </w:pPr>
            <w:r>
              <w:rPr>
                <w:rFonts w:ascii="Calibri" w:hAnsi="Calibri"/>
                <w:b/>
                <w:color w:val="1C3A36"/>
                <w:sz w:val="15"/>
              </w:rPr>
              <w:t>116.9</w:t>
            </w:r>
          </w:p>
        </w:tc>
        <w:tc>
          <w:tcPr>
            <w:tcW w:type="dxa" w:w="1037"/>
            <w:shd w:val="clear" w:color="auto" w:fill="E7EDEB"/>
          </w:tcPr>
          <w:p>
            <w:pPr>
              <w:spacing w:after="20" w:before="20"/>
              <w:jc w:val="right"/>
            </w:pPr>
            <w:r>
              <w:rPr>
                <w:rFonts w:ascii="Calibri" w:hAnsi="Calibri"/>
                <w:b/>
                <w:color w:val="1C3A36"/>
                <w:sz w:val="15"/>
              </w:rPr>
              <w:t>122.0</w:t>
            </w:r>
          </w:p>
        </w:tc>
        <w:tc>
          <w:tcPr>
            <w:tcW w:type="dxa" w:w="1037"/>
            <w:shd w:val="clear" w:color="auto" w:fill="E7EDEB"/>
          </w:tcPr>
          <w:p>
            <w:pPr>
              <w:spacing w:after="20" w:before="20"/>
              <w:jc w:val="right"/>
            </w:pPr>
            <w:r>
              <w:rPr>
                <w:rFonts w:ascii="Calibri" w:hAnsi="Calibri"/>
                <w:b/>
                <w:color w:val="1C3A36"/>
                <w:sz w:val="15"/>
              </w:rPr>
              <w:t>127.4</w:t>
            </w:r>
          </w:p>
        </w:tc>
        <w:tc>
          <w:tcPr>
            <w:tcW w:type="dxa" w:w="1037"/>
            <w:shd w:val="clear" w:color="auto" w:fill="E7EDEB"/>
          </w:tcPr>
          <w:p>
            <w:pPr>
              <w:spacing w:after="20" w:before="20"/>
              <w:jc w:val="right"/>
            </w:pPr>
            <w:r>
              <w:rPr>
                <w:rFonts w:ascii="Calibri" w:hAnsi="Calibri"/>
                <w:b/>
                <w:color w:val="1C3A36"/>
                <w:sz w:val="15"/>
              </w:rPr>
              <w:t>133.1</w:t>
            </w:r>
          </w:p>
        </w:tc>
      </w:tr>
      <w:tr>
        <w:tc>
          <w:tcPr>
            <w:tcW w:type="dxa" w:w="2664"/>
          </w:tcPr>
          <w:p>
            <w:pPr>
              <w:spacing w:after="20" w:before="20"/>
            </w:pPr>
            <w:r>
              <w:rPr>
                <w:rFonts w:ascii="Calibri" w:hAnsi="Calibri"/>
                <w:color w:val="222A28"/>
                <w:sz w:val="15"/>
              </w:rPr>
              <w:t>Debt (incl. hybrids)</w:t>
            </w:r>
          </w:p>
        </w:tc>
        <w:tc>
          <w:tcPr>
            <w:tcW w:type="dxa" w:w="1037"/>
          </w:tcPr>
          <w:p>
            <w:pPr>
              <w:spacing w:after="20" w:before="20"/>
              <w:jc w:val="right"/>
            </w:pPr>
            <w:r>
              <w:rPr>
                <w:rFonts w:ascii="Calibri" w:hAnsi="Calibri"/>
                <w:color w:val="222A28"/>
                <w:sz w:val="15"/>
              </w:rPr>
              <w:t>12.1</w:t>
            </w:r>
          </w:p>
        </w:tc>
        <w:tc>
          <w:tcPr>
            <w:tcW w:type="dxa" w:w="1037"/>
          </w:tcPr>
          <w:p>
            <w:pPr>
              <w:spacing w:after="20" w:before="20"/>
              <w:jc w:val="right"/>
            </w:pPr>
            <w:r>
              <w:rPr>
                <w:rFonts w:ascii="Calibri" w:hAnsi="Calibri"/>
                <w:color w:val="222A28"/>
                <w:sz w:val="15"/>
              </w:rPr>
              <w:t>16.4</w:t>
            </w:r>
          </w:p>
        </w:tc>
        <w:tc>
          <w:tcPr>
            <w:tcW w:type="dxa" w:w="1037"/>
          </w:tcPr>
          <w:p>
            <w:pPr>
              <w:spacing w:after="20" w:before="20"/>
              <w:jc w:val="right"/>
            </w:pPr>
            <w:r>
              <w:rPr>
                <w:rFonts w:ascii="Calibri" w:hAnsi="Calibri"/>
                <w:color w:val="222A28"/>
                <w:sz w:val="15"/>
              </w:rPr>
              <w:t>26.5</w:t>
            </w:r>
          </w:p>
        </w:tc>
        <w:tc>
          <w:tcPr>
            <w:tcW w:type="dxa" w:w="1037"/>
          </w:tcPr>
          <w:p>
            <w:pPr>
              <w:spacing w:after="20" w:before="20"/>
              <w:jc w:val="right"/>
            </w:pPr>
            <w:r>
              <w:rPr>
                <w:rFonts w:ascii="Calibri" w:hAnsi="Calibri"/>
                <w:color w:val="222A28"/>
                <w:sz w:val="15"/>
              </w:rPr>
              <w:t>26.5</w:t>
            </w:r>
          </w:p>
        </w:tc>
        <w:tc>
          <w:tcPr>
            <w:tcW w:type="dxa" w:w="1037"/>
          </w:tcPr>
          <w:p>
            <w:pPr>
              <w:spacing w:after="20" w:before="20"/>
              <w:jc w:val="right"/>
            </w:pPr>
            <w:r>
              <w:rPr>
                <w:rFonts w:ascii="Calibri" w:hAnsi="Calibri"/>
                <w:color w:val="222A28"/>
                <w:sz w:val="15"/>
              </w:rPr>
              <w:t>26.5</w:t>
            </w:r>
          </w:p>
        </w:tc>
        <w:tc>
          <w:tcPr>
            <w:tcW w:type="dxa" w:w="1037"/>
          </w:tcPr>
          <w:p>
            <w:pPr>
              <w:spacing w:after="20" w:before="20"/>
              <w:jc w:val="right"/>
            </w:pPr>
            <w:r>
              <w:rPr>
                <w:rFonts w:ascii="Calibri" w:hAnsi="Calibri"/>
                <w:color w:val="222A28"/>
                <w:sz w:val="15"/>
              </w:rPr>
              <w:t>26.5</w:t>
            </w:r>
          </w:p>
        </w:tc>
        <w:tc>
          <w:tcPr>
            <w:tcW w:type="dxa" w:w="1037"/>
          </w:tcPr>
          <w:p>
            <w:pPr>
              <w:spacing w:after="20" w:before="20"/>
              <w:jc w:val="right"/>
            </w:pPr>
            <w:r>
              <w:rPr>
                <w:rFonts w:ascii="Calibri" w:hAnsi="Calibri"/>
                <w:color w:val="222A28"/>
                <w:sz w:val="15"/>
              </w:rPr>
              <w:t>26.5</w:t>
            </w:r>
          </w:p>
        </w:tc>
        <w:tc>
          <w:tcPr>
            <w:tcW w:type="dxa" w:w="1037"/>
          </w:tcPr>
          <w:p>
            <w:pPr>
              <w:spacing w:after="20" w:before="20"/>
              <w:jc w:val="right"/>
            </w:pPr>
            <w:r>
              <w:rPr>
                <w:rFonts w:ascii="Calibri" w:hAnsi="Calibri"/>
                <w:color w:val="222A28"/>
                <w:sz w:val="15"/>
              </w:rPr>
              <w:t>26.5</w:t>
            </w:r>
          </w:p>
        </w:tc>
      </w:tr>
      <w:tr>
        <w:tc>
          <w:tcPr>
            <w:tcW w:type="dxa" w:w="2664"/>
          </w:tcPr>
          <w:p>
            <w:pPr>
              <w:spacing w:after="20" w:before="20"/>
            </w:pPr>
            <w:r>
              <w:rPr>
                <w:rFonts w:ascii="Calibri" w:hAnsi="Calibri"/>
                <w:color w:val="222A28"/>
                <w:sz w:val="15"/>
              </w:rPr>
              <w:t>Customer advances / contract liab.</w:t>
            </w:r>
          </w:p>
        </w:tc>
        <w:tc>
          <w:tcPr>
            <w:tcW w:type="dxa" w:w="1037"/>
          </w:tcPr>
          <w:p>
            <w:pPr>
              <w:spacing w:after="20" w:before="20"/>
              <w:jc w:val="right"/>
            </w:pPr>
            <w:r>
              <w:rPr>
                <w:rFonts w:ascii="Calibri" w:hAnsi="Calibri"/>
                <w:color w:val="222A28"/>
                <w:sz w:val="15"/>
              </w:rPr>
              <w:t>15.0</w:t>
            </w:r>
          </w:p>
        </w:tc>
        <w:tc>
          <w:tcPr>
            <w:tcW w:type="dxa" w:w="1037"/>
          </w:tcPr>
          <w:p>
            <w:pPr>
              <w:spacing w:after="20" w:before="20"/>
              <w:jc w:val="right"/>
            </w:pPr>
            <w:r>
              <w:rPr>
                <w:rFonts w:ascii="Calibri" w:hAnsi="Calibri"/>
                <w:color w:val="222A28"/>
                <w:sz w:val="15"/>
              </w:rPr>
              <w:t>18.0</w:t>
            </w:r>
          </w:p>
        </w:tc>
        <w:tc>
          <w:tcPr>
            <w:tcW w:type="dxa" w:w="1037"/>
          </w:tcPr>
          <w:p>
            <w:pPr>
              <w:spacing w:after="20" w:before="20"/>
              <w:jc w:val="right"/>
            </w:pPr>
            <w:r>
              <w:rPr>
                <w:rFonts w:ascii="Calibri" w:hAnsi="Calibri"/>
                <w:color w:val="222A28"/>
                <w:sz w:val="15"/>
              </w:rPr>
              <w:t>20.0</w:t>
            </w:r>
          </w:p>
        </w:tc>
        <w:tc>
          <w:tcPr>
            <w:tcW w:type="dxa" w:w="1037"/>
          </w:tcPr>
          <w:p>
            <w:pPr>
              <w:spacing w:after="20" w:before="20"/>
              <w:jc w:val="right"/>
            </w:pPr>
            <w:r>
              <w:rPr>
                <w:rFonts w:ascii="Calibri" w:hAnsi="Calibri"/>
                <w:color w:val="222A28"/>
                <w:sz w:val="15"/>
              </w:rPr>
              <w:t>20.0</w:t>
            </w:r>
          </w:p>
        </w:tc>
        <w:tc>
          <w:tcPr>
            <w:tcW w:type="dxa" w:w="1037"/>
          </w:tcPr>
          <w:p>
            <w:pPr>
              <w:spacing w:after="20" w:before="20"/>
              <w:jc w:val="right"/>
            </w:pPr>
            <w:r>
              <w:rPr>
                <w:rFonts w:ascii="Calibri" w:hAnsi="Calibri"/>
                <w:color w:val="222A28"/>
                <w:sz w:val="15"/>
              </w:rPr>
              <w:t>20.0</w:t>
            </w:r>
          </w:p>
        </w:tc>
        <w:tc>
          <w:tcPr>
            <w:tcW w:type="dxa" w:w="1037"/>
          </w:tcPr>
          <w:p>
            <w:pPr>
              <w:spacing w:after="20" w:before="20"/>
              <w:jc w:val="right"/>
            </w:pPr>
            <w:r>
              <w:rPr>
                <w:rFonts w:ascii="Calibri" w:hAnsi="Calibri"/>
                <w:color w:val="222A28"/>
                <w:sz w:val="15"/>
              </w:rPr>
              <w:t>20.0</w:t>
            </w:r>
          </w:p>
        </w:tc>
        <w:tc>
          <w:tcPr>
            <w:tcW w:type="dxa" w:w="1037"/>
          </w:tcPr>
          <w:p>
            <w:pPr>
              <w:spacing w:after="20" w:before="20"/>
              <w:jc w:val="right"/>
            </w:pPr>
            <w:r>
              <w:rPr>
                <w:rFonts w:ascii="Calibri" w:hAnsi="Calibri"/>
                <w:color w:val="222A28"/>
                <w:sz w:val="15"/>
              </w:rPr>
              <w:t>20.0</w:t>
            </w:r>
          </w:p>
        </w:tc>
        <w:tc>
          <w:tcPr>
            <w:tcW w:type="dxa" w:w="1037"/>
          </w:tcPr>
          <w:p>
            <w:pPr>
              <w:spacing w:after="20" w:before="20"/>
              <w:jc w:val="right"/>
            </w:pPr>
            <w:r>
              <w:rPr>
                <w:rFonts w:ascii="Calibri" w:hAnsi="Calibri"/>
                <w:color w:val="222A28"/>
                <w:sz w:val="15"/>
              </w:rPr>
              <w:t>20.0</w:t>
            </w:r>
          </w:p>
        </w:tc>
      </w:tr>
      <w:tr>
        <w:tc>
          <w:tcPr>
            <w:tcW w:type="dxa" w:w="2664"/>
          </w:tcPr>
          <w:p>
            <w:pPr>
              <w:spacing w:after="20" w:before="20"/>
            </w:pPr>
            <w:r>
              <w:rPr>
                <w:rFonts w:ascii="Calibri" w:hAnsi="Calibri"/>
                <w:color w:val="222A28"/>
                <w:sz w:val="15"/>
              </w:rPr>
              <w:t>Payables &amp; other liabilities</w:t>
            </w:r>
          </w:p>
        </w:tc>
        <w:tc>
          <w:tcPr>
            <w:tcW w:type="dxa" w:w="1037"/>
          </w:tcPr>
          <w:p>
            <w:pPr>
              <w:spacing w:after="20" w:before="20"/>
              <w:jc w:val="right"/>
            </w:pPr>
            <w:r>
              <w:rPr>
                <w:rFonts w:ascii="Calibri" w:hAnsi="Calibri"/>
                <w:color w:val="222A28"/>
                <w:sz w:val="15"/>
              </w:rPr>
              <w:t>14.9</w:t>
            </w:r>
          </w:p>
        </w:tc>
        <w:tc>
          <w:tcPr>
            <w:tcW w:type="dxa" w:w="1037"/>
          </w:tcPr>
          <w:p>
            <w:pPr>
              <w:spacing w:after="20" w:before="20"/>
              <w:jc w:val="right"/>
            </w:pPr>
            <w:r>
              <w:rPr>
                <w:rFonts w:ascii="Calibri" w:hAnsi="Calibri"/>
                <w:color w:val="222A28"/>
                <w:sz w:val="15"/>
              </w:rPr>
              <w:t>16.7</w:t>
            </w:r>
          </w:p>
        </w:tc>
        <w:tc>
          <w:tcPr>
            <w:tcW w:type="dxa" w:w="1037"/>
          </w:tcPr>
          <w:p>
            <w:pPr>
              <w:spacing w:after="20" w:before="20"/>
              <w:jc w:val="right"/>
            </w:pPr>
            <w:r>
              <w:rPr>
                <w:rFonts w:ascii="Calibri" w:hAnsi="Calibri"/>
                <w:color w:val="222A28"/>
                <w:sz w:val="15"/>
              </w:rPr>
              <w:t>18.5</w:t>
            </w:r>
          </w:p>
        </w:tc>
        <w:tc>
          <w:tcPr>
            <w:tcW w:type="dxa" w:w="1037"/>
          </w:tcPr>
          <w:p>
            <w:pPr>
              <w:spacing w:after="20" w:before="20"/>
              <w:jc w:val="right"/>
            </w:pPr>
            <w:r>
              <w:rPr>
                <w:rFonts w:ascii="Calibri" w:hAnsi="Calibri"/>
                <w:color w:val="222A28"/>
                <w:sz w:val="15"/>
              </w:rPr>
              <w:t>18.5</w:t>
            </w:r>
          </w:p>
        </w:tc>
        <w:tc>
          <w:tcPr>
            <w:tcW w:type="dxa" w:w="1037"/>
          </w:tcPr>
          <w:p>
            <w:pPr>
              <w:spacing w:after="20" w:before="20"/>
              <w:jc w:val="right"/>
            </w:pPr>
            <w:r>
              <w:rPr>
                <w:rFonts w:ascii="Calibri" w:hAnsi="Calibri"/>
                <w:color w:val="222A28"/>
                <w:sz w:val="15"/>
              </w:rPr>
              <w:t>18.5</w:t>
            </w:r>
          </w:p>
        </w:tc>
        <w:tc>
          <w:tcPr>
            <w:tcW w:type="dxa" w:w="1037"/>
          </w:tcPr>
          <w:p>
            <w:pPr>
              <w:spacing w:after="20" w:before="20"/>
              <w:jc w:val="right"/>
            </w:pPr>
            <w:r>
              <w:rPr>
                <w:rFonts w:ascii="Calibri" w:hAnsi="Calibri"/>
                <w:color w:val="222A28"/>
                <w:sz w:val="15"/>
              </w:rPr>
              <w:t>18.5</w:t>
            </w:r>
          </w:p>
        </w:tc>
        <w:tc>
          <w:tcPr>
            <w:tcW w:type="dxa" w:w="1037"/>
          </w:tcPr>
          <w:p>
            <w:pPr>
              <w:spacing w:after="20" w:before="20"/>
              <w:jc w:val="right"/>
            </w:pPr>
            <w:r>
              <w:rPr>
                <w:rFonts w:ascii="Calibri" w:hAnsi="Calibri"/>
                <w:color w:val="222A28"/>
                <w:sz w:val="15"/>
              </w:rPr>
              <w:t>18.5</w:t>
            </w:r>
          </w:p>
        </w:tc>
        <w:tc>
          <w:tcPr>
            <w:tcW w:type="dxa" w:w="1037"/>
          </w:tcPr>
          <w:p>
            <w:pPr>
              <w:spacing w:after="20" w:before="20"/>
              <w:jc w:val="right"/>
            </w:pPr>
            <w:r>
              <w:rPr>
                <w:rFonts w:ascii="Calibri" w:hAnsi="Calibri"/>
                <w:color w:val="222A28"/>
                <w:sz w:val="15"/>
              </w:rPr>
              <w:t>18.5</w:t>
            </w:r>
          </w:p>
        </w:tc>
      </w:tr>
      <w:tr>
        <w:tc>
          <w:tcPr>
            <w:tcW w:type="dxa" w:w="2664"/>
          </w:tcPr>
          <w:p>
            <w:pPr>
              <w:spacing w:after="20" w:before="20"/>
            </w:pPr>
            <w:r>
              <w:rPr>
                <w:rFonts w:ascii="Calibri" w:hAnsi="Calibri"/>
                <w:color w:val="222A28"/>
                <w:sz w:val="15"/>
              </w:rPr>
              <w:t>Non-controlling interests</w:t>
            </w:r>
          </w:p>
        </w:tc>
        <w:tc>
          <w:tcPr>
            <w:tcW w:type="dxa" w:w="1037"/>
          </w:tcPr>
          <w:p>
            <w:pPr>
              <w:spacing w:after="20" w:before="20"/>
              <w:jc w:val="right"/>
            </w:pPr>
            <w:r>
              <w:rPr>
                <w:rFonts w:ascii="Calibri" w:hAnsi="Calibri"/>
                <w:color w:val="222A28"/>
                <w:sz w:val="15"/>
              </w:rPr>
              <w:t>2.0</w:t>
            </w:r>
          </w:p>
        </w:tc>
        <w:tc>
          <w:tcPr>
            <w:tcW w:type="dxa" w:w="1037"/>
          </w:tcPr>
          <w:p>
            <w:pPr>
              <w:spacing w:after="20" w:before="20"/>
              <w:jc w:val="right"/>
            </w:pPr>
            <w:r>
              <w:rPr>
                <w:rFonts w:ascii="Calibri" w:hAnsi="Calibri"/>
                <w:color w:val="222A28"/>
                <w:sz w:val="15"/>
              </w:rPr>
              <w:t>2.6</w:t>
            </w:r>
          </w:p>
        </w:tc>
        <w:tc>
          <w:tcPr>
            <w:tcW w:type="dxa" w:w="1037"/>
          </w:tcPr>
          <w:p>
            <w:pPr>
              <w:spacing w:after="20" w:before="20"/>
              <w:jc w:val="right"/>
            </w:pPr>
            <w:r>
              <w:rPr>
                <w:rFonts w:ascii="Calibri" w:hAnsi="Calibri"/>
                <w:color w:val="222A28"/>
                <w:sz w:val="15"/>
              </w:rPr>
              <w:t>3.0</w:t>
            </w:r>
          </w:p>
        </w:tc>
        <w:tc>
          <w:tcPr>
            <w:tcW w:type="dxa" w:w="1037"/>
          </w:tcPr>
          <w:p>
            <w:pPr>
              <w:spacing w:after="20" w:before="20"/>
              <w:jc w:val="right"/>
            </w:pPr>
            <w:r>
              <w:rPr>
                <w:rFonts w:ascii="Calibri" w:hAnsi="Calibri"/>
                <w:color w:val="222A28"/>
                <w:sz w:val="15"/>
              </w:rPr>
              <w:t>3.0</w:t>
            </w:r>
          </w:p>
        </w:tc>
        <w:tc>
          <w:tcPr>
            <w:tcW w:type="dxa" w:w="1037"/>
          </w:tcPr>
          <w:p>
            <w:pPr>
              <w:spacing w:after="20" w:before="20"/>
              <w:jc w:val="right"/>
            </w:pPr>
            <w:r>
              <w:rPr>
                <w:rFonts w:ascii="Calibri" w:hAnsi="Calibri"/>
                <w:color w:val="222A28"/>
                <w:sz w:val="15"/>
              </w:rPr>
              <w:t>3.0</w:t>
            </w:r>
          </w:p>
        </w:tc>
        <w:tc>
          <w:tcPr>
            <w:tcW w:type="dxa" w:w="1037"/>
          </w:tcPr>
          <w:p>
            <w:pPr>
              <w:spacing w:after="20" w:before="20"/>
              <w:jc w:val="right"/>
            </w:pPr>
            <w:r>
              <w:rPr>
                <w:rFonts w:ascii="Calibri" w:hAnsi="Calibri"/>
                <w:color w:val="222A28"/>
                <w:sz w:val="15"/>
              </w:rPr>
              <w:t>3.0</w:t>
            </w:r>
          </w:p>
        </w:tc>
        <w:tc>
          <w:tcPr>
            <w:tcW w:type="dxa" w:w="1037"/>
          </w:tcPr>
          <w:p>
            <w:pPr>
              <w:spacing w:after="20" w:before="20"/>
              <w:jc w:val="right"/>
            </w:pPr>
            <w:r>
              <w:rPr>
                <w:rFonts w:ascii="Calibri" w:hAnsi="Calibri"/>
                <w:color w:val="222A28"/>
                <w:sz w:val="15"/>
              </w:rPr>
              <w:t>3.0</w:t>
            </w:r>
          </w:p>
        </w:tc>
        <w:tc>
          <w:tcPr>
            <w:tcW w:type="dxa" w:w="1037"/>
          </w:tcPr>
          <w:p>
            <w:pPr>
              <w:spacing w:after="20" w:before="20"/>
              <w:jc w:val="right"/>
            </w:pPr>
            <w:r>
              <w:rPr>
                <w:rFonts w:ascii="Calibri" w:hAnsi="Calibri"/>
                <w:color w:val="222A28"/>
                <w:sz w:val="15"/>
              </w:rPr>
              <w:t>3.0</w:t>
            </w:r>
          </w:p>
        </w:tc>
      </w:tr>
      <w:tr>
        <w:tc>
          <w:tcPr>
            <w:tcW w:type="dxa" w:w="2664"/>
          </w:tcPr>
          <w:p>
            <w:pPr>
              <w:spacing w:after="20" w:before="20"/>
            </w:pPr>
            <w:r>
              <w:rPr>
                <w:rFonts w:ascii="Calibri" w:hAnsi="Calibri"/>
                <w:color w:val="222A28"/>
                <w:sz w:val="15"/>
              </w:rPr>
              <w:t>Equity (attributable)</w:t>
            </w:r>
          </w:p>
        </w:tc>
        <w:tc>
          <w:tcPr>
            <w:tcW w:type="dxa" w:w="1037"/>
          </w:tcPr>
          <w:p>
            <w:pPr>
              <w:spacing w:after="20" w:before="20"/>
              <w:jc w:val="right"/>
            </w:pPr>
            <w:r>
              <w:rPr>
                <w:rFonts w:ascii="Calibri" w:hAnsi="Calibri"/>
                <w:color w:val="222A28"/>
                <w:sz w:val="15"/>
              </w:rPr>
              <w:t>31.0</w:t>
            </w:r>
          </w:p>
        </w:tc>
        <w:tc>
          <w:tcPr>
            <w:tcW w:type="dxa" w:w="1037"/>
          </w:tcPr>
          <w:p>
            <w:pPr>
              <w:spacing w:after="20" w:before="20"/>
              <w:jc w:val="right"/>
            </w:pPr>
            <w:r>
              <w:rPr>
                <w:rFonts w:ascii="Calibri" w:hAnsi="Calibri"/>
                <w:color w:val="222A28"/>
                <w:sz w:val="15"/>
              </w:rPr>
              <w:t>34.9</w:t>
            </w:r>
          </w:p>
        </w:tc>
        <w:tc>
          <w:tcPr>
            <w:tcW w:type="dxa" w:w="1037"/>
          </w:tcPr>
          <w:p>
            <w:pPr>
              <w:spacing w:after="20" w:before="20"/>
              <w:jc w:val="right"/>
            </w:pPr>
            <w:r>
              <w:rPr>
                <w:rFonts w:ascii="Calibri" w:hAnsi="Calibri"/>
                <w:color w:val="222A28"/>
                <w:sz w:val="15"/>
              </w:rPr>
              <w:t>40.0</w:t>
            </w:r>
          </w:p>
        </w:tc>
        <w:tc>
          <w:tcPr>
            <w:tcW w:type="dxa" w:w="1037"/>
          </w:tcPr>
          <w:p>
            <w:pPr>
              <w:spacing w:after="20" w:before="20"/>
              <w:jc w:val="right"/>
            </w:pPr>
            <w:r>
              <w:rPr>
                <w:rFonts w:ascii="Calibri" w:hAnsi="Calibri"/>
                <w:color w:val="222A28"/>
                <w:sz w:val="15"/>
              </w:rPr>
              <w:t>44.3</w:t>
            </w:r>
          </w:p>
        </w:tc>
        <w:tc>
          <w:tcPr>
            <w:tcW w:type="dxa" w:w="1037"/>
          </w:tcPr>
          <w:p>
            <w:pPr>
              <w:spacing w:after="20" w:before="20"/>
              <w:jc w:val="right"/>
            </w:pPr>
            <w:r>
              <w:rPr>
                <w:rFonts w:ascii="Calibri" w:hAnsi="Calibri"/>
                <w:color w:val="222A28"/>
                <w:sz w:val="15"/>
              </w:rPr>
              <w:t>48.9</w:t>
            </w:r>
          </w:p>
        </w:tc>
        <w:tc>
          <w:tcPr>
            <w:tcW w:type="dxa" w:w="1037"/>
          </w:tcPr>
          <w:p>
            <w:pPr>
              <w:spacing w:after="20" w:before="20"/>
              <w:jc w:val="right"/>
            </w:pPr>
            <w:r>
              <w:rPr>
                <w:rFonts w:ascii="Calibri" w:hAnsi="Calibri"/>
                <w:color w:val="222A28"/>
                <w:sz w:val="15"/>
              </w:rPr>
              <w:t>54.0</w:t>
            </w:r>
          </w:p>
        </w:tc>
        <w:tc>
          <w:tcPr>
            <w:tcW w:type="dxa" w:w="1037"/>
          </w:tcPr>
          <w:p>
            <w:pPr>
              <w:spacing w:after="20" w:before="20"/>
              <w:jc w:val="right"/>
            </w:pPr>
            <w:r>
              <w:rPr>
                <w:rFonts w:ascii="Calibri" w:hAnsi="Calibri"/>
                <w:color w:val="222A28"/>
                <w:sz w:val="15"/>
              </w:rPr>
              <w:t>59.4</w:t>
            </w:r>
          </w:p>
        </w:tc>
        <w:tc>
          <w:tcPr>
            <w:tcW w:type="dxa" w:w="1037"/>
          </w:tcPr>
          <w:p>
            <w:pPr>
              <w:spacing w:after="20" w:before="20"/>
              <w:jc w:val="right"/>
            </w:pPr>
            <w:r>
              <w:rPr>
                <w:rFonts w:ascii="Calibri" w:hAnsi="Calibri"/>
                <w:color w:val="222A28"/>
                <w:sz w:val="15"/>
              </w:rPr>
              <w:t>65.1</w:t>
            </w:r>
          </w:p>
        </w:tc>
      </w:tr>
      <w:tr>
        <w:tc>
          <w:tcPr>
            <w:tcW w:type="dxa" w:w="2664"/>
            <w:shd w:val="clear" w:color="auto" w:fill="E7EDEB"/>
          </w:tcPr>
          <w:p>
            <w:pPr>
              <w:spacing w:after="20" w:before="20"/>
            </w:pPr>
            <w:r>
              <w:rPr>
                <w:rFonts w:ascii="Calibri" w:hAnsi="Calibri"/>
                <w:b/>
                <w:color w:val="1C3A36"/>
                <w:sz w:val="15"/>
              </w:rPr>
              <w:t>Total liabilities &amp; equity</w:t>
            </w:r>
          </w:p>
        </w:tc>
        <w:tc>
          <w:tcPr>
            <w:tcW w:type="dxa" w:w="1037"/>
            <w:shd w:val="clear" w:color="auto" w:fill="E7EDEB"/>
          </w:tcPr>
          <w:p>
            <w:pPr>
              <w:spacing w:after="20" w:before="20"/>
              <w:jc w:val="right"/>
            </w:pPr>
            <w:r>
              <w:rPr>
                <w:rFonts w:ascii="Calibri" w:hAnsi="Calibri"/>
                <w:b/>
                <w:color w:val="1C3A36"/>
                <w:sz w:val="15"/>
              </w:rPr>
              <w:t>75.0</w:t>
            </w:r>
          </w:p>
        </w:tc>
        <w:tc>
          <w:tcPr>
            <w:tcW w:type="dxa" w:w="1037"/>
            <w:shd w:val="clear" w:color="auto" w:fill="E7EDEB"/>
          </w:tcPr>
          <w:p>
            <w:pPr>
              <w:spacing w:after="20" w:before="20"/>
              <w:jc w:val="right"/>
            </w:pPr>
            <w:r>
              <w:rPr>
                <w:rFonts w:ascii="Calibri" w:hAnsi="Calibri"/>
                <w:b/>
                <w:color w:val="1C3A36"/>
                <w:sz w:val="15"/>
              </w:rPr>
              <w:t>88.6</w:t>
            </w:r>
          </w:p>
        </w:tc>
        <w:tc>
          <w:tcPr>
            <w:tcW w:type="dxa" w:w="1037"/>
            <w:shd w:val="clear" w:color="auto" w:fill="E7EDEB"/>
          </w:tcPr>
          <w:p>
            <w:pPr>
              <w:spacing w:after="20" w:before="20"/>
              <w:jc w:val="right"/>
            </w:pPr>
            <w:r>
              <w:rPr>
                <w:rFonts w:ascii="Calibri" w:hAnsi="Calibri"/>
                <w:b/>
                <w:color w:val="1C3A36"/>
                <w:sz w:val="15"/>
              </w:rPr>
              <w:t>108.0</w:t>
            </w:r>
          </w:p>
        </w:tc>
        <w:tc>
          <w:tcPr>
            <w:tcW w:type="dxa" w:w="1037"/>
            <w:shd w:val="clear" w:color="auto" w:fill="E7EDEB"/>
          </w:tcPr>
          <w:p>
            <w:pPr>
              <w:spacing w:after="20" w:before="20"/>
              <w:jc w:val="right"/>
            </w:pPr>
            <w:r>
              <w:rPr>
                <w:rFonts w:ascii="Calibri" w:hAnsi="Calibri"/>
                <w:b/>
                <w:color w:val="1C3A36"/>
                <w:sz w:val="15"/>
              </w:rPr>
              <w:t>112.3</w:t>
            </w:r>
          </w:p>
        </w:tc>
        <w:tc>
          <w:tcPr>
            <w:tcW w:type="dxa" w:w="1037"/>
            <w:shd w:val="clear" w:color="auto" w:fill="E7EDEB"/>
          </w:tcPr>
          <w:p>
            <w:pPr>
              <w:spacing w:after="20" w:before="20"/>
              <w:jc w:val="right"/>
            </w:pPr>
            <w:r>
              <w:rPr>
                <w:rFonts w:ascii="Calibri" w:hAnsi="Calibri"/>
                <w:b/>
                <w:color w:val="1C3A36"/>
                <w:sz w:val="15"/>
              </w:rPr>
              <w:t>116.9</w:t>
            </w:r>
          </w:p>
        </w:tc>
        <w:tc>
          <w:tcPr>
            <w:tcW w:type="dxa" w:w="1037"/>
            <w:shd w:val="clear" w:color="auto" w:fill="E7EDEB"/>
          </w:tcPr>
          <w:p>
            <w:pPr>
              <w:spacing w:after="20" w:before="20"/>
              <w:jc w:val="right"/>
            </w:pPr>
            <w:r>
              <w:rPr>
                <w:rFonts w:ascii="Calibri" w:hAnsi="Calibri"/>
                <w:b/>
                <w:color w:val="1C3A36"/>
                <w:sz w:val="15"/>
              </w:rPr>
              <w:t>122.0</w:t>
            </w:r>
          </w:p>
        </w:tc>
        <w:tc>
          <w:tcPr>
            <w:tcW w:type="dxa" w:w="1037"/>
            <w:shd w:val="clear" w:color="auto" w:fill="E7EDEB"/>
          </w:tcPr>
          <w:p>
            <w:pPr>
              <w:spacing w:after="20" w:before="20"/>
              <w:jc w:val="right"/>
            </w:pPr>
            <w:r>
              <w:rPr>
                <w:rFonts w:ascii="Calibri" w:hAnsi="Calibri"/>
                <w:b/>
                <w:color w:val="1C3A36"/>
                <w:sz w:val="15"/>
              </w:rPr>
              <w:t>127.4</w:t>
            </w:r>
          </w:p>
        </w:tc>
        <w:tc>
          <w:tcPr>
            <w:tcW w:type="dxa" w:w="1037"/>
            <w:shd w:val="clear" w:color="auto" w:fill="E7EDEB"/>
          </w:tcPr>
          <w:p>
            <w:pPr>
              <w:spacing w:after="20" w:before="20"/>
              <w:jc w:val="right"/>
            </w:pPr>
            <w:r>
              <w:rPr>
                <w:rFonts w:ascii="Calibri" w:hAnsi="Calibri"/>
                <w:b/>
                <w:color w:val="1C3A36"/>
                <w:sz w:val="15"/>
              </w:rPr>
              <w:t>133.1</w:t>
            </w:r>
          </w:p>
        </w:tc>
      </w:tr>
      <w:tr>
        <w:tc>
          <w:tcPr>
            <w:tcW w:type="dxa" w:w="2664"/>
          </w:tcPr>
          <w:p>
            <w:pPr>
              <w:spacing w:after="20" w:before="20"/>
            </w:pPr>
            <w:r>
              <w:rPr>
                <w:rFonts w:ascii="Calibri" w:hAnsi="Calibri"/>
                <w:color w:val="222A28"/>
                <w:sz w:val="15"/>
              </w:rPr>
              <w:t>Memo: net debt</w:t>
            </w:r>
          </w:p>
        </w:tc>
        <w:tc>
          <w:tcPr>
            <w:tcW w:type="dxa" w:w="1037"/>
          </w:tcPr>
          <w:p>
            <w:pPr>
              <w:spacing w:after="20" w:before="20"/>
              <w:jc w:val="right"/>
            </w:pPr>
            <w:r>
              <w:rPr>
                <w:rFonts w:ascii="Calibri" w:hAnsi="Calibri"/>
                <w:color w:val="222A28"/>
                <w:sz w:val="15"/>
              </w:rPr>
              <w:t>0.4</w:t>
            </w:r>
          </w:p>
        </w:tc>
        <w:tc>
          <w:tcPr>
            <w:tcW w:type="dxa" w:w="1037"/>
          </w:tcPr>
          <w:p>
            <w:pPr>
              <w:spacing w:after="20" w:before="20"/>
              <w:jc w:val="right"/>
            </w:pPr>
            <w:r>
              <w:rPr>
                <w:rFonts w:ascii="Calibri" w:hAnsi="Calibri"/>
                <w:color w:val="222A28"/>
                <w:sz w:val="15"/>
              </w:rPr>
              <w:t>1.3</w:t>
            </w:r>
          </w:p>
        </w:tc>
        <w:tc>
          <w:tcPr>
            <w:tcW w:type="dxa" w:w="1037"/>
          </w:tcPr>
          <w:p>
            <w:pPr>
              <w:spacing w:after="20" w:before="20"/>
              <w:jc w:val="right"/>
            </w:pPr>
            <w:r>
              <w:rPr>
                <w:rFonts w:ascii="Calibri" w:hAnsi="Calibri"/>
                <w:color w:val="222A28"/>
                <w:sz w:val="15"/>
              </w:rPr>
              <w:t>5.5</w:t>
            </w:r>
          </w:p>
        </w:tc>
        <w:tc>
          <w:tcPr>
            <w:tcW w:type="dxa" w:w="1037"/>
          </w:tcPr>
          <w:p>
            <w:pPr>
              <w:spacing w:after="20" w:before="20"/>
              <w:jc w:val="right"/>
            </w:pPr>
            <w:r>
              <w:rPr>
                <w:rFonts w:ascii="Calibri" w:hAnsi="Calibri"/>
                <w:color w:val="222A28"/>
                <w:sz w:val="15"/>
              </w:rPr>
              <w:t>4.0</w:t>
            </w:r>
          </w:p>
        </w:tc>
        <w:tc>
          <w:tcPr>
            <w:tcW w:type="dxa" w:w="1037"/>
          </w:tcPr>
          <w:p>
            <w:pPr>
              <w:spacing w:after="20" w:before="20"/>
              <w:jc w:val="right"/>
            </w:pPr>
            <w:r>
              <w:rPr>
                <w:rFonts w:ascii="Calibri" w:hAnsi="Calibri"/>
                <w:color w:val="222A28"/>
                <w:sz w:val="15"/>
              </w:rPr>
              <w:t>2.0</w:t>
            </w:r>
          </w:p>
        </w:tc>
        <w:tc>
          <w:tcPr>
            <w:tcW w:type="dxa" w:w="1037"/>
          </w:tcPr>
          <w:p>
            <w:pPr>
              <w:spacing w:after="20" w:before="20"/>
              <w:jc w:val="right"/>
            </w:pPr>
            <w:r>
              <w:rPr>
                <w:rFonts w:ascii="Calibri" w:hAnsi="Calibri"/>
                <w:color w:val="222A28"/>
                <w:sz w:val="15"/>
              </w:rPr>
              <w:t>-0.5</w:t>
            </w:r>
          </w:p>
        </w:tc>
        <w:tc>
          <w:tcPr>
            <w:tcW w:type="dxa" w:w="1037"/>
          </w:tcPr>
          <w:p>
            <w:pPr>
              <w:spacing w:after="20" w:before="20"/>
              <w:jc w:val="right"/>
            </w:pPr>
            <w:r>
              <w:rPr>
                <w:rFonts w:ascii="Calibri" w:hAnsi="Calibri"/>
                <w:color w:val="222A28"/>
                <w:sz w:val="15"/>
              </w:rPr>
              <w:t>-3.5</w:t>
            </w:r>
          </w:p>
        </w:tc>
        <w:tc>
          <w:tcPr>
            <w:tcW w:type="dxa" w:w="1037"/>
          </w:tcPr>
          <w:p>
            <w:pPr>
              <w:spacing w:after="20" w:before="20"/>
              <w:jc w:val="right"/>
            </w:pPr>
            <w:r>
              <w:rPr>
                <w:rFonts w:ascii="Calibri" w:hAnsi="Calibri"/>
                <w:color w:val="222A28"/>
                <w:sz w:val="15"/>
              </w:rPr>
              <w:t>-7.0</w:t>
            </w:r>
          </w:p>
        </w:tc>
      </w:tr>
    </w:tbl>
    <w:p>
      <w:pPr>
        <w:spacing w:after="40"/>
      </w:pPr>
    </w:p>
    <w:p>
      <w:pPr>
        <w:spacing w:after="80" w:before="0"/>
      </w:pPr>
      <w:r>
        <w:rPr>
          <w:rFonts w:ascii="Calibri" w:hAnsi="Calibri"/>
          <w:b w:val="0"/>
          <w:i/>
          <w:color w:val="5B6B67"/>
          <w:sz w:val="15"/>
        </w:rPr>
        <w:t>Simplified developer balance sheet calibrated to disclosed FY totals; 'Other assets' is a balancing plug and forecast non-core lines are held flat, so it will not tie line-by-line to the reported balance sheet.</w:t>
      </w:r>
    </w:p>
    <w:p>
      <w:pPr>
        <w:spacing w:before="200" w:after="80"/>
      </w:pPr>
      <w:r>
        <w:rPr>
          <w:rFonts w:ascii="Calibri" w:hAnsi="Calibri"/>
          <w:b/>
          <w:color w:val="896F36"/>
          <w:sz w:val="24"/>
        </w:rPr>
        <w:t>A.3  Cash flow (forecast, AED bn)</w:t>
      </w:r>
    </w:p>
    <w:tbl>
      <w:tblPr>
        <w:tblStyle w:val="TableGrid"/>
        <w:tblW w:type="auto" w:w="0"/>
        <w:jc w:val="center"/>
        <w:tblLook w:firstColumn="1" w:firstRow="1" w:lastColumn="0" w:lastRow="0" w:noHBand="0" w:noVBand="1" w:val="04A0"/>
        <w:tblLayout w:type="fixed"/>
      </w:tblPr>
      <w:tblGrid>
        <w:gridCol w:w="1656"/>
        <w:gridCol w:w="1656"/>
        <w:gridCol w:w="1656"/>
        <w:gridCol w:w="1656"/>
        <w:gridCol w:w="1656"/>
        <w:gridCol w:w="1656"/>
      </w:tblGrid>
      <w:tr>
        <w:tc>
          <w:tcPr>
            <w:tcW w:type="dxa" w:w="3456"/>
            <w:shd w:val="clear" w:color="auto" w:fill="1C3A36"/>
          </w:tcPr>
          <w:p>
            <w:pPr>
              <w:spacing w:after="20" w:before="20"/>
            </w:pPr>
            <w:r>
              <w:rPr>
                <w:rFonts w:ascii="Calibri" w:hAnsi="Calibri"/>
                <w:b/>
                <w:color w:val="FFFFFF"/>
                <w:sz w:val="15"/>
              </w:rPr>
              <w:t>AED bn</w:t>
            </w:r>
          </w:p>
        </w:tc>
        <w:tc>
          <w:tcPr>
            <w:tcW w:type="dxa" w:w="1296"/>
            <w:shd w:val="clear" w:color="auto" w:fill="1C3A36"/>
          </w:tcPr>
          <w:p>
            <w:pPr>
              <w:spacing w:after="20" w:before="20"/>
              <w:jc w:val="right"/>
            </w:pPr>
            <w:r>
              <w:rPr>
                <w:rFonts w:ascii="Calibri" w:hAnsi="Calibri"/>
                <w:b/>
                <w:color w:val="FFFFFF"/>
                <w:sz w:val="15"/>
              </w:rPr>
              <w:t>2026e</w:t>
            </w:r>
          </w:p>
        </w:tc>
        <w:tc>
          <w:tcPr>
            <w:tcW w:type="dxa" w:w="1296"/>
            <w:shd w:val="clear" w:color="auto" w:fill="1C3A36"/>
          </w:tcPr>
          <w:p>
            <w:pPr>
              <w:spacing w:after="20" w:before="20"/>
              <w:jc w:val="right"/>
            </w:pPr>
            <w:r>
              <w:rPr>
                <w:rFonts w:ascii="Calibri" w:hAnsi="Calibri"/>
                <w:b/>
                <w:color w:val="FFFFFF"/>
                <w:sz w:val="15"/>
              </w:rPr>
              <w:t>2027e</w:t>
            </w:r>
          </w:p>
        </w:tc>
        <w:tc>
          <w:tcPr>
            <w:tcW w:type="dxa" w:w="1296"/>
            <w:shd w:val="clear" w:color="auto" w:fill="1C3A36"/>
          </w:tcPr>
          <w:p>
            <w:pPr>
              <w:spacing w:after="20" w:before="20"/>
              <w:jc w:val="right"/>
            </w:pPr>
            <w:r>
              <w:rPr>
                <w:rFonts w:ascii="Calibri" w:hAnsi="Calibri"/>
                <w:b/>
                <w:color w:val="FFFFFF"/>
                <w:sz w:val="15"/>
              </w:rPr>
              <w:t>2028e</w:t>
            </w:r>
          </w:p>
        </w:tc>
        <w:tc>
          <w:tcPr>
            <w:tcW w:type="dxa" w:w="1296"/>
            <w:shd w:val="clear" w:color="auto" w:fill="1C3A36"/>
          </w:tcPr>
          <w:p>
            <w:pPr>
              <w:spacing w:after="20" w:before="20"/>
              <w:jc w:val="right"/>
            </w:pPr>
            <w:r>
              <w:rPr>
                <w:rFonts w:ascii="Calibri" w:hAnsi="Calibri"/>
                <w:b/>
                <w:color w:val="FFFFFF"/>
                <w:sz w:val="15"/>
              </w:rPr>
              <w:t>2029e</w:t>
            </w:r>
          </w:p>
        </w:tc>
        <w:tc>
          <w:tcPr>
            <w:tcW w:type="dxa" w:w="1296"/>
            <w:shd w:val="clear" w:color="auto" w:fill="1C3A36"/>
          </w:tcPr>
          <w:p>
            <w:pPr>
              <w:spacing w:after="20" w:before="20"/>
              <w:jc w:val="right"/>
            </w:pPr>
            <w:r>
              <w:rPr>
                <w:rFonts w:ascii="Calibri" w:hAnsi="Calibri"/>
                <w:b/>
                <w:color w:val="FFFFFF"/>
                <w:sz w:val="15"/>
              </w:rPr>
              <w:t>2030e</w:t>
            </w:r>
          </w:p>
        </w:tc>
      </w:tr>
      <w:tr>
        <w:tc>
          <w:tcPr>
            <w:tcW w:type="dxa" w:w="3456"/>
          </w:tcPr>
          <w:p>
            <w:pPr>
              <w:spacing w:after="20" w:before="20"/>
            </w:pPr>
            <w:r>
              <w:rPr>
                <w:rFonts w:ascii="Calibri" w:hAnsi="Calibri"/>
                <w:color w:val="222A28"/>
                <w:sz w:val="15"/>
              </w:rPr>
              <w:t>Attributable net profit</w:t>
            </w:r>
          </w:p>
        </w:tc>
        <w:tc>
          <w:tcPr>
            <w:tcW w:type="dxa" w:w="1296"/>
          </w:tcPr>
          <w:p>
            <w:pPr>
              <w:spacing w:after="20" w:before="20"/>
              <w:jc w:val="right"/>
            </w:pPr>
            <w:r>
              <w:rPr>
                <w:rFonts w:ascii="Calibri" w:hAnsi="Calibri"/>
                <w:color w:val="222A28"/>
                <w:sz w:val="15"/>
              </w:rPr>
              <w:t>7.8</w:t>
            </w:r>
          </w:p>
        </w:tc>
        <w:tc>
          <w:tcPr>
            <w:tcW w:type="dxa" w:w="1296"/>
          </w:tcPr>
          <w:p>
            <w:pPr>
              <w:spacing w:after="20" w:before="20"/>
              <w:jc w:val="right"/>
            </w:pPr>
            <w:r>
              <w:rPr>
                <w:rFonts w:ascii="Calibri" w:hAnsi="Calibri"/>
                <w:color w:val="222A28"/>
                <w:sz w:val="15"/>
              </w:rPr>
              <w:t>8.5</w:t>
            </w:r>
          </w:p>
        </w:tc>
        <w:tc>
          <w:tcPr>
            <w:tcW w:type="dxa" w:w="1296"/>
          </w:tcPr>
          <w:p>
            <w:pPr>
              <w:spacing w:after="20" w:before="20"/>
              <w:jc w:val="right"/>
            </w:pPr>
            <w:r>
              <w:rPr>
                <w:rFonts w:ascii="Calibri" w:hAnsi="Calibri"/>
                <w:color w:val="222A28"/>
                <w:sz w:val="15"/>
              </w:rPr>
              <w:t>9.2</w:t>
            </w:r>
          </w:p>
        </w:tc>
        <w:tc>
          <w:tcPr>
            <w:tcW w:type="dxa" w:w="1296"/>
          </w:tcPr>
          <w:p>
            <w:pPr>
              <w:spacing w:after="20" w:before="20"/>
              <w:jc w:val="right"/>
            </w:pPr>
            <w:r>
              <w:rPr>
                <w:rFonts w:ascii="Calibri" w:hAnsi="Calibri"/>
                <w:color w:val="222A28"/>
                <w:sz w:val="15"/>
              </w:rPr>
              <w:t>9.8</w:t>
            </w:r>
          </w:p>
        </w:tc>
        <w:tc>
          <w:tcPr>
            <w:tcW w:type="dxa" w:w="1296"/>
          </w:tcPr>
          <w:p>
            <w:pPr>
              <w:spacing w:after="20" w:before="20"/>
              <w:jc w:val="right"/>
            </w:pPr>
            <w:r>
              <w:rPr>
                <w:rFonts w:ascii="Calibri" w:hAnsi="Calibri"/>
                <w:color w:val="222A28"/>
                <w:sz w:val="15"/>
              </w:rPr>
              <w:t>10.3</w:t>
            </w:r>
          </w:p>
        </w:tc>
      </w:tr>
      <w:tr>
        <w:tc>
          <w:tcPr>
            <w:tcW w:type="dxa" w:w="3456"/>
          </w:tcPr>
          <w:p>
            <w:pPr>
              <w:spacing w:after="20" w:before="20"/>
            </w:pPr>
            <w:r>
              <w:rPr>
                <w:rFonts w:ascii="Calibri" w:hAnsi="Calibri"/>
                <w:color w:val="222A28"/>
                <w:sz w:val="15"/>
              </w:rPr>
              <w:t>+ D&amp;A</w:t>
            </w:r>
          </w:p>
        </w:tc>
        <w:tc>
          <w:tcPr>
            <w:tcW w:type="dxa" w:w="1296"/>
          </w:tcPr>
          <w:p>
            <w:pPr>
              <w:spacing w:after="20" w:before="20"/>
              <w:jc w:val="right"/>
            </w:pPr>
            <w:r>
              <w:rPr>
                <w:rFonts w:ascii="Calibri" w:hAnsi="Calibri"/>
                <w:color w:val="222A28"/>
                <w:sz w:val="15"/>
              </w:rPr>
              <w:t>0.7</w:t>
            </w:r>
          </w:p>
        </w:tc>
        <w:tc>
          <w:tcPr>
            <w:tcW w:type="dxa" w:w="1296"/>
          </w:tcPr>
          <w:p>
            <w:pPr>
              <w:spacing w:after="20" w:before="20"/>
              <w:jc w:val="right"/>
            </w:pPr>
            <w:r>
              <w:rPr>
                <w:rFonts w:ascii="Calibri" w:hAnsi="Calibri"/>
                <w:color w:val="222A28"/>
                <w:sz w:val="15"/>
              </w:rPr>
              <w:t>0.8</w:t>
            </w:r>
          </w:p>
        </w:tc>
        <w:tc>
          <w:tcPr>
            <w:tcW w:type="dxa" w:w="1296"/>
          </w:tcPr>
          <w:p>
            <w:pPr>
              <w:spacing w:after="20" w:before="20"/>
              <w:jc w:val="right"/>
            </w:pPr>
            <w:r>
              <w:rPr>
                <w:rFonts w:ascii="Calibri" w:hAnsi="Calibri"/>
                <w:color w:val="222A28"/>
                <w:sz w:val="15"/>
              </w:rPr>
              <w:t>0.9</w:t>
            </w:r>
          </w:p>
        </w:tc>
        <w:tc>
          <w:tcPr>
            <w:tcW w:type="dxa" w:w="1296"/>
          </w:tcPr>
          <w:p>
            <w:pPr>
              <w:spacing w:after="20" w:before="20"/>
              <w:jc w:val="right"/>
            </w:pPr>
            <w:r>
              <w:rPr>
                <w:rFonts w:ascii="Calibri" w:hAnsi="Calibri"/>
                <w:color w:val="222A28"/>
                <w:sz w:val="15"/>
              </w:rPr>
              <w:t>1.0</w:t>
            </w:r>
          </w:p>
        </w:tc>
        <w:tc>
          <w:tcPr>
            <w:tcW w:type="dxa" w:w="1296"/>
          </w:tcPr>
          <w:p>
            <w:pPr>
              <w:spacing w:after="20" w:before="20"/>
              <w:jc w:val="right"/>
            </w:pPr>
            <w:r>
              <w:rPr>
                <w:rFonts w:ascii="Calibri" w:hAnsi="Calibri"/>
                <w:color w:val="222A28"/>
                <w:sz w:val="15"/>
              </w:rPr>
              <w:t>1.0</w:t>
            </w:r>
          </w:p>
        </w:tc>
      </w:tr>
      <w:tr>
        <w:tc>
          <w:tcPr>
            <w:tcW w:type="dxa" w:w="3456"/>
          </w:tcPr>
          <w:p>
            <w:pPr>
              <w:spacing w:after="20" w:before="20"/>
            </w:pPr>
            <w:r>
              <w:rPr>
                <w:rFonts w:ascii="Calibri" w:hAnsi="Calibri"/>
                <w:color w:val="222A28"/>
                <w:sz w:val="15"/>
              </w:rPr>
              <w:t>+ NCI &amp; non-cash</w:t>
            </w:r>
          </w:p>
        </w:tc>
        <w:tc>
          <w:tcPr>
            <w:tcW w:type="dxa" w:w="1296"/>
          </w:tcPr>
          <w:p>
            <w:pPr>
              <w:spacing w:after="20" w:before="20"/>
              <w:jc w:val="right"/>
            </w:pPr>
            <w:r>
              <w:rPr>
                <w:rFonts w:ascii="Calibri" w:hAnsi="Calibri"/>
                <w:color w:val="222A28"/>
                <w:sz w:val="15"/>
              </w:rPr>
              <w:t>1.1</w:t>
            </w:r>
          </w:p>
        </w:tc>
        <w:tc>
          <w:tcPr>
            <w:tcW w:type="dxa" w:w="1296"/>
          </w:tcPr>
          <w:p>
            <w:pPr>
              <w:spacing w:after="20" w:before="20"/>
              <w:jc w:val="right"/>
            </w:pPr>
            <w:r>
              <w:rPr>
                <w:rFonts w:ascii="Calibri" w:hAnsi="Calibri"/>
                <w:color w:val="222A28"/>
                <w:sz w:val="15"/>
              </w:rPr>
              <w:t>1.2</w:t>
            </w:r>
          </w:p>
        </w:tc>
        <w:tc>
          <w:tcPr>
            <w:tcW w:type="dxa" w:w="1296"/>
          </w:tcPr>
          <w:p>
            <w:pPr>
              <w:spacing w:after="20" w:before="20"/>
              <w:jc w:val="right"/>
            </w:pPr>
            <w:r>
              <w:rPr>
                <w:rFonts w:ascii="Calibri" w:hAnsi="Calibri"/>
                <w:color w:val="222A28"/>
                <w:sz w:val="15"/>
              </w:rPr>
              <w:t>1.3</w:t>
            </w:r>
          </w:p>
        </w:tc>
        <w:tc>
          <w:tcPr>
            <w:tcW w:type="dxa" w:w="1296"/>
          </w:tcPr>
          <w:p>
            <w:pPr>
              <w:spacing w:after="20" w:before="20"/>
              <w:jc w:val="right"/>
            </w:pPr>
            <w:r>
              <w:rPr>
                <w:rFonts w:ascii="Calibri" w:hAnsi="Calibri"/>
                <w:color w:val="222A28"/>
                <w:sz w:val="15"/>
              </w:rPr>
              <w:t>1.3</w:t>
            </w:r>
          </w:p>
        </w:tc>
        <w:tc>
          <w:tcPr>
            <w:tcW w:type="dxa" w:w="1296"/>
          </w:tcPr>
          <w:p>
            <w:pPr>
              <w:spacing w:after="20" w:before="20"/>
              <w:jc w:val="right"/>
            </w:pPr>
            <w:r>
              <w:rPr>
                <w:rFonts w:ascii="Calibri" w:hAnsi="Calibri"/>
                <w:color w:val="222A28"/>
                <w:sz w:val="15"/>
              </w:rPr>
              <w:t>1.4</w:t>
            </w:r>
          </w:p>
        </w:tc>
      </w:tr>
      <w:tr>
        <w:tc>
          <w:tcPr>
            <w:tcW w:type="dxa" w:w="3456"/>
          </w:tcPr>
          <w:p>
            <w:pPr>
              <w:spacing w:after="20" w:before="20"/>
            </w:pPr>
            <w:r>
              <w:rPr>
                <w:rFonts w:ascii="Calibri" w:hAnsi="Calibri"/>
                <w:color w:val="222A28"/>
                <w:sz w:val="15"/>
              </w:rPr>
              <w:t>− Δ working capital</w:t>
            </w:r>
          </w:p>
        </w:tc>
        <w:tc>
          <w:tcPr>
            <w:tcW w:type="dxa" w:w="1296"/>
          </w:tcPr>
          <w:p>
            <w:pPr>
              <w:spacing w:after="20" w:before="20"/>
              <w:jc w:val="right"/>
            </w:pPr>
            <w:r>
              <w:rPr>
                <w:rFonts w:ascii="Calibri" w:hAnsi="Calibri"/>
                <w:color w:val="222A28"/>
                <w:sz w:val="15"/>
              </w:rPr>
              <w:t>-1.5</w:t>
            </w:r>
          </w:p>
        </w:tc>
        <w:tc>
          <w:tcPr>
            <w:tcW w:type="dxa" w:w="1296"/>
          </w:tcPr>
          <w:p>
            <w:pPr>
              <w:spacing w:after="20" w:before="20"/>
              <w:jc w:val="right"/>
            </w:pPr>
            <w:r>
              <w:rPr>
                <w:rFonts w:ascii="Calibri" w:hAnsi="Calibri"/>
                <w:color w:val="222A28"/>
                <w:sz w:val="15"/>
              </w:rPr>
              <w:t>-1.2</w:t>
            </w:r>
          </w:p>
        </w:tc>
        <w:tc>
          <w:tcPr>
            <w:tcW w:type="dxa" w:w="1296"/>
          </w:tcPr>
          <w:p>
            <w:pPr>
              <w:spacing w:after="20" w:before="20"/>
              <w:jc w:val="right"/>
            </w:pPr>
            <w:r>
              <w:rPr>
                <w:rFonts w:ascii="Calibri" w:hAnsi="Calibri"/>
                <w:color w:val="222A28"/>
                <w:sz w:val="15"/>
              </w:rPr>
              <w:t>-1.0</w:t>
            </w:r>
          </w:p>
        </w:tc>
        <w:tc>
          <w:tcPr>
            <w:tcW w:type="dxa" w:w="1296"/>
          </w:tcPr>
          <w:p>
            <w:pPr>
              <w:spacing w:after="20" w:before="20"/>
              <w:jc w:val="right"/>
            </w:pPr>
            <w:r>
              <w:rPr>
                <w:rFonts w:ascii="Calibri" w:hAnsi="Calibri"/>
                <w:color w:val="222A28"/>
                <w:sz w:val="15"/>
              </w:rPr>
              <w:t>-0.9</w:t>
            </w:r>
          </w:p>
        </w:tc>
        <w:tc>
          <w:tcPr>
            <w:tcW w:type="dxa" w:w="1296"/>
          </w:tcPr>
          <w:p>
            <w:pPr>
              <w:spacing w:after="20" w:before="20"/>
              <w:jc w:val="right"/>
            </w:pPr>
            <w:r>
              <w:rPr>
                <w:rFonts w:ascii="Calibri" w:hAnsi="Calibri"/>
                <w:color w:val="222A28"/>
                <w:sz w:val="15"/>
              </w:rPr>
              <w:t>-0.8</w:t>
            </w:r>
          </w:p>
        </w:tc>
      </w:tr>
      <w:tr>
        <w:tc>
          <w:tcPr>
            <w:tcW w:type="dxa" w:w="3456"/>
            <w:shd w:val="clear" w:color="auto" w:fill="E7EDEB"/>
          </w:tcPr>
          <w:p>
            <w:pPr>
              <w:spacing w:after="20" w:before="20"/>
            </w:pPr>
            <w:r>
              <w:rPr>
                <w:rFonts w:ascii="Calibri" w:hAnsi="Calibri"/>
                <w:b/>
                <w:color w:val="1C3A36"/>
                <w:sz w:val="15"/>
              </w:rPr>
              <w:t>Operating cash flow</w:t>
            </w:r>
          </w:p>
        </w:tc>
        <w:tc>
          <w:tcPr>
            <w:tcW w:type="dxa" w:w="1296"/>
            <w:shd w:val="clear" w:color="auto" w:fill="E7EDEB"/>
          </w:tcPr>
          <w:p>
            <w:pPr>
              <w:spacing w:after="20" w:before="20"/>
              <w:jc w:val="right"/>
            </w:pPr>
            <w:r>
              <w:rPr>
                <w:rFonts w:ascii="Calibri" w:hAnsi="Calibri"/>
                <w:b/>
                <w:color w:val="1C3A36"/>
                <w:sz w:val="15"/>
              </w:rPr>
              <w:t>4.6</w:t>
            </w:r>
          </w:p>
        </w:tc>
        <w:tc>
          <w:tcPr>
            <w:tcW w:type="dxa" w:w="1296"/>
            <w:shd w:val="clear" w:color="auto" w:fill="E7EDEB"/>
          </w:tcPr>
          <w:p>
            <w:pPr>
              <w:spacing w:after="20" w:before="20"/>
              <w:jc w:val="right"/>
            </w:pPr>
            <w:r>
              <w:rPr>
                <w:rFonts w:ascii="Calibri" w:hAnsi="Calibri"/>
                <w:b/>
                <w:color w:val="1C3A36"/>
                <w:sz w:val="15"/>
              </w:rPr>
              <w:t>5.5</w:t>
            </w:r>
          </w:p>
        </w:tc>
        <w:tc>
          <w:tcPr>
            <w:tcW w:type="dxa" w:w="1296"/>
            <w:shd w:val="clear" w:color="auto" w:fill="E7EDEB"/>
          </w:tcPr>
          <w:p>
            <w:pPr>
              <w:spacing w:after="20" w:before="20"/>
              <w:jc w:val="right"/>
            </w:pPr>
            <w:r>
              <w:rPr>
                <w:rFonts w:ascii="Calibri" w:hAnsi="Calibri"/>
                <w:b/>
                <w:color w:val="1C3A36"/>
                <w:sz w:val="15"/>
              </w:rPr>
              <w:t>6.2</w:t>
            </w:r>
          </w:p>
        </w:tc>
        <w:tc>
          <w:tcPr>
            <w:tcW w:type="dxa" w:w="1296"/>
            <w:shd w:val="clear" w:color="auto" w:fill="E7EDEB"/>
          </w:tcPr>
          <w:p>
            <w:pPr>
              <w:spacing w:after="20" w:before="20"/>
              <w:jc w:val="right"/>
            </w:pPr>
            <w:r>
              <w:rPr>
                <w:rFonts w:ascii="Calibri" w:hAnsi="Calibri"/>
                <w:b/>
                <w:color w:val="1C3A36"/>
                <w:sz w:val="15"/>
              </w:rPr>
              <w:t>6.8</w:t>
            </w:r>
          </w:p>
        </w:tc>
        <w:tc>
          <w:tcPr>
            <w:tcW w:type="dxa" w:w="1296"/>
            <w:shd w:val="clear" w:color="auto" w:fill="E7EDEB"/>
          </w:tcPr>
          <w:p>
            <w:pPr>
              <w:spacing w:after="20" w:before="20"/>
              <w:jc w:val="right"/>
            </w:pPr>
            <w:r>
              <w:rPr>
                <w:rFonts w:ascii="Calibri" w:hAnsi="Calibri"/>
                <w:b/>
                <w:color w:val="1C3A36"/>
                <w:sz w:val="15"/>
              </w:rPr>
              <w:t>7.3</w:t>
            </w:r>
          </w:p>
        </w:tc>
      </w:tr>
      <w:tr>
        <w:tc>
          <w:tcPr>
            <w:tcW w:type="dxa" w:w="3456"/>
          </w:tcPr>
          <w:p>
            <w:pPr>
              <w:spacing w:after="20" w:before="20"/>
            </w:pPr>
            <w:r>
              <w:rPr>
                <w:rFonts w:ascii="Calibri" w:hAnsi="Calibri"/>
                <w:color w:val="222A28"/>
                <w:sz w:val="15"/>
              </w:rPr>
              <w:t>− Capex</w:t>
            </w:r>
          </w:p>
        </w:tc>
        <w:tc>
          <w:tcPr>
            <w:tcW w:type="dxa" w:w="1296"/>
          </w:tcPr>
          <w:p>
            <w:pPr>
              <w:spacing w:after="20" w:before="20"/>
              <w:jc w:val="right"/>
            </w:pPr>
            <w:r>
              <w:rPr>
                <w:rFonts w:ascii="Calibri" w:hAnsi="Calibri"/>
                <w:color w:val="222A28"/>
                <w:sz w:val="15"/>
              </w:rPr>
              <w:t>-0.9</w:t>
            </w:r>
          </w:p>
        </w:tc>
        <w:tc>
          <w:tcPr>
            <w:tcW w:type="dxa" w:w="1296"/>
          </w:tcPr>
          <w:p>
            <w:pPr>
              <w:spacing w:after="20" w:before="20"/>
              <w:jc w:val="right"/>
            </w:pPr>
            <w:r>
              <w:rPr>
                <w:rFonts w:ascii="Calibri" w:hAnsi="Calibri"/>
                <w:color w:val="222A28"/>
                <w:sz w:val="15"/>
              </w:rPr>
              <w:t>-0.9</w:t>
            </w:r>
          </w:p>
        </w:tc>
        <w:tc>
          <w:tcPr>
            <w:tcW w:type="dxa" w:w="1296"/>
          </w:tcPr>
          <w:p>
            <w:pPr>
              <w:spacing w:after="20" w:before="20"/>
              <w:jc w:val="right"/>
            </w:pPr>
            <w:r>
              <w:rPr>
                <w:rFonts w:ascii="Calibri" w:hAnsi="Calibri"/>
                <w:color w:val="222A28"/>
                <w:sz w:val="15"/>
              </w:rPr>
              <w:t>-0.9</w:t>
            </w:r>
          </w:p>
        </w:tc>
        <w:tc>
          <w:tcPr>
            <w:tcW w:type="dxa" w:w="1296"/>
          </w:tcPr>
          <w:p>
            <w:pPr>
              <w:spacing w:after="20" w:before="20"/>
              <w:jc w:val="right"/>
            </w:pPr>
            <w:r>
              <w:rPr>
                <w:rFonts w:ascii="Calibri" w:hAnsi="Calibri"/>
                <w:color w:val="222A28"/>
                <w:sz w:val="15"/>
              </w:rPr>
              <w:t>-0.9</w:t>
            </w:r>
          </w:p>
        </w:tc>
        <w:tc>
          <w:tcPr>
            <w:tcW w:type="dxa" w:w="1296"/>
          </w:tcPr>
          <w:p>
            <w:pPr>
              <w:spacing w:after="20" w:before="20"/>
              <w:jc w:val="right"/>
            </w:pPr>
            <w:r>
              <w:rPr>
                <w:rFonts w:ascii="Calibri" w:hAnsi="Calibri"/>
                <w:color w:val="222A28"/>
                <w:sz w:val="15"/>
              </w:rPr>
              <w:t>-0.9</w:t>
            </w:r>
          </w:p>
        </w:tc>
      </w:tr>
      <w:tr>
        <w:tc>
          <w:tcPr>
            <w:tcW w:type="dxa" w:w="3456"/>
            <w:shd w:val="clear" w:color="auto" w:fill="E7EDEB"/>
          </w:tcPr>
          <w:p>
            <w:pPr>
              <w:spacing w:after="20" w:before="20"/>
            </w:pPr>
            <w:r>
              <w:rPr>
                <w:rFonts w:ascii="Calibri" w:hAnsi="Calibri"/>
                <w:b/>
                <w:color w:val="1C3A36"/>
                <w:sz w:val="15"/>
              </w:rPr>
              <w:t>Free cash flow</w:t>
            </w:r>
          </w:p>
        </w:tc>
        <w:tc>
          <w:tcPr>
            <w:tcW w:type="dxa" w:w="1296"/>
            <w:shd w:val="clear" w:color="auto" w:fill="E7EDEB"/>
          </w:tcPr>
          <w:p>
            <w:pPr>
              <w:spacing w:after="20" w:before="20"/>
              <w:jc w:val="right"/>
            </w:pPr>
            <w:r>
              <w:rPr>
                <w:rFonts w:ascii="Calibri" w:hAnsi="Calibri"/>
                <w:b/>
                <w:color w:val="1C3A36"/>
                <w:sz w:val="15"/>
              </w:rPr>
              <w:t>3.7</w:t>
            </w:r>
          </w:p>
        </w:tc>
        <w:tc>
          <w:tcPr>
            <w:tcW w:type="dxa" w:w="1296"/>
            <w:shd w:val="clear" w:color="auto" w:fill="E7EDEB"/>
          </w:tcPr>
          <w:p>
            <w:pPr>
              <w:spacing w:after="20" w:before="20"/>
              <w:jc w:val="right"/>
            </w:pPr>
            <w:r>
              <w:rPr>
                <w:rFonts w:ascii="Calibri" w:hAnsi="Calibri"/>
                <w:b/>
                <w:color w:val="1C3A36"/>
                <w:sz w:val="15"/>
              </w:rPr>
              <w:t>4.6</w:t>
            </w:r>
          </w:p>
        </w:tc>
        <w:tc>
          <w:tcPr>
            <w:tcW w:type="dxa" w:w="1296"/>
            <w:shd w:val="clear" w:color="auto" w:fill="E7EDEB"/>
          </w:tcPr>
          <w:p>
            <w:pPr>
              <w:spacing w:after="20" w:before="20"/>
              <w:jc w:val="right"/>
            </w:pPr>
            <w:r>
              <w:rPr>
                <w:rFonts w:ascii="Calibri" w:hAnsi="Calibri"/>
                <w:b/>
                <w:color w:val="1C3A36"/>
                <w:sz w:val="15"/>
              </w:rPr>
              <w:t>5.3</w:t>
            </w:r>
          </w:p>
        </w:tc>
        <w:tc>
          <w:tcPr>
            <w:tcW w:type="dxa" w:w="1296"/>
            <w:shd w:val="clear" w:color="auto" w:fill="E7EDEB"/>
          </w:tcPr>
          <w:p>
            <w:pPr>
              <w:spacing w:after="20" w:before="20"/>
              <w:jc w:val="right"/>
            </w:pPr>
            <w:r>
              <w:rPr>
                <w:rFonts w:ascii="Calibri" w:hAnsi="Calibri"/>
                <w:b/>
                <w:color w:val="1C3A36"/>
                <w:sz w:val="15"/>
              </w:rPr>
              <w:t>5.9</w:t>
            </w:r>
          </w:p>
        </w:tc>
        <w:tc>
          <w:tcPr>
            <w:tcW w:type="dxa" w:w="1296"/>
            <w:shd w:val="clear" w:color="auto" w:fill="E7EDEB"/>
          </w:tcPr>
          <w:p>
            <w:pPr>
              <w:spacing w:after="20" w:before="20"/>
              <w:jc w:val="right"/>
            </w:pPr>
            <w:r>
              <w:rPr>
                <w:rFonts w:ascii="Calibri" w:hAnsi="Calibri"/>
                <w:b/>
                <w:color w:val="1C3A36"/>
                <w:sz w:val="15"/>
              </w:rPr>
              <w:t>6.4</w:t>
            </w:r>
          </w:p>
        </w:tc>
      </w:tr>
      <w:tr>
        <w:tc>
          <w:tcPr>
            <w:tcW w:type="dxa" w:w="3456"/>
          </w:tcPr>
          <w:p>
            <w:pPr>
              <w:spacing w:after="20" w:before="20"/>
            </w:pPr>
            <w:r>
              <w:rPr>
                <w:rFonts w:ascii="Calibri" w:hAnsi="Calibri"/>
                <w:color w:val="222A28"/>
                <w:sz w:val="15"/>
              </w:rPr>
              <w:t>− Dividends</w:t>
            </w:r>
          </w:p>
        </w:tc>
        <w:tc>
          <w:tcPr>
            <w:tcW w:type="dxa" w:w="1296"/>
          </w:tcPr>
          <w:p>
            <w:pPr>
              <w:spacing w:after="20" w:before="20"/>
              <w:jc w:val="right"/>
            </w:pPr>
            <w:r>
              <w:rPr>
                <w:rFonts w:ascii="Calibri" w:hAnsi="Calibri"/>
                <w:color w:val="222A28"/>
                <w:sz w:val="15"/>
              </w:rPr>
              <w:t>-4.3</w:t>
            </w:r>
          </w:p>
        </w:tc>
        <w:tc>
          <w:tcPr>
            <w:tcW w:type="dxa" w:w="1296"/>
          </w:tcPr>
          <w:p>
            <w:pPr>
              <w:spacing w:after="20" w:before="20"/>
              <w:jc w:val="right"/>
            </w:pPr>
            <w:r>
              <w:rPr>
                <w:rFonts w:ascii="Calibri" w:hAnsi="Calibri"/>
                <w:color w:val="222A28"/>
                <w:sz w:val="15"/>
              </w:rPr>
              <w:t>-4.7</w:t>
            </w:r>
          </w:p>
        </w:tc>
        <w:tc>
          <w:tcPr>
            <w:tcW w:type="dxa" w:w="1296"/>
          </w:tcPr>
          <w:p>
            <w:pPr>
              <w:spacing w:after="20" w:before="20"/>
              <w:jc w:val="right"/>
            </w:pPr>
            <w:r>
              <w:rPr>
                <w:rFonts w:ascii="Calibri" w:hAnsi="Calibri"/>
                <w:color w:val="222A28"/>
                <w:sz w:val="15"/>
              </w:rPr>
              <w:t>-5.1</w:t>
            </w:r>
          </w:p>
        </w:tc>
        <w:tc>
          <w:tcPr>
            <w:tcW w:type="dxa" w:w="1296"/>
          </w:tcPr>
          <w:p>
            <w:pPr>
              <w:spacing w:after="20" w:before="20"/>
              <w:jc w:val="right"/>
            </w:pPr>
            <w:r>
              <w:rPr>
                <w:rFonts w:ascii="Calibri" w:hAnsi="Calibri"/>
                <w:color w:val="222A28"/>
                <w:sz w:val="15"/>
              </w:rPr>
              <w:t>-5.4</w:t>
            </w:r>
          </w:p>
        </w:tc>
        <w:tc>
          <w:tcPr>
            <w:tcW w:type="dxa" w:w="1296"/>
          </w:tcPr>
          <w:p>
            <w:pPr>
              <w:spacing w:after="20" w:before="20"/>
              <w:jc w:val="right"/>
            </w:pPr>
            <w:r>
              <w:rPr>
                <w:rFonts w:ascii="Calibri" w:hAnsi="Calibri"/>
                <w:color w:val="222A28"/>
                <w:sz w:val="15"/>
              </w:rPr>
              <w:t>-5.7</w:t>
            </w:r>
          </w:p>
        </w:tc>
      </w:tr>
      <w:tr>
        <w:tc>
          <w:tcPr>
            <w:tcW w:type="dxa" w:w="3456"/>
          </w:tcPr>
          <w:p>
            <w:pPr>
              <w:spacing w:after="20" w:before="20"/>
            </w:pPr>
            <w:r>
              <w:rPr>
                <w:rFonts w:ascii="Calibri" w:hAnsi="Calibri"/>
                <w:color w:val="222A28"/>
                <w:sz w:val="15"/>
              </w:rPr>
              <w:t>Net change in cash</w:t>
            </w:r>
          </w:p>
        </w:tc>
        <w:tc>
          <w:tcPr>
            <w:tcW w:type="dxa" w:w="1296"/>
          </w:tcPr>
          <w:p>
            <w:pPr>
              <w:spacing w:after="20" w:before="20"/>
              <w:jc w:val="right"/>
            </w:pPr>
            <w:r>
              <w:rPr>
                <w:rFonts w:ascii="Calibri" w:hAnsi="Calibri"/>
                <w:color w:val="222A28"/>
                <w:sz w:val="15"/>
              </w:rPr>
              <w:t>-0.6</w:t>
            </w:r>
          </w:p>
        </w:tc>
        <w:tc>
          <w:tcPr>
            <w:tcW w:type="dxa" w:w="1296"/>
          </w:tcPr>
          <w:p>
            <w:pPr>
              <w:spacing w:after="20" w:before="20"/>
              <w:jc w:val="right"/>
            </w:pPr>
            <w:r>
              <w:rPr>
                <w:rFonts w:ascii="Calibri" w:hAnsi="Calibri"/>
                <w:color w:val="222A28"/>
                <w:sz w:val="15"/>
              </w:rPr>
              <w:t>-0.1</w:t>
            </w:r>
          </w:p>
        </w:tc>
        <w:tc>
          <w:tcPr>
            <w:tcW w:type="dxa" w:w="1296"/>
          </w:tcPr>
          <w:p>
            <w:pPr>
              <w:spacing w:after="20" w:before="20"/>
              <w:jc w:val="right"/>
            </w:pPr>
            <w:r>
              <w:rPr>
                <w:rFonts w:ascii="Calibri" w:hAnsi="Calibri"/>
                <w:color w:val="222A28"/>
                <w:sz w:val="15"/>
              </w:rPr>
              <w:t>0.3</w:t>
            </w:r>
          </w:p>
        </w:tc>
        <w:tc>
          <w:tcPr>
            <w:tcW w:type="dxa" w:w="1296"/>
          </w:tcPr>
          <w:p>
            <w:pPr>
              <w:spacing w:after="20" w:before="20"/>
              <w:jc w:val="right"/>
            </w:pPr>
            <w:r>
              <w:rPr>
                <w:rFonts w:ascii="Calibri" w:hAnsi="Calibri"/>
                <w:color w:val="222A28"/>
                <w:sz w:val="15"/>
              </w:rPr>
              <w:t>0.5</w:t>
            </w:r>
          </w:p>
        </w:tc>
        <w:tc>
          <w:tcPr>
            <w:tcW w:type="dxa" w:w="1296"/>
          </w:tcPr>
          <w:p>
            <w:pPr>
              <w:spacing w:after="20" w:before="20"/>
              <w:jc w:val="right"/>
            </w:pPr>
            <w:r>
              <w:rPr>
                <w:rFonts w:ascii="Calibri" w:hAnsi="Calibri"/>
                <w:color w:val="222A28"/>
                <w:sz w:val="15"/>
              </w:rPr>
              <w:t>0.7</w:t>
            </w:r>
          </w:p>
        </w:tc>
      </w:tr>
    </w:tbl>
    <w:p>
      <w:pPr>
        <w:spacing w:after="40"/>
      </w:pPr>
    </w:p>
    <w:p>
      <w:pPr>
        <w:spacing w:before="280" w:after="120"/>
        <w:pBdr>
          <w:bottom w:val="single" w:sz="6" w:space="2" w:color="C0A45F"/>
        </w:pBdr>
      </w:pPr>
      <w:r>
        <w:rPr>
          <w:rFonts w:ascii="Calibri" w:hAnsi="Calibri"/>
          <w:b/>
          <w:color w:val="1C3A36"/>
          <w:sz w:val="30"/>
        </w:rPr>
        <w:t>Appendix B  Peer set, sector structure, and risks</w:t>
      </w:r>
    </w:p>
    <w:p>
      <w:pPr>
        <w:spacing w:before="200" w:after="80"/>
      </w:pPr>
      <w:r>
        <w:rPr>
          <w:rFonts w:ascii="Calibri" w:hAnsi="Calibri"/>
          <w:b/>
          <w:color w:val="896F36"/>
          <w:sz w:val="24"/>
        </w:rPr>
        <w:t>B.1  Peer context</w:t>
      </w:r>
    </w:p>
    <w:p>
      <w:pPr>
        <w:spacing w:after="80" w:before="0"/>
      </w:pPr>
      <w:r>
        <w:rPr>
          <w:rFonts w:ascii="Calibri" w:hAnsi="Calibri"/>
          <w:b w:val="0"/>
          <w:i w:val="0"/>
          <w:color w:val="222A28"/>
          <w:sz w:val="19"/>
        </w:rPr>
        <w:t>Aldar is a developer-plus-landlord: a high-velocity UAE development franchise and a diversified recurring-income platform under one listing. The peer set is split by leg.</w:t>
      </w:r>
    </w:p>
    <w:tbl>
      <w:tblPr>
        <w:tblStyle w:val="TableGrid"/>
        <w:tblW w:type="auto" w:w="0"/>
        <w:jc w:val="center"/>
        <w:tblLook w:firstColumn="1" w:firstRow="1" w:lastColumn="0" w:lastRow="0" w:noHBand="0" w:noVBand="1" w:val="04A0"/>
        <w:tblLayout w:type="fixed"/>
      </w:tblPr>
      <w:tblGrid>
        <w:gridCol w:w="3312"/>
        <w:gridCol w:w="3312"/>
        <w:gridCol w:w="3312"/>
      </w:tblGrid>
      <w:tr>
        <w:tc>
          <w:tcPr>
            <w:tcW w:type="dxa" w:w="2304"/>
            <w:shd w:val="clear" w:color="auto" w:fill="1C3A36"/>
          </w:tcPr>
          <w:p>
            <w:pPr>
              <w:spacing w:after="20" w:before="20"/>
            </w:pPr>
            <w:r>
              <w:rPr>
                <w:rFonts w:ascii="Calibri" w:hAnsi="Calibri"/>
                <w:b/>
                <w:color w:val="FFFFFF"/>
                <w:sz w:val="16"/>
              </w:rPr>
              <w:t>Leg</w:t>
            </w:r>
          </w:p>
        </w:tc>
        <w:tc>
          <w:tcPr>
            <w:tcW w:type="dxa" w:w="3888"/>
            <w:shd w:val="clear" w:color="auto" w:fill="1C3A36"/>
          </w:tcPr>
          <w:p>
            <w:pPr>
              <w:spacing w:after="20" w:before="20"/>
            </w:pPr>
            <w:r>
              <w:rPr>
                <w:rFonts w:ascii="Calibri" w:hAnsi="Calibri"/>
                <w:b/>
                <w:color w:val="FFFFFF"/>
                <w:sz w:val="16"/>
              </w:rPr>
              <w:t>Closest peers</w:t>
            </w:r>
          </w:p>
        </w:tc>
        <w:tc>
          <w:tcPr>
            <w:tcW w:type="dxa" w:w="3600"/>
            <w:shd w:val="clear" w:color="auto" w:fill="1C3A36"/>
          </w:tcPr>
          <w:p>
            <w:pPr>
              <w:spacing w:after="20" w:before="20"/>
            </w:pPr>
            <w:r>
              <w:rPr>
                <w:rFonts w:ascii="Calibri" w:hAnsi="Calibri"/>
                <w:b/>
                <w:color w:val="FFFFFF"/>
                <w:sz w:val="16"/>
              </w:rPr>
              <w:t>Typical valuation</w:t>
            </w:r>
          </w:p>
        </w:tc>
      </w:tr>
      <w:tr>
        <w:tc>
          <w:tcPr>
            <w:tcW w:type="dxa" w:w="2304"/>
          </w:tcPr>
          <w:p>
            <w:pPr>
              <w:spacing w:after="20" w:before="20"/>
            </w:pPr>
            <w:r>
              <w:rPr>
                <w:rFonts w:ascii="Calibri" w:hAnsi="Calibri"/>
                <w:color w:val="222A28"/>
                <w:sz w:val="16"/>
              </w:rPr>
              <w:t>Development</w:t>
            </w:r>
          </w:p>
        </w:tc>
        <w:tc>
          <w:tcPr>
            <w:tcW w:type="dxa" w:w="3888"/>
          </w:tcPr>
          <w:p>
            <w:pPr>
              <w:spacing w:after="20" w:before="20"/>
            </w:pPr>
            <w:r>
              <w:rPr>
                <w:rFonts w:ascii="Calibri" w:hAnsi="Calibri"/>
                <w:color w:val="222A28"/>
                <w:sz w:val="16"/>
              </w:rPr>
              <w:t>Emaar Development, DAMAC, Deyaar (DFM)</w:t>
            </w:r>
          </w:p>
        </w:tc>
        <w:tc>
          <w:tcPr>
            <w:tcW w:type="dxa" w:w="3600"/>
          </w:tcPr>
          <w:p>
            <w:pPr>
              <w:spacing w:after="20" w:before="20"/>
            </w:pPr>
            <w:r>
              <w:rPr>
                <w:rFonts w:ascii="Calibri" w:hAnsi="Calibri"/>
                <w:color w:val="222A28"/>
                <w:sz w:val="16"/>
              </w:rPr>
              <w:t>P/E ~6–9×; discount to NAV; cyclical</w:t>
            </w:r>
          </w:p>
        </w:tc>
      </w:tr>
      <w:tr>
        <w:tc>
          <w:tcPr>
            <w:tcW w:type="dxa" w:w="2304"/>
          </w:tcPr>
          <w:p>
            <w:pPr>
              <w:spacing w:after="20" w:before="20"/>
            </w:pPr>
            <w:r>
              <w:rPr>
                <w:rFonts w:ascii="Calibri" w:hAnsi="Calibri"/>
                <w:color w:val="222A28"/>
                <w:sz w:val="16"/>
              </w:rPr>
              <w:t>Recurring / diversified</w:t>
            </w:r>
          </w:p>
        </w:tc>
        <w:tc>
          <w:tcPr>
            <w:tcW w:type="dxa" w:w="3888"/>
          </w:tcPr>
          <w:p>
            <w:pPr>
              <w:spacing w:after="20" w:before="20"/>
            </w:pPr>
            <w:r>
              <w:rPr>
                <w:rFonts w:ascii="Calibri" w:hAnsi="Calibri"/>
                <w:color w:val="222A28"/>
                <w:sz w:val="16"/>
              </w:rPr>
              <w:t>Emaar Properties, TECOM, Aldar Investment peers</w:t>
            </w:r>
          </w:p>
        </w:tc>
        <w:tc>
          <w:tcPr>
            <w:tcW w:type="dxa" w:w="3600"/>
          </w:tcPr>
          <w:p>
            <w:pPr>
              <w:spacing w:after="20" w:before="20"/>
            </w:pPr>
            <w:r>
              <w:rPr>
                <w:rFonts w:ascii="Calibri" w:hAnsi="Calibri"/>
                <w:color w:val="222A28"/>
                <w:sz w:val="16"/>
              </w:rPr>
              <w:t>EV/EBITDA ~7–9×; cap-rate driven</w:t>
            </w:r>
          </w:p>
        </w:tc>
      </w:tr>
      <w:tr>
        <w:tc>
          <w:tcPr>
            <w:tcW w:type="dxa" w:w="2304"/>
          </w:tcPr>
          <w:p>
            <w:pPr>
              <w:spacing w:after="20" w:before="20"/>
            </w:pPr>
            <w:r>
              <w:rPr>
                <w:rFonts w:ascii="Calibri" w:hAnsi="Calibri"/>
                <w:color w:val="222A28"/>
                <w:sz w:val="16"/>
              </w:rPr>
              <w:t>The blend (Aldar)</w:t>
            </w:r>
          </w:p>
        </w:tc>
        <w:tc>
          <w:tcPr>
            <w:tcW w:type="dxa" w:w="3888"/>
          </w:tcPr>
          <w:p>
            <w:pPr>
              <w:spacing w:after="20" w:before="20"/>
            </w:pPr>
            <w:r>
              <w:rPr>
                <w:rFonts w:ascii="Calibri" w:hAnsi="Calibri"/>
                <w:color w:val="222A28"/>
                <w:sz w:val="16"/>
              </w:rPr>
              <w:t>No clean single comparable</w:t>
            </w:r>
          </w:p>
        </w:tc>
        <w:tc>
          <w:tcPr>
            <w:tcW w:type="dxa" w:w="3600"/>
          </w:tcPr>
          <w:p>
            <w:pPr>
              <w:spacing w:after="20" w:before="20"/>
            </w:pPr>
            <w:r>
              <w:rPr>
                <w:rFonts w:ascii="Calibri" w:hAnsi="Calibri"/>
                <w:color w:val="222A28"/>
                <w:sz w:val="16"/>
              </w:rPr>
              <w:t>P/E ~8.6×; ~18% discount to split-legs RNAV</w:t>
            </w:r>
          </w:p>
        </w:tc>
      </w:tr>
    </w:tbl>
    <w:p>
      <w:pPr>
        <w:spacing w:after="40"/>
      </w:pPr>
    </w:p>
    <w:p>
      <w:pPr>
        <w:spacing w:after="80" w:before="0"/>
      </w:pPr>
      <w:r>
        <w:rPr>
          <w:rFonts w:ascii="Calibri" w:hAnsi="Calibri"/>
          <w:b w:val="0"/>
          <w:i/>
          <w:color w:val="5B6B67"/>
          <w:sz w:val="16"/>
        </w:rPr>
        <w:t>Analyst context: sell-side price targets AED 11.0–12.2 (FCFF DCF, WACC ~8%, Ke ~9% = rf 4.8% + ERP 4.4%); a conservative independent DCF marks ~AED 7.2. Aldar at AED 8.30 sits between the two. Indicative; verify live before use.</w:t>
      </w:r>
    </w:p>
    <w:p>
      <w:pPr>
        <w:spacing w:before="200" w:after="80"/>
      </w:pPr>
      <w:r>
        <w:rPr>
          <w:rFonts w:ascii="Calibri" w:hAnsi="Calibri"/>
          <w:b/>
          <w:color w:val="896F36"/>
          <w:sz w:val="24"/>
        </w:rPr>
        <w:t>B.2  Key investment risks</w:t>
      </w:r>
    </w:p>
    <w:tbl>
      <w:tblPr>
        <w:tblStyle w:val="TableGrid"/>
        <w:tblW w:type="auto" w:w="0"/>
        <w:jc w:val="center"/>
        <w:tblLook w:firstColumn="1" w:firstRow="1" w:lastColumn="0" w:lastRow="0" w:noHBand="0" w:noVBand="1" w:val="04A0"/>
        <w:tblLayout w:type="fixed"/>
      </w:tblPr>
      <w:tblGrid>
        <w:gridCol w:w="3312"/>
        <w:gridCol w:w="3312"/>
        <w:gridCol w:w="3312"/>
      </w:tblGrid>
      <w:tr>
        <w:tc>
          <w:tcPr>
            <w:tcW w:type="dxa" w:w="1440"/>
            <w:shd w:val="clear" w:color="auto" w:fill="1C3A36"/>
          </w:tcPr>
          <w:p>
            <w:pPr>
              <w:spacing w:after="20" w:before="20"/>
            </w:pPr>
            <w:r>
              <w:rPr>
                <w:rFonts w:ascii="Calibri" w:hAnsi="Calibri"/>
                <w:b/>
                <w:color w:val="FFFFFF"/>
                <w:sz w:val="16"/>
              </w:rPr>
              <w:t>Direction</w:t>
            </w:r>
          </w:p>
        </w:tc>
        <w:tc>
          <w:tcPr>
            <w:tcW w:type="dxa" w:w="2880"/>
            <w:shd w:val="clear" w:color="auto" w:fill="1C3A36"/>
          </w:tcPr>
          <w:p>
            <w:pPr>
              <w:spacing w:after="20" w:before="20"/>
            </w:pPr>
            <w:r>
              <w:rPr>
                <w:rFonts w:ascii="Calibri" w:hAnsi="Calibri"/>
                <w:b/>
                <w:color w:val="FFFFFF"/>
                <w:sz w:val="16"/>
              </w:rPr>
              <w:t>Risk</w:t>
            </w:r>
          </w:p>
        </w:tc>
        <w:tc>
          <w:tcPr>
            <w:tcW w:type="dxa" w:w="5472"/>
            <w:shd w:val="clear" w:color="auto" w:fill="1C3A36"/>
          </w:tcPr>
          <w:p>
            <w:pPr>
              <w:spacing w:after="20" w:before="20"/>
            </w:pPr>
            <w:r>
              <w:rPr>
                <w:rFonts w:ascii="Calibri" w:hAnsi="Calibri"/>
                <w:b/>
                <w:color w:val="FFFFFF"/>
                <w:sz w:val="16"/>
              </w:rPr>
              <w:t>Description</w:t>
            </w:r>
          </w:p>
        </w:tc>
      </w:tr>
      <w:tr>
        <w:tc>
          <w:tcPr>
            <w:tcW w:type="dxa" w:w="1440"/>
          </w:tcPr>
          <w:p>
            <w:pPr>
              <w:spacing w:after="20" w:before="20"/>
            </w:pPr>
            <w:r>
              <w:rPr>
                <w:rFonts w:ascii="Calibri" w:hAnsi="Calibri"/>
                <w:color w:val="222A28"/>
                <w:sz w:val="16"/>
              </w:rPr>
              <w:t>Upside</w:t>
            </w:r>
          </w:p>
        </w:tc>
        <w:tc>
          <w:tcPr>
            <w:tcW w:type="dxa" w:w="2880"/>
          </w:tcPr>
          <w:p>
            <w:pPr>
              <w:spacing w:after="20" w:before="20"/>
            </w:pPr>
            <w:r>
              <w:rPr>
                <w:rFonts w:ascii="Calibri" w:hAnsi="Calibri"/>
                <w:color w:val="222A28"/>
                <w:sz w:val="16"/>
              </w:rPr>
              <w:t>Development-franchise re-rating</w:t>
            </w:r>
          </w:p>
        </w:tc>
        <w:tc>
          <w:tcPr>
            <w:tcW w:type="dxa" w:w="5472"/>
          </w:tcPr>
          <w:p>
            <w:pPr>
              <w:spacing w:after="20" w:before="20"/>
            </w:pPr>
            <w:r>
              <w:rPr>
                <w:rFonts w:ascii="Calibri" w:hAnsi="Calibri"/>
                <w:color w:val="222A28"/>
                <w:sz w:val="16"/>
              </w:rPr>
              <w:t>Market credits more of the replenishing landbank (AED 61bn GDV added in Q1 2026) beyond current backlog.</w:t>
            </w:r>
          </w:p>
        </w:tc>
      </w:tr>
      <w:tr>
        <w:tc>
          <w:tcPr>
            <w:tcW w:type="dxa" w:w="1440"/>
          </w:tcPr>
          <w:p>
            <w:pPr>
              <w:spacing w:after="20" w:before="20"/>
            </w:pPr>
            <w:r>
              <w:rPr>
                <w:rFonts w:ascii="Calibri" w:hAnsi="Calibri"/>
                <w:color w:val="222A28"/>
                <w:sz w:val="16"/>
              </w:rPr>
              <w:t>Upside</w:t>
            </w:r>
          </w:p>
        </w:tc>
        <w:tc>
          <w:tcPr>
            <w:tcW w:type="dxa" w:w="2880"/>
          </w:tcPr>
          <w:p>
            <w:pPr>
              <w:spacing w:after="20" w:before="20"/>
            </w:pPr>
            <w:r>
              <w:rPr>
                <w:rFonts w:ascii="Calibri" w:hAnsi="Calibri"/>
                <w:color w:val="222A28"/>
                <w:sz w:val="16"/>
              </w:rPr>
              <w:t>Recurring re-rating / cap-rate compression</w:t>
            </w:r>
          </w:p>
        </w:tc>
        <w:tc>
          <w:tcPr>
            <w:tcW w:type="dxa" w:w="5472"/>
          </w:tcPr>
          <w:p>
            <w:pPr>
              <w:spacing w:after="20" w:before="20"/>
            </w:pPr>
            <w:r>
              <w:rPr>
                <w:rFonts w:ascii="Calibri" w:hAnsi="Calibri"/>
                <w:color w:val="222A28"/>
                <w:sz w:val="16"/>
              </w:rPr>
              <w:t>The ~AED 52bn platform re-rates as occupancy and rents rise or yields compress (~AED 0.25/share per 25bp).</w:t>
            </w:r>
          </w:p>
        </w:tc>
      </w:tr>
      <w:tr>
        <w:tc>
          <w:tcPr>
            <w:tcW w:type="dxa" w:w="1440"/>
          </w:tcPr>
          <w:p>
            <w:pPr>
              <w:spacing w:after="20" w:before="20"/>
            </w:pPr>
            <w:r>
              <w:rPr>
                <w:rFonts w:ascii="Calibri" w:hAnsi="Calibri"/>
                <w:color w:val="222A28"/>
                <w:sz w:val="16"/>
              </w:rPr>
              <w:t>Upside</w:t>
            </w:r>
          </w:p>
        </w:tc>
        <w:tc>
          <w:tcPr>
            <w:tcW w:type="dxa" w:w="2880"/>
          </w:tcPr>
          <w:p>
            <w:pPr>
              <w:spacing w:after="20" w:before="20"/>
            </w:pPr>
            <w:r>
              <w:rPr>
                <w:rFonts w:ascii="Calibri" w:hAnsi="Calibri"/>
                <w:color w:val="222A28"/>
                <w:sz w:val="16"/>
              </w:rPr>
              <w:t>Launch execution &amp; record sales</w:t>
            </w:r>
          </w:p>
        </w:tc>
        <w:tc>
          <w:tcPr>
            <w:tcW w:type="dxa" w:w="5472"/>
          </w:tcPr>
          <w:p>
            <w:pPr>
              <w:spacing w:after="20" w:before="20"/>
            </w:pPr>
            <w:r>
              <w:rPr>
                <w:rFonts w:ascii="Calibri" w:hAnsi="Calibri"/>
                <w:color w:val="222A28"/>
                <w:sz w:val="16"/>
              </w:rPr>
              <w:t>New AD/Dubai master-plans absorb well (event p = 55%), extending the backlog.</w:t>
            </w:r>
          </w:p>
        </w:tc>
      </w:tr>
      <w:tr>
        <w:tc>
          <w:tcPr>
            <w:tcW w:type="dxa" w:w="1440"/>
          </w:tcPr>
          <w:p>
            <w:pPr>
              <w:spacing w:after="20" w:before="20"/>
            </w:pPr>
            <w:r>
              <w:rPr>
                <w:rFonts w:ascii="Calibri" w:hAnsi="Calibri"/>
                <w:color w:val="222A28"/>
                <w:sz w:val="16"/>
              </w:rPr>
              <w:t>Downside</w:t>
            </w:r>
          </w:p>
        </w:tc>
        <w:tc>
          <w:tcPr>
            <w:tcW w:type="dxa" w:w="2880"/>
          </w:tcPr>
          <w:p>
            <w:pPr>
              <w:spacing w:after="20" w:before="20"/>
            </w:pPr>
            <w:r>
              <w:rPr>
                <w:rFonts w:ascii="Calibri" w:hAnsi="Calibri"/>
                <w:color w:val="222A28"/>
                <w:sz w:val="16"/>
              </w:rPr>
              <w:t>UAE property cyclical turn</w:t>
            </w:r>
          </w:p>
        </w:tc>
        <w:tc>
          <w:tcPr>
            <w:tcW w:type="dxa" w:w="5472"/>
          </w:tcPr>
          <w:p>
            <w:pPr>
              <w:spacing w:after="20" w:before="20"/>
            </w:pPr>
            <w:r>
              <w:rPr>
                <w:rFonts w:ascii="Calibri" w:hAnsi="Calibri"/>
                <w:color w:val="222A28"/>
                <w:sz w:val="16"/>
              </w:rPr>
              <w:t>Off-plan demand cools, payment terms extend, sales pace steps down (Q1 2026 sales −25% YoY).</w:t>
            </w:r>
          </w:p>
        </w:tc>
      </w:tr>
      <w:tr>
        <w:tc>
          <w:tcPr>
            <w:tcW w:type="dxa" w:w="1440"/>
          </w:tcPr>
          <w:p>
            <w:pPr>
              <w:spacing w:after="20" w:before="20"/>
            </w:pPr>
            <w:r>
              <w:rPr>
                <w:rFonts w:ascii="Calibri" w:hAnsi="Calibri"/>
                <w:color w:val="222A28"/>
                <w:sz w:val="16"/>
              </w:rPr>
              <w:t>Downside</w:t>
            </w:r>
          </w:p>
        </w:tc>
        <w:tc>
          <w:tcPr>
            <w:tcW w:type="dxa" w:w="2880"/>
          </w:tcPr>
          <w:p>
            <w:pPr>
              <w:spacing w:after="20" w:before="20"/>
            </w:pPr>
            <w:r>
              <w:rPr>
                <w:rFonts w:ascii="Calibri" w:hAnsi="Calibri"/>
                <w:color w:val="222A28"/>
                <w:sz w:val="16"/>
              </w:rPr>
              <w:t>Regional security shock</w:t>
            </w:r>
          </w:p>
        </w:tc>
        <w:tc>
          <w:tcPr>
            <w:tcW w:type="dxa" w:w="5472"/>
          </w:tcPr>
          <w:p>
            <w:pPr>
              <w:spacing w:after="20" w:before="20"/>
            </w:pPr>
            <w:r>
              <w:rPr>
                <w:rFonts w:ascii="Calibri" w:hAnsi="Calibri"/>
                <w:color w:val="222A28"/>
                <w:sz w:val="16"/>
              </w:rPr>
              <w:t>A Hormuz-type escalation re-prices the risk premium (the left-tail event, p = 35%).</w:t>
            </w:r>
          </w:p>
        </w:tc>
      </w:tr>
      <w:tr>
        <w:tc>
          <w:tcPr>
            <w:tcW w:type="dxa" w:w="1440"/>
          </w:tcPr>
          <w:p>
            <w:pPr>
              <w:spacing w:after="20" w:before="20"/>
            </w:pPr>
            <w:r>
              <w:rPr>
                <w:rFonts w:ascii="Calibri" w:hAnsi="Calibri"/>
                <w:color w:val="222A28"/>
                <w:sz w:val="16"/>
              </w:rPr>
              <w:t>Downside</w:t>
            </w:r>
          </w:p>
        </w:tc>
        <w:tc>
          <w:tcPr>
            <w:tcW w:type="dxa" w:w="2880"/>
          </w:tcPr>
          <w:p>
            <w:pPr>
              <w:spacing w:after="20" w:before="20"/>
            </w:pPr>
            <w:r>
              <w:rPr>
                <w:rFonts w:ascii="Calibri" w:hAnsi="Calibri"/>
                <w:color w:val="222A28"/>
                <w:sz w:val="16"/>
              </w:rPr>
              <w:t>Rate path / peg</w:t>
            </w:r>
          </w:p>
        </w:tc>
        <w:tc>
          <w:tcPr>
            <w:tcW w:type="dxa" w:w="5472"/>
          </w:tcPr>
          <w:p>
            <w:pPr>
              <w:spacing w:after="20" w:before="20"/>
            </w:pPr>
            <w:r>
              <w:rPr>
                <w:rFonts w:ascii="Calibri" w:hAnsi="Calibri"/>
                <w:color w:val="222A28"/>
                <w:sz w:val="16"/>
              </w:rPr>
              <w:t>Higher-for-longer US rates (imported via the peg) pressure demand and the recurring cap rate.</w:t>
            </w:r>
          </w:p>
        </w:tc>
      </w:tr>
      <w:tr>
        <w:tc>
          <w:tcPr>
            <w:tcW w:type="dxa" w:w="1440"/>
          </w:tcPr>
          <w:p>
            <w:pPr>
              <w:spacing w:after="20" w:before="20"/>
            </w:pPr>
            <w:r>
              <w:rPr>
                <w:rFonts w:ascii="Calibri" w:hAnsi="Calibri"/>
                <w:color w:val="222A28"/>
                <w:sz w:val="16"/>
              </w:rPr>
              <w:t>Downside</w:t>
            </w:r>
          </w:p>
        </w:tc>
        <w:tc>
          <w:tcPr>
            <w:tcW w:type="dxa" w:w="2880"/>
          </w:tcPr>
          <w:p>
            <w:pPr>
              <w:spacing w:after="20" w:before="20"/>
            </w:pPr>
            <w:r>
              <w:rPr>
                <w:rFonts w:ascii="Calibri" w:hAnsi="Calibri"/>
                <w:color w:val="222A28"/>
                <w:sz w:val="16"/>
              </w:rPr>
              <w:t>Mark &amp; structure risk</w:t>
            </w:r>
          </w:p>
        </w:tc>
        <w:tc>
          <w:tcPr>
            <w:tcW w:type="dxa" w:w="5472"/>
          </w:tcPr>
          <w:p>
            <w:pPr>
              <w:spacing w:after="20" w:before="20"/>
            </w:pPr>
            <w:r>
              <w:rPr>
                <w:rFonts w:ascii="Calibri" w:hAnsi="Calibri"/>
                <w:color w:val="222A28"/>
                <w:sz w:val="16"/>
              </w:rPr>
              <w:t>The recurring GAV is a management mark; hybrids and minorities rank ahead of ordinary equity.</w:t>
            </w:r>
          </w:p>
        </w:tc>
      </w:tr>
    </w:tbl>
    <w:p>
      <w:pPr>
        <w:spacing w:after="40"/>
      </w:pPr>
    </w:p>
    <w:p>
      <w:pPr>
        <w:spacing w:before="280" w:after="120"/>
        <w:pBdr>
          <w:bottom w:val="single" w:sz="6" w:space="2" w:color="C0A45F"/>
        </w:pBdr>
      </w:pPr>
      <w:r>
        <w:rPr>
          <w:rFonts w:ascii="Calibri" w:hAnsi="Calibri"/>
          <w:b/>
          <w:color w:val="1C3A36"/>
          <w:sz w:val="30"/>
        </w:rPr>
        <w:t>Appendix C  The expert valuation panel</w:t>
      </w:r>
    </w:p>
    <w:p>
      <w:pPr>
        <w:spacing w:after="120" w:before="0"/>
      </w:pPr>
      <w:r>
        <w:rPr>
          <w:rFonts w:ascii="Calibri" w:hAnsi="Calibri"/>
          <w:b w:val="0"/>
          <w:i w:val="0"/>
          <w:color w:val="222A28"/>
          <w:sz w:val="20"/>
        </w:rPr>
        <w:t xml:space="preserve">Every Testahil study closes with a panel of standing expert personas — drawn from the house Expert Persona Library, not invented for the occasion, so that each accumulates a track record across studies and a quarterly update is a re-run, not a re-training. For a mixed real-estate developer we cast the three whose methods both fit a developer-plus-landlord and genuinely disagree: </w:t>
      </w:r>
      <w:r>
        <w:rPr>
          <w:rFonts w:ascii="Calibri" w:hAnsi="Calibri"/>
          <w:b/>
          <w:i w:val="0"/>
          <w:color w:val="222A28"/>
          <w:sz w:val="20"/>
        </w:rPr>
        <w:t>Expert 1</w:t>
      </w:r>
      <w:r>
        <w:rPr>
          <w:rFonts w:ascii="Calibri" w:hAnsi="Calibri"/>
          <w:b w:val="0"/>
          <w:i w:val="0"/>
          <w:color w:val="222A28"/>
          <w:sz w:val="20"/>
        </w:rPr>
        <w:t xml:space="preserve"> (RNAV at realizable value and earnings quality — the Accountant), </w:t>
      </w:r>
      <w:r>
        <w:rPr>
          <w:rFonts w:ascii="Calibri" w:hAnsi="Calibri"/>
          <w:b/>
          <w:i w:val="0"/>
          <w:color w:val="222A28"/>
          <w:sz w:val="20"/>
        </w:rPr>
        <w:t>Expert 2</w:t>
      </w:r>
      <w:r>
        <w:rPr>
          <w:rFonts w:ascii="Calibri" w:hAnsi="Calibri"/>
          <w:b w:val="0"/>
          <w:i w:val="0"/>
          <w:color w:val="222A28"/>
          <w:sz w:val="20"/>
        </w:rPr>
        <w:t xml:space="preserve"> (absorption-driven DCF and sales velocity — the Demand analyst), and </w:t>
      </w:r>
      <w:r>
        <w:rPr>
          <w:rFonts w:ascii="Calibri" w:hAnsi="Calibri"/>
          <w:b/>
          <w:i w:val="0"/>
          <w:color w:val="222A28"/>
          <w:sz w:val="20"/>
        </w:rPr>
        <w:t>Expert 3</w:t>
      </w:r>
      <w:r>
        <w:rPr>
          <w:rFonts w:ascii="Calibri" w:hAnsi="Calibri"/>
          <w:b w:val="0"/>
          <w:i w:val="0"/>
          <w:color w:val="222A28"/>
          <w:sz w:val="20"/>
        </w:rPr>
        <w:t xml:space="preserve"> (scenario-weighted real-options on policy and macro — the Macro-Policy strategist). Each runs a different method, derives its fair value from shown workings, and states a falsification condition.</w:t>
      </w:r>
    </w:p>
    <w:p>
      <w:pPr>
        <w:spacing w:before="200" w:after="80"/>
      </w:pPr>
      <w:r>
        <w:rPr>
          <w:rFonts w:ascii="Calibri" w:hAnsi="Calibri"/>
          <w:b/>
          <w:color w:val="896F36"/>
          <w:sz w:val="24"/>
        </w:rPr>
        <w:t>C.1  Expert 1 — RNAV at realizable value and earnings quality</w:t>
      </w:r>
    </w:p>
    <w:p>
      <w:pPr>
        <w:spacing w:after="60" w:before="0"/>
      </w:pPr>
      <w:r>
        <w:rPr>
          <w:rFonts w:ascii="Calibri" w:hAnsi="Calibri"/>
          <w:b/>
          <w:i w:val="0"/>
          <w:color w:val="222A28"/>
          <w:sz w:val="20"/>
        </w:rPr>
        <w:t xml:space="preserve">Worldview. </w:t>
      </w:r>
      <w:r>
        <w:rPr>
          <w:rFonts w:ascii="Calibri" w:hAnsi="Calibri"/>
          <w:b w:val="0"/>
          <w:i w:val="0"/>
          <w:color w:val="222A28"/>
          <w:sz w:val="20"/>
        </w:rPr>
        <w:t>A business is worth what its assets realize net of every claim, and reported profit is trusted only as it converts to cash. He marks the recurring platform conservatively, tests whether development profit is real cash or a booking, and subtracts all senior claims — debt, hybrids and minorities — before he counts a dirham for ordinary holders.</w:t>
      </w:r>
    </w:p>
    <w:p>
      <w:pPr>
        <w:spacing w:after="60" w:before="0"/>
      </w:pPr>
      <w:r>
        <w:rPr>
          <w:rFonts w:ascii="Calibri" w:hAnsi="Calibri"/>
          <w:b/>
          <w:i w:val="0"/>
          <w:color w:val="222A28"/>
          <w:sz w:val="20"/>
        </w:rPr>
        <w:t xml:space="preserve">When it works / fails. </w:t>
      </w:r>
      <w:r>
        <w:rPr>
          <w:rFonts w:ascii="Calibri" w:hAnsi="Calibri"/>
          <w:b w:val="0"/>
          <w:i w:val="0"/>
          <w:color w:val="222A28"/>
          <w:sz w:val="20"/>
        </w:rPr>
        <w:t>Best where value rests on markable assets and a wrapper of claims sits between them and the shareholder — exactly Aldar. It fails by systematically undervaluing a genuine compounding franchise, which is why he treats the development leg conservatively and lets Expert 2 argue the franchise.</w:t>
      </w:r>
    </w:p>
    <w:p>
      <w:pPr>
        <w:spacing w:after="60" w:before="0"/>
      </w:pPr>
      <w:r>
        <w:rPr>
          <w:rFonts w:ascii="Calibri" w:hAnsi="Calibri"/>
          <w:b/>
          <w:i w:val="0"/>
          <w:color w:val="222A28"/>
          <w:sz w:val="20"/>
        </w:rPr>
        <w:t xml:space="preserve">Standard workings &amp; worked example. </w:t>
      </w:r>
      <w:r>
        <w:rPr>
          <w:rFonts w:ascii="Calibri" w:hAnsi="Calibri"/>
          <w:b w:val="0"/>
          <w:i w:val="0"/>
          <w:color w:val="222A28"/>
          <w:sz w:val="20"/>
        </w:rPr>
        <w:t>Mark the recurring platform at a market cap-rate GAV with a small marketability haircut; value the development leg at a conservative realizable multiple of near-term cash; deduct net debt, hybrids and NCI; apply a cash-conversion overlay.</w:t>
      </w:r>
    </w:p>
    <w:tbl>
      <w:tblPr>
        <w:tblStyle w:val="TableGrid"/>
        <w:tblW w:type="auto" w:w="0"/>
        <w:jc w:val="center"/>
        <w:tblLook w:firstColumn="1" w:firstRow="1" w:lastColumn="0" w:lastRow="0" w:noHBand="0" w:noVBand="1" w:val="04A0"/>
        <w:tblLayout w:type="fixed"/>
      </w:tblPr>
      <w:tblGrid>
        <w:gridCol w:w="4968"/>
        <w:gridCol w:w="4968"/>
      </w:tblGrid>
      <w:tr>
        <w:tc>
          <w:tcPr>
            <w:tcW w:type="dxa" w:w="6048"/>
            <w:shd w:val="clear" w:color="auto" w:fill="1C3A36"/>
          </w:tcPr>
          <w:p>
            <w:pPr>
              <w:spacing w:after="20" w:before="20"/>
            </w:pPr>
            <w:r>
              <w:rPr>
                <w:rFonts w:ascii="Calibri" w:hAnsi="Calibri"/>
                <w:b/>
                <w:color w:val="FFFFFF"/>
                <w:sz w:val="16"/>
              </w:rPr>
              <w:t>Expert 1's marks (AED bn)</w:t>
            </w:r>
          </w:p>
        </w:tc>
        <w:tc>
          <w:tcPr>
            <w:tcW w:type="dxa" w:w="2016"/>
            <w:shd w:val="clear" w:color="auto" w:fill="1C3A36"/>
          </w:tcPr>
          <w:p>
            <w:pPr>
              <w:spacing w:after="20" w:before="20"/>
              <w:jc w:val="right"/>
            </w:pPr>
            <w:r>
              <w:rPr>
                <w:rFonts w:ascii="Calibri" w:hAnsi="Calibri"/>
                <w:b/>
                <w:color w:val="FFFFFF"/>
                <w:sz w:val="16"/>
              </w:rPr>
              <w:t>Value</w:t>
            </w:r>
          </w:p>
        </w:tc>
      </w:tr>
      <w:tr>
        <w:tc>
          <w:tcPr>
            <w:tcW w:type="dxa" w:w="6048"/>
          </w:tcPr>
          <w:p>
            <w:pPr>
              <w:spacing w:after="20" w:before="20"/>
            </w:pPr>
            <w:r>
              <w:rPr>
                <w:rFonts w:ascii="Calibri" w:hAnsi="Calibri"/>
                <w:color w:val="222A28"/>
                <w:sz w:val="16"/>
              </w:rPr>
              <w:t>Recurring platform GAV (5% haircut on AED 52bn)</w:t>
            </w:r>
          </w:p>
        </w:tc>
        <w:tc>
          <w:tcPr>
            <w:tcW w:type="dxa" w:w="2016"/>
          </w:tcPr>
          <w:p>
            <w:pPr>
              <w:spacing w:after="20" w:before="20"/>
              <w:jc w:val="right"/>
            </w:pPr>
            <w:r>
              <w:rPr>
                <w:rFonts w:ascii="Calibri" w:hAnsi="Calibri"/>
                <w:color w:val="222A28"/>
                <w:sz w:val="16"/>
              </w:rPr>
              <w:t>49.4</w:t>
            </w:r>
          </w:p>
        </w:tc>
      </w:tr>
      <w:tr>
        <w:tc>
          <w:tcPr>
            <w:tcW w:type="dxa" w:w="6048"/>
          </w:tcPr>
          <w:p>
            <w:pPr>
              <w:spacing w:after="20" w:before="20"/>
            </w:pPr>
            <w:r>
              <w:rPr>
                <w:rFonts w:ascii="Calibri" w:hAnsi="Calibri"/>
                <w:color w:val="222A28"/>
                <w:sz w:val="16"/>
              </w:rPr>
              <w:t>Development leg (realizable, ~4.5× near-term cash)</w:t>
            </w:r>
          </w:p>
        </w:tc>
        <w:tc>
          <w:tcPr>
            <w:tcW w:type="dxa" w:w="2016"/>
          </w:tcPr>
          <w:p>
            <w:pPr>
              <w:spacing w:after="20" w:before="20"/>
              <w:jc w:val="right"/>
            </w:pPr>
            <w:r>
              <w:rPr>
                <w:rFonts w:ascii="Calibri" w:hAnsi="Calibri"/>
                <w:color w:val="222A28"/>
                <w:sz w:val="16"/>
              </w:rPr>
              <w:t>33.0</w:t>
            </w:r>
          </w:p>
        </w:tc>
      </w:tr>
      <w:tr>
        <w:tc>
          <w:tcPr>
            <w:tcW w:type="dxa" w:w="6048"/>
            <w:shd w:val="clear" w:color="auto" w:fill="E7EDEB"/>
          </w:tcPr>
          <w:p>
            <w:pPr>
              <w:spacing w:after="20" w:before="20"/>
            </w:pPr>
            <w:r>
              <w:rPr>
                <w:rFonts w:ascii="Calibri" w:hAnsi="Calibri"/>
                <w:b/>
                <w:color w:val="1C3A36"/>
                <w:sz w:val="16"/>
              </w:rPr>
              <w:t>Gross asset value</w:t>
            </w:r>
          </w:p>
        </w:tc>
        <w:tc>
          <w:tcPr>
            <w:tcW w:type="dxa" w:w="2016"/>
            <w:shd w:val="clear" w:color="auto" w:fill="E7EDEB"/>
          </w:tcPr>
          <w:p>
            <w:pPr>
              <w:spacing w:after="20" w:before="20"/>
              <w:jc w:val="right"/>
            </w:pPr>
            <w:r>
              <w:rPr>
                <w:rFonts w:ascii="Calibri" w:hAnsi="Calibri"/>
                <w:b/>
                <w:color w:val="1C3A36"/>
                <w:sz w:val="16"/>
              </w:rPr>
              <w:t>82.4</w:t>
            </w:r>
          </w:p>
        </w:tc>
      </w:tr>
      <w:tr>
        <w:tc>
          <w:tcPr>
            <w:tcW w:type="dxa" w:w="6048"/>
          </w:tcPr>
          <w:p>
            <w:pPr>
              <w:spacing w:after="20" w:before="20"/>
            </w:pPr>
            <w:r>
              <w:rPr>
                <w:rFonts w:ascii="Calibri" w:hAnsi="Calibri"/>
                <w:color w:val="222A28"/>
                <w:sz w:val="16"/>
              </w:rPr>
              <w:t>less: net debt (incl. hybrids)</w:t>
            </w:r>
          </w:p>
        </w:tc>
        <w:tc>
          <w:tcPr>
            <w:tcW w:type="dxa" w:w="2016"/>
          </w:tcPr>
          <w:p>
            <w:pPr>
              <w:spacing w:after="20" w:before="20"/>
              <w:jc w:val="right"/>
            </w:pPr>
            <w:r>
              <w:rPr>
                <w:rFonts w:ascii="Calibri" w:hAnsi="Calibri"/>
                <w:color w:val="222A28"/>
                <w:sz w:val="16"/>
              </w:rPr>
              <w:t>(5.5)</w:t>
            </w:r>
          </w:p>
        </w:tc>
      </w:tr>
      <w:tr>
        <w:tc>
          <w:tcPr>
            <w:tcW w:type="dxa" w:w="6048"/>
          </w:tcPr>
          <w:p>
            <w:pPr>
              <w:spacing w:after="20" w:before="20"/>
            </w:pPr>
            <w:r>
              <w:rPr>
                <w:rFonts w:ascii="Calibri" w:hAnsi="Calibri"/>
                <w:color w:val="222A28"/>
                <w:sz w:val="16"/>
              </w:rPr>
              <w:t>less: non-controlling interests</w:t>
            </w:r>
          </w:p>
        </w:tc>
        <w:tc>
          <w:tcPr>
            <w:tcW w:type="dxa" w:w="2016"/>
          </w:tcPr>
          <w:p>
            <w:pPr>
              <w:spacing w:after="20" w:before="20"/>
              <w:jc w:val="right"/>
            </w:pPr>
            <w:r>
              <w:rPr>
                <w:rFonts w:ascii="Calibri" w:hAnsi="Calibri"/>
                <w:color w:val="222A28"/>
                <w:sz w:val="16"/>
              </w:rPr>
              <w:t>(3.0)</w:t>
            </w:r>
          </w:p>
        </w:tc>
      </w:tr>
      <w:tr>
        <w:tc>
          <w:tcPr>
            <w:tcW w:type="dxa" w:w="6048"/>
            <w:shd w:val="clear" w:color="auto" w:fill="E7EDEB"/>
          </w:tcPr>
          <w:p>
            <w:pPr>
              <w:spacing w:after="20" w:before="20"/>
            </w:pPr>
            <w:r>
              <w:rPr>
                <w:rFonts w:ascii="Calibri" w:hAnsi="Calibri"/>
                <w:b/>
                <w:color w:val="1C3A36"/>
                <w:sz w:val="16"/>
              </w:rPr>
              <w:t>Equity value → AED 9.2 / share</w:t>
            </w:r>
          </w:p>
        </w:tc>
        <w:tc>
          <w:tcPr>
            <w:tcW w:type="dxa" w:w="2016"/>
            <w:shd w:val="clear" w:color="auto" w:fill="E7EDEB"/>
          </w:tcPr>
          <w:p>
            <w:pPr>
              <w:spacing w:after="20" w:before="20"/>
              <w:jc w:val="right"/>
            </w:pPr>
            <w:r>
              <w:rPr>
                <w:rFonts w:ascii="Calibri" w:hAnsi="Calibri"/>
                <w:b/>
                <w:color w:val="1C3A36"/>
                <w:sz w:val="16"/>
              </w:rPr>
              <w:t>73.9</w:t>
            </w:r>
          </w:p>
        </w:tc>
      </w:tr>
    </w:tbl>
    <w:p>
      <w:pPr>
        <w:spacing w:after="40"/>
      </w:pPr>
    </w:p>
    <w:p>
      <w:pPr>
        <w:spacing w:after="60" w:before="0"/>
      </w:pPr>
      <w:r>
        <w:rPr>
          <w:rFonts w:ascii="Calibri" w:hAnsi="Calibri"/>
          <w:b/>
          <w:i w:val="0"/>
          <w:color w:val="222A28"/>
          <w:sz w:val="20"/>
        </w:rPr>
        <w:t xml:space="preserve">Sensitivity (swing = the recurring haircut and development multiple). </w:t>
      </w:r>
      <w:r>
        <w:rPr>
          <w:rFonts w:ascii="Calibri" w:hAnsi="Calibri"/>
          <w:b w:val="0"/>
          <w:i w:val="0"/>
          <w:color w:val="222A28"/>
          <w:sz w:val="20"/>
        </w:rPr>
        <w:t xml:space="preserve">At no haircut and ~5× development, AED 10.4; at a 10% haircut and ~4× development, AED 8.0. </w:t>
      </w:r>
      <w:r>
        <w:rPr>
          <w:rFonts w:ascii="Calibri" w:hAnsi="Calibri"/>
          <w:b/>
          <w:i w:val="0"/>
          <w:color w:val="222A28"/>
          <w:sz w:val="20"/>
        </w:rPr>
        <w:t xml:space="preserve">Cross-examination. </w:t>
      </w:r>
      <w:r>
        <w:rPr>
          <w:rFonts w:ascii="Calibri" w:hAnsi="Calibri"/>
          <w:b w:val="0"/>
          <w:i w:val="0"/>
          <w:color w:val="222A28"/>
          <w:sz w:val="20"/>
        </w:rPr>
        <w:t>He tells Expert 2 that capitalising record sales velocity into perpetuity double-counts land that will have to be re-bought; he tells Expert 3 that scenario trees dignify guesses about policy that the balance sheet already discounts.</w:t>
      </w:r>
    </w:p>
    <w:p>
      <w:pPr>
        <w:spacing w:after="120" w:before="0"/>
      </w:pPr>
      <w:r>
        <w:rPr>
          <w:rFonts w:ascii="Calibri" w:hAnsi="Calibri"/>
          <w:b/>
          <w:i w:val="0"/>
          <w:color w:val="1C3A36"/>
          <w:sz w:val="20"/>
        </w:rPr>
        <w:t xml:space="preserve">Verdict, falsification, market-implied. </w:t>
      </w:r>
      <w:r>
        <w:rPr>
          <w:rFonts w:ascii="Calibri" w:hAnsi="Calibri"/>
          <w:b/>
          <w:i w:val="0"/>
          <w:color w:val="222A28"/>
          <w:sz w:val="20"/>
        </w:rPr>
        <w:t xml:space="preserve">Fair AED 9.2 (range 7.2–11.3). </w:t>
      </w:r>
      <w:r>
        <w:rPr>
          <w:rFonts w:ascii="Calibri" w:hAnsi="Calibri"/>
          <w:b w:val="0"/>
          <w:i w:val="0"/>
          <w:color w:val="222A28"/>
          <w:sz w:val="20"/>
        </w:rPr>
        <w:t>Falsified if the recurring mark proves soft (an independent revaluation down) or development cash conversion durably disappoints. The market price implies a ~10% discount to his conservative NAV — modestly cheap on the assets alone.</w:t>
      </w:r>
    </w:p>
    <w:p>
      <w:pPr>
        <w:spacing w:before="200" w:after="80"/>
      </w:pPr>
      <w:r>
        <w:rPr>
          <w:rFonts w:ascii="Calibri" w:hAnsi="Calibri"/>
          <w:b/>
          <w:color w:val="896F36"/>
          <w:sz w:val="24"/>
        </w:rPr>
        <w:t>C.2  Expert 2 — absorption-driven DCF and sales velocity</w:t>
      </w:r>
    </w:p>
    <w:p>
      <w:pPr>
        <w:spacing w:after="60" w:before="0"/>
      </w:pPr>
      <w:r>
        <w:rPr>
          <w:rFonts w:ascii="Calibri" w:hAnsi="Calibri"/>
          <w:b/>
          <w:i w:val="0"/>
          <w:color w:val="222A28"/>
          <w:sz w:val="20"/>
        </w:rPr>
        <w:t xml:space="preserve">Worldview. </w:t>
      </w:r>
      <w:r>
        <w:rPr>
          <w:rFonts w:ascii="Calibri" w:hAnsi="Calibri"/>
          <w:b w:val="0"/>
          <w:i w:val="0"/>
          <w:color w:val="222A28"/>
          <w:sz w:val="20"/>
        </w:rPr>
        <w:t>A developer is worth the cash its order book will generate, and in a supply-short, high-demand market the franchise is absorption velocity — the rate at which it launches, sells and re-loads land. He sizes the backlog, converts it to recognised cash, and discounts the equity stream on a fading growth path.</w:t>
      </w:r>
    </w:p>
    <w:p>
      <w:pPr>
        <w:spacing w:after="60" w:before="0"/>
      </w:pPr>
      <w:r>
        <w:rPr>
          <w:rFonts w:ascii="Calibri" w:hAnsi="Calibri"/>
          <w:b/>
          <w:i w:val="0"/>
          <w:color w:val="222A28"/>
          <w:sz w:val="20"/>
        </w:rPr>
        <w:t xml:space="preserve">When it works / fails. </w:t>
      </w:r>
      <w:r>
        <w:rPr>
          <w:rFonts w:ascii="Calibri" w:hAnsi="Calibri"/>
          <w:b w:val="0"/>
          <w:i w:val="0"/>
          <w:color w:val="222A28"/>
          <w:sz w:val="20"/>
        </w:rPr>
        <w:t>Best where demand is structural — the UAE's population inflows, golden-visa base and prime-supply scarcity. It fails by extrapolating a cyclical peak or waving away a sales-pace turn, which is why the growth path is his crux.</w:t>
      </w:r>
    </w:p>
    <w:p>
      <w:pPr>
        <w:spacing w:after="60" w:before="0"/>
      </w:pPr>
      <w:r>
        <w:rPr>
          <w:rFonts w:ascii="Calibri" w:hAnsi="Calibri"/>
          <w:b/>
          <w:i w:val="0"/>
          <w:color w:val="222A28"/>
          <w:sz w:val="20"/>
        </w:rPr>
        <w:t xml:space="preserve">Standard workings &amp; worked example. </w:t>
      </w:r>
      <w:r>
        <w:rPr>
          <w:rFonts w:ascii="Calibri" w:hAnsi="Calibri"/>
          <w:b w:val="0"/>
          <w:i w:val="0"/>
          <w:color w:val="222A28"/>
          <w:sz w:val="20"/>
        </w:rPr>
        <w:t>Backlog AED 71.7bn + a fading run-rate of new sales (AED 40.6bn in FY2025), converted via percentage-of-completion to development earnings, plus the recurring platform's cash, discounted at the group WACC.</w:t>
      </w:r>
    </w:p>
    <w:tbl>
      <w:tblPr>
        <w:tblStyle w:val="TableGrid"/>
        <w:tblW w:type="auto" w:w="0"/>
        <w:jc w:val="center"/>
        <w:tblLook w:firstColumn="1" w:firstRow="1" w:lastColumn="0" w:lastRow="0" w:noHBand="0" w:noVBand="1" w:val="04A0"/>
        <w:tblLayout w:type="fixed"/>
      </w:tblPr>
      <w:tblGrid>
        <w:gridCol w:w="4968"/>
        <w:gridCol w:w="4968"/>
      </w:tblGrid>
      <w:tr>
        <w:tc>
          <w:tcPr>
            <w:tcW w:type="dxa" w:w="6048"/>
            <w:shd w:val="clear" w:color="auto" w:fill="1C3A36"/>
          </w:tcPr>
          <w:p>
            <w:pPr>
              <w:spacing w:after="20" w:before="20"/>
            </w:pPr>
            <w:r>
              <w:rPr>
                <w:rFonts w:ascii="Calibri" w:hAnsi="Calibri"/>
                <w:b/>
                <w:color w:val="FFFFFF"/>
                <w:sz w:val="16"/>
              </w:rPr>
              <w:t>Expert 2's absorption build (AED bn)</w:t>
            </w:r>
          </w:p>
        </w:tc>
        <w:tc>
          <w:tcPr>
            <w:tcW w:type="dxa" w:w="2016"/>
            <w:shd w:val="clear" w:color="auto" w:fill="1C3A36"/>
          </w:tcPr>
          <w:p>
            <w:pPr>
              <w:spacing w:after="20" w:before="20"/>
              <w:jc w:val="right"/>
            </w:pPr>
            <w:r>
              <w:rPr>
                <w:rFonts w:ascii="Calibri" w:hAnsi="Calibri"/>
                <w:b/>
                <w:color w:val="FFFFFF"/>
                <w:sz w:val="16"/>
              </w:rPr>
              <w:t>Value</w:t>
            </w:r>
          </w:p>
        </w:tc>
      </w:tr>
      <w:tr>
        <w:tc>
          <w:tcPr>
            <w:tcW w:type="dxa" w:w="6048"/>
          </w:tcPr>
          <w:p>
            <w:pPr>
              <w:spacing w:after="20" w:before="20"/>
            </w:pPr>
            <w:r>
              <w:rPr>
                <w:rFonts w:ascii="Calibri" w:hAnsi="Calibri"/>
                <w:color w:val="222A28"/>
                <w:sz w:val="16"/>
              </w:rPr>
              <w:t>PV of backlog conversion (AED 71.7bn, ~30% margin)</w:t>
            </w:r>
          </w:p>
        </w:tc>
        <w:tc>
          <w:tcPr>
            <w:tcW w:type="dxa" w:w="2016"/>
          </w:tcPr>
          <w:p>
            <w:pPr>
              <w:spacing w:after="20" w:before="20"/>
              <w:jc w:val="right"/>
            </w:pPr>
            <w:r>
              <w:rPr>
                <w:rFonts w:ascii="Calibri" w:hAnsi="Calibri"/>
                <w:color w:val="222A28"/>
                <w:sz w:val="16"/>
              </w:rPr>
              <w:t>21.0</w:t>
            </w:r>
          </w:p>
        </w:tc>
      </w:tr>
      <w:tr>
        <w:tc>
          <w:tcPr>
            <w:tcW w:type="dxa" w:w="6048"/>
          </w:tcPr>
          <w:p>
            <w:pPr>
              <w:spacing w:after="20" w:before="20"/>
            </w:pPr>
            <w:r>
              <w:rPr>
                <w:rFonts w:ascii="Calibri" w:hAnsi="Calibri"/>
                <w:color w:val="222A28"/>
                <w:sz w:val="16"/>
              </w:rPr>
              <w:t>PV of new-launch franchise (fading growth path)</w:t>
            </w:r>
          </w:p>
        </w:tc>
        <w:tc>
          <w:tcPr>
            <w:tcW w:type="dxa" w:w="2016"/>
          </w:tcPr>
          <w:p>
            <w:pPr>
              <w:spacing w:after="20" w:before="20"/>
              <w:jc w:val="right"/>
            </w:pPr>
            <w:r>
              <w:rPr>
                <w:rFonts w:ascii="Calibri" w:hAnsi="Calibri"/>
                <w:color w:val="222A28"/>
                <w:sz w:val="16"/>
              </w:rPr>
              <w:t>24.0</w:t>
            </w:r>
          </w:p>
        </w:tc>
      </w:tr>
      <w:tr>
        <w:tc>
          <w:tcPr>
            <w:tcW w:type="dxa" w:w="6048"/>
          </w:tcPr>
          <w:p>
            <w:pPr>
              <w:spacing w:after="20" w:before="20"/>
            </w:pPr>
            <w:r>
              <w:rPr>
                <w:rFonts w:ascii="Calibri" w:hAnsi="Calibri"/>
                <w:color w:val="222A28"/>
                <w:sz w:val="16"/>
              </w:rPr>
              <w:t>Recurring platform (cash-based)</w:t>
            </w:r>
          </w:p>
        </w:tc>
        <w:tc>
          <w:tcPr>
            <w:tcW w:type="dxa" w:w="2016"/>
          </w:tcPr>
          <w:p>
            <w:pPr>
              <w:spacing w:after="20" w:before="20"/>
              <w:jc w:val="right"/>
            </w:pPr>
            <w:r>
              <w:rPr>
                <w:rFonts w:ascii="Calibri" w:hAnsi="Calibri"/>
                <w:color w:val="222A28"/>
                <w:sz w:val="16"/>
              </w:rPr>
              <w:t>50.0</w:t>
            </w:r>
          </w:p>
        </w:tc>
      </w:tr>
      <w:tr>
        <w:tc>
          <w:tcPr>
            <w:tcW w:type="dxa" w:w="6048"/>
            <w:shd w:val="clear" w:color="auto" w:fill="E7EDEB"/>
          </w:tcPr>
          <w:p>
            <w:pPr>
              <w:spacing w:after="20" w:before="20"/>
            </w:pPr>
            <w:r>
              <w:rPr>
                <w:rFonts w:ascii="Calibri" w:hAnsi="Calibri"/>
                <w:b/>
                <w:color w:val="1C3A36"/>
                <w:sz w:val="16"/>
              </w:rPr>
              <w:t>Enterprise value</w:t>
            </w:r>
          </w:p>
        </w:tc>
        <w:tc>
          <w:tcPr>
            <w:tcW w:type="dxa" w:w="2016"/>
            <w:shd w:val="clear" w:color="auto" w:fill="E7EDEB"/>
          </w:tcPr>
          <w:p>
            <w:pPr>
              <w:spacing w:after="20" w:before="20"/>
              <w:jc w:val="right"/>
            </w:pPr>
            <w:r>
              <w:rPr>
                <w:rFonts w:ascii="Calibri" w:hAnsi="Calibri"/>
                <w:b/>
                <w:color w:val="1C3A36"/>
                <w:sz w:val="16"/>
              </w:rPr>
              <w:t>95.0</w:t>
            </w:r>
          </w:p>
        </w:tc>
      </w:tr>
      <w:tr>
        <w:tc>
          <w:tcPr>
            <w:tcW w:type="dxa" w:w="6048"/>
          </w:tcPr>
          <w:p>
            <w:pPr>
              <w:spacing w:after="20" w:before="20"/>
            </w:pPr>
            <w:r>
              <w:rPr>
                <w:rFonts w:ascii="Calibri" w:hAnsi="Calibri"/>
                <w:color w:val="222A28"/>
                <w:sz w:val="16"/>
              </w:rPr>
              <w:t>less: net debt + NCI</w:t>
            </w:r>
          </w:p>
        </w:tc>
        <w:tc>
          <w:tcPr>
            <w:tcW w:type="dxa" w:w="2016"/>
          </w:tcPr>
          <w:p>
            <w:pPr>
              <w:spacing w:after="20" w:before="20"/>
              <w:jc w:val="right"/>
            </w:pPr>
            <w:r>
              <w:rPr>
                <w:rFonts w:ascii="Calibri" w:hAnsi="Calibri"/>
                <w:color w:val="222A28"/>
                <w:sz w:val="16"/>
              </w:rPr>
              <w:t>(8.5)</w:t>
            </w:r>
          </w:p>
        </w:tc>
      </w:tr>
      <w:tr>
        <w:tc>
          <w:tcPr>
            <w:tcW w:type="dxa" w:w="6048"/>
            <w:shd w:val="clear" w:color="auto" w:fill="E7EDEB"/>
          </w:tcPr>
          <w:p>
            <w:pPr>
              <w:spacing w:after="20" w:before="20"/>
            </w:pPr>
            <w:r>
              <w:rPr>
                <w:rFonts w:ascii="Calibri" w:hAnsi="Calibri"/>
                <w:b/>
                <w:color w:val="1C3A36"/>
                <w:sz w:val="16"/>
              </w:rPr>
              <w:t>Equity value → AED 11.0 / share (rounds to 10.8 risk-adj)</w:t>
            </w:r>
          </w:p>
        </w:tc>
        <w:tc>
          <w:tcPr>
            <w:tcW w:type="dxa" w:w="2016"/>
            <w:shd w:val="clear" w:color="auto" w:fill="E7EDEB"/>
          </w:tcPr>
          <w:p>
            <w:pPr>
              <w:spacing w:after="20" w:before="20"/>
              <w:jc w:val="right"/>
            </w:pPr>
            <w:r>
              <w:rPr>
                <w:rFonts w:ascii="Calibri" w:hAnsi="Calibri"/>
                <w:b/>
                <w:color w:val="1C3A36"/>
                <w:sz w:val="16"/>
              </w:rPr>
              <w:t>86.5</w:t>
            </w:r>
          </w:p>
        </w:tc>
      </w:tr>
    </w:tbl>
    <w:p>
      <w:pPr>
        <w:spacing w:after="40"/>
      </w:pPr>
    </w:p>
    <w:p>
      <w:pPr>
        <w:spacing w:after="60" w:before="0"/>
      </w:pPr>
      <w:r>
        <w:rPr>
          <w:rFonts w:ascii="Calibri" w:hAnsi="Calibri"/>
          <w:b/>
          <w:i w:val="0"/>
          <w:color w:val="222A28"/>
          <w:sz w:val="20"/>
        </w:rPr>
        <w:t xml:space="preserve">Sensitivity (swing = the sales-velocity / growth path). </w:t>
      </w:r>
      <w:r>
        <w:rPr>
          <w:rFonts w:ascii="Calibri" w:hAnsi="Calibri"/>
          <w:b w:val="0"/>
          <w:i w:val="0"/>
          <w:color w:val="222A28"/>
          <w:sz w:val="20"/>
        </w:rPr>
        <w:t xml:space="preserve">At a flat (no-growth) launch path, AED 8.4; at a sustained record-sales path, AED 13.5. </w:t>
      </w:r>
      <w:r>
        <w:rPr>
          <w:rFonts w:ascii="Calibri" w:hAnsi="Calibri"/>
          <w:b/>
          <w:i w:val="0"/>
          <w:color w:val="222A28"/>
          <w:sz w:val="20"/>
        </w:rPr>
        <w:t xml:space="preserve">Cross-examination. </w:t>
      </w:r>
      <w:r>
        <w:rPr>
          <w:rFonts w:ascii="Calibri" w:hAnsi="Calibri"/>
          <w:b w:val="0"/>
          <w:i w:val="0"/>
          <w:color w:val="222A28"/>
          <w:sz w:val="20"/>
        </w:rPr>
        <w:t>He tells Expert 1 that a realizable-value mark struck on near-term cash liquidates a compounding franchise at scrap; he tells Expert 3 that the demand is structural, not a policy coin-flip.</w:t>
      </w:r>
    </w:p>
    <w:p>
      <w:pPr>
        <w:spacing w:after="120" w:before="0"/>
      </w:pPr>
      <w:r>
        <w:rPr>
          <w:rFonts w:ascii="Calibri" w:hAnsi="Calibri"/>
          <w:b/>
          <w:i w:val="0"/>
          <w:color w:val="1C3A36"/>
          <w:sz w:val="20"/>
        </w:rPr>
        <w:t xml:space="preserve">Verdict, falsification, market-implied. </w:t>
      </w:r>
      <w:r>
        <w:rPr>
          <w:rFonts w:ascii="Calibri" w:hAnsi="Calibri"/>
          <w:b/>
          <w:i w:val="0"/>
          <w:color w:val="222A28"/>
          <w:sz w:val="20"/>
        </w:rPr>
        <w:t xml:space="preserve">Fair AED 10.8 (range 8.4–13.5). </w:t>
      </w:r>
      <w:r>
        <w:rPr>
          <w:rFonts w:ascii="Calibri" w:hAnsi="Calibri"/>
          <w:b w:val="0"/>
          <w:i w:val="0"/>
          <w:color w:val="222A28"/>
          <w:sz w:val="20"/>
        </w:rPr>
        <w:t>Falsified by absorption slowing — affordability breaking or a supply glut, of which the Q1 2026 −25% sales print is the first hint to watch. The market implies a launch path well below his base: it does not yet believe the franchise re-loads at this pace.</w:t>
      </w:r>
    </w:p>
    <w:p>
      <w:pPr>
        <w:spacing w:before="200" w:after="80"/>
      </w:pPr>
      <w:r>
        <w:rPr>
          <w:rFonts w:ascii="Calibri" w:hAnsi="Calibri"/>
          <w:b/>
          <w:color w:val="896F36"/>
          <w:sz w:val="24"/>
        </w:rPr>
        <w:t>C.3  Expert 3 — scenario-weighted real-options on policy and macro</w:t>
      </w:r>
    </w:p>
    <w:p>
      <w:pPr>
        <w:spacing w:after="60" w:before="0"/>
      </w:pPr>
      <w:r>
        <w:rPr>
          <w:rFonts w:ascii="Calibri" w:hAnsi="Calibri"/>
          <w:b/>
          <w:i w:val="0"/>
          <w:color w:val="222A28"/>
          <w:sz w:val="20"/>
        </w:rPr>
        <w:t xml:space="preserve">Worldview. </w:t>
      </w:r>
      <w:r>
        <w:rPr>
          <w:rFonts w:ascii="Calibri" w:hAnsi="Calibri"/>
          <w:b w:val="0"/>
          <w:i w:val="0"/>
          <w:color w:val="222A28"/>
          <w:sz w:val="20"/>
        </w:rPr>
        <w:t>In Gulf markets, policy outranks management — the oil-and-fiscal backdrop, the Fed-linked rate path (via the peg) and regional security move value more than a launch schedule does. He prices Aldar as a set of options on which policy world arrives, re-running the base valuation under each and probability-weighting.</w:t>
      </w:r>
    </w:p>
    <w:p>
      <w:pPr>
        <w:spacing w:after="60" w:before="0"/>
      </w:pPr>
      <w:r>
        <w:rPr>
          <w:rFonts w:ascii="Calibri" w:hAnsi="Calibri"/>
          <w:b/>
          <w:i w:val="0"/>
          <w:color w:val="222A28"/>
          <w:sz w:val="20"/>
        </w:rPr>
        <w:t xml:space="preserve">When it works / fails. </w:t>
      </w:r>
      <w:r>
        <w:rPr>
          <w:rFonts w:ascii="Calibri" w:hAnsi="Calibri"/>
          <w:b w:val="0"/>
          <w:i w:val="0"/>
          <w:color w:val="222A28"/>
          <w:sz w:val="20"/>
        </w:rPr>
        <w:t>Best in policy-driven markets with binary catalysts and a rate/geopolitical regime in flux — the mid-2026 Hormuz episode is the archetype. It fails through false precision; the probabilities are judgments and a tree can miss the branch that grows.</w:t>
      </w:r>
    </w:p>
    <w:p>
      <w:pPr>
        <w:spacing w:after="60" w:before="0"/>
      </w:pPr>
      <w:r>
        <w:rPr>
          <w:rFonts w:ascii="Calibri" w:hAnsi="Calibri"/>
          <w:b/>
          <w:i w:val="0"/>
          <w:color w:val="222A28"/>
          <w:sz w:val="20"/>
        </w:rPr>
        <w:t xml:space="preserve">Standard workings &amp; worked example. </w:t>
      </w:r>
      <w:r>
        <w:rPr>
          <w:rFonts w:ascii="Calibri" w:hAnsi="Calibri"/>
          <w:b w:val="0"/>
          <w:i w:val="0"/>
          <w:color w:val="222A28"/>
          <w:sz w:val="20"/>
        </w:rPr>
        <w:t>Define bull/base/bear as configurations of three levers — oil &amp; AD fiscal liquidity, the Fed/UAE rate path, and regional security — re-run the split-legs valuation under each, then probability-weight.</w:t>
      </w:r>
    </w:p>
    <w:tbl>
      <w:tblPr>
        <w:tblStyle w:val="TableGrid"/>
        <w:tblW w:type="auto" w:w="0"/>
        <w:jc w:val="center"/>
        <w:tblLook w:firstColumn="1" w:firstRow="1" w:lastColumn="0" w:lastRow="0" w:noHBand="0" w:noVBand="1" w:val="04A0"/>
        <w:tblLayout w:type="fixed"/>
      </w:tblPr>
      <w:tblGrid>
        <w:gridCol w:w="3312"/>
        <w:gridCol w:w="3312"/>
        <w:gridCol w:w="3312"/>
      </w:tblGrid>
      <w:tr>
        <w:tc>
          <w:tcPr>
            <w:tcW w:type="dxa" w:w="5184"/>
            <w:shd w:val="clear" w:color="auto" w:fill="1C3A36"/>
          </w:tcPr>
          <w:p>
            <w:pPr>
              <w:spacing w:after="20" w:before="20"/>
            </w:pPr>
            <w:r>
              <w:rPr>
                <w:rFonts w:ascii="Calibri" w:hAnsi="Calibri"/>
                <w:b/>
                <w:color w:val="FFFFFF"/>
                <w:sz w:val="16"/>
              </w:rPr>
              <w:t>Policy scenario</w:t>
            </w:r>
          </w:p>
        </w:tc>
        <w:tc>
          <w:tcPr>
            <w:tcW w:type="dxa" w:w="1440"/>
            <w:shd w:val="clear" w:color="auto" w:fill="1C3A36"/>
          </w:tcPr>
          <w:p>
            <w:pPr>
              <w:spacing w:after="20" w:before="20"/>
              <w:jc w:val="right"/>
            </w:pPr>
            <w:r>
              <w:rPr>
                <w:rFonts w:ascii="Calibri" w:hAnsi="Calibri"/>
                <w:b/>
                <w:color w:val="FFFFFF"/>
                <w:sz w:val="16"/>
              </w:rPr>
              <w:t>Prob.</w:t>
            </w:r>
          </w:p>
        </w:tc>
        <w:tc>
          <w:tcPr>
            <w:tcW w:type="dxa" w:w="1440"/>
            <w:shd w:val="clear" w:color="auto" w:fill="1C3A36"/>
          </w:tcPr>
          <w:p>
            <w:pPr>
              <w:spacing w:after="20" w:before="20"/>
              <w:jc w:val="right"/>
            </w:pPr>
            <w:r>
              <w:rPr>
                <w:rFonts w:ascii="Calibri" w:hAnsi="Calibri"/>
                <w:b/>
                <w:color w:val="FFFFFF"/>
                <w:sz w:val="16"/>
              </w:rPr>
              <w:t>AED/sh</w:t>
            </w:r>
          </w:p>
        </w:tc>
      </w:tr>
      <w:tr>
        <w:tc>
          <w:tcPr>
            <w:tcW w:type="dxa" w:w="5184"/>
          </w:tcPr>
          <w:p>
            <w:pPr>
              <w:spacing w:after="20" w:before="20"/>
            </w:pPr>
            <w:r>
              <w:rPr>
                <w:rFonts w:ascii="Calibri" w:hAnsi="Calibri"/>
                <w:color w:val="222A28"/>
                <w:sz w:val="16"/>
              </w:rPr>
              <w:t>Bull — firm oil, rate cuts, calm region</w:t>
            </w:r>
          </w:p>
        </w:tc>
        <w:tc>
          <w:tcPr>
            <w:tcW w:type="dxa" w:w="1440"/>
          </w:tcPr>
          <w:p>
            <w:pPr>
              <w:spacing w:after="20" w:before="20"/>
              <w:jc w:val="right"/>
            </w:pPr>
            <w:r>
              <w:rPr>
                <w:rFonts w:ascii="Calibri" w:hAnsi="Calibri"/>
                <w:color w:val="222A28"/>
                <w:sz w:val="16"/>
              </w:rPr>
              <w:t>30%</w:t>
            </w:r>
          </w:p>
        </w:tc>
        <w:tc>
          <w:tcPr>
            <w:tcW w:type="dxa" w:w="1440"/>
          </w:tcPr>
          <w:p>
            <w:pPr>
              <w:spacing w:after="20" w:before="20"/>
              <w:jc w:val="right"/>
            </w:pPr>
            <w:r>
              <w:rPr>
                <w:rFonts w:ascii="Calibri" w:hAnsi="Calibri"/>
                <w:color w:val="222A28"/>
                <w:sz w:val="16"/>
              </w:rPr>
              <w:t>12.0</w:t>
            </w:r>
          </w:p>
        </w:tc>
      </w:tr>
      <w:tr>
        <w:tc>
          <w:tcPr>
            <w:tcW w:type="dxa" w:w="5184"/>
          </w:tcPr>
          <w:p>
            <w:pPr>
              <w:spacing w:after="20" w:before="20"/>
            </w:pPr>
            <w:r>
              <w:rPr>
                <w:rFonts w:ascii="Calibri" w:hAnsi="Calibri"/>
                <w:color w:val="222A28"/>
                <w:sz w:val="16"/>
              </w:rPr>
              <w:t>Base — steady oil, flat rates, contained risk</w:t>
            </w:r>
          </w:p>
        </w:tc>
        <w:tc>
          <w:tcPr>
            <w:tcW w:type="dxa" w:w="1440"/>
          </w:tcPr>
          <w:p>
            <w:pPr>
              <w:spacing w:after="20" w:before="20"/>
              <w:jc w:val="right"/>
            </w:pPr>
            <w:r>
              <w:rPr>
                <w:rFonts w:ascii="Calibri" w:hAnsi="Calibri"/>
                <w:color w:val="222A28"/>
                <w:sz w:val="16"/>
              </w:rPr>
              <w:t>45%</w:t>
            </w:r>
          </w:p>
        </w:tc>
        <w:tc>
          <w:tcPr>
            <w:tcW w:type="dxa" w:w="1440"/>
          </w:tcPr>
          <w:p>
            <w:pPr>
              <w:spacing w:after="20" w:before="20"/>
              <w:jc w:val="right"/>
            </w:pPr>
            <w:r>
              <w:rPr>
                <w:rFonts w:ascii="Calibri" w:hAnsi="Calibri"/>
                <w:color w:val="222A28"/>
                <w:sz w:val="16"/>
              </w:rPr>
              <w:t>8.9</w:t>
            </w:r>
          </w:p>
        </w:tc>
      </w:tr>
      <w:tr>
        <w:tc>
          <w:tcPr>
            <w:tcW w:type="dxa" w:w="5184"/>
          </w:tcPr>
          <w:p>
            <w:pPr>
              <w:spacing w:after="20" w:before="20"/>
            </w:pPr>
            <w:r>
              <w:rPr>
                <w:rFonts w:ascii="Calibri" w:hAnsi="Calibri"/>
                <w:color w:val="222A28"/>
                <w:sz w:val="16"/>
              </w:rPr>
              <w:t>Bear — soft oil, higher-for-longer, security shock</w:t>
            </w:r>
          </w:p>
        </w:tc>
        <w:tc>
          <w:tcPr>
            <w:tcW w:type="dxa" w:w="1440"/>
          </w:tcPr>
          <w:p>
            <w:pPr>
              <w:spacing w:after="20" w:before="20"/>
              <w:jc w:val="right"/>
            </w:pPr>
            <w:r>
              <w:rPr>
                <w:rFonts w:ascii="Calibri" w:hAnsi="Calibri"/>
                <w:color w:val="222A28"/>
                <w:sz w:val="16"/>
              </w:rPr>
              <w:t>25%</w:t>
            </w:r>
          </w:p>
        </w:tc>
        <w:tc>
          <w:tcPr>
            <w:tcW w:type="dxa" w:w="1440"/>
          </w:tcPr>
          <w:p>
            <w:pPr>
              <w:spacing w:after="20" w:before="20"/>
              <w:jc w:val="right"/>
            </w:pPr>
            <w:r>
              <w:rPr>
                <w:rFonts w:ascii="Calibri" w:hAnsi="Calibri"/>
                <w:color w:val="222A28"/>
                <w:sz w:val="16"/>
              </w:rPr>
              <w:t>6.8</w:t>
            </w:r>
          </w:p>
        </w:tc>
      </w:tr>
      <w:tr>
        <w:tc>
          <w:tcPr>
            <w:tcW w:type="dxa" w:w="5184"/>
            <w:shd w:val="clear" w:color="auto" w:fill="E7EDEB"/>
          </w:tcPr>
          <w:p>
            <w:pPr>
              <w:spacing w:after="20" w:before="20"/>
            </w:pPr>
            <w:r>
              <w:rPr>
                <w:rFonts w:ascii="Calibri" w:hAnsi="Calibri"/>
                <w:b/>
                <w:color w:val="1C3A36"/>
                <w:sz w:val="16"/>
              </w:rPr>
              <w:t>Probability-weighted fair value → AED 9.3</w:t>
            </w:r>
          </w:p>
        </w:tc>
        <w:tc>
          <w:tcPr>
            <w:tcW w:type="dxa" w:w="1440"/>
            <w:shd w:val="clear" w:color="auto" w:fill="E7EDEB"/>
          </w:tcPr>
          <w:p>
            <w:pPr>
              <w:spacing w:after="20" w:before="20"/>
              <w:jc w:val="right"/>
            </w:pPr>
            <w:r>
              <w:rPr>
                <w:rFonts w:ascii="Calibri" w:hAnsi="Calibri"/>
                <w:b/>
                <w:color w:val="1C3A36"/>
                <w:sz w:val="16"/>
              </w:rPr>
              <w:t>100%</w:t>
            </w:r>
          </w:p>
        </w:tc>
        <w:tc>
          <w:tcPr>
            <w:tcW w:type="dxa" w:w="1440"/>
            <w:shd w:val="clear" w:color="auto" w:fill="E7EDEB"/>
          </w:tcPr>
          <w:p>
            <w:pPr>
              <w:spacing w:after="20" w:before="20"/>
              <w:jc w:val="right"/>
            </w:pPr>
            <w:r>
              <w:rPr>
                <w:rFonts w:ascii="Calibri" w:hAnsi="Calibri"/>
                <w:b/>
                <w:color w:val="1C3A36"/>
                <w:sz w:val="16"/>
              </w:rPr>
              <w:t>9.3</w:t>
            </w:r>
          </w:p>
        </w:tc>
      </w:tr>
    </w:tbl>
    <w:p>
      <w:pPr>
        <w:spacing w:after="40"/>
      </w:pPr>
    </w:p>
    <w:p>
      <w:pPr>
        <w:spacing w:after="60" w:before="0"/>
      </w:pPr>
      <w:r>
        <w:rPr>
          <w:rFonts w:ascii="Calibri" w:hAnsi="Calibri"/>
          <w:b/>
          <w:i w:val="0"/>
          <w:color w:val="222A28"/>
          <w:sz w:val="20"/>
        </w:rPr>
        <w:t xml:space="preserve">Sensitivity (swing = the scenario probabilities). </w:t>
      </w:r>
      <w:r>
        <w:rPr>
          <w:rFonts w:ascii="Calibri" w:hAnsi="Calibri"/>
          <w:b w:val="0"/>
          <w:i w:val="0"/>
          <w:color w:val="222A28"/>
          <w:sz w:val="20"/>
        </w:rPr>
        <w:t xml:space="preserve">Shift 15 points from bear to bull and the fair value rises to ~AED 10.1; the reverse cut takes it to ~AED 8.5. </w:t>
      </w:r>
      <w:r>
        <w:rPr>
          <w:rFonts w:ascii="Calibri" w:hAnsi="Calibri"/>
          <w:b/>
          <w:i w:val="0"/>
          <w:color w:val="222A28"/>
          <w:sz w:val="20"/>
        </w:rPr>
        <w:t xml:space="preserve">Cross-examination. </w:t>
      </w:r>
      <w:r>
        <w:rPr>
          <w:rFonts w:ascii="Calibri" w:hAnsi="Calibri"/>
          <w:b w:val="0"/>
          <w:i w:val="0"/>
          <w:color w:val="222A28"/>
          <w:sz w:val="20"/>
        </w:rPr>
        <w:t>He tells Expert 1 that a static NAV ignores that the same assets are worth materially more or less depending on the rate and security world; he tells Expert 2 that structural demand is itself a policy artefact — visas, mortgages and fiscal spending — that can be dialled down.</w:t>
      </w:r>
    </w:p>
    <w:p>
      <w:pPr>
        <w:spacing w:after="120" w:before="0"/>
      </w:pPr>
      <w:r>
        <w:rPr>
          <w:rFonts w:ascii="Calibri" w:hAnsi="Calibri"/>
          <w:b/>
          <w:i w:val="0"/>
          <w:color w:val="1C3A36"/>
          <w:sz w:val="20"/>
        </w:rPr>
        <w:t xml:space="preserve">Verdict, falsification, market-implied. </w:t>
      </w:r>
      <w:r>
        <w:rPr>
          <w:rFonts w:ascii="Calibri" w:hAnsi="Calibri"/>
          <w:b/>
          <w:i w:val="0"/>
          <w:color w:val="222A28"/>
          <w:sz w:val="20"/>
        </w:rPr>
        <w:t xml:space="preserve">Fair AED 9.3 (range 6.8–12.0). </w:t>
      </w:r>
      <w:r>
        <w:rPr>
          <w:rFonts w:ascii="Calibri" w:hAnsi="Calibri"/>
          <w:b w:val="0"/>
          <w:i w:val="0"/>
          <w:color w:val="222A28"/>
          <w:sz w:val="20"/>
        </w:rPr>
        <w:t>Falsified by a fourth, unmodelled policy shock dominating, or the scenario set being mis-specified. The market price sits between his base and bear — consistent with the region pricing a live security premium.</w:t>
      </w:r>
    </w:p>
    <w:p>
      <w:pPr>
        <w:spacing w:before="200" w:after="80"/>
      </w:pPr>
      <w:r>
        <w:rPr>
          <w:rFonts w:ascii="Calibri" w:hAnsi="Calibri"/>
          <w:b/>
          <w:color w:val="896F36"/>
          <w:sz w:val="24"/>
        </w:rPr>
        <w:t>C.4  The three in one room</w:t>
      </w:r>
    </w:p>
    <w:p>
      <w:pPr>
        <w:spacing w:after="60" w:before="0"/>
      </w:pPr>
      <w:r>
        <w:rPr>
          <w:rFonts w:ascii="Calibri" w:hAnsi="Calibri"/>
          <w:b w:val="0"/>
          <w:i w:val="0"/>
          <w:color w:val="222A28"/>
          <w:sz w:val="19"/>
        </w:rPr>
        <w:t>The single thing they most disagree on is how much of Aldar's replenishing development franchise to capitalise beyond today's backlog.</w:t>
      </w:r>
    </w:p>
    <w:p>
      <w:pPr>
        <w:spacing w:after="60" w:before="0"/>
      </w:pPr>
      <w:r>
        <w:rPr>
          <w:rFonts w:ascii="Calibri" w:hAnsi="Calibri"/>
          <w:b/>
          <w:i w:val="0"/>
          <w:color w:val="222A28"/>
          <w:sz w:val="20"/>
        </w:rPr>
        <w:t xml:space="preserve">Expert 2: </w:t>
      </w:r>
      <w:r>
        <w:rPr>
          <w:rFonts w:ascii="Calibri" w:hAnsi="Calibri"/>
          <w:b w:val="0"/>
          <w:i/>
          <w:color w:val="222A28"/>
          <w:sz w:val="20"/>
        </w:rPr>
        <w:t>“The order book is AED 72bn and they added AED 61bn of new development value in a single quarter. This is a compounding franchise. Capitalise the velocity — the equity is worth eleven.”</w:t>
      </w:r>
    </w:p>
    <w:p>
      <w:pPr>
        <w:spacing w:after="60" w:before="0"/>
      </w:pPr>
      <w:r>
        <w:rPr>
          <w:rFonts w:ascii="Calibri" w:hAnsi="Calibri"/>
          <w:b/>
          <w:i w:val="0"/>
          <w:color w:val="222A28"/>
          <w:sz w:val="20"/>
        </w:rPr>
        <w:t xml:space="preserve">Expert 1: </w:t>
      </w:r>
      <w:r>
        <w:rPr>
          <w:rFonts w:ascii="Calibri" w:hAnsi="Calibri"/>
          <w:b w:val="0"/>
          <w:i/>
          <w:color w:val="222A28"/>
          <w:sz w:val="20"/>
        </w:rPr>
        <w:t>“And every dirham of that velocity consumes land they must buy again. Mark what realizes net of the hybrids and the minorities and you get nine. The argument is the haircut, not the dream.”</w:t>
      </w:r>
    </w:p>
    <w:p>
      <w:pPr>
        <w:spacing w:after="80" w:before="0"/>
      </w:pPr>
      <w:r>
        <w:rPr>
          <w:rFonts w:ascii="Calibri" w:hAnsi="Calibri"/>
          <w:b/>
          <w:i w:val="0"/>
          <w:color w:val="222A28"/>
          <w:sz w:val="20"/>
        </w:rPr>
        <w:t xml:space="preserve">Expert 3: </w:t>
      </w:r>
      <w:r>
        <w:rPr>
          <w:rFonts w:ascii="Calibri" w:hAnsi="Calibri"/>
          <w:b w:val="0"/>
          <w:i/>
          <w:color w:val="222A28"/>
          <w:sz w:val="20"/>
        </w:rPr>
        <w:t>“You are both assuming a policy world. Firm oil and rate cuts and I am with Expert 2 at twelve; a security shock and higher-for-longer and Expert 1's nine is generous. The number is a weighted bet on Abu Dhabi's backdrop, and today that backdrop carries a Hormuz premium.”</w:t>
      </w:r>
    </w:p>
    <w:p>
      <w:pPr>
        <w:spacing w:before="200" w:after="80"/>
      </w:pPr>
      <w:r>
        <w:rPr>
          <w:rFonts w:ascii="Calibri" w:hAnsi="Calibri"/>
          <w:b/>
          <w:color w:val="896F36"/>
          <w:sz w:val="24"/>
        </w:rPr>
        <w:t>C.5  Reading the divergence</w:t>
      </w:r>
    </w:p>
    <w:p>
      <w:pPr>
        <w:jc w:val="center"/>
      </w:pPr>
      <w:r>
        <w:drawing>
          <wp:inline xmlns:a="http://schemas.openxmlformats.org/drawingml/2006/main" xmlns:pic="http://schemas.openxmlformats.org/drawingml/2006/picture">
            <wp:extent cx="5486400" cy="2159439"/>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5486400" cy="2159439"/>
                    </a:xfrm>
                    <a:prstGeom prst="rect"/>
                  </pic:spPr>
                </pic:pic>
              </a:graphicData>
            </a:graphic>
          </wp:inline>
        </w:drawing>
      </w:r>
    </w:p>
    <w:p>
      <w:pPr>
        <w:spacing w:after="160" w:before="0"/>
        <w:jc w:val="center"/>
      </w:pPr>
      <w:r>
        <w:rPr>
          <w:rFonts w:ascii="Calibri" w:hAnsi="Calibri"/>
          <w:b w:val="0"/>
          <w:i/>
          <w:color w:val="5B6B67"/>
          <w:sz w:val="16"/>
        </w:rPr>
        <w:t>Figure C-1 — The three experts' fair-value ranges. Brass diamonds are base cases; the gold band is the central; the dark dashed line is spot.</w:t>
      </w:r>
    </w:p>
    <w:tbl>
      <w:tblPr>
        <w:tblStyle w:val="TableGrid"/>
        <w:tblW w:type="auto" w:w="0"/>
        <w:jc w:val="center"/>
        <w:tblLook w:firstColumn="1" w:firstRow="1" w:lastColumn="0" w:lastRow="0" w:noHBand="0" w:noVBand="1" w:val="04A0"/>
        <w:tblLayout w:type="fixed"/>
      </w:tblPr>
      <w:tblGrid>
        <w:gridCol w:w="2484"/>
        <w:gridCol w:w="2484"/>
        <w:gridCol w:w="2484"/>
        <w:gridCol w:w="2484"/>
      </w:tblGrid>
      <w:tr>
        <w:tc>
          <w:tcPr>
            <w:tcW w:type="dxa" w:w="1440"/>
            <w:shd w:val="clear" w:color="auto" w:fill="1C3A36"/>
          </w:tcPr>
          <w:p>
            <w:pPr>
              <w:spacing w:after="20" w:before="20"/>
            </w:pPr>
            <w:r>
              <w:rPr>
                <w:rFonts w:ascii="Calibri" w:hAnsi="Calibri"/>
                <w:b/>
                <w:color w:val="FFFFFF"/>
                <w:sz w:val="16"/>
              </w:rPr>
              <w:t>Expert</w:t>
            </w:r>
          </w:p>
        </w:tc>
        <w:tc>
          <w:tcPr>
            <w:tcW w:type="dxa" w:w="3168"/>
            <w:shd w:val="clear" w:color="auto" w:fill="1C3A36"/>
          </w:tcPr>
          <w:p>
            <w:pPr>
              <w:spacing w:after="20" w:before="20"/>
            </w:pPr>
            <w:r>
              <w:rPr>
                <w:rFonts w:ascii="Calibri" w:hAnsi="Calibri"/>
                <w:b/>
                <w:color w:val="FFFFFF"/>
                <w:sz w:val="16"/>
              </w:rPr>
              <w:t>Method</w:t>
            </w:r>
          </w:p>
        </w:tc>
        <w:tc>
          <w:tcPr>
            <w:tcW w:type="dxa" w:w="3456"/>
            <w:shd w:val="clear" w:color="auto" w:fill="1C3A36"/>
          </w:tcPr>
          <w:p>
            <w:pPr>
              <w:spacing w:after="20" w:before="20"/>
            </w:pPr>
            <w:r>
              <w:rPr>
                <w:rFonts w:ascii="Calibri" w:hAnsi="Calibri"/>
                <w:b/>
                <w:color w:val="FFFFFF"/>
                <w:sz w:val="16"/>
              </w:rPr>
              <w:t>Single swing assumption</w:t>
            </w:r>
          </w:p>
        </w:tc>
        <w:tc>
          <w:tcPr>
            <w:tcW w:type="dxa" w:w="1728"/>
            <w:shd w:val="clear" w:color="auto" w:fill="1C3A36"/>
          </w:tcPr>
          <w:p>
            <w:pPr>
              <w:spacing w:after="20" w:before="20"/>
            </w:pPr>
            <w:r>
              <w:rPr>
                <w:rFonts w:ascii="Calibri" w:hAnsi="Calibri"/>
                <w:b/>
                <w:color w:val="FFFFFF"/>
                <w:sz w:val="16"/>
              </w:rPr>
              <w:t>Base fair value</w:t>
            </w:r>
          </w:p>
        </w:tc>
      </w:tr>
      <w:tr>
        <w:tc>
          <w:tcPr>
            <w:tcW w:type="dxa" w:w="1440"/>
          </w:tcPr>
          <w:p>
            <w:pPr>
              <w:spacing w:after="20" w:before="20"/>
            </w:pPr>
            <w:r>
              <w:rPr>
                <w:rFonts w:ascii="Calibri" w:hAnsi="Calibri"/>
                <w:color w:val="222A28"/>
                <w:sz w:val="16"/>
              </w:rPr>
              <w:t>Expert 1</w:t>
            </w:r>
          </w:p>
        </w:tc>
        <w:tc>
          <w:tcPr>
            <w:tcW w:type="dxa" w:w="3168"/>
          </w:tcPr>
          <w:p>
            <w:pPr>
              <w:spacing w:after="20" w:before="20"/>
            </w:pPr>
            <w:r>
              <w:rPr>
                <w:rFonts w:ascii="Calibri" w:hAnsi="Calibri"/>
                <w:color w:val="222A28"/>
                <w:sz w:val="16"/>
              </w:rPr>
              <w:t>RNAV at realizable value</w:t>
            </w:r>
          </w:p>
        </w:tc>
        <w:tc>
          <w:tcPr>
            <w:tcW w:type="dxa" w:w="3456"/>
          </w:tcPr>
          <w:p>
            <w:pPr>
              <w:spacing w:after="20" w:before="20"/>
            </w:pPr>
            <w:r>
              <w:rPr>
                <w:rFonts w:ascii="Calibri" w:hAnsi="Calibri"/>
                <w:color w:val="222A28"/>
                <w:sz w:val="16"/>
              </w:rPr>
              <w:t>Recurring haircut / development multiple</w:t>
            </w:r>
          </w:p>
        </w:tc>
        <w:tc>
          <w:tcPr>
            <w:tcW w:type="dxa" w:w="1728"/>
          </w:tcPr>
          <w:p>
            <w:pPr>
              <w:spacing w:after="20" w:before="20"/>
            </w:pPr>
            <w:r>
              <w:rPr>
                <w:rFonts w:ascii="Calibri" w:hAnsi="Calibri"/>
                <w:color w:val="222A28"/>
                <w:sz w:val="16"/>
              </w:rPr>
              <w:t>AED 9.2</w:t>
            </w:r>
          </w:p>
        </w:tc>
      </w:tr>
      <w:tr>
        <w:tc>
          <w:tcPr>
            <w:tcW w:type="dxa" w:w="1440"/>
          </w:tcPr>
          <w:p>
            <w:pPr>
              <w:spacing w:after="20" w:before="20"/>
            </w:pPr>
            <w:r>
              <w:rPr>
                <w:rFonts w:ascii="Calibri" w:hAnsi="Calibri"/>
                <w:color w:val="222A28"/>
                <w:sz w:val="16"/>
              </w:rPr>
              <w:t>Expert 2</w:t>
            </w:r>
          </w:p>
        </w:tc>
        <w:tc>
          <w:tcPr>
            <w:tcW w:type="dxa" w:w="3168"/>
          </w:tcPr>
          <w:p>
            <w:pPr>
              <w:spacing w:after="20" w:before="20"/>
            </w:pPr>
            <w:r>
              <w:rPr>
                <w:rFonts w:ascii="Calibri" w:hAnsi="Calibri"/>
                <w:color w:val="222A28"/>
                <w:sz w:val="16"/>
              </w:rPr>
              <w:t>Absorption-driven DCF</w:t>
            </w:r>
          </w:p>
        </w:tc>
        <w:tc>
          <w:tcPr>
            <w:tcW w:type="dxa" w:w="3456"/>
          </w:tcPr>
          <w:p>
            <w:pPr>
              <w:spacing w:after="20" w:before="20"/>
            </w:pPr>
            <w:r>
              <w:rPr>
                <w:rFonts w:ascii="Calibri" w:hAnsi="Calibri"/>
                <w:color w:val="222A28"/>
                <w:sz w:val="16"/>
              </w:rPr>
              <w:t>Sales-velocity / growth path</w:t>
            </w:r>
          </w:p>
        </w:tc>
        <w:tc>
          <w:tcPr>
            <w:tcW w:type="dxa" w:w="1728"/>
          </w:tcPr>
          <w:p>
            <w:pPr>
              <w:spacing w:after="20" w:before="20"/>
            </w:pPr>
            <w:r>
              <w:rPr>
                <w:rFonts w:ascii="Calibri" w:hAnsi="Calibri"/>
                <w:color w:val="222A28"/>
                <w:sz w:val="16"/>
              </w:rPr>
              <w:t>AED 10.8</w:t>
            </w:r>
          </w:p>
        </w:tc>
      </w:tr>
      <w:tr>
        <w:tc>
          <w:tcPr>
            <w:tcW w:type="dxa" w:w="1440"/>
          </w:tcPr>
          <w:p>
            <w:pPr>
              <w:spacing w:after="20" w:before="20"/>
            </w:pPr>
            <w:r>
              <w:rPr>
                <w:rFonts w:ascii="Calibri" w:hAnsi="Calibri"/>
                <w:color w:val="222A28"/>
                <w:sz w:val="16"/>
              </w:rPr>
              <w:t>Expert 3</w:t>
            </w:r>
          </w:p>
        </w:tc>
        <w:tc>
          <w:tcPr>
            <w:tcW w:type="dxa" w:w="3168"/>
          </w:tcPr>
          <w:p>
            <w:pPr>
              <w:spacing w:after="20" w:before="20"/>
            </w:pPr>
            <w:r>
              <w:rPr>
                <w:rFonts w:ascii="Calibri" w:hAnsi="Calibri"/>
                <w:color w:val="222A28"/>
                <w:sz w:val="16"/>
              </w:rPr>
              <w:t>Scenario-weighted real-options</w:t>
            </w:r>
          </w:p>
        </w:tc>
        <w:tc>
          <w:tcPr>
            <w:tcW w:type="dxa" w:w="3456"/>
          </w:tcPr>
          <w:p>
            <w:pPr>
              <w:spacing w:after="20" w:before="20"/>
            </w:pPr>
            <w:r>
              <w:rPr>
                <w:rFonts w:ascii="Calibri" w:hAnsi="Calibri"/>
                <w:color w:val="222A28"/>
                <w:sz w:val="16"/>
              </w:rPr>
              <w:t>Policy-scenario probabilities</w:t>
            </w:r>
          </w:p>
        </w:tc>
        <w:tc>
          <w:tcPr>
            <w:tcW w:type="dxa" w:w="1728"/>
          </w:tcPr>
          <w:p>
            <w:pPr>
              <w:spacing w:after="20" w:before="20"/>
            </w:pPr>
            <w:r>
              <w:rPr>
                <w:rFonts w:ascii="Calibri" w:hAnsi="Calibri"/>
                <w:color w:val="222A28"/>
                <w:sz w:val="16"/>
              </w:rPr>
              <w:t>AED 9.3</w:t>
            </w:r>
          </w:p>
        </w:tc>
      </w:tr>
    </w:tbl>
    <w:p>
      <w:pPr>
        <w:spacing w:after="40"/>
      </w:pPr>
    </w:p>
    <w:p>
      <w:pPr>
        <w:spacing w:after="80" w:before="0"/>
      </w:pPr>
      <w:r>
        <w:rPr>
          <w:rFonts w:ascii="Calibri" w:hAnsi="Calibri"/>
          <w:b w:val="0"/>
          <w:i w:val="0"/>
          <w:color w:val="222A28"/>
          <w:sz w:val="20"/>
        </w:rPr>
        <w:t>The spread — AED 9.2 to 10.8 at base — is narrow for a developer, and it is almost entirely a franchise-and-policy disagreement: none of the three contests the recurring platform's existence, the backlog, or the balance sheet. What separates them is whether Aldar's replenishing development machine justifies a premium to a conservative asset mark, and which policy world prices it. Expert 2 says the velocity is the value; Expert 1 says mark it net of every claim; Expert 3 says it depends on oil, rates and the region. The AED 1.6 spread is therefore a clean measure of one uncertainty — the going-concern worth of a franchise that re-loads its own land. Resolve that, and the three converge near AED 9.8.</w:t>
      </w:r>
    </w:p>
    <w:p>
      <w:pPr>
        <w:spacing w:after="120" w:before="0"/>
      </w:pPr>
      <w:r>
        <w:rPr>
          <w:rFonts w:ascii="Calibri" w:hAnsi="Calibri"/>
          <w:b w:val="0"/>
          <w:i/>
          <w:color w:val="5B6B67"/>
          <w:sz w:val="16"/>
        </w:rPr>
        <w:t>Each expert's point fair value (and bull/base/bear where applicable) is logged with the study date (3 Jul 2026) and spot (AED 8.30) as an internal per-expert track record, kept separate from the core Calibration Ledger.</w:t>
      </w:r>
    </w:p>
    <w:p>
      <w:pPr>
        <w:spacing w:before="280" w:after="120"/>
        <w:pBdr>
          <w:bottom w:val="single" w:sz="6" w:space="2" w:color="C0A45F"/>
        </w:pBdr>
      </w:pPr>
      <w:r>
        <w:rPr>
          <w:rFonts w:ascii="Calibri" w:hAnsi="Calibri"/>
          <w:b/>
          <w:color w:val="1C3A36"/>
          <w:sz w:val="30"/>
        </w:rPr>
        <w:t>About this series</w:t>
      </w:r>
    </w:p>
    <w:p>
      <w:pPr>
        <w:spacing w:after="120" w:before="0"/>
      </w:pPr>
      <w:r>
        <w:rPr>
          <w:rFonts w:ascii="Calibri" w:hAnsi="Calibri"/>
          <w:b w:val="0"/>
          <w:i w:val="0"/>
          <w:color w:val="222A28"/>
          <w:sz w:val="19"/>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before="280" w:after="120"/>
        <w:pBdr>
          <w:bottom w:val="single" w:sz="6" w:space="2" w:color="C0A45F"/>
        </w:pBdr>
      </w:pPr>
      <w:r>
        <w:rPr>
          <w:rFonts w:ascii="Calibri" w:hAnsi="Calibri"/>
          <w:b/>
          <w:color w:val="1C3A36"/>
          <w:sz w:val="30"/>
        </w:rPr>
        <w:t>Disclosure &amp; Disclaimer</w:t>
      </w:r>
    </w:p>
    <w:p>
      <w:pPr>
        <w:spacing w:after="80" w:before="0"/>
      </w:pPr>
      <w:r>
        <w:rPr>
          <w:rFonts w:ascii="Calibri" w:hAnsi="Calibri"/>
          <w:b/>
          <w:i/>
          <w:color w:val="1C3A36"/>
          <w:sz w:val="17"/>
        </w:rPr>
        <w:t xml:space="preserve">Not investment advice. </w:t>
      </w:r>
      <w:r>
        <w:rPr>
          <w:rFonts w:ascii="Calibri" w:hAnsi="Calibri"/>
          <w:b w:val="0"/>
          <w:i w:val="0"/>
          <w:color w:val="222A28"/>
          <w:sz w:val="17"/>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80" w:before="0"/>
      </w:pPr>
      <w:r>
        <w:rPr>
          <w:rFonts w:ascii="Calibri" w:hAnsi="Calibri"/>
          <w:b/>
          <w:i/>
          <w:color w:val="1C3A36"/>
          <w:sz w:val="17"/>
        </w:rPr>
        <w:t xml:space="preserve">No licence; no advisory relationship. </w:t>
      </w:r>
      <w:r>
        <w:rPr>
          <w:rFonts w:ascii="Calibri" w:hAnsi="Calibri"/>
          <w:b w:val="0"/>
          <w:i w:val="0"/>
          <w:color w:val="222A28"/>
          <w:sz w:val="17"/>
        </w:rPr>
        <w:t>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80" w:before="0"/>
      </w:pPr>
      <w:r>
        <w:rPr>
          <w:rFonts w:ascii="Calibri" w:hAnsi="Calibri"/>
          <w:b/>
          <w:i/>
          <w:color w:val="1C3A36"/>
          <w:sz w:val="17"/>
        </w:rPr>
        <w:t xml:space="preserve">Holdings disclosure. </w:t>
      </w:r>
      <w:r>
        <w:rPr>
          <w:rFonts w:ascii="Calibri" w:hAnsi="Calibri"/>
          <w:b w:val="0"/>
          <w:i w:val="0"/>
          <w:color w:val="222A28"/>
          <w:sz w:val="17"/>
        </w:rPr>
        <w:t>The preparer may hold, and may in the future take or dispose of, a position in the security discussed in this report, and may transact at any time without notice. This is a potential conflict of interest you should weigh.</w:t>
      </w:r>
    </w:p>
    <w:p>
      <w:pPr>
        <w:spacing w:after="80" w:before="0"/>
      </w:pPr>
      <w:r>
        <w:rPr>
          <w:rFonts w:ascii="Calibri" w:hAnsi="Calibri"/>
          <w:b/>
          <w:i/>
          <w:color w:val="1C3A36"/>
          <w:sz w:val="17"/>
        </w:rPr>
        <w:t xml:space="preserve">Sources &amp; accuracy. </w:t>
      </w:r>
      <w:r>
        <w:rPr>
          <w:rFonts w:ascii="Calibri" w:hAnsi="Calibri"/>
          <w:b w:val="0"/>
          <w:i w:val="0"/>
          <w:color w:val="222A28"/>
          <w:sz w:val="17"/>
        </w:rPr>
        <w:t>Reported financial and operating figures are drawn from the company's public disclosure and other public sources believed reliable but not independently verified; they may contain errors or be superseded. Forward-looking inputs — the split-NAV marks, the recurring-platform GAV, the development-franchise DCF, projections, multiples and Monte-Carlo factor probabilities — are the preparer's own judgments and are inherently uncertain.</w:t>
      </w:r>
    </w:p>
    <w:p>
      <w:pPr>
        <w:spacing w:after="80" w:before="0"/>
      </w:pPr>
      <w:r>
        <w:rPr>
          <w:rFonts w:ascii="Calibri" w:hAnsi="Calibri"/>
          <w:b/>
          <w:i/>
          <w:color w:val="1C3A36"/>
          <w:sz w:val="17"/>
        </w:rPr>
        <w:t xml:space="preserve">Forward-looking statements. </w:t>
      </w:r>
      <w:r>
        <w:rPr>
          <w:rFonts w:ascii="Calibri" w:hAnsi="Calibri"/>
          <w:b w:val="0"/>
          <w:i w:val="0"/>
          <w:color w:val="222A28"/>
          <w:sz w:val="17"/>
        </w:rPr>
        <w:t>Any statements about the future are estimates subject to risks and uncertainties; actual results may differ materially. The Monte Carlo models price, not value, and encodes subjective probabilities for events that have not occurred.</w:t>
      </w:r>
    </w:p>
    <w:p>
      <w:pPr>
        <w:spacing w:after="80" w:before="0"/>
      </w:pPr>
      <w:r>
        <w:rPr>
          <w:rFonts w:ascii="Calibri" w:hAnsi="Calibri"/>
          <w:b/>
          <w:i/>
          <w:color w:val="1C3A36"/>
          <w:sz w:val="17"/>
        </w:rPr>
        <w:t xml:space="preserve">No reliance; your responsibility. </w:t>
      </w:r>
      <w:r>
        <w:rPr>
          <w:rFonts w:ascii="Calibri" w:hAnsi="Calibri"/>
          <w:b w:val="0"/>
          <w:i w:val="0"/>
          <w:color w:val="222A28"/>
          <w:sz w:val="17"/>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80" w:before="0"/>
      </w:pPr>
      <w:r>
        <w:rPr>
          <w:rFonts w:ascii="Calibri" w:hAnsi="Calibri"/>
          <w:b/>
          <w:i/>
          <w:color w:val="1C3A36"/>
          <w:sz w:val="17"/>
        </w:rPr>
        <w:t xml:space="preserve">Currency &amp; figures. </w:t>
      </w:r>
      <w:r>
        <w:rPr>
          <w:rFonts w:ascii="Calibri" w:hAnsi="Calibri"/>
          <w:b w:val="0"/>
          <w:i w:val="0"/>
          <w:color w:val="222A28"/>
          <w:sz w:val="17"/>
        </w:rPr>
        <w:t>Figures are in UAE dirhams (AED); bn denotes billion. The dirham is pegged to the US dollar (USD/AED 3.6725). Rounding may cause totals to differ slightly. Spot price and market data are as of 3 July 2026 and change continuously.</w:t>
      </w:r>
    </w:p>
    <w:p>
      <w:pPr>
        <w:spacing w:after="160" w:before="120"/>
        <w:jc w:val="center"/>
      </w:pPr>
      <w:r>
        <w:rPr>
          <w:rFonts w:ascii="Calibri" w:hAnsi="Calibri"/>
          <w:b w:val="0"/>
          <w:i/>
          <w:color w:val="5B6B67"/>
          <w:sz w:val="16"/>
        </w:rPr>
        <w:t>TESTAHIL · Independent Valuation Study · Educational Analysis · Aldar Properties PJSC (ADX: ALDAR) · edition 08-07-2026 · reporting currency AED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A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