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94"/>
      </w:tblGrid>
      <w:tr>
        <w:tc>
          <w:tcPr>
            <w:tcW w:type="dxa" w:w="9994"/>
            <w:shd w:val="clear" w:fill="1C3A36"/>
          </w:tcPr>
          <w:p>
            <w:pPr>
              <w:spacing w:after="40" w:before="40"/>
            </w:pPr>
            <w:r/>
            <w:r>
              <w:rPr>
                <w:b/>
                <w:color w:val="FFFFFF"/>
                <w:sz w:val="21"/>
              </w:rPr>
              <w:t>Testahil · Independent Valuation Study — Educational Analysis     Not investment advice</w:t>
            </w:r>
          </w:p>
        </w:tc>
      </w:tr>
    </w:tbl>
    <w:p>
      <w:pPr>
        <w:spacing w:after="120" w:before="0"/>
      </w:pPr>
    </w:p>
    <w:p>
      <w:pPr>
        <w:spacing w:after="40" w:before="0"/>
      </w:pPr>
      <w:r>
        <w:rPr>
          <w:b/>
          <w:i w:val="0"/>
          <w:color w:val="1C3A36"/>
          <w:sz w:val="34"/>
        </w:rPr>
        <w:t>Dubai Islamic Bank PJSC (DFM: DIB)</w:t>
      </w:r>
    </w:p>
    <w:p>
      <w:pPr>
        <w:spacing w:after="100" w:before="0"/>
      </w:pPr>
      <w:r>
        <w:rPr>
          <w:b w:val="0"/>
          <w:i/>
          <w:color w:val="6E7B77"/>
          <w:sz w:val="20"/>
        </w:rPr>
        <w:t>Fundamental analysis · Technical analysis · Monte Carlo simulation — one integrated read</w:t>
      </w:r>
    </w:p>
    <w:p>
      <w:pPr>
        <w:spacing w:after="160"/>
      </w:pPr>
      <w:r>
        <w:rPr>
          <w:b w:val="0"/>
          <w:i w:val="0"/>
          <w:sz w:val="19"/>
        </w:rPr>
        <w:t xml:space="preserve">Independent valuation study · 11 July 2026 · spot AED 7.72 (03-Jul close) · 7,227mn shares · market cap ~AED 55.8bn (~US$15.2bn) · the UAE's largest Islamic bank · </w:t>
      </w:r>
      <w:r>
        <w:rPr>
          <w:b/>
          <w:i w:val="0"/>
          <w:sz w:val="19"/>
        </w:rPr>
        <w:t>−24% from its February high, and the market did that before the war started.</w:t>
      </w:r>
    </w:p>
    <w:tbl>
      <w:tblPr>
        <w:tblW w:type="auto" w:w="0"/>
        <w:jc w:val="center"/>
        <w:tblLook w:firstColumn="1" w:firstRow="1" w:lastColumn="0" w:lastRow="0" w:noHBand="0" w:noVBand="1" w:val="04A0"/>
      </w:tblPr>
      <w:tblGrid>
        <w:gridCol w:w="9994"/>
      </w:tblGrid>
      <w:tr>
        <w:tc>
          <w:tcPr>
            <w:tcW w:type="dxa" w:w="9994"/>
            <w:shd w:val="clear" w:fill="F6F1E6"/>
          </w:tcPr>
          <w:p>
            <w:pPr>
              <w:spacing w:after="60" w:before="60"/>
            </w:pPr>
            <w:r/>
            <w:r>
              <w:rPr>
                <w:b/>
                <w:color w:val="B4433A"/>
                <w:sz w:val="18"/>
              </w:rPr>
              <w:t xml:space="preserve">READ FIRST — THE CALIBRATION GATE FAILED. </w:t>
            </w:r>
            <w:r>
              <w:rPr>
                <w:b w:val="0"/>
                <w:sz w:val="18"/>
              </w:rPr>
              <w:t xml:space="preserve">DIB did not pass our pre-publication calibration test. Under the fitted UAE market model, DIB's own five-year backtest does not beat a naive random walk. The skill score is −0.025, with the confidence interval entirely below zero under every resampling scheme tested. Accordingly </w:t>
            </w:r>
            <w:r>
              <w:rPr>
                <w:b/>
                <w:color w:val="B4433A"/>
                <w:sz w:val="18"/>
              </w:rPr>
              <w:t>no price forecast is published for DIB</w:t>
            </w:r>
            <w:r>
              <w:rPr>
                <w:b w:val="0"/>
                <w:sz w:val="18"/>
              </w:rPr>
              <w:t xml:space="preserve">. §3 is an illustrative volatility map only — not a skill-validated forecast — and no Calibration-Ledger cohorts are anchored. The diagnosis is set out in full and in the open in §3.1: nothing structural is wrong with the data, and on higher-powered designs the engine is at parity. But the test is the test, and it failed, so the forecast is withheld. The fundamental work in §1 does not depend on that test and stands on its own. </w:t>
            </w:r>
            <w:r>
              <w:rPr>
                <w:b/>
                <w:sz w:val="18"/>
              </w:rPr>
              <w:t xml:space="preserve">What this is. </w:t>
            </w:r>
            <w:r>
              <w:rPr>
                <w:b w:val="0"/>
                <w:sz w:val="18"/>
              </w:rPr>
              <w:t xml:space="preserve">An independent, educational valuation study published under the Testahil brand. Not investment advice, not a recommendation, no rating and no price target — fair-value ranges only. </w:t>
            </w:r>
            <w:r>
              <w:rPr>
                <w:b/>
                <w:sz w:val="18"/>
              </w:rPr>
              <w:t xml:space="preserve">Who we are not. </w:t>
            </w:r>
            <w:r>
              <w:rPr>
                <w:b w:val="0"/>
                <w:sz w:val="18"/>
              </w:rPr>
              <w:t xml:space="preserve">The preparer is not licensed by the FRA, the SCA, or any securities regulator, holds no CFA charter, and this document has not been reviewed by any authority. </w:t>
            </w:r>
            <w:r>
              <w:rPr>
                <w:b/>
                <w:sz w:val="18"/>
              </w:rPr>
              <w:t xml:space="preserve">The two clocks. </w:t>
            </w:r>
            <w:r>
              <w:rPr>
                <w:b w:val="0"/>
                <w:sz w:val="18"/>
              </w:rPr>
              <w:t xml:space="preserve">The weighted central (AED 10.18) is a risk-adjusted ~12-month anchor. The peace-time reference (AED 11.86, conflict adder stripped) is a multi-year ceiling. Neither is a three-month figure. Never read one clock as another. </w:t>
            </w:r>
            <w:r>
              <w:rPr>
                <w:b/>
                <w:sz w:val="18"/>
              </w:rPr>
              <w:t xml:space="preserve">Provenance. </w:t>
            </w:r>
            <w:r>
              <w:rPr>
                <w:b w:val="0"/>
                <w:sz w:val="18"/>
              </w:rPr>
              <w:t xml:space="preserve">Every financial-statement line item comes from DIB's own disclosures — the FY25 audited consolidated financial statements, the results releases and the earnings presentations. Aggregators are used for market data only (price, index levels, peer multiples) and are labelled as such. Figures we derived rather than took are flagged inline and logged in the public Fundamental Driver Ledger. </w:t>
            </w:r>
            <w:r>
              <w:rPr>
                <w:b/>
                <w:sz w:val="18"/>
              </w:rPr>
              <w:t xml:space="preserve">Sources. </w:t>
            </w:r>
            <w:r>
              <w:rPr>
                <w:b w:val="0"/>
                <w:sz w:val="18"/>
              </w:rPr>
              <w:t xml:space="preserve">A companion document, "Sources &amp; Bibliography", lists every source used in this study, what was taken from each one, and where it appears — including the three searches that came back empty and what we did instead. </w:t>
            </w:r>
            <w:r>
              <w:rPr>
                <w:b/>
                <w:sz w:val="18"/>
              </w:rPr>
              <w:t xml:space="preserve">Price note. </w:t>
            </w:r>
            <w:r>
              <w:rPr>
                <w:b w:val="0"/>
                <w:sz w:val="18"/>
              </w:rPr>
              <w:t>Spot is the AED 7.72 close of 03-Jul-2026, the last bar of the price history this study is built on. The stock has since traded to ~AED 7.54 (09-Jul, aggregator quote) on the Hormuz re-escalation of 7–9 July. Both figures are stated wherever the gap to fair value appears.</w:t>
            </w:r>
          </w:p>
        </w:tc>
      </w:tr>
    </w:tbl>
    <w:p>
      <w:pPr>
        <w:spacing w:after="120" w:before="0"/>
      </w:pPr>
    </w:p>
    <w:p>
      <w:pPr>
        <w:spacing w:after="100" w:before="260"/>
      </w:pPr>
      <w:r>
        <w:rPr>
          <w:b/>
          <w:i w:val="0"/>
          <w:color w:val="1C3A36"/>
          <w:sz w:val="26"/>
        </w:rPr>
        <w:t>The company</w:t>
      </w:r>
    </w:p>
    <w:p>
      <w:pPr>
        <w:spacing w:after="120" w:before="0"/>
      </w:pPr>
      <w:r>
        <w:rPr>
          <w:b w:val="0"/>
          <w:i w:val="0"/>
          <w:sz w:val="21"/>
        </w:rPr>
        <w:t>Dubai Islamic Bank was founded in 1975 as the world's first full-service Islamic bank, and it is still the largest one in the UAE — AED 420bn of assets, 11 million customers, a D-SIB designation, and about 8% of the entire UAE banking system. It makes money the way any bank does, but without interest: instead of lending at a rate, it buys an asset and sells it on at a mark-up (murabaha), or leases it (ijara), or funds its construction (istisna'a), and it funds itself with profit-sharing deposits and sukuk rather than interest-bearing ones. The spread it earns is called the net profit margin rather than the net interest margin, but it behaves identically — and because the dirham is pegged to the dollar, that spread is set in Washington, not Dubai. Around the core UAE franchise sits a genuine international business (DIB Pakistan, a 29.5% stake in Bank of Khartoum, banks in Kenya, Bosnia, Indonesia and Türkiye) and a 44.9% holding in the listed developer Deyaar; the 2020 acquisition of Noor Bank made it the scale player it is today. Its anchor shareholder is Investment Corporation of Dubai, the emirate's sovereign investment arm, with 27.97% — and DIB's chairman is ICD's managing director, which tells you most of what you need to know about where this bank sits in Dubai Inc.</w:t>
      </w:r>
    </w:p>
    <w:p>
      <w:pPr>
        <w:spacing w:after="100" w:before="260"/>
      </w:pPr>
      <w:r>
        <w:rPr>
          <w:b/>
          <w:i w:val="0"/>
          <w:color w:val="1C3A36"/>
          <w:sz w:val="26"/>
        </w:rPr>
        <w:t>At a glance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376"/>
            <w:shd w:val="clear" w:fill="1C3A36"/>
          </w:tcPr>
          <w:p>
            <w:pPr>
              <w:spacing w:after="20" w:before="20"/>
            </w:pPr>
            <w:r/>
            <w:r>
              <w:rPr>
                <w:b/>
                <w:color w:val="FFFFFF"/>
                <w:sz w:val="18"/>
              </w:rPr>
            </w:r>
          </w:p>
        </w:tc>
        <w:tc>
          <w:tcPr>
            <w:tcW w:type="dxa" w:w="2808"/>
            <w:shd w:val="clear" w:fill="1C3A36"/>
          </w:tcPr>
          <w:p>
            <w:pPr>
              <w:spacing w:after="20" w:before="20"/>
              <w:jc w:val="center"/>
            </w:pPr>
            <w:r/>
            <w:r>
              <w:rPr>
                <w:b/>
                <w:color w:val="FFFFFF"/>
                <w:sz w:val="18"/>
              </w:rPr>
              <w:t>Value</w:t>
            </w:r>
          </w:p>
        </w:tc>
        <w:tc>
          <w:tcPr>
            <w:tcW w:type="dxa" w:w="2232"/>
            <w:shd w:val="clear" w:fill="1C3A36"/>
          </w:tcPr>
          <w:p>
            <w:pPr>
              <w:spacing w:after="20" w:before="20"/>
              <w:jc w:val="center"/>
            </w:pPr>
            <w:r/>
            <w:r>
              <w:rPr>
                <w:b/>
                <w:color w:val="FFFFFF"/>
                <w:sz w:val="18"/>
              </w:rPr>
            </w:r>
          </w:p>
        </w:tc>
        <w:tc>
          <w:tcPr>
            <w:tcW w:type="dxa" w:w="2808"/>
            <w:shd w:val="clear" w:fill="1C3A36"/>
          </w:tcPr>
          <w:p>
            <w:pPr>
              <w:spacing w:after="20" w:before="20"/>
              <w:jc w:val="center"/>
            </w:pPr>
            <w:r/>
            <w:r>
              <w:rPr>
                <w:b/>
                <w:color w:val="FFFFFF"/>
                <w:sz w:val="18"/>
              </w:rPr>
              <w:t>Value</w:t>
            </w:r>
          </w:p>
        </w:tc>
      </w:tr>
      <w:tr>
        <w:tc>
          <w:tcPr>
            <w:tcW w:type="dxa" w:w="2376"/>
          </w:tcPr>
          <w:p>
            <w:pPr>
              <w:spacing w:after="20" w:before="20"/>
            </w:pPr>
            <w:r/>
            <w:r>
              <w:rPr>
                <w:b/>
                <w:sz w:val="18"/>
              </w:rPr>
              <w:t>Spot (03-Jul-2026)</w:t>
            </w:r>
          </w:p>
        </w:tc>
        <w:tc>
          <w:tcPr>
            <w:tcW w:type="dxa" w:w="2808"/>
          </w:tcPr>
          <w:p>
            <w:pPr>
              <w:spacing w:after="20" w:before="20"/>
              <w:jc w:val="center"/>
            </w:pPr>
            <w:r/>
            <w:r>
              <w:rPr>
                <w:sz w:val="18"/>
              </w:rPr>
              <w:t>AED 7.72</w:t>
            </w:r>
          </w:p>
        </w:tc>
        <w:tc>
          <w:tcPr>
            <w:tcW w:type="dxa" w:w="2232"/>
          </w:tcPr>
          <w:p>
            <w:pPr>
              <w:spacing w:after="20" w:before="20"/>
              <w:jc w:val="center"/>
            </w:pPr>
            <w:r/>
            <w:r>
              <w:rPr>
                <w:sz w:val="18"/>
              </w:rPr>
              <w:t>Weighted central</w:t>
            </w:r>
          </w:p>
        </w:tc>
        <w:tc>
          <w:tcPr>
            <w:tcW w:type="dxa" w:w="2808"/>
          </w:tcPr>
          <w:p>
            <w:pPr>
              <w:spacing w:after="20" w:before="20"/>
              <w:jc w:val="center"/>
            </w:pPr>
            <w:r/>
            <w:r>
              <w:rPr>
                <w:sz w:val="18"/>
              </w:rPr>
              <w:t>AED 10.18  (+32%)</w:t>
            </w:r>
          </w:p>
        </w:tc>
      </w:tr>
      <w:tr>
        <w:tc>
          <w:tcPr>
            <w:tcW w:type="dxa" w:w="2376"/>
          </w:tcPr>
          <w:p>
            <w:pPr>
              <w:spacing w:after="20" w:before="20"/>
            </w:pPr>
            <w:r/>
            <w:r>
              <w:rPr>
                <w:b/>
                <w:sz w:val="18"/>
              </w:rPr>
              <w:t>Shares outstanding</w:t>
            </w:r>
          </w:p>
        </w:tc>
        <w:tc>
          <w:tcPr>
            <w:tcW w:type="dxa" w:w="2808"/>
          </w:tcPr>
          <w:p>
            <w:pPr>
              <w:spacing w:after="20" w:before="20"/>
              <w:jc w:val="center"/>
            </w:pPr>
            <w:r/>
            <w:r>
              <w:rPr>
                <w:sz w:val="18"/>
              </w:rPr>
              <w:t>7,227mn</w:t>
            </w:r>
          </w:p>
        </w:tc>
        <w:tc>
          <w:tcPr>
            <w:tcW w:type="dxa" w:w="2232"/>
          </w:tcPr>
          <w:p>
            <w:pPr>
              <w:spacing w:after="20" w:before="20"/>
              <w:jc w:val="center"/>
            </w:pPr>
            <w:r/>
            <w:r>
              <w:rPr>
                <w:sz w:val="18"/>
              </w:rPr>
              <w:t>Range across lenses</w:t>
            </w:r>
          </w:p>
        </w:tc>
        <w:tc>
          <w:tcPr>
            <w:tcW w:type="dxa" w:w="2808"/>
          </w:tcPr>
          <w:p>
            <w:pPr>
              <w:spacing w:after="20" w:before="20"/>
              <w:jc w:val="center"/>
            </w:pPr>
            <w:r/>
            <w:r>
              <w:rPr>
                <w:sz w:val="18"/>
              </w:rPr>
              <w:t>AED 8.14 – 11.20</w:t>
            </w:r>
          </w:p>
        </w:tc>
      </w:tr>
      <w:tr>
        <w:tc>
          <w:tcPr>
            <w:tcW w:type="dxa" w:w="2376"/>
          </w:tcPr>
          <w:p>
            <w:pPr>
              <w:spacing w:after="20" w:before="20"/>
            </w:pPr>
            <w:r/>
            <w:r>
              <w:rPr>
                <w:b/>
                <w:sz w:val="18"/>
              </w:rPr>
              <w:t>Market cap</w:t>
            </w:r>
          </w:p>
        </w:tc>
        <w:tc>
          <w:tcPr>
            <w:tcW w:type="dxa" w:w="2808"/>
          </w:tcPr>
          <w:p>
            <w:pPr>
              <w:spacing w:after="20" w:before="20"/>
              <w:jc w:val="center"/>
            </w:pPr>
            <w:r/>
            <w:r>
              <w:rPr>
                <w:sz w:val="18"/>
              </w:rPr>
              <w:t>AED 55.8bn (~US$15.2bn)</w:t>
            </w:r>
          </w:p>
        </w:tc>
        <w:tc>
          <w:tcPr>
            <w:tcW w:type="dxa" w:w="2232"/>
          </w:tcPr>
          <w:p>
            <w:pPr>
              <w:spacing w:after="20" w:before="20"/>
              <w:jc w:val="center"/>
            </w:pPr>
            <w:r/>
            <w:r>
              <w:rPr>
                <w:sz w:val="18"/>
              </w:rPr>
              <w:t>Ke (war-adjusted)</w:t>
            </w:r>
          </w:p>
        </w:tc>
        <w:tc>
          <w:tcPr>
            <w:tcW w:type="dxa" w:w="2808"/>
          </w:tcPr>
          <w:p>
            <w:pPr>
              <w:spacing w:after="20" w:before="20"/>
              <w:jc w:val="center"/>
            </w:pPr>
            <w:r/>
            <w:r>
              <w:rPr>
                <w:sz w:val="18"/>
              </w:rPr>
              <w:t>10.57%  (rf 4.70% + β 1.00 × ERP 4.87% + 1.0pt)</w:t>
            </w:r>
          </w:p>
        </w:tc>
      </w:tr>
      <w:tr>
        <w:tc>
          <w:tcPr>
            <w:tcW w:type="dxa" w:w="2376"/>
          </w:tcPr>
          <w:p>
            <w:pPr>
              <w:spacing w:after="20" w:before="20"/>
            </w:pPr>
            <w:r/>
            <w:r>
              <w:rPr>
                <w:b/>
                <w:sz w:val="18"/>
              </w:rPr>
              <w:t>FY25 net profit</w:t>
            </w:r>
          </w:p>
        </w:tc>
        <w:tc>
          <w:tcPr>
            <w:tcW w:type="dxa" w:w="2808"/>
          </w:tcPr>
          <w:p>
            <w:pPr>
              <w:spacing w:after="20" w:before="20"/>
              <w:jc w:val="center"/>
            </w:pPr>
            <w:r/>
            <w:r>
              <w:rPr>
                <w:sz w:val="18"/>
              </w:rPr>
              <w:t>AED 7,807mn (−4% rep. / +18% norm.)</w:t>
            </w:r>
          </w:p>
        </w:tc>
        <w:tc>
          <w:tcPr>
            <w:tcW w:type="dxa" w:w="2232"/>
          </w:tcPr>
          <w:p>
            <w:pPr>
              <w:spacing w:after="20" w:before="20"/>
              <w:jc w:val="center"/>
            </w:pPr>
            <w:r/>
            <w:r>
              <w:rPr>
                <w:sz w:val="18"/>
              </w:rPr>
              <w:t>Trailing P/E · P/B</w:t>
            </w:r>
          </w:p>
        </w:tc>
        <w:tc>
          <w:tcPr>
            <w:tcW w:type="dxa" w:w="2808"/>
          </w:tcPr>
          <w:p>
            <w:pPr>
              <w:spacing w:after="20" w:before="20"/>
              <w:jc w:val="center"/>
            </w:pPr>
            <w:r/>
            <w:r>
              <w:rPr>
                <w:sz w:val="18"/>
              </w:rPr>
              <w:t>7.9x · 1.31x</w:t>
            </w:r>
          </w:p>
        </w:tc>
      </w:tr>
      <w:tr>
        <w:tc>
          <w:tcPr>
            <w:tcW w:type="dxa" w:w="2376"/>
          </w:tcPr>
          <w:p>
            <w:pPr>
              <w:spacing w:after="20" w:before="20"/>
            </w:pPr>
            <w:r/>
            <w:r>
              <w:rPr>
                <w:b/>
                <w:sz w:val="18"/>
              </w:rPr>
              <w:t>FY25 EPS · BVPS</w:t>
            </w:r>
          </w:p>
        </w:tc>
        <w:tc>
          <w:tcPr>
            <w:tcW w:type="dxa" w:w="2808"/>
          </w:tcPr>
          <w:p>
            <w:pPr>
              <w:spacing w:after="20" w:before="20"/>
              <w:jc w:val="center"/>
            </w:pPr>
            <w:r/>
            <w:r>
              <w:rPr>
                <w:sz w:val="18"/>
              </w:rPr>
              <w:t>AED 0.98 · AED 5.89</w:t>
            </w:r>
          </w:p>
        </w:tc>
        <w:tc>
          <w:tcPr>
            <w:tcW w:type="dxa" w:w="2232"/>
          </w:tcPr>
          <w:p>
            <w:pPr>
              <w:spacing w:after="20" w:before="20"/>
              <w:jc w:val="center"/>
            </w:pPr>
            <w:r/>
            <w:r>
              <w:rPr>
                <w:sz w:val="18"/>
              </w:rPr>
              <w:t>FY25 DPS · yield</w:t>
            </w:r>
          </w:p>
        </w:tc>
        <w:tc>
          <w:tcPr>
            <w:tcW w:type="dxa" w:w="2808"/>
          </w:tcPr>
          <w:p>
            <w:pPr>
              <w:spacing w:after="20" w:before="20"/>
              <w:jc w:val="center"/>
            </w:pPr>
            <w:r/>
            <w:r>
              <w:rPr>
                <w:sz w:val="18"/>
              </w:rPr>
              <w:t>AED 0.35 (cut from 0.45) · 4.5%</w:t>
            </w:r>
          </w:p>
        </w:tc>
      </w:tr>
      <w:tr>
        <w:tc>
          <w:tcPr>
            <w:tcW w:type="dxa" w:w="2376"/>
            <w:shd w:val="clear" w:fill="F6DDDA"/>
          </w:tcPr>
          <w:p>
            <w:pPr>
              <w:spacing w:after="20" w:before="20"/>
            </w:pPr>
            <w:r/>
            <w:r>
              <w:rPr>
                <w:b/>
                <w:sz w:val="18"/>
              </w:rPr>
              <w:t>FY25 RoTE (DIB disclosed)</w:t>
            </w:r>
          </w:p>
        </w:tc>
        <w:tc>
          <w:tcPr>
            <w:tcW w:type="dxa" w:w="2808"/>
            <w:shd w:val="clear" w:fill="F6DDDA"/>
          </w:tcPr>
          <w:p>
            <w:pPr>
              <w:spacing w:after="20" w:before="20"/>
              <w:jc w:val="center"/>
            </w:pPr>
            <w:r/>
            <w:r>
              <w:rPr>
                <w:sz w:val="18"/>
              </w:rPr>
              <w:t>19% post-tax · 22% pre-tax</w:t>
            </w:r>
          </w:p>
        </w:tc>
        <w:tc>
          <w:tcPr>
            <w:tcW w:type="dxa" w:w="2232"/>
            <w:shd w:val="clear" w:fill="F6DDDA"/>
          </w:tcPr>
          <w:p>
            <w:pPr>
              <w:spacing w:after="20" w:before="20"/>
              <w:jc w:val="center"/>
            </w:pPr>
            <w:r/>
            <w:r>
              <w:rPr>
                <w:sz w:val="18"/>
              </w:rPr>
              <w:t>Calibration tier</w:t>
            </w:r>
          </w:p>
        </w:tc>
        <w:tc>
          <w:tcPr>
            <w:tcW w:type="dxa" w:w="2808"/>
            <w:shd w:val="clear" w:fill="F6DDDA"/>
          </w:tcPr>
          <w:p>
            <w:pPr>
              <w:spacing w:after="20" w:before="20"/>
              <w:jc w:val="center"/>
            </w:pPr>
            <w:r/>
            <w:r>
              <w:rPr>
                <w:sz w:val="18"/>
              </w:rPr>
              <w:t>FAILED — no forecast published</w:t>
            </w:r>
          </w:p>
        </w:tc>
      </w:tr>
      <w:tr>
        <w:tc>
          <w:tcPr>
            <w:tcW w:type="dxa" w:w="2376"/>
          </w:tcPr>
          <w:p>
            <w:pPr>
              <w:spacing w:after="20" w:before="20"/>
            </w:pPr>
            <w:r/>
            <w:r>
              <w:rPr>
                <w:b/>
                <w:sz w:val="18"/>
              </w:rPr>
              <w:t>CET1 / CAR (Q1-26)</w:t>
            </w:r>
          </w:p>
        </w:tc>
        <w:tc>
          <w:tcPr>
            <w:tcW w:type="dxa" w:w="2808"/>
          </w:tcPr>
          <w:p>
            <w:pPr>
              <w:spacing w:after="20" w:before="20"/>
              <w:jc w:val="center"/>
            </w:pPr>
            <w:r/>
            <w:r>
              <w:rPr>
                <w:sz w:val="18"/>
              </w:rPr>
              <w:t>12.6% / 15.8%</w:t>
            </w:r>
          </w:p>
        </w:tc>
        <w:tc>
          <w:tcPr>
            <w:tcW w:type="dxa" w:w="2232"/>
          </w:tcPr>
          <w:p>
            <w:pPr>
              <w:spacing w:after="20" w:before="20"/>
              <w:jc w:val="center"/>
            </w:pPr>
            <w:r/>
            <w:r>
              <w:rPr>
                <w:sz w:val="18"/>
              </w:rPr>
              <w:t>RWA / CET1 capital (Dec-25)</w:t>
            </w:r>
          </w:p>
        </w:tc>
        <w:tc>
          <w:tcPr>
            <w:tcW w:type="dxa" w:w="2808"/>
          </w:tcPr>
          <w:p>
            <w:pPr>
              <w:spacing w:after="20" w:before="20"/>
              <w:jc w:val="center"/>
            </w:pPr>
            <w:r/>
            <w:r>
              <w:rPr>
                <w:sz w:val="18"/>
              </w:rPr>
              <w:t>AED 298.9bn / 36.9bn (disclosed)</w:t>
            </w:r>
          </w:p>
        </w:tc>
      </w:tr>
      <w:tr>
        <w:tc>
          <w:tcPr>
            <w:tcW w:type="dxa" w:w="2376"/>
          </w:tcPr>
          <w:p>
            <w:pPr>
              <w:spacing w:after="20" w:before="20"/>
            </w:pPr>
            <w:r/>
            <w:r>
              <w:rPr>
                <w:b/>
                <w:sz w:val="18"/>
              </w:rPr>
              <w:t>NPF / total cov / cash cov (Q1-26)</w:t>
            </w:r>
          </w:p>
        </w:tc>
        <w:tc>
          <w:tcPr>
            <w:tcW w:type="dxa" w:w="2808"/>
          </w:tcPr>
          <w:p>
            <w:pPr>
              <w:spacing w:after="20" w:before="20"/>
              <w:jc w:val="center"/>
            </w:pPr>
            <w:r/>
            <w:r>
              <w:rPr>
                <w:sz w:val="18"/>
              </w:rPr>
              <w:t>2.5% / 160% / 122%</w:t>
            </w:r>
          </w:p>
        </w:tc>
        <w:tc>
          <w:tcPr>
            <w:tcW w:type="dxa" w:w="2232"/>
          </w:tcPr>
          <w:p>
            <w:pPr>
              <w:spacing w:after="20" w:before="20"/>
              <w:jc w:val="center"/>
            </w:pPr>
            <w:r/>
            <w:r>
              <w:rPr>
                <w:sz w:val="18"/>
              </w:rPr>
              <w:t>From the Feb-2026 high</w:t>
            </w:r>
          </w:p>
        </w:tc>
        <w:tc>
          <w:tcPr>
            <w:tcW w:type="dxa" w:w="2808"/>
          </w:tcPr>
          <w:p>
            <w:pPr>
              <w:spacing w:after="20" w:before="20"/>
              <w:jc w:val="center"/>
            </w:pPr>
            <w:r/>
            <w:r>
              <w:rPr>
                <w:sz w:val="18"/>
              </w:rPr>
              <w:t>-24.3%</w:t>
            </w:r>
          </w:p>
        </w:tc>
      </w:tr>
    </w:tbl>
    <w:p>
      <w:pPr>
        <w:spacing w:after="60"/>
      </w:pPr>
    </w:p>
    <w:p>
      <w:pPr>
        <w:spacing w:after="160" w:before="40"/>
      </w:pPr>
      <w:r>
        <w:rPr>
          <w:b w:val="0"/>
          <w:i/>
          <w:color w:val="6E7B77"/>
          <w:sz w:val="16"/>
        </w:rPr>
        <w:t>Shaded pink: the test failed on this design (see §3.1).</w:t>
      </w:r>
    </w:p>
    <w:p>
      <w:pPr>
        <w:spacing w:after="120" w:before="0"/>
      </w:pPr>
      <w:r>
        <w:rPr>
          <w:b w:val="0"/>
          <w:i/>
          <w:color w:val="6E7B77"/>
          <w:sz w:val="17"/>
        </w:rPr>
        <w:t>Sources: DIB FY2025 audited consolidated financial statements, FY25 and Q1-2026 results releases; Testahil model. Per-share figures on 7,227mn shares (7,240.7mn issued less treasury).</w:t>
      </w:r>
    </w:p>
    <w:p>
      <w:pPr>
        <w:spacing w:after="100" w:before="260"/>
      </w:pPr>
      <w:r>
        <w:rPr>
          <w:b/>
          <w:i w:val="0"/>
          <w:color w:val="1C3A36"/>
          <w:sz w:val="26"/>
        </w:rPr>
        <w:t>Headline</w:t>
      </w:r>
    </w:p>
    <w:p>
      <w:pPr>
        <w:spacing w:after="120" w:before="0"/>
      </w:pPr>
      <w:r>
        <w:rPr>
          <w:b w:val="0"/>
          <w:i w:val="0"/>
          <w:sz w:val="21"/>
        </w:rPr>
        <w:t>Five independent lenses put DIB between AED 8.14 and AED 11.20, with a weighted central of AED 10.18 — some 32% above the 03-July close of AED 7.72, and that is after charging a full percentage point of war-risk premium to the cost of equity. What makes DIB unusual is that every lens sits above the price, including the market-anchored one: at AED 7.72 the bank trades on 1.31× book and 7.9× trailing earnings, against a 19% return on tangible equity (DIB's own disclosure; 22% pre-tax). Abu Dhabi Commercial Bank, on a comparable return, traded at 1.52× book on the identical day.</w:t>
      </w:r>
    </w:p>
    <w:p>
      <w:pPr>
        <w:spacing w:after="120" w:before="0"/>
      </w:pPr>
      <w:r>
        <w:rPr>
          <w:b w:val="0"/>
          <w:i w:val="0"/>
          <w:sz w:val="21"/>
        </w:rPr>
        <w:t>The de-rating is real and it is recent. DIB hit an all-time high of AED 10.20 on 9 February 2026. The FY25 results landed the next morning, and the session after that the stock fell 8.6% on 33 million shares — five times normal volume. That happened on 11 February. The war did not start until 28 February. So the first, and larger, leg of this de-rating was not geopolitics: it was the market reading a headline that said net profit fell 4%, a net profit margin down from 3.0% to 2.6%, CET1 down to 12.3%, and a dividend cut from 45 fils to 35. Then the war took it the rest of the way, to AED 7.09 in April.</w:t>
      </w:r>
    </w:p>
    <w:p>
      <w:pPr>
        <w:spacing w:after="120" w:before="0"/>
      </w:pPr>
      <w:r>
        <w:rPr>
          <w:b w:val="0"/>
          <w:i w:val="0"/>
          <w:sz w:val="21"/>
        </w:rPr>
        <w:t>The honest counter-argument is the capital equation, and it is a real one (§1.8). DIB cut its dividend once already, to fund 21% asset growth, and it did so from a CET1 ratio that is thin by UAE standards. Margin is still falling and the cost of risk has already tripled off a benign base. If both squeeze at once, the buffer goes — and the board faces a second cut. That is the question this study is really about.</w:t>
      </w:r>
    </w:p>
    <w:p>
      <w:pPr>
        <w:spacing w:after="100" w:before="260"/>
      </w:pPr>
      <w:r>
        <w:rPr>
          <w:b/>
          <w:i w:val="0"/>
          <w:color w:val="1C3A36"/>
          <w:sz w:val="26"/>
        </w:rPr>
        <w:t>Valuation summary</w:t>
      </w:r>
    </w:p>
    <w:p>
      <w:pPr>
        <w:spacing w:after="120" w:before="0"/>
      </w:pPr>
      <w:r>
        <w:rPr>
          <w:b w:val="0"/>
          <w:i w:val="0"/>
          <w:sz w:val="21"/>
        </w:rPr>
        <w:t>The whole answer in one view. Five independent methods value DIB; the table shows what each is worth, the weighted central that combines them, and how that sits against today's price.</w:t>
      </w:r>
    </w:p>
    <w:tbl>
      <w:tblPr>
        <w:tblStyle w:val="TableGrid"/>
        <w:tblW w:type="auto" w:w="0"/>
        <w:jc w:val="center"/>
        <w:tblLook w:firstColumn="1" w:firstRow="1" w:lastColumn="0" w:lastRow="0" w:noHBand="0" w:noVBand="1" w:val="04A0"/>
      </w:tblPr>
      <w:tblGrid>
        <w:gridCol w:w="4997"/>
        <w:gridCol w:w="4997"/>
      </w:tblGrid>
      <w:tr>
        <w:tc>
          <w:tcPr>
            <w:tcW w:type="dxa" w:w="6192"/>
            <w:shd w:val="clear" w:fill="1C3A36"/>
          </w:tcPr>
          <w:p>
            <w:pPr>
              <w:spacing w:after="20" w:before="20"/>
            </w:pPr>
            <w:r/>
            <w:r>
              <w:rPr>
                <w:b/>
                <w:color w:val="FFFFFF"/>
                <w:sz w:val="18"/>
              </w:rPr>
              <w:t>The bottom line</w:t>
            </w:r>
          </w:p>
        </w:tc>
        <w:tc>
          <w:tcPr>
            <w:tcW w:type="dxa" w:w="3744"/>
            <w:shd w:val="clear" w:fill="1C3A36"/>
          </w:tcPr>
          <w:p>
            <w:pPr>
              <w:spacing w:after="20" w:before="20"/>
              <w:jc w:val="center"/>
            </w:pPr>
            <w:r/>
            <w:r>
              <w:rPr>
                <w:b/>
                <w:color w:val="FFFFFF"/>
                <w:sz w:val="18"/>
              </w:rPr>
            </w:r>
          </w:p>
        </w:tc>
      </w:tr>
      <w:tr>
        <w:tc>
          <w:tcPr>
            <w:tcW w:type="dxa" w:w="6192"/>
          </w:tcPr>
          <w:p>
            <w:pPr>
              <w:spacing w:after="20" w:before="20"/>
            </w:pPr>
            <w:r/>
            <w:r>
              <w:rPr>
                <w:b/>
                <w:sz w:val="18"/>
              </w:rPr>
              <w:t>Fair-value range across the five lenses</w:t>
            </w:r>
          </w:p>
        </w:tc>
        <w:tc>
          <w:tcPr>
            <w:tcW w:type="dxa" w:w="3744"/>
          </w:tcPr>
          <w:p>
            <w:pPr>
              <w:spacing w:after="20" w:before="20"/>
              <w:jc w:val="center"/>
            </w:pPr>
            <w:r/>
            <w:r>
              <w:rPr>
                <w:sz w:val="18"/>
              </w:rPr>
              <w:t>AED 8.14 – 11.20</w:t>
            </w:r>
          </w:p>
        </w:tc>
      </w:tr>
      <w:tr>
        <w:tc>
          <w:tcPr>
            <w:tcW w:type="dxa" w:w="6192"/>
          </w:tcPr>
          <w:p>
            <w:pPr>
              <w:spacing w:after="20" w:before="20"/>
            </w:pPr>
            <w:r/>
            <w:r>
              <w:rPr>
                <w:b/>
                <w:sz w:val="18"/>
              </w:rPr>
              <w:t>Weighted central (risk-adjusted, ~12-month anchor)</w:t>
            </w:r>
          </w:p>
        </w:tc>
        <w:tc>
          <w:tcPr>
            <w:tcW w:type="dxa" w:w="3744"/>
          </w:tcPr>
          <w:p>
            <w:pPr>
              <w:spacing w:after="20" w:before="20"/>
              <w:jc w:val="center"/>
            </w:pPr>
            <w:r/>
            <w:r>
              <w:rPr>
                <w:sz w:val="18"/>
              </w:rPr>
              <w:t>AED 10.18</w:t>
            </w:r>
          </w:p>
        </w:tc>
      </w:tr>
      <w:tr>
        <w:tc>
          <w:tcPr>
            <w:tcW w:type="dxa" w:w="6192"/>
            <w:shd w:val="clear" w:fill="F6F1E6"/>
          </w:tcPr>
          <w:p>
            <w:pPr>
              <w:spacing w:after="20" w:before="20"/>
            </w:pPr>
            <w:r/>
            <w:r>
              <w:rPr>
                <w:b/>
                <w:sz w:val="18"/>
              </w:rPr>
              <w:t>Current price (03-Jul-2026 close)</w:t>
            </w:r>
          </w:p>
        </w:tc>
        <w:tc>
          <w:tcPr>
            <w:tcW w:type="dxa" w:w="3744"/>
            <w:shd w:val="clear" w:fill="F6F1E6"/>
          </w:tcPr>
          <w:p>
            <w:pPr>
              <w:spacing w:after="20" w:before="20"/>
              <w:jc w:val="center"/>
            </w:pPr>
            <w:r/>
            <w:r>
              <w:rPr>
                <w:b/>
                <w:sz w:val="18"/>
              </w:rPr>
              <w:t>AED 7.72</w:t>
            </w:r>
          </w:p>
        </w:tc>
      </w:tr>
      <w:tr>
        <w:tc>
          <w:tcPr>
            <w:tcW w:type="dxa" w:w="6192"/>
          </w:tcPr>
          <w:p>
            <w:pPr>
              <w:spacing w:after="20" w:before="20"/>
            </w:pPr>
            <w:r/>
            <w:r>
              <w:rPr>
                <w:b/>
                <w:sz w:val="18"/>
              </w:rPr>
              <w:t>Implied gap to central</w:t>
            </w:r>
          </w:p>
        </w:tc>
        <w:tc>
          <w:tcPr>
            <w:tcW w:type="dxa" w:w="3744"/>
          </w:tcPr>
          <w:p>
            <w:pPr>
              <w:spacing w:after="20" w:before="20"/>
              <w:jc w:val="center"/>
            </w:pPr>
            <w:r/>
            <w:r>
              <w:rPr>
                <w:sz w:val="18"/>
              </w:rPr>
              <w:t>+32%</w:t>
            </w:r>
          </w:p>
        </w:tc>
      </w:tr>
      <w:tr>
        <w:tc>
          <w:tcPr>
            <w:tcW w:type="dxa" w:w="6192"/>
          </w:tcPr>
          <w:p>
            <w:pPr>
              <w:spacing w:after="20" w:before="20"/>
            </w:pPr>
            <w:r/>
            <w:r>
              <w:rPr>
                <w:b/>
                <w:sz w:val="18"/>
              </w:rPr>
              <w:t>Price since the data cut (09-Jul, aggregator)</w:t>
            </w:r>
          </w:p>
        </w:tc>
        <w:tc>
          <w:tcPr>
            <w:tcW w:type="dxa" w:w="3744"/>
          </w:tcPr>
          <w:p>
            <w:pPr>
              <w:spacing w:after="20" w:before="20"/>
              <w:jc w:val="center"/>
            </w:pPr>
            <w:r/>
            <w:r>
              <w:rPr>
                <w:sz w:val="18"/>
              </w:rPr>
              <w:t>AED 7.54  →  gap +35%</w:t>
            </w:r>
          </w:p>
        </w:tc>
      </w:tr>
      <w:tr>
        <w:tc>
          <w:tcPr>
            <w:tcW w:type="dxa" w:w="6192"/>
          </w:tcPr>
          <w:p>
            <w:pPr>
              <w:spacing w:after="20" w:before="20"/>
            </w:pPr>
            <w:r/>
            <w:r>
              <w:rPr>
                <w:b/>
                <w:sz w:val="18"/>
              </w:rPr>
              <w:t>Upper reference — peace-time cost of equity (adder = 0)</w:t>
            </w:r>
          </w:p>
        </w:tc>
        <w:tc>
          <w:tcPr>
            <w:tcW w:type="dxa" w:w="3744"/>
          </w:tcPr>
          <w:p>
            <w:pPr>
              <w:spacing w:after="20" w:before="20"/>
              <w:jc w:val="center"/>
            </w:pPr>
            <w:r/>
            <w:r>
              <w:rPr>
                <w:sz w:val="18"/>
              </w:rPr>
              <w:t>AED 11.86</w:t>
            </w:r>
          </w:p>
        </w:tc>
      </w:tr>
      <w:tr>
        <w:tc>
          <w:tcPr>
            <w:tcW w:type="dxa" w:w="6192"/>
          </w:tcPr>
          <w:p>
            <w:pPr>
              <w:spacing w:after="20" w:before="20"/>
            </w:pPr>
            <w:r/>
            <w:r>
              <w:rPr>
                <w:b/>
                <w:sz w:val="18"/>
              </w:rPr>
              <w:t>Lower reference — the market-anchored relative lens</w:t>
            </w:r>
          </w:p>
        </w:tc>
        <w:tc>
          <w:tcPr>
            <w:tcW w:type="dxa" w:w="3744"/>
          </w:tcPr>
          <w:p>
            <w:pPr>
              <w:spacing w:after="20" w:before="20"/>
              <w:jc w:val="center"/>
            </w:pPr>
            <w:r/>
            <w:r>
              <w:rPr>
                <w:sz w:val="18"/>
              </w:rPr>
              <w:t>AED 8.14</w:t>
            </w:r>
          </w:p>
        </w:tc>
      </w:tr>
      <w:tr>
        <w:tc>
          <w:tcPr>
            <w:tcW w:type="dxa" w:w="6192"/>
            <w:shd w:val="clear" w:fill="F6DDDA"/>
          </w:tcPr>
          <w:p>
            <w:pPr>
              <w:spacing w:after="20" w:before="20"/>
            </w:pPr>
            <w:r/>
            <w:r>
              <w:rPr>
                <w:b/>
                <w:sz w:val="18"/>
              </w:rPr>
              <w:t>Three-month view</w:t>
            </w:r>
          </w:p>
        </w:tc>
        <w:tc>
          <w:tcPr>
            <w:tcW w:type="dxa" w:w="3744"/>
            <w:shd w:val="clear" w:fill="F6DDDA"/>
          </w:tcPr>
          <w:p>
            <w:pPr>
              <w:spacing w:after="20" w:before="20"/>
              <w:jc w:val="center"/>
            </w:pPr>
            <w:r/>
            <w:r>
              <w:rPr>
                <w:b/>
                <w:sz w:val="18"/>
              </w:rPr>
              <w:t>NOT PUBLISHED — the calibration test failed (§3)</w:t>
            </w:r>
          </w:p>
        </w:tc>
      </w:tr>
    </w:tbl>
    <w:p>
      <w:pPr>
        <w:spacing w:after="60"/>
      </w:pPr>
    </w:p>
    <w:p>
      <w:pPr>
        <w:spacing w:after="160" w:before="40"/>
      </w:pPr>
      <w:r>
        <w:rPr>
          <w:b w:val="0"/>
          <w:i/>
          <w:color w:val="6E7B77"/>
          <w:sz w:val="16"/>
        </w:rPr>
        <w:t>Shaded cream: today's actual price, for reference against the fair-value rows above and below it. Shaded pink: the calibration test failed, so no three-month forecast is published.</w:t>
      </w:r>
    </w:p>
    <w:tbl>
      <w:tblPr>
        <w:tblStyle w:val="TableGrid"/>
        <w:tblW w:type="auto" w:w="0"/>
        <w:jc w:val="center"/>
        <w:tblLook w:firstColumn="1" w:firstRow="1" w:lastColumn="0" w:lastRow="0" w:noHBand="0" w:noVBand="1" w:val="04A0"/>
      </w:tblPr>
      <w:tblGrid>
        <w:gridCol w:w="3331"/>
        <w:gridCol w:w="3331"/>
        <w:gridCol w:w="3331"/>
      </w:tblGrid>
      <w:tr>
        <w:tc>
          <w:tcPr>
            <w:tcW w:type="dxa" w:w="2736"/>
            <w:shd w:val="clear" w:fill="1C3A36"/>
          </w:tcPr>
          <w:p>
            <w:pPr>
              <w:spacing w:after="20" w:before="20"/>
            </w:pPr>
            <w:r/>
            <w:r>
              <w:rPr>
                <w:b/>
                <w:color w:val="FFFFFF"/>
                <w:sz w:val="18"/>
              </w:rPr>
              <w:t>Lens</w:t>
            </w:r>
          </w:p>
        </w:tc>
        <w:tc>
          <w:tcPr>
            <w:tcW w:type="dxa" w:w="1584"/>
            <w:shd w:val="clear" w:fill="1C3A36"/>
          </w:tcPr>
          <w:p>
            <w:pPr>
              <w:spacing w:after="20" w:before="20"/>
              <w:jc w:val="center"/>
            </w:pPr>
            <w:r/>
            <w:r>
              <w:rPr>
                <w:b/>
                <w:color w:val="FFFFFF"/>
                <w:sz w:val="18"/>
              </w:rPr>
              <w:t>Value (AED)</w:t>
            </w:r>
          </w:p>
        </w:tc>
        <w:tc>
          <w:tcPr>
            <w:tcW w:type="dxa" w:w="5760"/>
            <w:shd w:val="clear" w:fill="1C3A36"/>
          </w:tcPr>
          <w:p>
            <w:pPr>
              <w:spacing w:after="20" w:before="20"/>
              <w:jc w:val="center"/>
            </w:pPr>
            <w:r/>
            <w:r>
              <w:rPr>
                <w:b/>
                <w:color w:val="FFFFFF"/>
                <w:sz w:val="18"/>
              </w:rPr>
              <w:t>What it prices</w:t>
            </w:r>
          </w:p>
        </w:tc>
      </w:tr>
      <w:tr>
        <w:tc>
          <w:tcPr>
            <w:tcW w:type="dxa" w:w="2736"/>
          </w:tcPr>
          <w:p>
            <w:pPr>
              <w:spacing w:after="20" w:before="20"/>
            </w:pPr>
            <w:r/>
            <w:r>
              <w:rPr>
                <w:b/>
                <w:sz w:val="18"/>
              </w:rPr>
              <w:t>Residual income</w:t>
            </w:r>
          </w:p>
        </w:tc>
        <w:tc>
          <w:tcPr>
            <w:tcW w:type="dxa" w:w="1584"/>
          </w:tcPr>
          <w:p>
            <w:pPr>
              <w:spacing w:after="20" w:before="20"/>
              <w:jc w:val="center"/>
            </w:pPr>
            <w:r/>
            <w:r>
              <w:rPr>
                <w:sz w:val="18"/>
              </w:rPr>
              <w:t>11.20</w:t>
            </w:r>
          </w:p>
        </w:tc>
        <w:tc>
          <w:tcPr>
            <w:tcW w:type="dxa" w:w="5760"/>
          </w:tcPr>
          <w:p>
            <w:pPr>
              <w:spacing w:after="20" w:before="20"/>
              <w:jc w:val="center"/>
            </w:pPr>
            <w:r/>
            <w:r>
              <w:rPr>
                <w:sz w:val="18"/>
              </w:rPr>
              <w:t>Today's book value plus the value of returns above the cost of equity</w:t>
            </w:r>
          </w:p>
        </w:tc>
      </w:tr>
      <w:tr>
        <w:tc>
          <w:tcPr>
            <w:tcW w:type="dxa" w:w="2736"/>
          </w:tcPr>
          <w:p>
            <w:pPr>
              <w:spacing w:after="20" w:before="20"/>
            </w:pPr>
            <w:r/>
            <w:r>
              <w:rPr>
                <w:b/>
                <w:sz w:val="18"/>
              </w:rPr>
              <w:t>Dividend discount model</w:t>
            </w:r>
          </w:p>
        </w:tc>
        <w:tc>
          <w:tcPr>
            <w:tcW w:type="dxa" w:w="1584"/>
          </w:tcPr>
          <w:p>
            <w:pPr>
              <w:spacing w:after="20" w:before="20"/>
              <w:jc w:val="center"/>
            </w:pPr>
            <w:r/>
            <w:r>
              <w:rPr>
                <w:sz w:val="18"/>
              </w:rPr>
              <w:t>10.90</w:t>
            </w:r>
          </w:p>
        </w:tc>
        <w:tc>
          <w:tcPr>
            <w:tcW w:type="dxa" w:w="5760"/>
          </w:tcPr>
          <w:p>
            <w:pPr>
              <w:spacing w:after="20" w:before="20"/>
              <w:jc w:val="center"/>
            </w:pPr>
            <w:r/>
            <w:r>
              <w:rPr>
                <w:sz w:val="18"/>
              </w:rPr>
              <w:t>The dividend the board will actually pay, after the cut</w:t>
            </w:r>
          </w:p>
        </w:tc>
      </w:tr>
      <w:tr>
        <w:tc>
          <w:tcPr>
            <w:tcW w:type="dxa" w:w="2736"/>
          </w:tcPr>
          <w:p>
            <w:pPr>
              <w:spacing w:after="20" w:before="20"/>
            </w:pPr>
            <w:r/>
            <w:r>
              <w:rPr>
                <w:b/>
                <w:sz w:val="18"/>
              </w:rPr>
              <w:t>Equity DCF (FCFE)</w:t>
            </w:r>
          </w:p>
        </w:tc>
        <w:tc>
          <w:tcPr>
            <w:tcW w:type="dxa" w:w="1584"/>
          </w:tcPr>
          <w:p>
            <w:pPr>
              <w:spacing w:after="20" w:before="20"/>
              <w:jc w:val="center"/>
            </w:pPr>
            <w:r/>
            <w:r>
              <w:rPr>
                <w:sz w:val="18"/>
              </w:rPr>
              <w:t>10.44</w:t>
            </w:r>
          </w:p>
        </w:tc>
        <w:tc>
          <w:tcPr>
            <w:tcW w:type="dxa" w:w="5760"/>
          </w:tcPr>
          <w:p>
            <w:pPr>
              <w:spacing w:after="20" w:before="20"/>
              <w:jc w:val="center"/>
            </w:pPr>
            <w:r/>
            <w:r>
              <w:rPr>
                <w:sz w:val="18"/>
              </w:rPr>
              <w:t>Cash the bank could distribute after funding its own growth</w:t>
            </w:r>
          </w:p>
        </w:tc>
      </w:tr>
      <w:tr>
        <w:tc>
          <w:tcPr>
            <w:tcW w:type="dxa" w:w="2736"/>
          </w:tcPr>
          <w:p>
            <w:pPr>
              <w:spacing w:after="20" w:before="20"/>
            </w:pPr>
            <w:r/>
            <w:r>
              <w:rPr>
                <w:b/>
                <w:sz w:val="18"/>
              </w:rPr>
              <w:t>Normalized (through-cycle)</w:t>
            </w:r>
          </w:p>
        </w:tc>
        <w:tc>
          <w:tcPr>
            <w:tcW w:type="dxa" w:w="1584"/>
          </w:tcPr>
          <w:p>
            <w:pPr>
              <w:spacing w:after="20" w:before="20"/>
              <w:jc w:val="center"/>
            </w:pPr>
            <w:r/>
            <w:r>
              <w:rPr>
                <w:sz w:val="18"/>
              </w:rPr>
              <w:t>9.86</w:t>
            </w:r>
          </w:p>
        </w:tc>
        <w:tc>
          <w:tcPr>
            <w:tcW w:type="dxa" w:w="5760"/>
          </w:tcPr>
          <w:p>
            <w:pPr>
              <w:spacing w:after="20" w:before="20"/>
              <w:jc w:val="center"/>
            </w:pPr>
            <w:r/>
            <w:r>
              <w:rPr>
                <w:sz w:val="18"/>
              </w:rPr>
              <w:t>Mid-cycle earnings at the multiple their return on equity warrants</w:t>
            </w:r>
          </w:p>
        </w:tc>
      </w:tr>
      <w:tr>
        <w:tc>
          <w:tcPr>
            <w:tcW w:type="dxa" w:w="2736"/>
          </w:tcPr>
          <w:p>
            <w:pPr>
              <w:spacing w:after="20" w:before="20"/>
            </w:pPr>
            <w:r/>
            <w:r>
              <w:rPr>
                <w:b/>
                <w:sz w:val="18"/>
              </w:rPr>
              <w:t>Relative multiples</w:t>
            </w:r>
          </w:p>
        </w:tc>
        <w:tc>
          <w:tcPr>
            <w:tcW w:type="dxa" w:w="1584"/>
          </w:tcPr>
          <w:p>
            <w:pPr>
              <w:spacing w:after="20" w:before="20"/>
              <w:jc w:val="center"/>
            </w:pPr>
            <w:r/>
            <w:r>
              <w:rPr>
                <w:sz w:val="18"/>
              </w:rPr>
              <w:t>8.14</w:t>
            </w:r>
          </w:p>
        </w:tc>
        <w:tc>
          <w:tcPr>
            <w:tcW w:type="dxa" w:w="5760"/>
          </w:tcPr>
          <w:p>
            <w:pPr>
              <w:spacing w:after="20" w:before="20"/>
              <w:jc w:val="center"/>
            </w:pPr>
            <w:r/>
            <w:r>
              <w:rPr>
                <w:sz w:val="18"/>
              </w:rPr>
              <w:t>What comparable UAE banks trade at right now</w:t>
            </w:r>
          </w:p>
        </w:tc>
      </w:tr>
    </w:tbl>
    <w:p>
      <w:pPr>
        <w:spacing w:after="60"/>
      </w:pPr>
    </w:p>
    <w:p>
      <w:pPr>
        <w:spacing w:after="120" w:before="0"/>
      </w:pPr>
      <w:r>
        <w:rPr>
          <w:b w:val="0"/>
          <w:i w:val="0"/>
          <w:sz w:val="21"/>
        </w:rPr>
        <w:t>The three fundamental lenses cluster tightly at AED 10.44–11.20 — they are all counting the same excess-return engine three different ways. The two market-anchored lenses land lower, at AED 8.14 and AED 9.86, and they are the honest counterweight. The relative lens is built on a same-day, like-for-like comparison (§1.4): on the identical 03-July close, DIB traded at 1.31× book while ADCB — a bank with a comparable return on tangible equity — traded at 1.52×. That ~14% discount is struck on the same day at the same prices — not an artefact of comparing today's DIB price against an older set of peer multiples. The weighted central of AED 10.18 is a probability-weighted judgement across those regimes, not a claim that the truth lies politely in the middle.</w:t>
      </w:r>
    </w:p>
    <w:p>
      <w:pPr>
        <w:spacing w:after="100" w:before="260"/>
      </w:pPr>
      <w:r>
        <w:rPr>
          <w:b/>
          <w:i w:val="0"/>
          <w:color w:val="1C3A36"/>
          <w:sz w:val="26"/>
        </w:rPr>
        <w:t>1. Valuation</w:t>
      </w:r>
    </w:p>
    <w:p>
      <w:pPr>
        <w:spacing w:after="80" w:before="200"/>
      </w:pPr>
      <w:r>
        <w:rPr>
          <w:b/>
          <w:i w:val="0"/>
          <w:color w:val="1C3A36"/>
          <w:sz w:val="22"/>
        </w:rPr>
        <w:t>1.1  Dividend discount model — the primary lens</w:t>
      </w:r>
    </w:p>
    <w:p>
      <w:pPr>
        <w:spacing w:after="120" w:before="0"/>
      </w:pPr>
      <w:r>
        <w:rPr>
          <w:b w:val="0"/>
          <w:i w:val="0"/>
          <w:sz w:val="21"/>
        </w:rPr>
        <w:t>For a bank, deposits are an operating input rather than a financing choice, so enterprise-value arithmetic is meaningless: everything discounts at the cost of equity. The DDM leads for DIB because the dividend is the thing the market just repriced. The board cut it from 45 fils to 35 for FY25 — a 22% cut against a 6% fall in earnings — and paid AED 2.53bn at the April AGM. The payout has now fallen three years running, from 48% of attributable profit to 41% to 34%, because a balance sheet growing 21% a year eats retained earnings.</w:t>
      </w:r>
    </w:p>
    <w:p>
      <w:pPr>
        <w:spacing w:after="120" w:before="0"/>
      </w:pPr>
      <w:r>
        <w:rPr>
          <w:b w:val="0"/>
          <w:i w:val="0"/>
          <w:sz w:val="21"/>
        </w:rPr>
        <w:t>The schedule below does not let the dividend fall out as a plug. It holds DPS flat at the rebased 35 fils through the FY26 earnings dip — boards do not cut twice — and then lets it grow as financing growth halves from 22% to the guided ~10% and stops consuming so much capital. The payout stays in a narrow 40–44% band throughout. CET1 is then the output of that policy, not an input to it (§1.6).</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2880"/>
            <w:shd w:val="clear" w:fill="1C3A36"/>
          </w:tcPr>
          <w:p>
            <w:pPr>
              <w:spacing w:after="20" w:before="20"/>
            </w:pPr>
            <w:r/>
            <w:r>
              <w:rPr>
                <w:b/>
                <w:color w:val="FFFFFF"/>
                <w:sz w:val="18"/>
              </w:rPr>
              <w:t>AED / share</w:t>
            </w:r>
          </w:p>
        </w:tc>
        <w:tc>
          <w:tcPr>
            <w:tcW w:type="dxa" w:w="1411"/>
            <w:shd w:val="clear" w:fill="1C3A36"/>
          </w:tcPr>
          <w:p>
            <w:pPr>
              <w:spacing w:after="20" w:before="20"/>
              <w:jc w:val="center"/>
            </w:pPr>
            <w:r/>
            <w:r>
              <w:rPr>
                <w:b/>
                <w:color w:val="FFFFFF"/>
                <w:sz w:val="18"/>
              </w:rPr>
              <w:t>FY26E</w:t>
            </w:r>
          </w:p>
        </w:tc>
        <w:tc>
          <w:tcPr>
            <w:tcW w:type="dxa" w:w="1411"/>
            <w:shd w:val="clear" w:fill="1C3A36"/>
          </w:tcPr>
          <w:p>
            <w:pPr>
              <w:spacing w:after="20" w:before="20"/>
              <w:jc w:val="center"/>
            </w:pPr>
            <w:r/>
            <w:r>
              <w:rPr>
                <w:b/>
                <w:color w:val="FFFFFF"/>
                <w:sz w:val="18"/>
              </w:rPr>
              <w:t>FY27E</w:t>
            </w:r>
          </w:p>
        </w:tc>
        <w:tc>
          <w:tcPr>
            <w:tcW w:type="dxa" w:w="1411"/>
            <w:shd w:val="clear" w:fill="1C3A36"/>
          </w:tcPr>
          <w:p>
            <w:pPr>
              <w:spacing w:after="20" w:before="20"/>
              <w:jc w:val="center"/>
            </w:pPr>
            <w:r/>
            <w:r>
              <w:rPr>
                <w:b/>
                <w:color w:val="FFFFFF"/>
                <w:sz w:val="18"/>
              </w:rPr>
              <w:t>FY28E</w:t>
            </w:r>
          </w:p>
        </w:tc>
        <w:tc>
          <w:tcPr>
            <w:tcW w:type="dxa" w:w="1411"/>
            <w:shd w:val="clear" w:fill="1C3A36"/>
          </w:tcPr>
          <w:p>
            <w:pPr>
              <w:spacing w:after="20" w:before="20"/>
              <w:jc w:val="center"/>
            </w:pPr>
            <w:r/>
            <w:r>
              <w:rPr>
                <w:b/>
                <w:color w:val="FFFFFF"/>
                <w:sz w:val="18"/>
              </w:rPr>
              <w:t>FY29E</w:t>
            </w:r>
          </w:p>
        </w:tc>
        <w:tc>
          <w:tcPr>
            <w:tcW w:type="dxa" w:w="1411"/>
            <w:shd w:val="clear" w:fill="1C3A36"/>
          </w:tcPr>
          <w:p>
            <w:pPr>
              <w:spacing w:after="20" w:before="20"/>
              <w:jc w:val="center"/>
            </w:pPr>
            <w:r/>
            <w:r>
              <w:rPr>
                <w:b/>
                <w:color w:val="FFFFFF"/>
                <w:sz w:val="18"/>
              </w:rPr>
              <w:t>FY30E</w:t>
            </w:r>
          </w:p>
        </w:tc>
      </w:tr>
      <w:tr>
        <w:tc>
          <w:tcPr>
            <w:tcW w:type="dxa" w:w="2880"/>
          </w:tcPr>
          <w:p>
            <w:pPr>
              <w:spacing w:after="20" w:before="20"/>
            </w:pPr>
            <w:r/>
            <w:r>
              <w:rPr>
                <w:b/>
                <w:sz w:val="18"/>
              </w:rPr>
              <w:t>EPS</w:t>
            </w:r>
          </w:p>
        </w:tc>
        <w:tc>
          <w:tcPr>
            <w:tcW w:type="dxa" w:w="1411"/>
          </w:tcPr>
          <w:p>
            <w:pPr>
              <w:spacing w:after="20" w:before="20"/>
              <w:jc w:val="center"/>
            </w:pPr>
            <w:r/>
            <w:r>
              <w:rPr>
                <w:sz w:val="18"/>
              </w:rPr>
              <w:t>0.86</w:t>
            </w:r>
          </w:p>
        </w:tc>
        <w:tc>
          <w:tcPr>
            <w:tcW w:type="dxa" w:w="1411"/>
          </w:tcPr>
          <w:p>
            <w:pPr>
              <w:spacing w:after="20" w:before="20"/>
              <w:jc w:val="center"/>
            </w:pPr>
            <w:r/>
            <w:r>
              <w:rPr>
                <w:sz w:val="18"/>
              </w:rPr>
              <w:t>0.92</w:t>
            </w:r>
          </w:p>
        </w:tc>
        <w:tc>
          <w:tcPr>
            <w:tcW w:type="dxa" w:w="1411"/>
          </w:tcPr>
          <w:p>
            <w:pPr>
              <w:spacing w:after="20" w:before="20"/>
              <w:jc w:val="center"/>
            </w:pPr>
            <w:r/>
            <w:r>
              <w:rPr>
                <w:sz w:val="18"/>
              </w:rPr>
              <w:t>1.05</w:t>
            </w:r>
          </w:p>
        </w:tc>
        <w:tc>
          <w:tcPr>
            <w:tcW w:type="dxa" w:w="1411"/>
          </w:tcPr>
          <w:p>
            <w:pPr>
              <w:spacing w:after="20" w:before="20"/>
              <w:jc w:val="center"/>
            </w:pPr>
            <w:r/>
            <w:r>
              <w:rPr>
                <w:sz w:val="18"/>
              </w:rPr>
              <w:t>1.18</w:t>
            </w:r>
          </w:p>
        </w:tc>
        <w:tc>
          <w:tcPr>
            <w:tcW w:type="dxa" w:w="1411"/>
          </w:tcPr>
          <w:p>
            <w:pPr>
              <w:spacing w:after="20" w:before="20"/>
              <w:jc w:val="center"/>
            </w:pPr>
            <w:r/>
            <w:r>
              <w:rPr>
                <w:sz w:val="18"/>
              </w:rPr>
              <w:t>1.30</w:t>
            </w:r>
          </w:p>
        </w:tc>
      </w:tr>
      <w:tr>
        <w:tc>
          <w:tcPr>
            <w:tcW w:type="dxa" w:w="2880"/>
          </w:tcPr>
          <w:p>
            <w:pPr>
              <w:spacing w:after="20" w:before="20"/>
            </w:pPr>
            <w:r/>
            <w:r>
              <w:rPr>
                <w:b/>
                <w:sz w:val="18"/>
              </w:rPr>
              <w:t>Payout</w:t>
            </w:r>
          </w:p>
        </w:tc>
        <w:tc>
          <w:tcPr>
            <w:tcW w:type="dxa" w:w="1411"/>
          </w:tcPr>
          <w:p>
            <w:pPr>
              <w:spacing w:after="20" w:before="20"/>
              <w:jc w:val="center"/>
            </w:pPr>
            <w:r/>
            <w:r>
              <w:rPr>
                <w:sz w:val="18"/>
              </w:rPr>
              <w:t>41%</w:t>
            </w:r>
          </w:p>
        </w:tc>
        <w:tc>
          <w:tcPr>
            <w:tcW w:type="dxa" w:w="1411"/>
          </w:tcPr>
          <w:p>
            <w:pPr>
              <w:spacing w:after="20" w:before="20"/>
              <w:jc w:val="center"/>
            </w:pPr>
            <w:r/>
            <w:r>
              <w:rPr>
                <w:sz w:val="18"/>
              </w:rPr>
              <w:t>42%</w:t>
            </w:r>
          </w:p>
        </w:tc>
        <w:tc>
          <w:tcPr>
            <w:tcW w:type="dxa" w:w="1411"/>
          </w:tcPr>
          <w:p>
            <w:pPr>
              <w:spacing w:after="20" w:before="20"/>
              <w:jc w:val="center"/>
            </w:pPr>
            <w:r/>
            <w:r>
              <w:rPr>
                <w:sz w:val="18"/>
              </w:rPr>
              <w:t>43%</w:t>
            </w:r>
          </w:p>
        </w:tc>
        <w:tc>
          <w:tcPr>
            <w:tcW w:type="dxa" w:w="1411"/>
          </w:tcPr>
          <w:p>
            <w:pPr>
              <w:spacing w:after="20" w:before="20"/>
              <w:jc w:val="center"/>
            </w:pPr>
            <w:r/>
            <w:r>
              <w:rPr>
                <w:sz w:val="18"/>
              </w:rPr>
              <w:t>44%</w:t>
            </w:r>
          </w:p>
        </w:tc>
        <w:tc>
          <w:tcPr>
            <w:tcW w:type="dxa" w:w="1411"/>
          </w:tcPr>
          <w:p>
            <w:pPr>
              <w:spacing w:after="20" w:before="20"/>
              <w:jc w:val="center"/>
            </w:pPr>
            <w:r/>
            <w:r>
              <w:rPr>
                <w:sz w:val="18"/>
              </w:rPr>
              <w:t>45%</w:t>
            </w:r>
          </w:p>
        </w:tc>
      </w:tr>
      <w:tr>
        <w:tc>
          <w:tcPr>
            <w:tcW w:type="dxa" w:w="2880"/>
          </w:tcPr>
          <w:p>
            <w:pPr>
              <w:spacing w:after="20" w:before="20"/>
            </w:pPr>
            <w:r/>
            <w:r>
              <w:rPr>
                <w:b/>
                <w:sz w:val="18"/>
              </w:rPr>
              <w:t>DPS</w:t>
            </w:r>
          </w:p>
        </w:tc>
        <w:tc>
          <w:tcPr>
            <w:tcW w:type="dxa" w:w="1411"/>
          </w:tcPr>
          <w:p>
            <w:pPr>
              <w:spacing w:after="20" w:before="20"/>
              <w:jc w:val="center"/>
            </w:pPr>
            <w:r/>
            <w:r>
              <w:rPr>
                <w:b/>
                <w:sz w:val="18"/>
              </w:rPr>
              <w:t>0.35</w:t>
            </w:r>
          </w:p>
        </w:tc>
        <w:tc>
          <w:tcPr>
            <w:tcW w:type="dxa" w:w="1411"/>
          </w:tcPr>
          <w:p>
            <w:pPr>
              <w:spacing w:after="20" w:before="20"/>
              <w:jc w:val="center"/>
            </w:pPr>
            <w:r/>
            <w:r>
              <w:rPr>
                <w:b/>
                <w:sz w:val="18"/>
              </w:rPr>
              <w:t>0.39</w:t>
            </w:r>
          </w:p>
        </w:tc>
        <w:tc>
          <w:tcPr>
            <w:tcW w:type="dxa" w:w="1411"/>
          </w:tcPr>
          <w:p>
            <w:pPr>
              <w:spacing w:after="20" w:before="20"/>
              <w:jc w:val="center"/>
            </w:pPr>
            <w:r/>
            <w:r>
              <w:rPr>
                <w:b/>
                <w:sz w:val="18"/>
              </w:rPr>
              <w:t>0.45</w:t>
            </w:r>
          </w:p>
        </w:tc>
        <w:tc>
          <w:tcPr>
            <w:tcW w:type="dxa" w:w="1411"/>
          </w:tcPr>
          <w:p>
            <w:pPr>
              <w:spacing w:after="20" w:before="20"/>
              <w:jc w:val="center"/>
            </w:pPr>
            <w:r/>
            <w:r>
              <w:rPr>
                <w:b/>
                <w:sz w:val="18"/>
              </w:rPr>
              <w:t>0.52</w:t>
            </w:r>
          </w:p>
        </w:tc>
        <w:tc>
          <w:tcPr>
            <w:tcW w:type="dxa" w:w="1411"/>
          </w:tcPr>
          <w:p>
            <w:pPr>
              <w:spacing w:after="20" w:before="20"/>
              <w:jc w:val="center"/>
            </w:pPr>
            <w:r/>
            <w:r>
              <w:rPr>
                <w:b/>
                <w:sz w:val="18"/>
              </w:rPr>
              <w:t>0.59</w:t>
            </w:r>
          </w:p>
        </w:tc>
      </w:tr>
      <w:tr>
        <w:tc>
          <w:tcPr>
            <w:tcW w:type="dxa" w:w="2880"/>
          </w:tcPr>
          <w:p>
            <w:pPr>
              <w:spacing w:after="20" w:before="20"/>
            </w:pPr>
            <w:r/>
            <w:r>
              <w:rPr>
                <w:b/>
                <w:sz w:val="18"/>
              </w:rPr>
              <w:t>Discount factor @ Ke 10.57%</w:t>
            </w:r>
          </w:p>
        </w:tc>
        <w:tc>
          <w:tcPr>
            <w:tcW w:type="dxa" w:w="1411"/>
          </w:tcPr>
          <w:p>
            <w:pPr>
              <w:spacing w:after="20" w:before="20"/>
              <w:jc w:val="center"/>
            </w:pPr>
            <w:r/>
            <w:r>
              <w:rPr>
                <w:sz w:val="18"/>
              </w:rPr>
              <w:t>0.904</w:t>
            </w:r>
          </w:p>
        </w:tc>
        <w:tc>
          <w:tcPr>
            <w:tcW w:type="dxa" w:w="1411"/>
          </w:tcPr>
          <w:p>
            <w:pPr>
              <w:spacing w:after="20" w:before="20"/>
              <w:jc w:val="center"/>
            </w:pPr>
            <w:r/>
            <w:r>
              <w:rPr>
                <w:sz w:val="18"/>
              </w:rPr>
              <w:t>0.818</w:t>
            </w:r>
          </w:p>
        </w:tc>
        <w:tc>
          <w:tcPr>
            <w:tcW w:type="dxa" w:w="1411"/>
          </w:tcPr>
          <w:p>
            <w:pPr>
              <w:spacing w:after="20" w:before="20"/>
              <w:jc w:val="center"/>
            </w:pPr>
            <w:r/>
            <w:r>
              <w:rPr>
                <w:sz w:val="18"/>
              </w:rPr>
              <w:t>0.740</w:t>
            </w:r>
          </w:p>
        </w:tc>
        <w:tc>
          <w:tcPr>
            <w:tcW w:type="dxa" w:w="1411"/>
          </w:tcPr>
          <w:p>
            <w:pPr>
              <w:spacing w:after="20" w:before="20"/>
              <w:jc w:val="center"/>
            </w:pPr>
            <w:r/>
            <w:r>
              <w:rPr>
                <w:sz w:val="18"/>
              </w:rPr>
              <w:t>0.669</w:t>
            </w:r>
          </w:p>
        </w:tc>
        <w:tc>
          <w:tcPr>
            <w:tcW w:type="dxa" w:w="1411"/>
          </w:tcPr>
          <w:p>
            <w:pPr>
              <w:spacing w:after="20" w:before="20"/>
              <w:jc w:val="center"/>
            </w:pPr>
            <w:r/>
            <w:r>
              <w:rPr>
                <w:sz w:val="18"/>
              </w:rPr>
              <w:t>0.605</w:t>
            </w:r>
          </w:p>
        </w:tc>
      </w:tr>
      <w:tr>
        <w:tc>
          <w:tcPr>
            <w:tcW w:type="dxa" w:w="2880"/>
          </w:tcPr>
          <w:p>
            <w:pPr>
              <w:spacing w:after="20" w:before="20"/>
            </w:pPr>
            <w:r/>
            <w:r>
              <w:rPr>
                <w:b/>
                <w:sz w:val="18"/>
              </w:rPr>
              <w:t>PV of dividend</w:t>
            </w:r>
          </w:p>
        </w:tc>
        <w:tc>
          <w:tcPr>
            <w:tcW w:type="dxa" w:w="1411"/>
          </w:tcPr>
          <w:p>
            <w:pPr>
              <w:spacing w:after="20" w:before="20"/>
              <w:jc w:val="center"/>
            </w:pPr>
            <w:r/>
            <w:r>
              <w:rPr>
                <w:sz w:val="18"/>
              </w:rPr>
              <w:t>0.317</w:t>
            </w:r>
          </w:p>
        </w:tc>
        <w:tc>
          <w:tcPr>
            <w:tcW w:type="dxa" w:w="1411"/>
          </w:tcPr>
          <w:p>
            <w:pPr>
              <w:spacing w:after="20" w:before="20"/>
              <w:jc w:val="center"/>
            </w:pPr>
            <w:r/>
            <w:r>
              <w:rPr>
                <w:sz w:val="18"/>
              </w:rPr>
              <w:t>0.319</w:t>
            </w:r>
          </w:p>
        </w:tc>
        <w:tc>
          <w:tcPr>
            <w:tcW w:type="dxa" w:w="1411"/>
          </w:tcPr>
          <w:p>
            <w:pPr>
              <w:spacing w:after="20" w:before="20"/>
              <w:jc w:val="center"/>
            </w:pPr>
            <w:r/>
            <w:r>
              <w:rPr>
                <w:sz w:val="18"/>
              </w:rPr>
              <w:t>0.333</w:t>
            </w:r>
          </w:p>
        </w:tc>
        <w:tc>
          <w:tcPr>
            <w:tcW w:type="dxa" w:w="1411"/>
          </w:tcPr>
          <w:p>
            <w:pPr>
              <w:spacing w:after="20" w:before="20"/>
              <w:jc w:val="center"/>
            </w:pPr>
            <w:r/>
            <w:r>
              <w:rPr>
                <w:sz w:val="18"/>
              </w:rPr>
              <w:t>0.348</w:t>
            </w:r>
          </w:p>
        </w:tc>
        <w:tc>
          <w:tcPr>
            <w:tcW w:type="dxa" w:w="1411"/>
          </w:tcPr>
          <w:p>
            <w:pPr>
              <w:spacing w:after="20" w:before="20"/>
              <w:jc w:val="center"/>
            </w:pPr>
            <w:r/>
            <w:r>
              <w:rPr>
                <w:sz w:val="18"/>
              </w:rPr>
              <w:t>0.357</w:t>
            </w:r>
          </w:p>
        </w:tc>
      </w:tr>
    </w:tbl>
    <w:p>
      <w:pPr>
        <w:spacing w:after="60"/>
      </w:pPr>
    </w:p>
    <w:tbl>
      <w:tblPr>
        <w:tblStyle w:val="TableGrid"/>
        <w:tblW w:type="auto" w:w="0"/>
        <w:jc w:val="center"/>
        <w:tblLook w:firstColumn="1" w:firstRow="1" w:lastColumn="0" w:lastRow="0" w:noHBand="0" w:noVBand="1" w:val="04A0"/>
      </w:tblPr>
      <w:tblGrid>
        <w:gridCol w:w="4997"/>
        <w:gridCol w:w="4997"/>
      </w:tblGrid>
      <w:tr>
        <w:tc>
          <w:tcPr>
            <w:tcW w:type="dxa" w:w="6480"/>
            <w:shd w:val="clear" w:fill="1C3A36"/>
          </w:tcPr>
          <w:p>
            <w:pPr>
              <w:spacing w:after="20" w:before="20"/>
            </w:pPr>
            <w:r/>
            <w:r>
              <w:rPr>
                <w:b/>
                <w:color w:val="FFFFFF"/>
                <w:sz w:val="18"/>
              </w:rPr>
              <w:t>Terminal block</w:t>
            </w:r>
          </w:p>
        </w:tc>
        <w:tc>
          <w:tcPr>
            <w:tcW w:type="dxa" w:w="3456"/>
            <w:shd w:val="clear" w:fill="1C3A36"/>
          </w:tcPr>
          <w:p>
            <w:pPr>
              <w:spacing w:after="20" w:before="20"/>
              <w:jc w:val="center"/>
            </w:pPr>
            <w:r/>
            <w:r>
              <w:rPr>
                <w:b/>
                <w:color w:val="FFFFFF"/>
                <w:sz w:val="18"/>
              </w:rPr>
              <w:t>Value</w:t>
            </w:r>
          </w:p>
        </w:tc>
      </w:tr>
      <w:tr>
        <w:tc>
          <w:tcPr>
            <w:tcW w:type="dxa" w:w="6480"/>
          </w:tcPr>
          <w:p>
            <w:pPr>
              <w:spacing w:after="20" w:before="20"/>
            </w:pPr>
            <w:r/>
            <w:r>
              <w:rPr>
                <w:b/>
                <w:sz w:val="18"/>
              </w:rPr>
              <w:t>Terminal payout = 1 − g / terminal ROE = 1 − 4.0 / 15.5</w:t>
            </w:r>
          </w:p>
        </w:tc>
        <w:tc>
          <w:tcPr>
            <w:tcW w:type="dxa" w:w="3456"/>
          </w:tcPr>
          <w:p>
            <w:pPr>
              <w:spacing w:after="20" w:before="20"/>
              <w:jc w:val="center"/>
            </w:pPr>
            <w:r/>
            <w:r>
              <w:rPr>
                <w:sz w:val="18"/>
              </w:rPr>
              <w:t>74%</w:t>
            </w:r>
          </w:p>
        </w:tc>
      </w:tr>
      <w:tr>
        <w:tc>
          <w:tcPr>
            <w:tcW w:type="dxa" w:w="6480"/>
          </w:tcPr>
          <w:p>
            <w:pPr>
              <w:spacing w:after="20" w:before="20"/>
            </w:pPr>
            <w:r/>
            <w:r>
              <w:rPr>
                <w:b/>
                <w:sz w:val="18"/>
              </w:rPr>
              <w:t>Terminal DPS (FY31)</w:t>
            </w:r>
          </w:p>
        </w:tc>
        <w:tc>
          <w:tcPr>
            <w:tcW w:type="dxa" w:w="3456"/>
          </w:tcPr>
          <w:p>
            <w:pPr>
              <w:spacing w:after="20" w:before="20"/>
              <w:jc w:val="center"/>
            </w:pPr>
            <w:r/>
            <w:r>
              <w:rPr>
                <w:sz w:val="18"/>
              </w:rPr>
              <w:t>AED 1.00</w:t>
            </w:r>
          </w:p>
        </w:tc>
      </w:tr>
      <w:tr>
        <w:tc>
          <w:tcPr>
            <w:tcW w:type="dxa" w:w="6480"/>
          </w:tcPr>
          <w:p>
            <w:pPr>
              <w:spacing w:after="20" w:before="20"/>
            </w:pPr>
            <w:r/>
            <w:r>
              <w:rPr>
                <w:b/>
                <w:sz w:val="18"/>
              </w:rPr>
              <w:t>Terminal value at (Ke − g)</w:t>
            </w:r>
          </w:p>
        </w:tc>
        <w:tc>
          <w:tcPr>
            <w:tcW w:type="dxa" w:w="3456"/>
          </w:tcPr>
          <w:p>
            <w:pPr>
              <w:spacing w:after="20" w:before="20"/>
              <w:jc w:val="center"/>
            </w:pPr>
            <w:r/>
            <w:r>
              <w:rPr>
                <w:sz w:val="18"/>
              </w:rPr>
              <w:t>AED 15.25</w:t>
            </w:r>
          </w:p>
        </w:tc>
      </w:tr>
      <w:tr>
        <w:tc>
          <w:tcPr>
            <w:tcW w:type="dxa" w:w="6480"/>
          </w:tcPr>
          <w:p>
            <w:pPr>
              <w:spacing w:after="20" w:before="20"/>
            </w:pPr>
            <w:r/>
            <w:r>
              <w:rPr>
                <w:b/>
                <w:sz w:val="18"/>
              </w:rPr>
              <w:t>PV of terminal value</w:t>
            </w:r>
          </w:p>
        </w:tc>
        <w:tc>
          <w:tcPr>
            <w:tcW w:type="dxa" w:w="3456"/>
          </w:tcPr>
          <w:p>
            <w:pPr>
              <w:spacing w:after="20" w:before="20"/>
              <w:jc w:val="center"/>
            </w:pPr>
            <w:r/>
            <w:r>
              <w:rPr>
                <w:sz w:val="18"/>
              </w:rPr>
              <w:t>AED 9.23</w:t>
            </w:r>
          </w:p>
        </w:tc>
      </w:tr>
      <w:tr>
        <w:tc>
          <w:tcPr>
            <w:tcW w:type="dxa" w:w="6480"/>
          </w:tcPr>
          <w:p>
            <w:pPr>
              <w:spacing w:after="20" w:before="20"/>
            </w:pPr>
            <w:r/>
            <w:r>
              <w:rPr>
                <w:b/>
                <w:sz w:val="18"/>
              </w:rPr>
              <w:t>Σ PV of explicit dividends (FY26–30)</w:t>
            </w:r>
          </w:p>
        </w:tc>
        <w:tc>
          <w:tcPr>
            <w:tcW w:type="dxa" w:w="3456"/>
          </w:tcPr>
          <w:p>
            <w:pPr>
              <w:spacing w:after="20" w:before="20"/>
              <w:jc w:val="center"/>
            </w:pPr>
            <w:r/>
            <w:r>
              <w:rPr>
                <w:sz w:val="18"/>
              </w:rPr>
              <w:t>AED 1.67</w:t>
            </w:r>
          </w:p>
        </w:tc>
      </w:tr>
      <w:tr>
        <w:tc>
          <w:tcPr>
            <w:tcW w:type="dxa" w:w="6480"/>
            <w:shd w:val="clear" w:fill="F2E9D2"/>
          </w:tcPr>
          <w:p>
            <w:pPr>
              <w:spacing w:after="20" w:before="20"/>
            </w:pPr>
            <w:r/>
            <w:r>
              <w:rPr>
                <w:b/>
                <w:sz w:val="18"/>
              </w:rPr>
              <w:t>DDM fair value</w:t>
            </w:r>
          </w:p>
        </w:tc>
        <w:tc>
          <w:tcPr>
            <w:tcW w:type="dxa" w:w="3456"/>
            <w:shd w:val="clear" w:fill="F2E9D2"/>
          </w:tcPr>
          <w:p>
            <w:pPr>
              <w:spacing w:after="20" w:before="20"/>
              <w:jc w:val="center"/>
            </w:pPr>
            <w:r/>
            <w:r>
              <w:rPr>
                <w:b/>
                <w:sz w:val="18"/>
              </w:rPr>
              <w:t>AED 10.90</w:t>
            </w:r>
          </w:p>
        </w:tc>
      </w:tr>
      <w:tr>
        <w:tc>
          <w:tcPr>
            <w:tcW w:type="dxa" w:w="6480"/>
          </w:tcPr>
          <w:p>
            <w:pPr>
              <w:spacing w:after="20" w:before="20"/>
            </w:pPr>
            <w:r/>
            <w:r>
              <w:rPr>
                <w:b/>
                <w:sz w:val="18"/>
              </w:rPr>
              <w:t>Terminal value as % of total (dependency disclosure)</w:t>
            </w:r>
          </w:p>
        </w:tc>
        <w:tc>
          <w:tcPr>
            <w:tcW w:type="dxa" w:w="3456"/>
          </w:tcPr>
          <w:p>
            <w:pPr>
              <w:spacing w:after="20" w:before="20"/>
              <w:jc w:val="center"/>
            </w:pPr>
            <w:r/>
            <w:r>
              <w:rPr>
                <w:sz w:val="18"/>
              </w:rPr>
              <w:t>85%</w:t>
            </w:r>
          </w:p>
        </w:tc>
      </w:tr>
    </w:tbl>
    <w:p>
      <w:pPr>
        <w:spacing w:after="60"/>
      </w:pPr>
    </w:p>
    <w:p>
      <w:pPr>
        <w:spacing w:after="160" w:before="40"/>
      </w:pPr>
      <w:r>
        <w:rPr>
          <w:b w:val="0"/>
          <w:i/>
          <w:color w:val="6E7B77"/>
          <w:sz w:val="16"/>
        </w:rPr>
        <w:t>Shaded gold: the headline figure this table is building toward — or, in a grid of alternatives, the row we actually use rather than the sensitivities shown around it.</w:t>
      </w:r>
    </w:p>
    <w:p>
      <w:pPr>
        <w:spacing w:after="120" w:before="0"/>
      </w:pPr>
      <w:r>
        <w:rPr>
          <w:b w:val="0"/>
          <w:i/>
          <w:sz w:val="19"/>
        </w:rPr>
        <w:t>Terminal-value dependency: 85% of the DDM sits in the terminal block. That is normal for a bank paying out 40% and retaining the rest, but it means this number is a claim about DIB's steady state — a 15.5% return on equity growing at 4% — rather than about the next five dividends. §1.10 stresses exactly that claim.</w:t>
      </w:r>
    </w:p>
    <w:p>
      <w:pPr>
        <w:spacing w:after="80" w:before="200"/>
      </w:pPr>
      <w:r>
        <w:rPr>
          <w:b/>
          <w:i w:val="0"/>
          <w:color w:val="1C3A36"/>
          <w:sz w:val="22"/>
        </w:rPr>
        <w:t>1.2  Equity DCF (FCFE) — the full build, from revenue to cash</w:t>
      </w:r>
    </w:p>
    <w:p>
      <w:pPr>
        <w:spacing w:after="120" w:before="0"/>
      </w:pPr>
      <w:r>
        <w:rPr>
          <w:b w:val="0"/>
          <w:i w:val="0"/>
          <w:sz w:val="21"/>
        </w:rPr>
        <w:t>The equity DCF asks a different question from the DDM: not what the board chooses to pay, but what the bank could pay after funding its own growth. For a bank the top line is operating revenue — funded income (the spread on financing and sukuk) plus non-funded income (fees, FX, trade, treasury). From there the waterfall runs through costs, impairment and tax to net profit; then it subtracts the one item a bank cannot avoid, which is the fresh equity it must retain each year to hold its capital ratio as the balance sheet grows. That retention is the analogue of capex. What remains is genuinely distributable.</w:t>
      </w:r>
    </w:p>
    <w:p>
      <w:pPr>
        <w:spacing w:after="120" w:before="0"/>
      </w:pPr>
      <w:r>
        <w:rPr>
          <w:b w:val="0"/>
          <w:i w:val="0"/>
          <w:sz w:val="21"/>
        </w:rPr>
        <w:t>Critically, the retention line here is set by the capital requirement — RWA growth at a 12.75% CET1 target, above Fitch's 12% downgrade trigger and the new 0.5% counter-cyclical buffer — and not by the board's dividend. That keeps this lens independent of §1.1. FY26 carries the catch-up from the 12.3% December print.</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3240"/>
            <w:shd w:val="clear" w:fill="1C3A36"/>
          </w:tcPr>
          <w:p>
            <w:pPr>
              <w:spacing w:after="20" w:before="20"/>
            </w:pPr>
            <w:r/>
            <w:r>
              <w:rPr>
                <w:b/>
                <w:color w:val="FFFFFF"/>
                <w:sz w:val="18"/>
              </w:rPr>
              <w:t>AED mn</w:t>
            </w:r>
          </w:p>
        </w:tc>
        <w:tc>
          <w:tcPr>
            <w:tcW w:type="dxa" w:w="1339"/>
            <w:shd w:val="clear" w:fill="1C3A36"/>
          </w:tcPr>
          <w:p>
            <w:pPr>
              <w:spacing w:after="20" w:before="20"/>
              <w:jc w:val="center"/>
            </w:pPr>
            <w:r/>
            <w:r>
              <w:rPr>
                <w:b/>
                <w:color w:val="FFFFFF"/>
                <w:sz w:val="18"/>
              </w:rPr>
              <w:t>FY26E</w:t>
            </w:r>
          </w:p>
        </w:tc>
        <w:tc>
          <w:tcPr>
            <w:tcW w:type="dxa" w:w="1339"/>
            <w:shd w:val="clear" w:fill="1C3A36"/>
          </w:tcPr>
          <w:p>
            <w:pPr>
              <w:spacing w:after="20" w:before="20"/>
              <w:jc w:val="center"/>
            </w:pPr>
            <w:r/>
            <w:r>
              <w:rPr>
                <w:b/>
                <w:color w:val="FFFFFF"/>
                <w:sz w:val="18"/>
              </w:rPr>
              <w:t>FY27E</w:t>
            </w:r>
          </w:p>
        </w:tc>
        <w:tc>
          <w:tcPr>
            <w:tcW w:type="dxa" w:w="1339"/>
            <w:shd w:val="clear" w:fill="1C3A36"/>
          </w:tcPr>
          <w:p>
            <w:pPr>
              <w:spacing w:after="20" w:before="20"/>
              <w:jc w:val="center"/>
            </w:pPr>
            <w:r/>
            <w:r>
              <w:rPr>
                <w:b/>
                <w:color w:val="FFFFFF"/>
                <w:sz w:val="18"/>
              </w:rPr>
              <w:t>FY28E</w:t>
            </w:r>
          </w:p>
        </w:tc>
        <w:tc>
          <w:tcPr>
            <w:tcW w:type="dxa" w:w="1339"/>
            <w:shd w:val="clear" w:fill="1C3A36"/>
          </w:tcPr>
          <w:p>
            <w:pPr>
              <w:spacing w:after="20" w:before="20"/>
              <w:jc w:val="center"/>
            </w:pPr>
            <w:r/>
            <w:r>
              <w:rPr>
                <w:b/>
                <w:color w:val="FFFFFF"/>
                <w:sz w:val="18"/>
              </w:rPr>
              <w:t>FY29E</w:t>
            </w:r>
          </w:p>
        </w:tc>
        <w:tc>
          <w:tcPr>
            <w:tcW w:type="dxa" w:w="1339"/>
            <w:shd w:val="clear" w:fill="1C3A36"/>
          </w:tcPr>
          <w:p>
            <w:pPr>
              <w:spacing w:after="20" w:before="20"/>
              <w:jc w:val="center"/>
            </w:pPr>
            <w:r/>
            <w:r>
              <w:rPr>
                <w:b/>
                <w:color w:val="FFFFFF"/>
                <w:sz w:val="18"/>
              </w:rPr>
              <w:t>FY30E</w:t>
            </w:r>
          </w:p>
        </w:tc>
      </w:tr>
      <w:tr>
        <w:tc>
          <w:tcPr>
            <w:tcW w:type="dxa" w:w="3240"/>
          </w:tcPr>
          <w:p>
            <w:pPr>
              <w:spacing w:after="20" w:before="20"/>
            </w:pPr>
            <w:r/>
            <w:r>
              <w:rPr>
                <w:b/>
                <w:sz w:val="18"/>
              </w:rPr>
              <w:t>Funded income (the spread)</w:t>
            </w:r>
          </w:p>
        </w:tc>
        <w:tc>
          <w:tcPr>
            <w:tcW w:type="dxa" w:w="1339"/>
          </w:tcPr>
          <w:p>
            <w:pPr>
              <w:spacing w:after="20" w:before="20"/>
              <w:jc w:val="center"/>
            </w:pPr>
            <w:r/>
            <w:r>
              <w:rPr>
                <w:sz w:val="18"/>
              </w:rPr>
              <w:t>9,114</w:t>
            </w:r>
          </w:p>
        </w:tc>
        <w:tc>
          <w:tcPr>
            <w:tcW w:type="dxa" w:w="1339"/>
          </w:tcPr>
          <w:p>
            <w:pPr>
              <w:spacing w:after="20" w:before="20"/>
              <w:jc w:val="center"/>
            </w:pPr>
            <w:r/>
            <w:r>
              <w:rPr>
                <w:sz w:val="18"/>
              </w:rPr>
              <w:t>9,891</w:t>
            </w:r>
          </w:p>
        </w:tc>
        <w:tc>
          <w:tcPr>
            <w:tcW w:type="dxa" w:w="1339"/>
          </w:tcPr>
          <w:p>
            <w:pPr>
              <w:spacing w:after="20" w:before="20"/>
              <w:jc w:val="center"/>
            </w:pPr>
            <w:r/>
            <w:r>
              <w:rPr>
                <w:sz w:val="18"/>
              </w:rPr>
              <w:t>10,918</w:t>
            </w:r>
          </w:p>
        </w:tc>
        <w:tc>
          <w:tcPr>
            <w:tcW w:type="dxa" w:w="1339"/>
          </w:tcPr>
          <w:p>
            <w:pPr>
              <w:spacing w:after="20" w:before="20"/>
              <w:jc w:val="center"/>
            </w:pPr>
            <w:r/>
            <w:r>
              <w:rPr>
                <w:sz w:val="18"/>
              </w:rPr>
              <w:t>11,995</w:t>
            </w:r>
          </w:p>
        </w:tc>
        <w:tc>
          <w:tcPr>
            <w:tcW w:type="dxa" w:w="1339"/>
          </w:tcPr>
          <w:p>
            <w:pPr>
              <w:spacing w:after="20" w:before="20"/>
              <w:jc w:val="center"/>
            </w:pPr>
            <w:r/>
            <w:r>
              <w:rPr>
                <w:sz w:val="18"/>
              </w:rPr>
              <w:t>13,111</w:t>
            </w:r>
          </w:p>
        </w:tc>
      </w:tr>
      <w:tr>
        <w:tc>
          <w:tcPr>
            <w:tcW w:type="dxa" w:w="3240"/>
          </w:tcPr>
          <w:p>
            <w:pPr>
              <w:spacing w:after="20" w:before="20"/>
            </w:pPr>
            <w:r/>
            <w:r>
              <w:rPr>
                <w:b/>
                <w:sz w:val="18"/>
              </w:rPr>
              <w:t>Non-funded income</w:t>
            </w:r>
          </w:p>
        </w:tc>
        <w:tc>
          <w:tcPr>
            <w:tcW w:type="dxa" w:w="1339"/>
          </w:tcPr>
          <w:p>
            <w:pPr>
              <w:spacing w:after="20" w:before="20"/>
              <w:jc w:val="center"/>
            </w:pPr>
            <w:r/>
            <w:r>
              <w:rPr>
                <w:sz w:val="18"/>
              </w:rPr>
              <w:t>4,707</w:t>
            </w:r>
          </w:p>
        </w:tc>
        <w:tc>
          <w:tcPr>
            <w:tcW w:type="dxa" w:w="1339"/>
          </w:tcPr>
          <w:p>
            <w:pPr>
              <w:spacing w:after="20" w:before="20"/>
              <w:jc w:val="center"/>
            </w:pPr>
            <w:r/>
            <w:r>
              <w:rPr>
                <w:sz w:val="18"/>
              </w:rPr>
              <w:t>5,036</w:t>
            </w:r>
          </w:p>
        </w:tc>
        <w:tc>
          <w:tcPr>
            <w:tcW w:type="dxa" w:w="1339"/>
          </w:tcPr>
          <w:p>
            <w:pPr>
              <w:spacing w:after="20" w:before="20"/>
              <w:jc w:val="center"/>
            </w:pPr>
            <w:r/>
            <w:r>
              <w:rPr>
                <w:sz w:val="18"/>
              </w:rPr>
              <w:t>5,389</w:t>
            </w:r>
          </w:p>
        </w:tc>
        <w:tc>
          <w:tcPr>
            <w:tcW w:type="dxa" w:w="1339"/>
          </w:tcPr>
          <w:p>
            <w:pPr>
              <w:spacing w:after="20" w:before="20"/>
              <w:jc w:val="center"/>
            </w:pPr>
            <w:r/>
            <w:r>
              <w:rPr>
                <w:sz w:val="18"/>
              </w:rPr>
              <w:t>5,766</w:t>
            </w:r>
          </w:p>
        </w:tc>
        <w:tc>
          <w:tcPr>
            <w:tcW w:type="dxa" w:w="1339"/>
          </w:tcPr>
          <w:p>
            <w:pPr>
              <w:spacing w:after="20" w:before="20"/>
              <w:jc w:val="center"/>
            </w:pPr>
            <w:r/>
            <w:r>
              <w:rPr>
                <w:sz w:val="18"/>
              </w:rPr>
              <w:t>6,170</w:t>
            </w:r>
          </w:p>
        </w:tc>
      </w:tr>
      <w:tr>
        <w:tc>
          <w:tcPr>
            <w:tcW w:type="dxa" w:w="3240"/>
          </w:tcPr>
          <w:p>
            <w:pPr>
              <w:spacing w:after="20" w:before="20"/>
            </w:pPr>
            <w:r/>
            <w:r>
              <w:rPr>
                <w:b/>
                <w:sz w:val="18"/>
              </w:rPr>
              <w:t>Operating revenue</w:t>
            </w:r>
          </w:p>
        </w:tc>
        <w:tc>
          <w:tcPr>
            <w:tcW w:type="dxa" w:w="1339"/>
          </w:tcPr>
          <w:p>
            <w:pPr>
              <w:spacing w:after="20" w:before="20"/>
              <w:jc w:val="center"/>
            </w:pPr>
            <w:r/>
            <w:r>
              <w:rPr>
                <w:b/>
                <w:sz w:val="18"/>
              </w:rPr>
              <w:t>13,821</w:t>
            </w:r>
          </w:p>
        </w:tc>
        <w:tc>
          <w:tcPr>
            <w:tcW w:type="dxa" w:w="1339"/>
          </w:tcPr>
          <w:p>
            <w:pPr>
              <w:spacing w:after="20" w:before="20"/>
              <w:jc w:val="center"/>
            </w:pPr>
            <w:r/>
            <w:r>
              <w:rPr>
                <w:b/>
                <w:sz w:val="18"/>
              </w:rPr>
              <w:t>14,928</w:t>
            </w:r>
          </w:p>
        </w:tc>
        <w:tc>
          <w:tcPr>
            <w:tcW w:type="dxa" w:w="1339"/>
          </w:tcPr>
          <w:p>
            <w:pPr>
              <w:spacing w:after="20" w:before="20"/>
              <w:jc w:val="center"/>
            </w:pPr>
            <w:r/>
            <w:r>
              <w:rPr>
                <w:b/>
                <w:sz w:val="18"/>
              </w:rPr>
              <w:t>16,307</w:t>
            </w:r>
          </w:p>
        </w:tc>
        <w:tc>
          <w:tcPr>
            <w:tcW w:type="dxa" w:w="1339"/>
          </w:tcPr>
          <w:p>
            <w:pPr>
              <w:spacing w:after="20" w:before="20"/>
              <w:jc w:val="center"/>
            </w:pPr>
            <w:r/>
            <w:r>
              <w:rPr>
                <w:b/>
                <w:sz w:val="18"/>
              </w:rPr>
              <w:t>17,761</w:t>
            </w:r>
          </w:p>
        </w:tc>
        <w:tc>
          <w:tcPr>
            <w:tcW w:type="dxa" w:w="1339"/>
          </w:tcPr>
          <w:p>
            <w:pPr>
              <w:spacing w:after="20" w:before="20"/>
              <w:jc w:val="center"/>
            </w:pPr>
            <w:r/>
            <w:r>
              <w:rPr>
                <w:b/>
                <w:sz w:val="18"/>
              </w:rPr>
              <w:t>19,281</w:t>
            </w:r>
          </w:p>
        </w:tc>
      </w:tr>
      <w:tr>
        <w:tc>
          <w:tcPr>
            <w:tcW w:type="dxa" w:w="3240"/>
          </w:tcPr>
          <w:p>
            <w:pPr>
              <w:spacing w:after="20" w:before="20"/>
            </w:pPr>
            <w:r/>
            <w:r>
              <w:rPr>
                <w:b/>
                <w:sz w:val="18"/>
              </w:rPr>
              <w:t>Operating expenses</w:t>
            </w:r>
          </w:p>
        </w:tc>
        <w:tc>
          <w:tcPr>
            <w:tcW w:type="dxa" w:w="1339"/>
          </w:tcPr>
          <w:p>
            <w:pPr>
              <w:spacing w:after="20" w:before="20"/>
              <w:jc w:val="center"/>
            </w:pPr>
            <w:r/>
            <w:r>
              <w:rPr>
                <w:sz w:val="18"/>
              </w:rPr>
              <w:t>-3,870</w:t>
            </w:r>
          </w:p>
        </w:tc>
        <w:tc>
          <w:tcPr>
            <w:tcW w:type="dxa" w:w="1339"/>
          </w:tcPr>
          <w:p>
            <w:pPr>
              <w:spacing w:after="20" w:before="20"/>
              <w:jc w:val="center"/>
            </w:pPr>
            <w:r/>
            <w:r>
              <w:rPr>
                <w:sz w:val="18"/>
              </w:rPr>
              <w:t>-4,150</w:t>
            </w:r>
          </w:p>
        </w:tc>
        <w:tc>
          <w:tcPr>
            <w:tcW w:type="dxa" w:w="1339"/>
          </w:tcPr>
          <w:p>
            <w:pPr>
              <w:spacing w:after="20" w:before="20"/>
              <w:jc w:val="center"/>
            </w:pPr>
            <w:r/>
            <w:r>
              <w:rPr>
                <w:sz w:val="18"/>
              </w:rPr>
              <w:t>-4,484</w:t>
            </w:r>
          </w:p>
        </w:tc>
        <w:tc>
          <w:tcPr>
            <w:tcW w:type="dxa" w:w="1339"/>
          </w:tcPr>
          <w:p>
            <w:pPr>
              <w:spacing w:after="20" w:before="20"/>
              <w:jc w:val="center"/>
            </w:pPr>
            <w:r/>
            <w:r>
              <w:rPr>
                <w:sz w:val="18"/>
              </w:rPr>
              <w:t>-4,849</w:t>
            </w:r>
          </w:p>
        </w:tc>
        <w:tc>
          <w:tcPr>
            <w:tcW w:type="dxa" w:w="1339"/>
          </w:tcPr>
          <w:p>
            <w:pPr>
              <w:spacing w:after="20" w:before="20"/>
              <w:jc w:val="center"/>
            </w:pPr>
            <w:r/>
            <w:r>
              <w:rPr>
                <w:sz w:val="18"/>
              </w:rPr>
              <w:t>-5,206</w:t>
            </w:r>
          </w:p>
        </w:tc>
      </w:tr>
      <w:tr>
        <w:tc>
          <w:tcPr>
            <w:tcW w:type="dxa" w:w="3240"/>
          </w:tcPr>
          <w:p>
            <w:pPr>
              <w:spacing w:after="20" w:before="20"/>
            </w:pPr>
            <w:r/>
            <w:r>
              <w:rPr>
                <w:b/>
                <w:sz w:val="18"/>
              </w:rPr>
              <w:t>Pre-provision operating profit</w:t>
            </w:r>
          </w:p>
        </w:tc>
        <w:tc>
          <w:tcPr>
            <w:tcW w:type="dxa" w:w="1339"/>
          </w:tcPr>
          <w:p>
            <w:pPr>
              <w:spacing w:after="20" w:before="20"/>
              <w:jc w:val="center"/>
            </w:pPr>
            <w:r/>
            <w:r>
              <w:rPr>
                <w:b/>
                <w:sz w:val="18"/>
              </w:rPr>
              <w:t>9,951</w:t>
            </w:r>
          </w:p>
        </w:tc>
        <w:tc>
          <w:tcPr>
            <w:tcW w:type="dxa" w:w="1339"/>
          </w:tcPr>
          <w:p>
            <w:pPr>
              <w:spacing w:after="20" w:before="20"/>
              <w:jc w:val="center"/>
            </w:pPr>
            <w:r/>
            <w:r>
              <w:rPr>
                <w:b/>
                <w:sz w:val="18"/>
              </w:rPr>
              <w:t>10,778</w:t>
            </w:r>
          </w:p>
        </w:tc>
        <w:tc>
          <w:tcPr>
            <w:tcW w:type="dxa" w:w="1339"/>
          </w:tcPr>
          <w:p>
            <w:pPr>
              <w:spacing w:after="20" w:before="20"/>
              <w:jc w:val="center"/>
            </w:pPr>
            <w:r/>
            <w:r>
              <w:rPr>
                <w:b/>
                <w:sz w:val="18"/>
              </w:rPr>
              <w:t>11,823</w:t>
            </w:r>
          </w:p>
        </w:tc>
        <w:tc>
          <w:tcPr>
            <w:tcW w:type="dxa" w:w="1339"/>
          </w:tcPr>
          <w:p>
            <w:pPr>
              <w:spacing w:after="20" w:before="20"/>
              <w:jc w:val="center"/>
            </w:pPr>
            <w:r/>
            <w:r>
              <w:rPr>
                <w:b/>
                <w:sz w:val="18"/>
              </w:rPr>
              <w:t>12,912</w:t>
            </w:r>
          </w:p>
        </w:tc>
        <w:tc>
          <w:tcPr>
            <w:tcW w:type="dxa" w:w="1339"/>
          </w:tcPr>
          <w:p>
            <w:pPr>
              <w:spacing w:after="20" w:before="20"/>
              <w:jc w:val="center"/>
            </w:pPr>
            <w:r/>
            <w:r>
              <w:rPr>
                <w:b/>
                <w:sz w:val="18"/>
              </w:rPr>
              <w:t>14,075</w:t>
            </w:r>
          </w:p>
        </w:tc>
      </w:tr>
      <w:tr>
        <w:tc>
          <w:tcPr>
            <w:tcW w:type="dxa" w:w="3240"/>
          </w:tcPr>
          <w:p>
            <w:pPr>
              <w:spacing w:after="20" w:before="20"/>
            </w:pPr>
            <w:r/>
            <w:r>
              <w:rPr>
                <w:b/>
                <w:sz w:val="18"/>
              </w:rPr>
              <w:t>Impairment charge</w:t>
            </w:r>
          </w:p>
        </w:tc>
        <w:tc>
          <w:tcPr>
            <w:tcW w:type="dxa" w:w="1339"/>
          </w:tcPr>
          <w:p>
            <w:pPr>
              <w:spacing w:after="20" w:before="20"/>
              <w:jc w:val="center"/>
            </w:pPr>
            <w:r/>
            <w:r>
              <w:rPr>
                <w:sz w:val="18"/>
              </w:rPr>
              <w:t>-1,666</w:t>
            </w:r>
          </w:p>
        </w:tc>
        <w:tc>
          <w:tcPr>
            <w:tcW w:type="dxa" w:w="1339"/>
          </w:tcPr>
          <w:p>
            <w:pPr>
              <w:spacing w:after="20" w:before="20"/>
              <w:jc w:val="center"/>
            </w:pPr>
            <w:r/>
            <w:r>
              <w:rPr>
                <w:sz w:val="18"/>
              </w:rPr>
              <w:t>-1,824</w:t>
            </w:r>
          </w:p>
        </w:tc>
        <w:tc>
          <w:tcPr>
            <w:tcW w:type="dxa" w:w="1339"/>
          </w:tcPr>
          <w:p>
            <w:pPr>
              <w:spacing w:after="20" w:before="20"/>
              <w:jc w:val="center"/>
            </w:pPr>
            <w:r/>
            <w:r>
              <w:rPr>
                <w:sz w:val="18"/>
              </w:rPr>
              <w:t>-1,759</w:t>
            </w:r>
          </w:p>
        </w:tc>
        <w:tc>
          <w:tcPr>
            <w:tcW w:type="dxa" w:w="1339"/>
          </w:tcPr>
          <w:p>
            <w:pPr>
              <w:spacing w:after="20" w:before="20"/>
              <w:jc w:val="center"/>
            </w:pPr>
            <w:r/>
            <w:r>
              <w:rPr>
                <w:sz w:val="18"/>
              </w:rPr>
              <w:t>-1,662</w:t>
            </w:r>
          </w:p>
        </w:tc>
        <w:tc>
          <w:tcPr>
            <w:tcW w:type="dxa" w:w="1339"/>
          </w:tcPr>
          <w:p>
            <w:pPr>
              <w:spacing w:after="20" w:before="20"/>
              <w:jc w:val="center"/>
            </w:pPr>
            <w:r/>
            <w:r>
              <w:rPr>
                <w:sz w:val="18"/>
              </w:rPr>
              <w:t>-1,787</w:t>
            </w:r>
          </w:p>
        </w:tc>
      </w:tr>
      <w:tr>
        <w:tc>
          <w:tcPr>
            <w:tcW w:type="dxa" w:w="3240"/>
          </w:tcPr>
          <w:p>
            <w:pPr>
              <w:spacing w:after="20" w:before="20"/>
            </w:pPr>
            <w:r/>
            <w:r>
              <w:rPr>
                <w:b/>
                <w:sz w:val="18"/>
              </w:rPr>
              <w:t>Profit before tax</w:t>
            </w:r>
          </w:p>
        </w:tc>
        <w:tc>
          <w:tcPr>
            <w:tcW w:type="dxa" w:w="1339"/>
          </w:tcPr>
          <w:p>
            <w:pPr>
              <w:spacing w:after="20" w:before="20"/>
              <w:jc w:val="center"/>
            </w:pPr>
            <w:r/>
            <w:r>
              <w:rPr>
                <w:b/>
                <w:sz w:val="18"/>
              </w:rPr>
              <w:t>8,285</w:t>
            </w:r>
          </w:p>
        </w:tc>
        <w:tc>
          <w:tcPr>
            <w:tcW w:type="dxa" w:w="1339"/>
          </w:tcPr>
          <w:p>
            <w:pPr>
              <w:spacing w:after="20" w:before="20"/>
              <w:jc w:val="center"/>
            </w:pPr>
            <w:r/>
            <w:r>
              <w:rPr>
                <w:b/>
                <w:sz w:val="18"/>
              </w:rPr>
              <w:t>8,954</w:t>
            </w:r>
          </w:p>
        </w:tc>
        <w:tc>
          <w:tcPr>
            <w:tcW w:type="dxa" w:w="1339"/>
          </w:tcPr>
          <w:p>
            <w:pPr>
              <w:spacing w:after="20" w:before="20"/>
              <w:jc w:val="center"/>
            </w:pPr>
            <w:r/>
            <w:r>
              <w:rPr>
                <w:b/>
                <w:sz w:val="18"/>
              </w:rPr>
              <w:t>10,064</w:t>
            </w:r>
          </w:p>
        </w:tc>
        <w:tc>
          <w:tcPr>
            <w:tcW w:type="dxa" w:w="1339"/>
          </w:tcPr>
          <w:p>
            <w:pPr>
              <w:spacing w:after="20" w:before="20"/>
              <w:jc w:val="center"/>
            </w:pPr>
            <w:r/>
            <w:r>
              <w:rPr>
                <w:b/>
                <w:sz w:val="18"/>
              </w:rPr>
              <w:t>11,250</w:t>
            </w:r>
          </w:p>
        </w:tc>
        <w:tc>
          <w:tcPr>
            <w:tcW w:type="dxa" w:w="1339"/>
          </w:tcPr>
          <w:p>
            <w:pPr>
              <w:spacing w:after="20" w:before="20"/>
              <w:jc w:val="center"/>
            </w:pPr>
            <w:r/>
            <w:r>
              <w:rPr>
                <w:b/>
                <w:sz w:val="18"/>
              </w:rPr>
              <w:t>12,288</w:t>
            </w:r>
          </w:p>
        </w:tc>
      </w:tr>
      <w:tr>
        <w:tc>
          <w:tcPr>
            <w:tcW w:type="dxa" w:w="3240"/>
          </w:tcPr>
          <w:p>
            <w:pPr>
              <w:spacing w:after="20" w:before="20"/>
            </w:pPr>
            <w:r/>
            <w:r>
              <w:rPr>
                <w:b/>
                <w:sz w:val="18"/>
              </w:rPr>
              <w:t>Tax</w:t>
            </w:r>
          </w:p>
        </w:tc>
        <w:tc>
          <w:tcPr>
            <w:tcW w:type="dxa" w:w="1339"/>
          </w:tcPr>
          <w:p>
            <w:pPr>
              <w:spacing w:after="20" w:before="20"/>
              <w:jc w:val="center"/>
            </w:pPr>
            <w:r/>
            <w:r>
              <w:rPr>
                <w:sz w:val="18"/>
              </w:rPr>
              <w:t>-1,243</w:t>
            </w:r>
          </w:p>
        </w:tc>
        <w:tc>
          <w:tcPr>
            <w:tcW w:type="dxa" w:w="1339"/>
          </w:tcPr>
          <w:p>
            <w:pPr>
              <w:spacing w:after="20" w:before="20"/>
              <w:jc w:val="center"/>
            </w:pPr>
            <w:r/>
            <w:r>
              <w:rPr>
                <w:sz w:val="18"/>
              </w:rPr>
              <w:t>-1,343</w:t>
            </w:r>
          </w:p>
        </w:tc>
        <w:tc>
          <w:tcPr>
            <w:tcW w:type="dxa" w:w="1339"/>
          </w:tcPr>
          <w:p>
            <w:pPr>
              <w:spacing w:after="20" w:before="20"/>
              <w:jc w:val="center"/>
            </w:pPr>
            <w:r/>
            <w:r>
              <w:rPr>
                <w:sz w:val="18"/>
              </w:rPr>
              <w:t>-1,510</w:t>
            </w:r>
          </w:p>
        </w:tc>
        <w:tc>
          <w:tcPr>
            <w:tcW w:type="dxa" w:w="1339"/>
          </w:tcPr>
          <w:p>
            <w:pPr>
              <w:spacing w:after="20" w:before="20"/>
              <w:jc w:val="center"/>
            </w:pPr>
            <w:r/>
            <w:r>
              <w:rPr>
                <w:sz w:val="18"/>
              </w:rPr>
              <w:t>-1,688</w:t>
            </w:r>
          </w:p>
        </w:tc>
        <w:tc>
          <w:tcPr>
            <w:tcW w:type="dxa" w:w="1339"/>
          </w:tcPr>
          <w:p>
            <w:pPr>
              <w:spacing w:after="20" w:before="20"/>
              <w:jc w:val="center"/>
            </w:pPr>
            <w:r/>
            <w:r>
              <w:rPr>
                <w:sz w:val="18"/>
              </w:rPr>
              <w:t>-1,843</w:t>
            </w:r>
          </w:p>
        </w:tc>
      </w:tr>
      <w:tr>
        <w:tc>
          <w:tcPr>
            <w:tcW w:type="dxa" w:w="3240"/>
          </w:tcPr>
          <w:p>
            <w:pPr>
              <w:spacing w:after="20" w:before="20"/>
            </w:pPr>
            <w:r/>
            <w:r>
              <w:rPr>
                <w:b/>
                <w:sz w:val="18"/>
              </w:rPr>
              <w:t>Net profit after tax</w:t>
            </w:r>
          </w:p>
        </w:tc>
        <w:tc>
          <w:tcPr>
            <w:tcW w:type="dxa" w:w="1339"/>
          </w:tcPr>
          <w:p>
            <w:pPr>
              <w:spacing w:after="20" w:before="20"/>
              <w:jc w:val="center"/>
            </w:pPr>
            <w:r/>
            <w:r>
              <w:rPr>
                <w:b/>
                <w:sz w:val="18"/>
              </w:rPr>
              <w:t>7,042</w:t>
            </w:r>
          </w:p>
        </w:tc>
        <w:tc>
          <w:tcPr>
            <w:tcW w:type="dxa" w:w="1339"/>
          </w:tcPr>
          <w:p>
            <w:pPr>
              <w:spacing w:after="20" w:before="20"/>
              <w:jc w:val="center"/>
            </w:pPr>
            <w:r/>
            <w:r>
              <w:rPr>
                <w:b/>
                <w:sz w:val="18"/>
              </w:rPr>
              <w:t>7,611</w:t>
            </w:r>
          </w:p>
        </w:tc>
        <w:tc>
          <w:tcPr>
            <w:tcW w:type="dxa" w:w="1339"/>
          </w:tcPr>
          <w:p>
            <w:pPr>
              <w:spacing w:after="20" w:before="20"/>
              <w:jc w:val="center"/>
            </w:pPr>
            <w:r/>
            <w:r>
              <w:rPr>
                <w:b/>
                <w:sz w:val="18"/>
              </w:rPr>
              <w:t>8,554</w:t>
            </w:r>
          </w:p>
        </w:tc>
        <w:tc>
          <w:tcPr>
            <w:tcW w:type="dxa" w:w="1339"/>
          </w:tcPr>
          <w:p>
            <w:pPr>
              <w:spacing w:after="20" w:before="20"/>
              <w:jc w:val="center"/>
            </w:pPr>
            <w:r/>
            <w:r>
              <w:rPr>
                <w:b/>
                <w:sz w:val="18"/>
              </w:rPr>
              <w:t>9,563</w:t>
            </w:r>
          </w:p>
        </w:tc>
        <w:tc>
          <w:tcPr>
            <w:tcW w:type="dxa" w:w="1339"/>
          </w:tcPr>
          <w:p>
            <w:pPr>
              <w:spacing w:after="20" w:before="20"/>
              <w:jc w:val="center"/>
            </w:pPr>
            <w:r/>
            <w:r>
              <w:rPr>
                <w:b/>
                <w:sz w:val="18"/>
              </w:rPr>
              <w:t>10,445</w:t>
            </w:r>
          </w:p>
        </w:tc>
      </w:tr>
      <w:tr>
        <w:tc>
          <w:tcPr>
            <w:tcW w:type="dxa" w:w="3240"/>
          </w:tcPr>
          <w:p>
            <w:pPr>
              <w:spacing w:after="20" w:before="20"/>
            </w:pPr>
            <w:r/>
            <w:r>
              <w:rPr>
                <w:b/>
                <w:sz w:val="18"/>
              </w:rPr>
              <w:t>less: non-controlling interests</w:t>
            </w:r>
          </w:p>
        </w:tc>
        <w:tc>
          <w:tcPr>
            <w:tcW w:type="dxa" w:w="1339"/>
          </w:tcPr>
          <w:p>
            <w:pPr>
              <w:spacing w:after="20" w:before="20"/>
              <w:jc w:val="center"/>
            </w:pPr>
            <w:r/>
            <w:r>
              <w:rPr>
                <w:sz w:val="18"/>
              </w:rPr>
              <w:t>-278</w:t>
            </w:r>
          </w:p>
        </w:tc>
        <w:tc>
          <w:tcPr>
            <w:tcW w:type="dxa" w:w="1339"/>
          </w:tcPr>
          <w:p>
            <w:pPr>
              <w:spacing w:after="20" w:before="20"/>
              <w:jc w:val="center"/>
            </w:pPr>
            <w:r/>
            <w:r>
              <w:rPr>
                <w:sz w:val="18"/>
              </w:rPr>
              <w:t>-300</w:t>
            </w:r>
          </w:p>
        </w:tc>
        <w:tc>
          <w:tcPr>
            <w:tcW w:type="dxa" w:w="1339"/>
          </w:tcPr>
          <w:p>
            <w:pPr>
              <w:spacing w:after="20" w:before="20"/>
              <w:jc w:val="center"/>
            </w:pPr>
            <w:r/>
            <w:r>
              <w:rPr>
                <w:sz w:val="18"/>
              </w:rPr>
              <w:t>-337</w:t>
            </w:r>
          </w:p>
        </w:tc>
        <w:tc>
          <w:tcPr>
            <w:tcW w:type="dxa" w:w="1339"/>
          </w:tcPr>
          <w:p>
            <w:pPr>
              <w:spacing w:after="20" w:before="20"/>
              <w:jc w:val="center"/>
            </w:pPr>
            <w:r/>
            <w:r>
              <w:rPr>
                <w:sz w:val="18"/>
              </w:rPr>
              <w:t>-377</w:t>
            </w:r>
          </w:p>
        </w:tc>
        <w:tc>
          <w:tcPr>
            <w:tcW w:type="dxa" w:w="1339"/>
          </w:tcPr>
          <w:p>
            <w:pPr>
              <w:spacing w:after="20" w:before="20"/>
              <w:jc w:val="center"/>
            </w:pPr>
            <w:r/>
            <w:r>
              <w:rPr>
                <w:sz w:val="18"/>
              </w:rPr>
              <w:t>-412</w:t>
            </w:r>
          </w:p>
        </w:tc>
      </w:tr>
      <w:tr>
        <w:tc>
          <w:tcPr>
            <w:tcW w:type="dxa" w:w="3240"/>
          </w:tcPr>
          <w:p>
            <w:pPr>
              <w:spacing w:after="20" w:before="20"/>
            </w:pPr>
            <w:r/>
            <w:r>
              <w:rPr>
                <w:b/>
                <w:sz w:val="18"/>
              </w:rPr>
              <w:t>less: AT1 sukuk distributions</w:t>
            </w:r>
          </w:p>
        </w:tc>
        <w:tc>
          <w:tcPr>
            <w:tcW w:type="dxa" w:w="1339"/>
          </w:tcPr>
          <w:p>
            <w:pPr>
              <w:spacing w:after="20" w:before="20"/>
              <w:jc w:val="center"/>
            </w:pPr>
            <w:r/>
            <w:r>
              <w:rPr>
                <w:sz w:val="18"/>
              </w:rPr>
              <w:t>-553</w:t>
            </w:r>
          </w:p>
        </w:tc>
        <w:tc>
          <w:tcPr>
            <w:tcW w:type="dxa" w:w="1339"/>
          </w:tcPr>
          <w:p>
            <w:pPr>
              <w:spacing w:after="20" w:before="20"/>
              <w:jc w:val="center"/>
            </w:pPr>
            <w:r/>
            <w:r>
              <w:rPr>
                <w:sz w:val="18"/>
              </w:rPr>
              <w:t>-649</w:t>
            </w:r>
          </w:p>
        </w:tc>
        <w:tc>
          <w:tcPr>
            <w:tcW w:type="dxa" w:w="1339"/>
          </w:tcPr>
          <w:p>
            <w:pPr>
              <w:spacing w:after="20" w:before="20"/>
              <w:jc w:val="center"/>
            </w:pPr>
            <w:r/>
            <w:r>
              <w:rPr>
                <w:sz w:val="18"/>
              </w:rPr>
              <w:t>-649</w:t>
            </w:r>
          </w:p>
        </w:tc>
        <w:tc>
          <w:tcPr>
            <w:tcW w:type="dxa" w:w="1339"/>
          </w:tcPr>
          <w:p>
            <w:pPr>
              <w:spacing w:after="20" w:before="20"/>
              <w:jc w:val="center"/>
            </w:pPr>
            <w:r/>
            <w:r>
              <w:rPr>
                <w:sz w:val="18"/>
              </w:rPr>
              <w:t>-649</w:t>
            </w:r>
          </w:p>
        </w:tc>
        <w:tc>
          <w:tcPr>
            <w:tcW w:type="dxa" w:w="1339"/>
          </w:tcPr>
          <w:p>
            <w:pPr>
              <w:spacing w:after="20" w:before="20"/>
              <w:jc w:val="center"/>
            </w:pPr>
            <w:r/>
            <w:r>
              <w:rPr>
                <w:sz w:val="18"/>
              </w:rPr>
              <w:t>-649</w:t>
            </w:r>
          </w:p>
        </w:tc>
      </w:tr>
      <w:tr>
        <w:tc>
          <w:tcPr>
            <w:tcW w:type="dxa" w:w="3240"/>
          </w:tcPr>
          <w:p>
            <w:pPr>
              <w:spacing w:after="20" w:before="20"/>
            </w:pPr>
            <w:r/>
            <w:r>
              <w:rPr>
                <w:b/>
                <w:sz w:val="18"/>
              </w:rPr>
              <w:t>Earnings to common</w:t>
            </w:r>
          </w:p>
        </w:tc>
        <w:tc>
          <w:tcPr>
            <w:tcW w:type="dxa" w:w="1339"/>
          </w:tcPr>
          <w:p>
            <w:pPr>
              <w:spacing w:after="20" w:before="20"/>
              <w:jc w:val="center"/>
            </w:pPr>
            <w:r/>
            <w:r>
              <w:rPr>
                <w:b/>
                <w:sz w:val="18"/>
              </w:rPr>
              <w:t>6,212</w:t>
            </w:r>
          </w:p>
        </w:tc>
        <w:tc>
          <w:tcPr>
            <w:tcW w:type="dxa" w:w="1339"/>
          </w:tcPr>
          <w:p>
            <w:pPr>
              <w:spacing w:after="20" w:before="20"/>
              <w:jc w:val="center"/>
            </w:pPr>
            <w:r/>
            <w:r>
              <w:rPr>
                <w:b/>
                <w:sz w:val="18"/>
              </w:rPr>
              <w:t>6,661</w:t>
            </w:r>
          </w:p>
        </w:tc>
        <w:tc>
          <w:tcPr>
            <w:tcW w:type="dxa" w:w="1339"/>
          </w:tcPr>
          <w:p>
            <w:pPr>
              <w:spacing w:after="20" w:before="20"/>
              <w:jc w:val="center"/>
            </w:pPr>
            <w:r/>
            <w:r>
              <w:rPr>
                <w:b/>
                <w:sz w:val="18"/>
              </w:rPr>
              <w:t>7,568</w:t>
            </w:r>
          </w:p>
        </w:tc>
        <w:tc>
          <w:tcPr>
            <w:tcW w:type="dxa" w:w="1339"/>
          </w:tcPr>
          <w:p>
            <w:pPr>
              <w:spacing w:after="20" w:before="20"/>
              <w:jc w:val="center"/>
            </w:pPr>
            <w:r/>
            <w:r>
              <w:rPr>
                <w:b/>
                <w:sz w:val="18"/>
              </w:rPr>
              <w:t>8,536</w:t>
            </w:r>
          </w:p>
        </w:tc>
        <w:tc>
          <w:tcPr>
            <w:tcW w:type="dxa" w:w="1339"/>
          </w:tcPr>
          <w:p>
            <w:pPr>
              <w:spacing w:after="20" w:before="20"/>
              <w:jc w:val="center"/>
            </w:pPr>
            <w:r/>
            <w:r>
              <w:rPr>
                <w:b/>
                <w:sz w:val="18"/>
              </w:rPr>
              <w:t>9,384</w:t>
            </w:r>
          </w:p>
        </w:tc>
      </w:tr>
      <w:tr>
        <w:tc>
          <w:tcPr>
            <w:tcW w:type="dxa" w:w="3240"/>
          </w:tcPr>
          <w:p>
            <w:pPr>
              <w:spacing w:after="20" w:before="20"/>
            </w:pPr>
            <w:r/>
            <w:r>
              <w:rPr>
                <w:b/>
                <w:sz w:val="18"/>
              </w:rPr>
              <w:t>less: equity retained for RWA growth</w:t>
            </w:r>
          </w:p>
        </w:tc>
        <w:tc>
          <w:tcPr>
            <w:tcW w:type="dxa" w:w="1339"/>
          </w:tcPr>
          <w:p>
            <w:pPr>
              <w:spacing w:after="20" w:before="20"/>
              <w:jc w:val="center"/>
            </w:pPr>
            <w:r/>
            <w:r>
              <w:rPr>
                <w:sz w:val="18"/>
              </w:rPr>
              <w:t>-4,625</w:t>
            </w:r>
          </w:p>
        </w:tc>
        <w:tc>
          <w:tcPr>
            <w:tcW w:type="dxa" w:w="1339"/>
          </w:tcPr>
          <w:p>
            <w:pPr>
              <w:spacing w:after="20" w:before="20"/>
              <w:jc w:val="center"/>
            </w:pPr>
            <w:r/>
            <w:r>
              <w:rPr>
                <w:sz w:val="18"/>
              </w:rPr>
              <w:t>-3,306</w:t>
            </w:r>
          </w:p>
        </w:tc>
        <w:tc>
          <w:tcPr>
            <w:tcW w:type="dxa" w:w="1339"/>
          </w:tcPr>
          <w:p>
            <w:pPr>
              <w:spacing w:after="20" w:before="20"/>
              <w:jc w:val="center"/>
            </w:pPr>
            <w:r/>
            <w:r>
              <w:rPr>
                <w:sz w:val="18"/>
              </w:rPr>
              <w:t>-3,121</w:t>
            </w:r>
          </w:p>
        </w:tc>
        <w:tc>
          <w:tcPr>
            <w:tcW w:type="dxa" w:w="1339"/>
          </w:tcPr>
          <w:p>
            <w:pPr>
              <w:spacing w:after="20" w:before="20"/>
              <w:jc w:val="center"/>
            </w:pPr>
            <w:r/>
            <w:r>
              <w:rPr>
                <w:sz w:val="18"/>
              </w:rPr>
              <w:t>-3,333</w:t>
            </w:r>
          </w:p>
        </w:tc>
        <w:tc>
          <w:tcPr>
            <w:tcW w:type="dxa" w:w="1339"/>
          </w:tcPr>
          <w:p>
            <w:pPr>
              <w:spacing w:after="20" w:before="20"/>
              <w:jc w:val="center"/>
            </w:pPr>
            <w:r/>
            <w:r>
              <w:rPr>
                <w:sz w:val="18"/>
              </w:rPr>
              <w:t>-3,052</w:t>
            </w:r>
          </w:p>
        </w:tc>
      </w:tr>
      <w:tr>
        <w:tc>
          <w:tcPr>
            <w:tcW w:type="dxa" w:w="3240"/>
          </w:tcPr>
          <w:p>
            <w:pPr>
              <w:spacing w:after="20" w:before="20"/>
            </w:pPr>
            <w:r/>
            <w:r>
              <w:rPr>
                <w:b/>
                <w:sz w:val="18"/>
              </w:rPr>
              <w:t>Free cash flow to equity</w:t>
            </w:r>
          </w:p>
        </w:tc>
        <w:tc>
          <w:tcPr>
            <w:tcW w:type="dxa" w:w="1339"/>
          </w:tcPr>
          <w:p>
            <w:pPr>
              <w:spacing w:after="20" w:before="20"/>
              <w:jc w:val="center"/>
            </w:pPr>
            <w:r/>
            <w:r>
              <w:rPr>
                <w:b/>
                <w:sz w:val="18"/>
              </w:rPr>
              <w:t>1,586</w:t>
            </w:r>
          </w:p>
        </w:tc>
        <w:tc>
          <w:tcPr>
            <w:tcW w:type="dxa" w:w="1339"/>
          </w:tcPr>
          <w:p>
            <w:pPr>
              <w:spacing w:after="20" w:before="20"/>
              <w:jc w:val="center"/>
            </w:pPr>
            <w:r/>
            <w:r>
              <w:rPr>
                <w:b/>
                <w:sz w:val="18"/>
              </w:rPr>
              <w:t>3,355</w:t>
            </w:r>
          </w:p>
        </w:tc>
        <w:tc>
          <w:tcPr>
            <w:tcW w:type="dxa" w:w="1339"/>
          </w:tcPr>
          <w:p>
            <w:pPr>
              <w:spacing w:after="20" w:before="20"/>
              <w:jc w:val="center"/>
            </w:pPr>
            <w:r/>
            <w:r>
              <w:rPr>
                <w:b/>
                <w:sz w:val="18"/>
              </w:rPr>
              <w:t>4,447</w:t>
            </w:r>
          </w:p>
        </w:tc>
        <w:tc>
          <w:tcPr>
            <w:tcW w:type="dxa" w:w="1339"/>
          </w:tcPr>
          <w:p>
            <w:pPr>
              <w:spacing w:after="20" w:before="20"/>
              <w:jc w:val="center"/>
            </w:pPr>
            <w:r/>
            <w:r>
              <w:rPr>
                <w:b/>
                <w:sz w:val="18"/>
              </w:rPr>
              <w:t>5,203</w:t>
            </w:r>
          </w:p>
        </w:tc>
        <w:tc>
          <w:tcPr>
            <w:tcW w:type="dxa" w:w="1339"/>
          </w:tcPr>
          <w:p>
            <w:pPr>
              <w:spacing w:after="20" w:before="20"/>
              <w:jc w:val="center"/>
            </w:pPr>
            <w:r/>
            <w:r>
              <w:rPr>
                <w:b/>
                <w:sz w:val="18"/>
              </w:rPr>
              <w:t>6,332</w:t>
            </w:r>
          </w:p>
        </w:tc>
      </w:tr>
      <w:tr>
        <w:tc>
          <w:tcPr>
            <w:tcW w:type="dxa" w:w="3240"/>
          </w:tcPr>
          <w:p>
            <w:pPr>
              <w:spacing w:after="20" w:before="20"/>
            </w:pPr>
            <w:r/>
            <w:r>
              <w:rPr>
                <w:b/>
                <w:sz w:val="18"/>
              </w:rPr>
              <w:t>Discount factor @ Ke 10.57%</w:t>
            </w:r>
          </w:p>
        </w:tc>
        <w:tc>
          <w:tcPr>
            <w:tcW w:type="dxa" w:w="1339"/>
          </w:tcPr>
          <w:p>
            <w:pPr>
              <w:spacing w:after="20" w:before="20"/>
              <w:jc w:val="center"/>
            </w:pPr>
            <w:r/>
            <w:r>
              <w:rPr>
                <w:sz w:val="18"/>
              </w:rPr>
              <w:t>0.904</w:t>
            </w:r>
          </w:p>
        </w:tc>
        <w:tc>
          <w:tcPr>
            <w:tcW w:type="dxa" w:w="1339"/>
          </w:tcPr>
          <w:p>
            <w:pPr>
              <w:spacing w:after="20" w:before="20"/>
              <w:jc w:val="center"/>
            </w:pPr>
            <w:r/>
            <w:r>
              <w:rPr>
                <w:sz w:val="18"/>
              </w:rPr>
              <w:t>0.818</w:t>
            </w:r>
          </w:p>
        </w:tc>
        <w:tc>
          <w:tcPr>
            <w:tcW w:type="dxa" w:w="1339"/>
          </w:tcPr>
          <w:p>
            <w:pPr>
              <w:spacing w:after="20" w:before="20"/>
              <w:jc w:val="center"/>
            </w:pPr>
            <w:r/>
            <w:r>
              <w:rPr>
                <w:sz w:val="18"/>
              </w:rPr>
              <w:t>0.740</w:t>
            </w:r>
          </w:p>
        </w:tc>
        <w:tc>
          <w:tcPr>
            <w:tcW w:type="dxa" w:w="1339"/>
          </w:tcPr>
          <w:p>
            <w:pPr>
              <w:spacing w:after="20" w:before="20"/>
              <w:jc w:val="center"/>
            </w:pPr>
            <w:r/>
            <w:r>
              <w:rPr>
                <w:sz w:val="18"/>
              </w:rPr>
              <w:t>0.669</w:t>
            </w:r>
          </w:p>
        </w:tc>
        <w:tc>
          <w:tcPr>
            <w:tcW w:type="dxa" w:w="1339"/>
          </w:tcPr>
          <w:p>
            <w:pPr>
              <w:spacing w:after="20" w:before="20"/>
              <w:jc w:val="center"/>
            </w:pPr>
            <w:r/>
            <w:r>
              <w:rPr>
                <w:sz w:val="18"/>
              </w:rPr>
              <w:t>0.605</w:t>
            </w:r>
          </w:p>
        </w:tc>
      </w:tr>
      <w:tr>
        <w:tc>
          <w:tcPr>
            <w:tcW w:type="dxa" w:w="3240"/>
          </w:tcPr>
          <w:p>
            <w:pPr>
              <w:spacing w:after="20" w:before="20"/>
            </w:pPr>
            <w:r/>
            <w:r>
              <w:rPr>
                <w:b/>
                <w:sz w:val="18"/>
              </w:rPr>
              <w:t>PV of FCFE</w:t>
            </w:r>
          </w:p>
        </w:tc>
        <w:tc>
          <w:tcPr>
            <w:tcW w:type="dxa" w:w="1339"/>
          </w:tcPr>
          <w:p>
            <w:pPr>
              <w:spacing w:after="20" w:before="20"/>
              <w:jc w:val="center"/>
            </w:pPr>
            <w:r/>
            <w:r>
              <w:rPr>
                <w:b/>
                <w:sz w:val="18"/>
              </w:rPr>
              <w:t>1,435</w:t>
            </w:r>
          </w:p>
        </w:tc>
        <w:tc>
          <w:tcPr>
            <w:tcW w:type="dxa" w:w="1339"/>
          </w:tcPr>
          <w:p>
            <w:pPr>
              <w:spacing w:after="20" w:before="20"/>
              <w:jc w:val="center"/>
            </w:pPr>
            <w:r/>
            <w:r>
              <w:rPr>
                <w:b/>
                <w:sz w:val="18"/>
              </w:rPr>
              <w:t>2,745</w:t>
            </w:r>
          </w:p>
        </w:tc>
        <w:tc>
          <w:tcPr>
            <w:tcW w:type="dxa" w:w="1339"/>
          </w:tcPr>
          <w:p>
            <w:pPr>
              <w:spacing w:after="20" w:before="20"/>
              <w:jc w:val="center"/>
            </w:pPr>
            <w:r/>
            <w:r>
              <w:rPr>
                <w:b/>
                <w:sz w:val="18"/>
              </w:rPr>
              <w:t>3,290</w:t>
            </w:r>
          </w:p>
        </w:tc>
        <w:tc>
          <w:tcPr>
            <w:tcW w:type="dxa" w:w="1339"/>
          </w:tcPr>
          <w:p>
            <w:pPr>
              <w:spacing w:after="20" w:before="20"/>
              <w:jc w:val="center"/>
            </w:pPr>
            <w:r/>
            <w:r>
              <w:rPr>
                <w:b/>
                <w:sz w:val="18"/>
              </w:rPr>
              <w:t>3,481</w:t>
            </w:r>
          </w:p>
        </w:tc>
        <w:tc>
          <w:tcPr>
            <w:tcW w:type="dxa" w:w="1339"/>
          </w:tcPr>
          <w:p>
            <w:pPr>
              <w:spacing w:after="20" w:before="20"/>
              <w:jc w:val="center"/>
            </w:pPr>
            <w:r/>
            <w:r>
              <w:rPr>
                <w:b/>
                <w:sz w:val="18"/>
              </w:rPr>
              <w:t>3,832</w:t>
            </w:r>
          </w:p>
        </w:tc>
      </w:tr>
    </w:tbl>
    <w:p>
      <w:pPr>
        <w:spacing w:after="60"/>
      </w:pPr>
    </w:p>
    <w:tbl>
      <w:tblPr>
        <w:tblStyle w:val="TableGrid"/>
        <w:tblW w:type="auto" w:w="0"/>
        <w:jc w:val="center"/>
        <w:tblLook w:firstColumn="1" w:firstRow="1" w:lastColumn="0" w:lastRow="0" w:noHBand="0" w:noVBand="1" w:val="04A0"/>
      </w:tblPr>
      <w:tblGrid>
        <w:gridCol w:w="4997"/>
        <w:gridCol w:w="4997"/>
      </w:tblGrid>
      <w:tr>
        <w:tc>
          <w:tcPr>
            <w:tcW w:type="dxa" w:w="6480"/>
            <w:shd w:val="clear" w:fill="1C3A36"/>
          </w:tcPr>
          <w:p>
            <w:pPr>
              <w:spacing w:after="20" w:before="20"/>
            </w:pPr>
            <w:r/>
            <w:r>
              <w:rPr>
                <w:b/>
                <w:color w:val="FFFFFF"/>
                <w:sz w:val="18"/>
              </w:rPr>
              <w:t>Terminal value &amp; bridge to per-share</w:t>
            </w:r>
          </w:p>
        </w:tc>
        <w:tc>
          <w:tcPr>
            <w:tcW w:type="dxa" w:w="3456"/>
            <w:shd w:val="clear" w:fill="1C3A36"/>
          </w:tcPr>
          <w:p>
            <w:pPr>
              <w:spacing w:after="20" w:before="20"/>
              <w:jc w:val="center"/>
            </w:pPr>
            <w:r/>
            <w:r>
              <w:rPr>
                <w:b/>
                <w:color w:val="FFFFFF"/>
                <w:sz w:val="18"/>
              </w:rPr>
              <w:t>AED mn</w:t>
            </w:r>
          </w:p>
        </w:tc>
      </w:tr>
      <w:tr>
        <w:tc>
          <w:tcPr>
            <w:tcW w:type="dxa" w:w="6480"/>
          </w:tcPr>
          <w:p>
            <w:pPr>
              <w:spacing w:after="20" w:before="20"/>
            </w:pPr>
            <w:r/>
            <w:r>
              <w:rPr>
                <w:b/>
                <w:sz w:val="18"/>
              </w:rPr>
              <w:t>Sum of PV of explicit FCFE (FY26–30)</w:t>
            </w:r>
          </w:p>
        </w:tc>
        <w:tc>
          <w:tcPr>
            <w:tcW w:type="dxa" w:w="3456"/>
          </w:tcPr>
          <w:p>
            <w:pPr>
              <w:spacing w:after="20" w:before="20"/>
              <w:jc w:val="center"/>
            </w:pPr>
            <w:r/>
            <w:r>
              <w:rPr>
                <w:sz w:val="18"/>
              </w:rPr>
              <w:t>14,782</w:t>
            </w:r>
          </w:p>
        </w:tc>
      </w:tr>
      <w:tr>
        <w:tc>
          <w:tcPr>
            <w:tcW w:type="dxa" w:w="6480"/>
          </w:tcPr>
          <w:p>
            <w:pPr>
              <w:spacing w:after="20" w:before="20"/>
            </w:pPr>
            <w:r/>
            <w:r>
              <w:rPr>
                <w:b/>
                <w:sz w:val="18"/>
              </w:rPr>
              <w:t>Terminal FCFE (FY31) = FY30 × (1 + g)</w:t>
            </w:r>
          </w:p>
        </w:tc>
        <w:tc>
          <w:tcPr>
            <w:tcW w:type="dxa" w:w="3456"/>
          </w:tcPr>
          <w:p>
            <w:pPr>
              <w:spacing w:after="20" w:before="20"/>
              <w:jc w:val="center"/>
            </w:pPr>
            <w:r/>
            <w:r>
              <w:rPr>
                <w:sz w:val="18"/>
              </w:rPr>
              <w:t>6,586</w:t>
            </w:r>
          </w:p>
        </w:tc>
      </w:tr>
      <w:tr>
        <w:tc>
          <w:tcPr>
            <w:tcW w:type="dxa" w:w="6480"/>
          </w:tcPr>
          <w:p>
            <w:pPr>
              <w:spacing w:after="20" w:before="20"/>
            </w:pPr>
            <w:r/>
            <w:r>
              <w:rPr>
                <w:b/>
                <w:sz w:val="18"/>
              </w:rPr>
              <w:t>Terminal value = terminal FCFE ÷ (Ke − g)</w:t>
            </w:r>
          </w:p>
        </w:tc>
        <w:tc>
          <w:tcPr>
            <w:tcW w:type="dxa" w:w="3456"/>
          </w:tcPr>
          <w:p>
            <w:pPr>
              <w:spacing w:after="20" w:before="20"/>
              <w:jc w:val="center"/>
            </w:pPr>
            <w:r/>
            <w:r>
              <w:rPr>
                <w:sz w:val="18"/>
              </w:rPr>
              <w:t>100,237</w:t>
            </w:r>
          </w:p>
        </w:tc>
      </w:tr>
      <w:tr>
        <w:tc>
          <w:tcPr>
            <w:tcW w:type="dxa" w:w="6480"/>
          </w:tcPr>
          <w:p>
            <w:pPr>
              <w:spacing w:after="20" w:before="20"/>
            </w:pPr>
            <w:r/>
            <w:r>
              <w:rPr>
                <w:b/>
                <w:sz w:val="18"/>
              </w:rPr>
              <w:t>PV of terminal value</w:t>
            </w:r>
          </w:p>
        </w:tc>
        <w:tc>
          <w:tcPr>
            <w:tcW w:type="dxa" w:w="3456"/>
          </w:tcPr>
          <w:p>
            <w:pPr>
              <w:spacing w:after="20" w:before="20"/>
              <w:jc w:val="center"/>
            </w:pPr>
            <w:r/>
            <w:r>
              <w:rPr>
                <w:sz w:val="18"/>
              </w:rPr>
              <w:t>60,652</w:t>
            </w:r>
          </w:p>
        </w:tc>
      </w:tr>
      <w:tr>
        <w:tc>
          <w:tcPr>
            <w:tcW w:type="dxa" w:w="6480"/>
          </w:tcPr>
          <w:p>
            <w:pPr>
              <w:spacing w:after="20" w:before="20"/>
            </w:pPr>
            <w:r/>
            <w:r>
              <w:rPr>
                <w:b/>
                <w:sz w:val="18"/>
              </w:rPr>
              <w:t>Equity value = Σ PV explicit + PV terminal</w:t>
            </w:r>
          </w:p>
        </w:tc>
        <w:tc>
          <w:tcPr>
            <w:tcW w:type="dxa" w:w="3456"/>
          </w:tcPr>
          <w:p>
            <w:pPr>
              <w:spacing w:after="20" w:before="20"/>
              <w:jc w:val="center"/>
            </w:pPr>
            <w:r/>
            <w:r>
              <w:rPr>
                <w:sz w:val="18"/>
              </w:rPr>
              <w:t>75,433</w:t>
            </w:r>
          </w:p>
        </w:tc>
      </w:tr>
      <w:tr>
        <w:tc>
          <w:tcPr>
            <w:tcW w:type="dxa" w:w="6480"/>
          </w:tcPr>
          <w:p>
            <w:pPr>
              <w:spacing w:after="20" w:before="20"/>
            </w:pPr>
            <w:r/>
            <w:r>
              <w:rPr>
                <w:b/>
                <w:sz w:val="18"/>
              </w:rPr>
              <w:t>÷ shares outstanding (mn)</w:t>
            </w:r>
          </w:p>
        </w:tc>
        <w:tc>
          <w:tcPr>
            <w:tcW w:type="dxa" w:w="3456"/>
          </w:tcPr>
          <w:p>
            <w:pPr>
              <w:spacing w:after="20" w:before="20"/>
              <w:jc w:val="center"/>
            </w:pPr>
            <w:r/>
            <w:r>
              <w:rPr>
                <w:sz w:val="18"/>
              </w:rPr>
              <w:t>7,227</w:t>
            </w:r>
          </w:p>
        </w:tc>
      </w:tr>
      <w:tr>
        <w:tc>
          <w:tcPr>
            <w:tcW w:type="dxa" w:w="6480"/>
            <w:shd w:val="clear" w:fill="F2E9D2"/>
          </w:tcPr>
          <w:p>
            <w:pPr>
              <w:spacing w:after="20" w:before="20"/>
            </w:pPr>
            <w:r/>
            <w:r>
              <w:rPr>
                <w:b/>
                <w:sz w:val="18"/>
              </w:rPr>
              <w:t>FCFE value per share</w:t>
            </w:r>
          </w:p>
        </w:tc>
        <w:tc>
          <w:tcPr>
            <w:tcW w:type="dxa" w:w="3456"/>
            <w:shd w:val="clear" w:fill="F2E9D2"/>
          </w:tcPr>
          <w:p>
            <w:pPr>
              <w:spacing w:after="20" w:before="20"/>
              <w:jc w:val="center"/>
            </w:pPr>
            <w:r/>
            <w:r>
              <w:rPr>
                <w:b/>
                <w:sz w:val="18"/>
              </w:rPr>
              <w:t>AED 10.44</w:t>
            </w:r>
          </w:p>
        </w:tc>
      </w:tr>
      <w:tr>
        <w:tc>
          <w:tcPr>
            <w:tcW w:type="dxa" w:w="6480"/>
          </w:tcPr>
          <w:p>
            <w:pPr>
              <w:spacing w:after="20" w:before="20"/>
            </w:pPr>
            <w:r/>
            <w:r>
              <w:rPr>
                <w:b/>
                <w:sz w:val="18"/>
              </w:rPr>
              <w:t>Memo: terminal value as % of equity value</w:t>
            </w:r>
          </w:p>
        </w:tc>
        <w:tc>
          <w:tcPr>
            <w:tcW w:type="dxa" w:w="3456"/>
          </w:tcPr>
          <w:p>
            <w:pPr>
              <w:spacing w:after="20" w:before="20"/>
              <w:jc w:val="center"/>
            </w:pPr>
            <w:r/>
            <w:r>
              <w:rPr>
                <w:sz w:val="18"/>
              </w:rPr>
              <w:t>80%</w:t>
            </w:r>
          </w:p>
        </w:tc>
      </w:tr>
    </w:tbl>
    <w:p>
      <w:pPr>
        <w:spacing w:after="60"/>
      </w:pPr>
    </w:p>
    <w:p>
      <w:pPr>
        <w:spacing w:after="160" w:before="40"/>
      </w:pPr>
      <w:r>
        <w:rPr>
          <w:b w:val="0"/>
          <w:i/>
          <w:color w:val="6E7B77"/>
          <w:sz w:val="16"/>
        </w:rPr>
        <w:t>Shaded gold: the headline figure this table is building toward — or, in a grid of alternatives, the row we actually use rather than the sensitivities shown around it.</w:t>
      </w:r>
    </w:p>
    <w:p>
      <w:pPr>
        <w:spacing w:after="120" w:before="0"/>
      </w:pPr>
      <w:r>
        <w:rPr>
          <w:b w:val="0"/>
          <w:i/>
          <w:sz w:val="19"/>
        </w:rPr>
        <w:t>A note on why FCFE (AED 10.44) and the DDM (AED 10.90) land so close together. They should not, normally — the FCFE usually runs well ahead, because it counts capital the board is hoarding rather than paying. Here it does not, and that is informative: DIB's dividend policy and its capital requirement are currently pulling almost exactly the same amount of cash out of the bank. There is no large pile of trapped excess capital in this story. What the bank earns, growth and the dividend consume.</w:t>
      </w:r>
    </w:p>
    <w:p>
      <w:pPr>
        <w:spacing w:after="80" w:before="200"/>
      </w:pPr>
      <w:r>
        <w:rPr>
          <w:b/>
          <w:i w:val="0"/>
          <w:color w:val="1C3A36"/>
          <w:sz w:val="22"/>
        </w:rPr>
        <w:t>1.3  Residual income — book value plus the value of excess returns</w:t>
      </w:r>
    </w:p>
    <w:p>
      <w:pPr>
        <w:spacing w:after="120" w:before="0"/>
      </w:pPr>
      <w:r>
        <w:rPr>
          <w:b w:val="0"/>
          <w:i w:val="0"/>
          <w:sz w:val="21"/>
        </w:rPr>
        <w:t>Residual income starts from what shareholders already own — common book value of AED 42,550mn at December 2025, after deducting the AED 7,350mn of Tier-1 sukuk that sit inside reported equity but belong to sukuk-holders rather than shareholders — and adds only the present value of returns earned above the cost of equity. It is the lens least dependent on terminal assumptions, and the natural cross-check on both discounted-cash-flow methods.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3240"/>
            <w:shd w:val="clear" w:fill="1C3A36"/>
          </w:tcPr>
          <w:p>
            <w:pPr>
              <w:spacing w:after="20" w:before="20"/>
            </w:pPr>
            <w:r/>
            <w:r>
              <w:rPr>
                <w:b/>
                <w:color w:val="FFFFFF"/>
                <w:sz w:val="18"/>
              </w:rPr>
              <w:t>AED mn</w:t>
            </w:r>
          </w:p>
        </w:tc>
        <w:tc>
          <w:tcPr>
            <w:tcW w:type="dxa" w:w="1339"/>
            <w:shd w:val="clear" w:fill="1C3A36"/>
          </w:tcPr>
          <w:p>
            <w:pPr>
              <w:spacing w:after="20" w:before="20"/>
              <w:jc w:val="center"/>
            </w:pPr>
            <w:r/>
            <w:r>
              <w:rPr>
                <w:b/>
                <w:color w:val="FFFFFF"/>
                <w:sz w:val="18"/>
              </w:rPr>
              <w:t>FY26E</w:t>
            </w:r>
          </w:p>
        </w:tc>
        <w:tc>
          <w:tcPr>
            <w:tcW w:type="dxa" w:w="1339"/>
            <w:shd w:val="clear" w:fill="1C3A36"/>
          </w:tcPr>
          <w:p>
            <w:pPr>
              <w:spacing w:after="20" w:before="20"/>
              <w:jc w:val="center"/>
            </w:pPr>
            <w:r/>
            <w:r>
              <w:rPr>
                <w:b/>
                <w:color w:val="FFFFFF"/>
                <w:sz w:val="18"/>
              </w:rPr>
              <w:t>FY27E</w:t>
            </w:r>
          </w:p>
        </w:tc>
        <w:tc>
          <w:tcPr>
            <w:tcW w:type="dxa" w:w="1339"/>
            <w:shd w:val="clear" w:fill="1C3A36"/>
          </w:tcPr>
          <w:p>
            <w:pPr>
              <w:spacing w:after="20" w:before="20"/>
              <w:jc w:val="center"/>
            </w:pPr>
            <w:r/>
            <w:r>
              <w:rPr>
                <w:b/>
                <w:color w:val="FFFFFF"/>
                <w:sz w:val="18"/>
              </w:rPr>
              <w:t>FY28E</w:t>
            </w:r>
          </w:p>
        </w:tc>
        <w:tc>
          <w:tcPr>
            <w:tcW w:type="dxa" w:w="1339"/>
            <w:shd w:val="clear" w:fill="1C3A36"/>
          </w:tcPr>
          <w:p>
            <w:pPr>
              <w:spacing w:after="20" w:before="20"/>
              <w:jc w:val="center"/>
            </w:pPr>
            <w:r/>
            <w:r>
              <w:rPr>
                <w:b/>
                <w:color w:val="FFFFFF"/>
                <w:sz w:val="18"/>
              </w:rPr>
              <w:t>FY29E</w:t>
            </w:r>
          </w:p>
        </w:tc>
        <w:tc>
          <w:tcPr>
            <w:tcW w:type="dxa" w:w="1339"/>
            <w:shd w:val="clear" w:fill="1C3A36"/>
          </w:tcPr>
          <w:p>
            <w:pPr>
              <w:spacing w:after="20" w:before="20"/>
              <w:jc w:val="center"/>
            </w:pPr>
            <w:r/>
            <w:r>
              <w:rPr>
                <w:b/>
                <w:color w:val="FFFFFF"/>
                <w:sz w:val="18"/>
              </w:rPr>
              <w:t>FY30E</w:t>
            </w:r>
          </w:p>
        </w:tc>
      </w:tr>
      <w:tr>
        <w:tc>
          <w:tcPr>
            <w:tcW w:type="dxa" w:w="3240"/>
          </w:tcPr>
          <w:p>
            <w:pPr>
              <w:spacing w:after="20" w:before="20"/>
            </w:pPr>
            <w:r/>
            <w:r>
              <w:rPr>
                <w:b/>
                <w:sz w:val="18"/>
              </w:rPr>
              <w:t>Opening common equity</w:t>
            </w:r>
          </w:p>
        </w:tc>
        <w:tc>
          <w:tcPr>
            <w:tcW w:type="dxa" w:w="1339"/>
          </w:tcPr>
          <w:p>
            <w:pPr>
              <w:spacing w:after="20" w:before="20"/>
              <w:jc w:val="center"/>
            </w:pPr>
            <w:r/>
            <w:r>
              <w:rPr>
                <w:sz w:val="18"/>
              </w:rPr>
              <w:t>42,550</w:t>
            </w:r>
          </w:p>
        </w:tc>
        <w:tc>
          <w:tcPr>
            <w:tcW w:type="dxa" w:w="1339"/>
          </w:tcPr>
          <w:p>
            <w:pPr>
              <w:spacing w:after="20" w:before="20"/>
              <w:jc w:val="center"/>
            </w:pPr>
            <w:r/>
            <w:r>
              <w:rPr>
                <w:sz w:val="18"/>
              </w:rPr>
              <w:t>46,244</w:t>
            </w:r>
          </w:p>
        </w:tc>
        <w:tc>
          <w:tcPr>
            <w:tcW w:type="dxa" w:w="1339"/>
          </w:tcPr>
          <w:p>
            <w:pPr>
              <w:spacing w:after="20" w:before="20"/>
              <w:jc w:val="center"/>
            </w:pPr>
            <w:r/>
            <w:r>
              <w:rPr>
                <w:sz w:val="18"/>
              </w:rPr>
              <w:t>50,087</w:t>
            </w:r>
          </w:p>
        </w:tc>
        <w:tc>
          <w:tcPr>
            <w:tcW w:type="dxa" w:w="1339"/>
          </w:tcPr>
          <w:p>
            <w:pPr>
              <w:spacing w:after="20" w:before="20"/>
              <w:jc w:val="center"/>
            </w:pPr>
            <w:r/>
            <w:r>
              <w:rPr>
                <w:sz w:val="18"/>
              </w:rPr>
              <w:t>54,402</w:t>
            </w:r>
          </w:p>
        </w:tc>
        <w:tc>
          <w:tcPr>
            <w:tcW w:type="dxa" w:w="1339"/>
          </w:tcPr>
          <w:p>
            <w:pPr>
              <w:spacing w:after="20" w:before="20"/>
              <w:jc w:val="center"/>
            </w:pPr>
            <w:r/>
            <w:r>
              <w:rPr>
                <w:sz w:val="18"/>
              </w:rPr>
              <w:t>59,181</w:t>
            </w:r>
          </w:p>
        </w:tc>
      </w:tr>
      <w:tr>
        <w:tc>
          <w:tcPr>
            <w:tcW w:type="dxa" w:w="3240"/>
          </w:tcPr>
          <w:p>
            <w:pPr>
              <w:spacing w:after="20" w:before="20"/>
            </w:pPr>
            <w:r/>
            <w:r>
              <w:rPr>
                <w:b/>
                <w:sz w:val="18"/>
              </w:rPr>
              <w:t>Equity charge (Ke × opening)</w:t>
            </w:r>
          </w:p>
        </w:tc>
        <w:tc>
          <w:tcPr>
            <w:tcW w:type="dxa" w:w="1339"/>
          </w:tcPr>
          <w:p>
            <w:pPr>
              <w:spacing w:after="20" w:before="20"/>
              <w:jc w:val="center"/>
            </w:pPr>
            <w:r/>
            <w:r>
              <w:rPr>
                <w:sz w:val="18"/>
              </w:rPr>
              <w:t>-4,498</w:t>
            </w:r>
          </w:p>
        </w:tc>
        <w:tc>
          <w:tcPr>
            <w:tcW w:type="dxa" w:w="1339"/>
          </w:tcPr>
          <w:p>
            <w:pPr>
              <w:spacing w:after="20" w:before="20"/>
              <w:jc w:val="center"/>
            </w:pPr>
            <w:r/>
            <w:r>
              <w:rPr>
                <w:sz w:val="18"/>
              </w:rPr>
              <w:t>-4,888</w:t>
            </w:r>
          </w:p>
        </w:tc>
        <w:tc>
          <w:tcPr>
            <w:tcW w:type="dxa" w:w="1339"/>
          </w:tcPr>
          <w:p>
            <w:pPr>
              <w:spacing w:after="20" w:before="20"/>
              <w:jc w:val="center"/>
            </w:pPr>
            <w:r/>
            <w:r>
              <w:rPr>
                <w:sz w:val="18"/>
              </w:rPr>
              <w:t>-5,294</w:t>
            </w:r>
          </w:p>
        </w:tc>
        <w:tc>
          <w:tcPr>
            <w:tcW w:type="dxa" w:w="1339"/>
          </w:tcPr>
          <w:p>
            <w:pPr>
              <w:spacing w:after="20" w:before="20"/>
              <w:jc w:val="center"/>
            </w:pPr>
            <w:r/>
            <w:r>
              <w:rPr>
                <w:sz w:val="18"/>
              </w:rPr>
              <w:t>-5,750</w:t>
            </w:r>
          </w:p>
        </w:tc>
        <w:tc>
          <w:tcPr>
            <w:tcW w:type="dxa" w:w="1339"/>
          </w:tcPr>
          <w:p>
            <w:pPr>
              <w:spacing w:after="20" w:before="20"/>
              <w:jc w:val="center"/>
            </w:pPr>
            <w:r/>
            <w:r>
              <w:rPr>
                <w:sz w:val="18"/>
              </w:rPr>
              <w:t>-6,255</w:t>
            </w:r>
          </w:p>
        </w:tc>
      </w:tr>
      <w:tr>
        <w:tc>
          <w:tcPr>
            <w:tcW w:type="dxa" w:w="3240"/>
          </w:tcPr>
          <w:p>
            <w:pPr>
              <w:spacing w:after="20" w:before="20"/>
            </w:pPr>
            <w:r/>
            <w:r>
              <w:rPr>
                <w:b/>
                <w:sz w:val="18"/>
              </w:rPr>
              <w:t>Net profit to common</w:t>
            </w:r>
          </w:p>
        </w:tc>
        <w:tc>
          <w:tcPr>
            <w:tcW w:type="dxa" w:w="1339"/>
          </w:tcPr>
          <w:p>
            <w:pPr>
              <w:spacing w:after="20" w:before="20"/>
              <w:jc w:val="center"/>
            </w:pPr>
            <w:r/>
            <w:r>
              <w:rPr>
                <w:sz w:val="18"/>
              </w:rPr>
              <w:t>6,212</w:t>
            </w:r>
          </w:p>
        </w:tc>
        <w:tc>
          <w:tcPr>
            <w:tcW w:type="dxa" w:w="1339"/>
          </w:tcPr>
          <w:p>
            <w:pPr>
              <w:spacing w:after="20" w:before="20"/>
              <w:jc w:val="center"/>
            </w:pPr>
            <w:r/>
            <w:r>
              <w:rPr>
                <w:sz w:val="18"/>
              </w:rPr>
              <w:t>6,661</w:t>
            </w:r>
          </w:p>
        </w:tc>
        <w:tc>
          <w:tcPr>
            <w:tcW w:type="dxa" w:w="1339"/>
          </w:tcPr>
          <w:p>
            <w:pPr>
              <w:spacing w:after="20" w:before="20"/>
              <w:jc w:val="center"/>
            </w:pPr>
            <w:r/>
            <w:r>
              <w:rPr>
                <w:sz w:val="18"/>
              </w:rPr>
              <w:t>7,568</w:t>
            </w:r>
          </w:p>
        </w:tc>
        <w:tc>
          <w:tcPr>
            <w:tcW w:type="dxa" w:w="1339"/>
          </w:tcPr>
          <w:p>
            <w:pPr>
              <w:spacing w:after="20" w:before="20"/>
              <w:jc w:val="center"/>
            </w:pPr>
            <w:r/>
            <w:r>
              <w:rPr>
                <w:sz w:val="18"/>
              </w:rPr>
              <w:t>8,536</w:t>
            </w:r>
          </w:p>
        </w:tc>
        <w:tc>
          <w:tcPr>
            <w:tcW w:type="dxa" w:w="1339"/>
          </w:tcPr>
          <w:p>
            <w:pPr>
              <w:spacing w:after="20" w:before="20"/>
              <w:jc w:val="center"/>
            </w:pPr>
            <w:r/>
            <w:r>
              <w:rPr>
                <w:sz w:val="18"/>
              </w:rPr>
              <w:t>9,384</w:t>
            </w:r>
          </w:p>
        </w:tc>
      </w:tr>
      <w:tr>
        <w:tc>
          <w:tcPr>
            <w:tcW w:type="dxa" w:w="3240"/>
          </w:tcPr>
          <w:p>
            <w:pPr>
              <w:spacing w:after="20" w:before="20"/>
            </w:pPr>
            <w:r/>
            <w:r>
              <w:rPr>
                <w:b/>
                <w:sz w:val="18"/>
              </w:rPr>
              <w:t>Residual income</w:t>
            </w:r>
          </w:p>
        </w:tc>
        <w:tc>
          <w:tcPr>
            <w:tcW w:type="dxa" w:w="1339"/>
          </w:tcPr>
          <w:p>
            <w:pPr>
              <w:spacing w:after="20" w:before="20"/>
              <w:jc w:val="center"/>
            </w:pPr>
            <w:r/>
            <w:r>
              <w:rPr>
                <w:b/>
                <w:sz w:val="18"/>
              </w:rPr>
              <w:t>1,713</w:t>
            </w:r>
          </w:p>
        </w:tc>
        <w:tc>
          <w:tcPr>
            <w:tcW w:type="dxa" w:w="1339"/>
          </w:tcPr>
          <w:p>
            <w:pPr>
              <w:spacing w:after="20" w:before="20"/>
              <w:jc w:val="center"/>
            </w:pPr>
            <w:r/>
            <w:r>
              <w:rPr>
                <w:b/>
                <w:sz w:val="18"/>
              </w:rPr>
              <w:t>1,773</w:t>
            </w:r>
          </w:p>
        </w:tc>
        <w:tc>
          <w:tcPr>
            <w:tcW w:type="dxa" w:w="1339"/>
          </w:tcPr>
          <w:p>
            <w:pPr>
              <w:spacing w:after="20" w:before="20"/>
              <w:jc w:val="center"/>
            </w:pPr>
            <w:r/>
            <w:r>
              <w:rPr>
                <w:b/>
                <w:sz w:val="18"/>
              </w:rPr>
              <w:t>2,274</w:t>
            </w:r>
          </w:p>
        </w:tc>
        <w:tc>
          <w:tcPr>
            <w:tcW w:type="dxa" w:w="1339"/>
          </w:tcPr>
          <w:p>
            <w:pPr>
              <w:spacing w:after="20" w:before="20"/>
              <w:jc w:val="center"/>
            </w:pPr>
            <w:r/>
            <w:r>
              <w:rPr>
                <w:b/>
                <w:sz w:val="18"/>
              </w:rPr>
              <w:t>2,786</w:t>
            </w:r>
          </w:p>
        </w:tc>
        <w:tc>
          <w:tcPr>
            <w:tcW w:type="dxa" w:w="1339"/>
          </w:tcPr>
          <w:p>
            <w:pPr>
              <w:spacing w:after="20" w:before="20"/>
              <w:jc w:val="center"/>
            </w:pPr>
            <w:r/>
            <w:r>
              <w:rPr>
                <w:b/>
                <w:sz w:val="18"/>
              </w:rPr>
              <w:t>3,129</w:t>
            </w:r>
          </w:p>
        </w:tc>
      </w:tr>
      <w:tr>
        <w:tc>
          <w:tcPr>
            <w:tcW w:type="dxa" w:w="3240"/>
          </w:tcPr>
          <w:p>
            <w:pPr>
              <w:spacing w:after="20" w:before="20"/>
            </w:pPr>
            <w:r/>
            <w:r>
              <w:rPr>
                <w:b/>
                <w:sz w:val="18"/>
              </w:rPr>
              <w:t>PV of residual income</w:t>
            </w:r>
          </w:p>
        </w:tc>
        <w:tc>
          <w:tcPr>
            <w:tcW w:type="dxa" w:w="1339"/>
          </w:tcPr>
          <w:p>
            <w:pPr>
              <w:spacing w:after="20" w:before="20"/>
              <w:jc w:val="center"/>
            </w:pPr>
            <w:r/>
            <w:r>
              <w:rPr>
                <w:sz w:val="18"/>
              </w:rPr>
              <w:t>1,549</w:t>
            </w:r>
          </w:p>
        </w:tc>
        <w:tc>
          <w:tcPr>
            <w:tcW w:type="dxa" w:w="1339"/>
          </w:tcPr>
          <w:p>
            <w:pPr>
              <w:spacing w:after="20" w:before="20"/>
              <w:jc w:val="center"/>
            </w:pPr>
            <w:r/>
            <w:r>
              <w:rPr>
                <w:sz w:val="18"/>
              </w:rPr>
              <w:t>1,451</w:t>
            </w:r>
          </w:p>
        </w:tc>
        <w:tc>
          <w:tcPr>
            <w:tcW w:type="dxa" w:w="1339"/>
          </w:tcPr>
          <w:p>
            <w:pPr>
              <w:spacing w:after="20" w:before="20"/>
              <w:jc w:val="center"/>
            </w:pPr>
            <w:r/>
            <w:r>
              <w:rPr>
                <w:sz w:val="18"/>
              </w:rPr>
              <w:t>1,682</w:t>
            </w:r>
          </w:p>
        </w:tc>
        <w:tc>
          <w:tcPr>
            <w:tcW w:type="dxa" w:w="1339"/>
          </w:tcPr>
          <w:p>
            <w:pPr>
              <w:spacing w:after="20" w:before="20"/>
              <w:jc w:val="center"/>
            </w:pPr>
            <w:r/>
            <w:r>
              <w:rPr>
                <w:sz w:val="18"/>
              </w:rPr>
              <w:t>1,864</w:t>
            </w:r>
          </w:p>
        </w:tc>
        <w:tc>
          <w:tcPr>
            <w:tcW w:type="dxa" w:w="1339"/>
          </w:tcPr>
          <w:p>
            <w:pPr>
              <w:spacing w:after="20" w:before="20"/>
              <w:jc w:val="center"/>
            </w:pPr>
            <w:r/>
            <w:r>
              <w:rPr>
                <w:sz w:val="18"/>
              </w:rPr>
              <w:t>1,893</w:t>
            </w:r>
          </w:p>
        </w:tc>
      </w:tr>
    </w:tbl>
    <w:p>
      <w:pPr>
        <w:spacing w:after="60"/>
      </w:pPr>
    </w:p>
    <w:p>
      <w:pPr>
        <w:spacing w:after="120" w:before="0"/>
      </w:pPr>
      <w:r>
        <w:rPr>
          <w:b w:val="0"/>
          <w:i w:val="0"/>
          <w:sz w:val="21"/>
        </w:rPr>
        <w:t>Book AED 42,550mn + PV of explicit residual income AED 8,438mn + PV of terminal residual income AED 29,966mn = AED 80,954mn, or AED 11.20 per share — an implied 1.90× on current common book. Because DIB earns roughly 15–16% against a 10.57% cost of equity, a large share of this value is already sitting on the balance sheet today rather than depending on a distant terminal year. That is why residual income is the highest of the five lenses, and why it is the hardest one to argue away.</w:t>
      </w:r>
    </w:p>
    <w:p>
      <w:pPr>
        <w:spacing w:after="80" w:before="200"/>
      </w:pPr>
      <w:r>
        <w:rPr>
          <w:b/>
          <w:i w:val="0"/>
          <w:color w:val="1C3A36"/>
          <w:sz w:val="22"/>
        </w:rPr>
        <w:t>1.4  Relative multiples — what the sector will pay today</w:t>
      </w:r>
    </w:p>
    <w:p>
      <w:pPr>
        <w:spacing w:after="120" w:before="0"/>
      </w:pPr>
      <w:r>
        <w:rPr>
          <w:b w:val="0"/>
          <w:i w:val="0"/>
          <w:sz w:val="21"/>
        </w:rPr>
        <w:t>This is the disciplining lens — the one that drags an over-enthusiastic discounted-cash-flow model back to what the market is actually paying. It only works, though, if the comparison is struck on the same day. Applying a peer multiple from several months ago to today's share price manufactures cheapness out of nothing more than the passage of time, and in a market that has been through a war that error would be large.</w:t>
      </w:r>
    </w:p>
    <w:p>
      <w:pPr>
        <w:spacing w:after="120" w:before="0"/>
      </w:pPr>
      <w:r>
        <w:rPr>
          <w:b w:val="0"/>
          <w:i w:val="0"/>
          <w:sz w:val="21"/>
        </w:rPr>
        <w:t>So the lens is anchored on the only rigorous same-day comparator available: our own study of Abu Dhabi Commercial Bank, published one day earlier and struck at the identical 03-July close. ADCB traded that day at 1.52× common book and 8.7× forward earnings. DIB traded at 1.31× and 9.0×. Both banks earn a comparable return on tangible equity — ADCB reported 18.1% at the first quarter, DIB 19% after tax for FY25 (22% before tax). The discount is therefore like-for-like, and it is about 14%.</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2520"/>
            <w:shd w:val="clear" w:fill="1C3A36"/>
          </w:tcPr>
          <w:p>
            <w:pPr>
              <w:spacing w:after="20" w:before="20"/>
            </w:pPr>
            <w:r/>
            <w:r>
              <w:rPr>
                <w:b/>
                <w:color w:val="FFFFFF"/>
                <w:sz w:val="18"/>
              </w:rPr>
              <w:t>Bank</w:t>
            </w:r>
          </w:p>
        </w:tc>
        <w:tc>
          <w:tcPr>
            <w:tcW w:type="dxa" w:w="1152"/>
            <w:shd w:val="clear" w:fill="1C3A36"/>
          </w:tcPr>
          <w:p>
            <w:pPr>
              <w:spacing w:after="20" w:before="20"/>
              <w:jc w:val="center"/>
            </w:pPr>
            <w:r/>
            <w:r>
              <w:rPr>
                <w:b/>
                <w:color w:val="FFFFFF"/>
                <w:sz w:val="18"/>
              </w:rPr>
              <w:t>P/B</w:t>
            </w:r>
          </w:p>
        </w:tc>
        <w:tc>
          <w:tcPr>
            <w:tcW w:type="dxa" w:w="1152"/>
            <w:shd w:val="clear" w:fill="1C3A36"/>
          </w:tcPr>
          <w:p>
            <w:pPr>
              <w:spacing w:after="20" w:before="20"/>
              <w:jc w:val="center"/>
            </w:pPr>
            <w:r/>
            <w:r>
              <w:rPr>
                <w:b/>
                <w:color w:val="FFFFFF"/>
                <w:sz w:val="18"/>
              </w:rPr>
              <w:t>Fwd P/E</w:t>
            </w:r>
          </w:p>
        </w:tc>
        <w:tc>
          <w:tcPr>
            <w:tcW w:type="dxa" w:w="2016"/>
            <w:shd w:val="clear" w:fill="1C3A36"/>
          </w:tcPr>
          <w:p>
            <w:pPr>
              <w:spacing w:after="20" w:before="20"/>
              <w:jc w:val="center"/>
            </w:pPr>
            <w:r/>
            <w:r>
              <w:rPr>
                <w:b/>
                <w:color w:val="FFFFFF"/>
                <w:sz w:val="18"/>
              </w:rPr>
              <w:t>RoTE</w:t>
            </w:r>
          </w:p>
        </w:tc>
        <w:tc>
          <w:tcPr>
            <w:tcW w:type="dxa" w:w="3168"/>
            <w:shd w:val="clear" w:fill="1C3A36"/>
          </w:tcPr>
          <w:p>
            <w:pPr>
              <w:spacing w:after="20" w:before="20"/>
              <w:jc w:val="center"/>
            </w:pPr>
            <w:r/>
            <w:r>
              <w:rPr>
                <w:b/>
                <w:color w:val="FFFFFF"/>
                <w:sz w:val="18"/>
              </w:rPr>
              <w:t>Basis</w:t>
            </w:r>
          </w:p>
        </w:tc>
      </w:tr>
      <w:tr>
        <w:tc>
          <w:tcPr>
            <w:tcW w:type="dxa" w:w="2520"/>
          </w:tcPr>
          <w:p>
            <w:pPr>
              <w:spacing w:after="20" w:before="20"/>
            </w:pPr>
            <w:r/>
            <w:r>
              <w:rPr>
                <w:b/>
                <w:sz w:val="18"/>
              </w:rPr>
              <w:t>Abu Dhabi Commercial Bank</w:t>
            </w:r>
          </w:p>
        </w:tc>
        <w:tc>
          <w:tcPr>
            <w:tcW w:type="dxa" w:w="1152"/>
          </w:tcPr>
          <w:p>
            <w:pPr>
              <w:spacing w:after="20" w:before="20"/>
              <w:jc w:val="center"/>
            </w:pPr>
            <w:r/>
            <w:r>
              <w:rPr>
                <w:sz w:val="18"/>
              </w:rPr>
              <w:t>1.52x</w:t>
            </w:r>
          </w:p>
        </w:tc>
        <w:tc>
          <w:tcPr>
            <w:tcW w:type="dxa" w:w="1152"/>
          </w:tcPr>
          <w:p>
            <w:pPr>
              <w:spacing w:after="20" w:before="20"/>
              <w:jc w:val="center"/>
            </w:pPr>
            <w:r/>
            <w:r>
              <w:rPr>
                <w:sz w:val="18"/>
              </w:rPr>
              <w:t>8.7x</w:t>
            </w:r>
          </w:p>
        </w:tc>
        <w:tc>
          <w:tcPr>
            <w:tcW w:type="dxa" w:w="2016"/>
          </w:tcPr>
          <w:p>
            <w:pPr>
              <w:spacing w:after="20" w:before="20"/>
              <w:jc w:val="center"/>
            </w:pPr>
            <w:r/>
            <w:r>
              <w:rPr>
                <w:sz w:val="18"/>
              </w:rPr>
              <w:t>18.1% (Q1-26)</w:t>
            </w:r>
          </w:p>
        </w:tc>
        <w:tc>
          <w:tcPr>
            <w:tcW w:type="dxa" w:w="3168"/>
          </w:tcPr>
          <w:p>
            <w:pPr>
              <w:spacing w:after="20" w:before="20"/>
              <w:jc w:val="center"/>
            </w:pPr>
            <w:r/>
            <w:r>
              <w:rPr>
                <w:sz w:val="18"/>
              </w:rPr>
              <w:t>SAME DAY (03-Jul close), house-computed — the anchor</w:t>
            </w:r>
          </w:p>
        </w:tc>
      </w:tr>
      <w:tr>
        <w:tc>
          <w:tcPr>
            <w:tcW w:type="dxa" w:w="2520"/>
            <w:shd w:val="clear" w:fill="F2E9D2"/>
          </w:tcPr>
          <w:p>
            <w:pPr>
              <w:spacing w:after="20" w:before="20"/>
            </w:pPr>
            <w:r/>
            <w:r>
              <w:rPr>
                <w:b/>
                <w:sz w:val="18"/>
              </w:rPr>
              <w:t>Dubai Islamic Bank</w:t>
            </w:r>
          </w:p>
        </w:tc>
        <w:tc>
          <w:tcPr>
            <w:tcW w:type="dxa" w:w="1152"/>
            <w:shd w:val="clear" w:fill="F2E9D2"/>
          </w:tcPr>
          <w:p>
            <w:pPr>
              <w:spacing w:after="20" w:before="20"/>
              <w:jc w:val="center"/>
            </w:pPr>
            <w:r/>
            <w:r>
              <w:rPr>
                <w:b/>
                <w:sz w:val="18"/>
              </w:rPr>
              <w:t>1.31x</w:t>
            </w:r>
          </w:p>
        </w:tc>
        <w:tc>
          <w:tcPr>
            <w:tcW w:type="dxa" w:w="1152"/>
            <w:shd w:val="clear" w:fill="F2E9D2"/>
          </w:tcPr>
          <w:p>
            <w:pPr>
              <w:spacing w:after="20" w:before="20"/>
              <w:jc w:val="center"/>
            </w:pPr>
            <w:r/>
            <w:r>
              <w:rPr>
                <w:b/>
                <w:sz w:val="18"/>
              </w:rPr>
              <w:t>9.0x</w:t>
            </w:r>
          </w:p>
        </w:tc>
        <w:tc>
          <w:tcPr>
            <w:tcW w:type="dxa" w:w="2016"/>
            <w:shd w:val="clear" w:fill="F2E9D2"/>
          </w:tcPr>
          <w:p>
            <w:pPr>
              <w:spacing w:after="20" w:before="20"/>
              <w:jc w:val="center"/>
            </w:pPr>
            <w:r/>
            <w:r>
              <w:rPr>
                <w:b/>
                <w:sz w:val="18"/>
              </w:rPr>
              <w:t>19% / 22% pre-tax</w:t>
            </w:r>
          </w:p>
        </w:tc>
        <w:tc>
          <w:tcPr>
            <w:tcW w:type="dxa" w:w="3168"/>
            <w:shd w:val="clear" w:fill="F2E9D2"/>
          </w:tcPr>
          <w:p>
            <w:pPr>
              <w:spacing w:after="20" w:before="20"/>
              <w:jc w:val="center"/>
            </w:pPr>
            <w:r/>
            <w:r>
              <w:rPr>
                <w:b/>
                <w:sz w:val="18"/>
              </w:rPr>
              <w:t>SAME DAY (03-Jul close), house-computed</w:t>
            </w:r>
          </w:p>
        </w:tc>
      </w:tr>
      <w:tr>
        <w:tc>
          <w:tcPr>
            <w:tcW w:type="dxa" w:w="2520"/>
          </w:tcPr>
          <w:p>
            <w:pPr>
              <w:spacing w:after="20" w:before="20"/>
            </w:pPr>
            <w:r/>
            <w:r>
              <w:rPr>
                <w:b/>
                <w:sz w:val="18"/>
              </w:rPr>
              <w:t>ADIB · FAB · Emirates NBD</w:t>
            </w:r>
          </w:p>
        </w:tc>
        <w:tc>
          <w:tcPr>
            <w:tcW w:type="dxa" w:w="1152"/>
          </w:tcPr>
          <w:p>
            <w:pPr>
              <w:spacing w:after="20" w:before="20"/>
              <w:jc w:val="center"/>
            </w:pPr>
            <w:r/>
            <w:r>
              <w:rPr>
                <w:sz w:val="18"/>
              </w:rPr>
              <w:t>—</w:t>
            </w:r>
          </w:p>
        </w:tc>
        <w:tc>
          <w:tcPr>
            <w:tcW w:type="dxa" w:w="1152"/>
          </w:tcPr>
          <w:p>
            <w:pPr>
              <w:spacing w:after="20" w:before="20"/>
              <w:jc w:val="center"/>
            </w:pPr>
            <w:r/>
            <w:r>
              <w:rPr>
                <w:sz w:val="18"/>
              </w:rPr>
              <w:t>—</w:t>
            </w:r>
          </w:p>
        </w:tc>
        <w:tc>
          <w:tcPr>
            <w:tcW w:type="dxa" w:w="2016"/>
          </w:tcPr>
          <w:p>
            <w:pPr>
              <w:spacing w:after="20" w:before="20"/>
              <w:jc w:val="center"/>
            </w:pPr>
            <w:r/>
            <w:r>
              <w:rPr>
                <w:sz w:val="18"/>
              </w:rPr>
              <w:t>—</w:t>
            </w:r>
          </w:p>
        </w:tc>
        <w:tc>
          <w:tcPr>
            <w:tcW w:type="dxa" w:w="3168"/>
          </w:tcPr>
          <w:p>
            <w:pPr>
              <w:spacing w:after="20" w:before="20"/>
              <w:jc w:val="center"/>
            </w:pPr>
            <w:r/>
            <w:r>
              <w:rPr>
                <w:sz w:val="18"/>
              </w:rPr>
              <w:t>Third-party Feb-2026 marks only — STALE, demoted, not used in the lens</w:t>
            </w:r>
          </w:p>
        </w:tc>
      </w:tr>
    </w:tbl>
    <w:p>
      <w:pPr>
        <w:spacing w:after="60"/>
      </w:pPr>
    </w:p>
    <w:p>
      <w:pPr>
        <w:spacing w:after="160" w:before="40"/>
      </w:pPr>
      <w:r>
        <w:rPr>
          <w:b w:val="0"/>
          <w:i/>
          <w:color w:val="6E7B77"/>
          <w:sz w:val="16"/>
        </w:rPr>
        <w:t>Shaded gold: DIB's own multiple — the figure this table exists to establish.</w:t>
      </w:r>
    </w:p>
    <w:p>
      <w:pPr>
        <w:spacing w:after="120" w:before="0"/>
      </w:pPr>
      <w:r>
        <w:rPr>
          <w:b w:val="0"/>
          <w:i/>
          <w:color w:val="6E7B77"/>
          <w:sz w:val="17"/>
        </w:rPr>
        <w:t>Third-party peer tables struck earlier in the year are not used in this lens. One widely circulated set carried ADCB at 11.4% return on tangible equity when ADCB's own first-quarter disclosure is 18.1% — a source that misses a comparable's return by seven points is not one to weight at a fifth of a valuation.</w:t>
      </w:r>
    </w:p>
    <w:p>
      <w:pPr>
        <w:spacing w:after="120" w:before="0"/>
      </w:pPr>
      <w:r>
        <w:rPr>
          <w:b w:val="0"/>
          <w:i w:val="0"/>
          <w:sz w:val="21"/>
        </w:rPr>
        <w:t>The sector marks are therefore cut to 1.45× book and 9.0× forward earnings — below the same-day ADCB observation, deliberately. On DIB's book value per share of AED 5.89 that is AED 8.54; on FY26E earnings per share of AED 0.86 it is AED 7.74; the blend is AED 8.14, or +5% against the current price. Note what that means, because it is a deliberately modest claim: on forward earnings this lens says DIB is fairly valued. It is only on book value that it says cheap.</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3168"/>
            <w:shd w:val="clear" w:fill="1C3A36"/>
          </w:tcPr>
          <w:p>
            <w:pPr>
              <w:spacing w:after="20" w:before="20"/>
            </w:pPr>
            <w:r/>
            <w:r>
              <w:rPr>
                <w:b/>
                <w:color w:val="FFFFFF"/>
                <w:sz w:val="18"/>
              </w:rPr>
              <w:t>Sector P/B mark</w:t>
            </w:r>
          </w:p>
        </w:tc>
        <w:tc>
          <w:tcPr>
            <w:tcW w:type="dxa" w:w="1354"/>
            <w:shd w:val="clear" w:fill="1C3A36"/>
          </w:tcPr>
          <w:p>
            <w:pPr>
              <w:spacing w:after="20" w:before="20"/>
              <w:jc w:val="center"/>
            </w:pPr>
            <w:r/>
            <w:r>
              <w:rPr>
                <w:b/>
                <w:color w:val="FFFFFF"/>
                <w:sz w:val="18"/>
              </w:rPr>
              <w:t>1.30x</w:t>
            </w:r>
          </w:p>
        </w:tc>
        <w:tc>
          <w:tcPr>
            <w:tcW w:type="dxa" w:w="1354"/>
            <w:shd w:val="clear" w:fill="1C3A36"/>
          </w:tcPr>
          <w:p>
            <w:pPr>
              <w:spacing w:after="20" w:before="20"/>
              <w:jc w:val="center"/>
            </w:pPr>
            <w:r/>
            <w:r>
              <w:rPr>
                <w:b/>
                <w:color w:val="FFFFFF"/>
                <w:sz w:val="18"/>
              </w:rPr>
              <w:t>1.40x</w:t>
            </w:r>
          </w:p>
        </w:tc>
        <w:tc>
          <w:tcPr>
            <w:tcW w:type="dxa" w:w="1354"/>
            <w:shd w:val="clear" w:fill="1C3A36"/>
          </w:tcPr>
          <w:p>
            <w:pPr>
              <w:spacing w:after="20" w:before="20"/>
              <w:jc w:val="center"/>
            </w:pPr>
            <w:r/>
            <w:r>
              <w:rPr>
                <w:b/>
                <w:color w:val="FFFFFF"/>
                <w:sz w:val="18"/>
              </w:rPr>
              <w:t>1.45x</w:t>
            </w:r>
          </w:p>
        </w:tc>
        <w:tc>
          <w:tcPr>
            <w:tcW w:type="dxa" w:w="1354"/>
            <w:shd w:val="clear" w:fill="1C3A36"/>
          </w:tcPr>
          <w:p>
            <w:pPr>
              <w:spacing w:after="20" w:before="20"/>
              <w:jc w:val="center"/>
            </w:pPr>
            <w:r/>
            <w:r>
              <w:rPr>
                <w:b/>
                <w:color w:val="FFFFFF"/>
                <w:sz w:val="18"/>
              </w:rPr>
              <w:t>1.52x</w:t>
            </w:r>
          </w:p>
        </w:tc>
        <w:tc>
          <w:tcPr>
            <w:tcW w:type="dxa" w:w="1354"/>
            <w:shd w:val="clear" w:fill="1C3A36"/>
          </w:tcPr>
          <w:p>
            <w:pPr>
              <w:spacing w:after="20" w:before="20"/>
              <w:jc w:val="center"/>
            </w:pPr>
            <w:r/>
            <w:r>
              <w:rPr>
                <w:b/>
                <w:color w:val="FFFFFF"/>
                <w:sz w:val="18"/>
              </w:rPr>
              <w:t>1.60x</w:t>
            </w:r>
          </w:p>
        </w:tc>
      </w:tr>
      <w:tr>
        <w:tc>
          <w:tcPr>
            <w:tcW w:type="dxa" w:w="3168"/>
          </w:tcPr>
          <w:p>
            <w:pPr>
              <w:spacing w:after="20" w:before="20"/>
            </w:pPr>
            <w:r/>
            <w:r>
              <w:rPr>
                <w:b/>
                <w:sz w:val="18"/>
              </w:rPr>
              <w:t>Relative-lens value (AED)</w:t>
            </w:r>
          </w:p>
        </w:tc>
        <w:tc>
          <w:tcPr>
            <w:tcW w:type="dxa" w:w="1354"/>
          </w:tcPr>
          <w:p>
            <w:pPr>
              <w:spacing w:after="20" w:before="20"/>
              <w:jc w:val="center"/>
            </w:pPr>
            <w:r/>
            <w:r>
              <w:rPr>
                <w:sz w:val="18"/>
              </w:rPr>
              <w:t>7.70</w:t>
            </w:r>
          </w:p>
        </w:tc>
        <w:tc>
          <w:tcPr>
            <w:tcW w:type="dxa" w:w="1354"/>
          </w:tcPr>
          <w:p>
            <w:pPr>
              <w:spacing w:after="20" w:before="20"/>
              <w:jc w:val="center"/>
            </w:pPr>
            <w:r/>
            <w:r>
              <w:rPr>
                <w:sz w:val="18"/>
              </w:rPr>
              <w:t>7.99</w:t>
            </w:r>
          </w:p>
        </w:tc>
        <w:tc>
          <w:tcPr>
            <w:tcW w:type="dxa" w:w="1354"/>
          </w:tcPr>
          <w:p>
            <w:pPr>
              <w:spacing w:after="20" w:before="20"/>
              <w:jc w:val="center"/>
            </w:pPr>
            <w:r/>
            <w:r>
              <w:rPr>
                <w:sz w:val="18"/>
              </w:rPr>
              <w:t>8.14</w:t>
            </w:r>
          </w:p>
        </w:tc>
        <w:tc>
          <w:tcPr>
            <w:tcW w:type="dxa" w:w="1354"/>
          </w:tcPr>
          <w:p>
            <w:pPr>
              <w:spacing w:after="20" w:before="20"/>
              <w:jc w:val="center"/>
            </w:pPr>
            <w:r/>
            <w:r>
              <w:rPr>
                <w:sz w:val="18"/>
              </w:rPr>
              <w:t>8.34</w:t>
            </w:r>
          </w:p>
        </w:tc>
        <w:tc>
          <w:tcPr>
            <w:tcW w:type="dxa" w:w="1354"/>
          </w:tcPr>
          <w:p>
            <w:pPr>
              <w:spacing w:after="20" w:before="20"/>
              <w:jc w:val="center"/>
            </w:pPr>
            <w:r/>
            <w:r>
              <w:rPr>
                <w:sz w:val="18"/>
              </w:rPr>
              <w:t>8.58</w:t>
            </w:r>
          </w:p>
        </w:tc>
      </w:tr>
    </w:tbl>
    <w:p>
      <w:pPr>
        <w:spacing w:after="60"/>
      </w:pPr>
    </w:p>
    <w:p>
      <w:pPr>
        <w:spacing w:after="120" w:before="0"/>
      </w:pPr>
      <w:r>
        <w:rPr>
          <w:b w:val="0"/>
          <w:i/>
          <w:color w:val="6E7B77"/>
          <w:sz w:val="17"/>
        </w:rPr>
        <w:t>The lens carries 20% of the weighted central, so the mark is sensitized rather than asserted. Even at 1.30× — below anything observed in the UAE large-cap band — the lens still lands above the current price, because the forward-earnings leg does not move.</w:t>
      </w:r>
    </w:p>
    <w:p>
      <w:pPr>
        <w:spacing w:after="80" w:before="200"/>
      </w:pPr>
      <w:r>
        <w:rPr>
          <w:b/>
          <w:i w:val="0"/>
          <w:color w:val="1C3A36"/>
          <w:sz w:val="22"/>
        </w:rPr>
        <w:t>1.5  Normalized-earnings value — the conservative, through-cycle case</w:t>
      </w:r>
    </w:p>
    <w:p>
      <w:pPr>
        <w:spacing w:after="120" w:before="0"/>
      </w:pPr>
      <w:r>
        <w:rPr>
          <w:b w:val="0"/>
          <w:i w:val="0"/>
          <w:sz w:val="21"/>
        </w:rPr>
        <w:t>This lens sets aside the current profitability and asks what DIB is worth on mid-cycle earnings — but values those earnings at the multiple they actually warrant rather than an arbitrarily low one. On the corrected normalisation, DIB's return on common equity was 15.5% in FY24 (stripping the disclosed legacy recovery) and 17.2% in FY25 — a two-year average of 16.3%. We take 15.0% — a deliberate haircut for a structurally lower rate regime and a normalised cost of risk — which on book value per share of AED 5.89 gives normalized earnings of AED 0.88. A bank sustainably earning 15.0% and growing at 4% is worth a price-to-book of (15.0 − 4) ÷ (10.57 − 4) = 1.67×, which is AED 9.86 per share — an implied 11.2× on those normalized earnings, and still 28% above the current price.</w:t>
      </w:r>
    </w:p>
    <w:p>
      <w:pPr>
        <w:spacing w:after="120" w:before="0"/>
      </w:pPr>
      <w:r>
        <w:rPr>
          <w:b w:val="0"/>
          <w:i w:val="0"/>
          <w:sz w:val="21"/>
        </w:rPr>
        <w:t>Valuing the earnings at the price-to-book their return justifies keeps this lens internally consistent with the other four, which all discount at the same cost of equity. The reading is deliberately sober — and it still does not get to today's price. To justify AED 7.72 on this arithmetic you need a through-cycle return on equity of about 12.6%, against a normalised three-year history of 17.9% and a forecast path that already troughs at 14.1%. That is the bear case in one number, and it is stated plainly rather than buried.</w:t>
      </w:r>
    </w:p>
    <w:p>
      <w:pPr>
        <w:spacing w:after="120" w:before="0"/>
      </w:pPr>
      <w:r>
        <w:rPr>
          <w:b w:val="0"/>
          <w:i/>
          <w:color w:val="6E7B77"/>
          <w:sz w:val="18"/>
        </w:rPr>
        <w:t>The through-cycle assumption of 15.0% sits below the normalised history of 16.3%, and the forecast path itself troughs at 13.8%. The lens is conservative by construction.</w:t>
      </w:r>
    </w:p>
    <w:p>
      <w:pPr>
        <w:jc w:val="center"/>
      </w:pPr>
      <w:r>
        <w:drawing>
          <wp:inline xmlns:a="http://schemas.openxmlformats.org/drawingml/2006/main" xmlns:pic="http://schemas.openxmlformats.org/drawingml/2006/picture">
            <wp:extent cx="6309360" cy="2970644"/>
            <wp:docPr id="1" name="Picture 1"/>
            <wp:cNvGraphicFramePr>
              <a:graphicFrameLocks noChangeAspect="1"/>
            </wp:cNvGraphicFramePr>
            <a:graphic>
              <a:graphicData uri="http://schemas.openxmlformats.org/drawingml/2006/picture">
                <pic:pic>
                  <pic:nvPicPr>
                    <pic:cNvPr id="0" name="fig9.png"/>
                    <pic:cNvPicPr/>
                  </pic:nvPicPr>
                  <pic:blipFill>
                    <a:blip r:embed="rId9"/>
                    <a:stretch>
                      <a:fillRect/>
                    </a:stretch>
                  </pic:blipFill>
                  <pic:spPr>
                    <a:xfrm>
                      <a:off x="0" y="0"/>
                      <a:ext cx="6309360" cy="2970644"/>
                    </a:xfrm>
                    <a:prstGeom prst="rect"/>
                  </pic:spPr>
                </pic:pic>
              </a:graphicData>
            </a:graphic>
          </wp:inline>
        </w:drawing>
      </w:r>
    </w:p>
    <w:p>
      <w:pPr>
        <w:spacing w:after="180" w:before="0"/>
        <w:jc w:val="center"/>
      </w:pPr>
      <w:r>
        <w:rPr>
          <w:b w:val="0"/>
          <w:i/>
          <w:color w:val="6E7B77"/>
          <w:sz w:val="17"/>
        </w:rPr>
        <w:t>Figure 1 — Five lenses versus spot. The gold span marks the full lens range; the dashed line is the weighted central; spot in red. What is unusual here is that the relative lens — the market-anchored one — sits above the price rather than on it.</w:t>
      </w:r>
    </w:p>
    <w:p>
      <w:pPr>
        <w:spacing w:after="80" w:before="200"/>
      </w:pPr>
      <w:r>
        <w:rPr>
          <w:b/>
          <w:i w:val="0"/>
          <w:color w:val="1C3A36"/>
          <w:sz w:val="22"/>
        </w:rPr>
        <w:t>1.6  The driver build — how each assumption was set, then the machinery</w:t>
      </w:r>
    </w:p>
    <w:p>
      <w:pPr>
        <w:spacing w:after="120" w:before="0"/>
      </w:pPr>
      <w:r>
        <w:rPr>
          <w:b w:val="0"/>
          <w:i w:val="0"/>
          <w:sz w:val="21"/>
        </w:rPr>
        <w:t>Every forecast driver below is tagged by how it was derived and by the line of the research register in Appendix B that justifies it. Wherever a company discloses the underlying components, we prefer to build a driver up from them. DIB does not: it reports blended outcomes — a net profit margin, a cost-to-income ratio, a cost of risk — rather than the deposit-repricing betas, product unit economics or fee volumes that a bottom-up build would need. So every driver here is set top-down from the outcomes the bank does report and the guidance it has given, and each one names the evidence it rests on.</w:t>
      </w:r>
    </w:p>
    <w:tbl>
      <w:tblPr>
        <w:tblStyle w:val="TableGrid"/>
        <w:tblW w:type="auto" w:w="0"/>
        <w:jc w:val="center"/>
        <w:tblLook w:firstColumn="1" w:firstRow="1" w:lastColumn="0" w:lastRow="0" w:noHBand="0" w:noVBand="1" w:val="04A0"/>
      </w:tblPr>
      <w:tblGrid>
        <w:gridCol w:w="3331"/>
        <w:gridCol w:w="3331"/>
        <w:gridCol w:w="3331"/>
      </w:tblGrid>
      <w:tr>
        <w:tc>
          <w:tcPr>
            <w:tcW w:type="dxa" w:w="2520"/>
            <w:shd w:val="clear" w:fill="1C3A36"/>
          </w:tcPr>
          <w:p>
            <w:pPr>
              <w:spacing w:after="20" w:before="20"/>
            </w:pPr>
            <w:r/>
            <w:r>
              <w:rPr>
                <w:b/>
                <w:color w:val="FFFFFF"/>
                <w:sz w:val="17"/>
              </w:rPr>
              <w:t>Driver</w:t>
            </w:r>
          </w:p>
        </w:tc>
        <w:tc>
          <w:tcPr>
            <w:tcW w:type="dxa" w:w="1224"/>
            <w:shd w:val="clear" w:fill="1C3A36"/>
          </w:tcPr>
          <w:p>
            <w:pPr>
              <w:spacing w:after="20" w:before="20"/>
              <w:jc w:val="center"/>
            </w:pPr>
            <w:r/>
            <w:r>
              <w:rPr>
                <w:b/>
                <w:color w:val="FFFFFF"/>
                <w:sz w:val="17"/>
              </w:rPr>
              <w:t>Mode</w:t>
            </w:r>
          </w:p>
        </w:tc>
        <w:tc>
          <w:tcPr>
            <w:tcW w:type="dxa" w:w="6192"/>
            <w:shd w:val="clear" w:fill="1C3A36"/>
          </w:tcPr>
          <w:p>
            <w:pPr>
              <w:spacing w:after="20" w:before="20"/>
              <w:jc w:val="center"/>
            </w:pPr>
            <w:r/>
            <w:r>
              <w:rPr>
                <w:b/>
                <w:color w:val="FFFFFF"/>
                <w:sz w:val="17"/>
              </w:rPr>
              <w:t>Justification and supporting evidence</w:t>
            </w:r>
          </w:p>
        </w:tc>
      </w:tr>
      <w:tr>
        <w:tc>
          <w:tcPr>
            <w:tcW w:type="dxa" w:w="2520"/>
          </w:tcPr>
          <w:p>
            <w:pPr>
              <w:spacing w:after="20" w:before="20"/>
            </w:pPr>
            <w:r/>
            <w:r>
              <w:rPr>
                <w:b/>
                <w:sz w:val="17"/>
              </w:rPr>
              <w:t>Financing + sukuk growth (10% → 7%)</w:t>
            </w:r>
          </w:p>
        </w:tc>
        <w:tc>
          <w:tcPr>
            <w:tcW w:type="dxa" w:w="1224"/>
          </w:tcPr>
          <w:p>
            <w:pPr>
              <w:spacing w:after="20" w:before="20"/>
              <w:jc w:val="center"/>
            </w:pPr>
            <w:r/>
            <w:r>
              <w:rPr>
                <w:sz w:val="17"/>
              </w:rPr>
              <w:t>Top-down</w:t>
            </w:r>
          </w:p>
        </w:tc>
        <w:tc>
          <w:tcPr>
            <w:tcW w:type="dxa" w:w="6192"/>
          </w:tcPr>
          <w:p>
            <w:pPr>
              <w:spacing w:after="20" w:before="20"/>
              <w:jc w:val="center"/>
            </w:pPr>
            <w:r/>
            <w:r>
              <w:rPr>
                <w:sz w:val="17"/>
              </w:rPr>
              <w:t>FY26 IS management guidance (~10%, already halved from FY25's 22%). No unit-level pipeline disclosure. FY27–30 fade is ours. (F05, F14)</w:t>
            </w:r>
          </w:p>
        </w:tc>
      </w:tr>
      <w:tr>
        <w:tc>
          <w:tcPr>
            <w:tcW w:type="dxa" w:w="2520"/>
          </w:tcPr>
          <w:p>
            <w:pPr>
              <w:spacing w:after="20" w:before="20"/>
            </w:pPr>
            <w:r/>
            <w:r>
              <w:rPr>
                <w:b/>
                <w:sz w:val="17"/>
              </w:rPr>
              <w:t>NPM (2.30% → trough 2.28% → 2.40%)</w:t>
            </w:r>
          </w:p>
        </w:tc>
        <w:tc>
          <w:tcPr>
            <w:tcW w:type="dxa" w:w="1224"/>
          </w:tcPr>
          <w:p>
            <w:pPr>
              <w:spacing w:after="20" w:before="20"/>
              <w:jc w:val="center"/>
            </w:pPr>
            <w:r/>
            <w:r>
              <w:rPr>
                <w:sz w:val="17"/>
              </w:rPr>
              <w:t>Top-down</w:t>
            </w:r>
          </w:p>
        </w:tc>
        <w:tc>
          <w:tcPr>
            <w:tcW w:type="dxa" w:w="6192"/>
          </w:tcPr>
          <w:p>
            <w:pPr>
              <w:spacing w:after="20" w:before="20"/>
              <w:jc w:val="center"/>
            </w:pPr>
            <w:r/>
            <w:r>
              <w:rPr>
                <w:sz w:val="17"/>
              </w:rPr>
              <w:t>FY26 IS guidance (~2.3%). DIB publishes NO rate-sensitivity table — dated negative search (F09). Path anchored on the disclosed quarterly NPM series: 3.0 → 2.6 → 2.5 (Q1-26). (F01, F09, F15)</w:t>
            </w:r>
          </w:p>
        </w:tc>
      </w:tr>
      <w:tr>
        <w:tc>
          <w:tcPr>
            <w:tcW w:type="dxa" w:w="2520"/>
          </w:tcPr>
          <w:p>
            <w:pPr>
              <w:spacing w:after="20" w:before="20"/>
            </w:pPr>
            <w:r/>
            <w:r>
              <w:rPr>
                <w:b/>
                <w:sz w:val="17"/>
              </w:rPr>
              <w:t>Non-funded income (+10%, then +7%)</w:t>
            </w:r>
          </w:p>
        </w:tc>
        <w:tc>
          <w:tcPr>
            <w:tcW w:type="dxa" w:w="1224"/>
          </w:tcPr>
          <w:p>
            <w:pPr>
              <w:spacing w:after="20" w:before="20"/>
              <w:jc w:val="center"/>
            </w:pPr>
            <w:r/>
            <w:r>
              <w:rPr>
                <w:sz w:val="17"/>
              </w:rPr>
              <w:t>Top-down</w:t>
            </w:r>
          </w:p>
        </w:tc>
        <w:tc>
          <w:tcPr>
            <w:tcW w:type="dxa" w:w="6192"/>
          </w:tcPr>
          <w:p>
            <w:pPr>
              <w:spacing w:after="20" w:before="20"/>
              <w:jc w:val="center"/>
            </w:pPr>
            <w:r/>
            <w:r>
              <w:rPr>
                <w:sz w:val="17"/>
              </w:rPr>
              <w:t>The Q1-26 +30% headline is ONE line: other income 105 → 587. Fee income FELL 505 → 427; property income fell 274 → 162. The recurring lines are shrinking, so the headline is not extrapolated. (F24)</w:t>
            </w:r>
          </w:p>
        </w:tc>
      </w:tr>
      <w:tr>
        <w:tc>
          <w:tcPr>
            <w:tcW w:type="dxa" w:w="2520"/>
          </w:tcPr>
          <w:p>
            <w:pPr>
              <w:spacing w:after="20" w:before="20"/>
            </w:pPr>
            <w:r/>
            <w:r>
              <w:rPr>
                <w:b/>
                <w:sz w:val="17"/>
              </w:rPr>
              <w:t>Cost-to-income (28.0% → 27.0%)</w:t>
            </w:r>
          </w:p>
        </w:tc>
        <w:tc>
          <w:tcPr>
            <w:tcW w:type="dxa" w:w="1224"/>
          </w:tcPr>
          <w:p>
            <w:pPr>
              <w:spacing w:after="20" w:before="20"/>
              <w:jc w:val="center"/>
            </w:pPr>
            <w:r/>
            <w:r>
              <w:rPr>
                <w:sz w:val="17"/>
              </w:rPr>
              <w:t>Top-down</w:t>
            </w:r>
          </w:p>
        </w:tc>
        <w:tc>
          <w:tcPr>
            <w:tcW w:type="dxa" w:w="6192"/>
          </w:tcPr>
          <w:p>
            <w:pPr>
              <w:spacing w:after="20" w:before="20"/>
              <w:jc w:val="center"/>
            </w:pPr>
            <w:r/>
            <w:r>
              <w:rPr>
                <w:sz w:val="17"/>
              </w:rPr>
              <w:t>FY26 IS guidance (28%). Reported quarterly; unit economics are not. The glide beyond FY26 is held deliberately shallow — assumed operating leverage is the most common way a forecast flatters itself. (F22)</w:t>
            </w:r>
          </w:p>
        </w:tc>
      </w:tr>
      <w:tr>
        <w:tc>
          <w:tcPr>
            <w:tcW w:type="dxa" w:w="2520"/>
          </w:tcPr>
          <w:p>
            <w:pPr>
              <w:spacing w:after="20" w:before="20"/>
            </w:pPr>
            <w:r/>
            <w:r>
              <w:rPr>
                <w:b/>
                <w:sz w:val="17"/>
              </w:rPr>
              <w:t>Cost of risk (45bp → 35bp)</w:t>
            </w:r>
          </w:p>
        </w:tc>
        <w:tc>
          <w:tcPr>
            <w:tcW w:type="dxa" w:w="1224"/>
          </w:tcPr>
          <w:p>
            <w:pPr>
              <w:spacing w:after="20" w:before="20"/>
              <w:jc w:val="center"/>
            </w:pPr>
            <w:r/>
            <w:r>
              <w:rPr>
                <w:sz w:val="17"/>
              </w:rPr>
              <w:t>Top-down</w:t>
            </w:r>
          </w:p>
        </w:tc>
        <w:tc>
          <w:tcPr>
            <w:tcW w:type="dxa" w:w="6192"/>
          </w:tcPr>
          <w:p>
            <w:pPr>
              <w:spacing w:after="20" w:before="20"/>
              <w:jc w:val="center"/>
            </w:pPr>
            <w:r/>
            <w:r>
              <w:rPr>
                <w:sz w:val="17"/>
              </w:rPr>
              <w:t>FY26 IS the Q1-26 print (45bp) — not a forecast. Steps up hard from FY25's 14bp. Asset quality is IMPROVING, not deteriorating: Q1-26 NPF 2.5% (vs FY25 2.65%), total coverage 160% (flat), cash coverage 122% (vs 120%). (F11, F15, F26)</w:t>
            </w:r>
          </w:p>
        </w:tc>
      </w:tr>
      <w:tr>
        <w:tc>
          <w:tcPr>
            <w:tcW w:type="dxa" w:w="2520"/>
          </w:tcPr>
          <w:p>
            <w:pPr>
              <w:spacing w:after="20" w:before="20"/>
            </w:pPr>
            <w:r/>
            <w:r>
              <w:rPr>
                <w:b/>
                <w:sz w:val="17"/>
              </w:rPr>
              <w:t>Effective tax rate (15.0% flat)</w:t>
            </w:r>
          </w:p>
        </w:tc>
        <w:tc>
          <w:tcPr>
            <w:tcW w:type="dxa" w:w="1224"/>
          </w:tcPr>
          <w:p>
            <w:pPr>
              <w:spacing w:after="20" w:before="20"/>
              <w:jc w:val="center"/>
            </w:pPr>
            <w:r/>
            <w:r>
              <w:rPr>
                <w:sz w:val="17"/>
              </w:rPr>
              <w:t>Top-down</w:t>
            </w:r>
          </w:p>
        </w:tc>
        <w:tc>
          <w:tcPr>
            <w:tcW w:type="dxa" w:w="6192"/>
          </w:tcPr>
          <w:p>
            <w:pPr>
              <w:spacing w:after="20" w:before="20"/>
              <w:jc w:val="center"/>
            </w:pPr>
            <w:r/>
            <w:r>
              <w:rPr>
                <w:sz w:val="17"/>
              </w:rPr>
              <w:t>Q1-26 printed 15.4%, so we take the 15% minimum-tax rate as the base. Note this is a CHOSEN floor, not a legal necessity: FY25 actually printed 13.3%, in the first year the top-up tax applied. See the discussion below. (F06)</w:t>
            </w:r>
          </w:p>
        </w:tc>
      </w:tr>
      <w:tr>
        <w:tc>
          <w:tcPr>
            <w:tcW w:type="dxa" w:w="2520"/>
          </w:tcPr>
          <w:p>
            <w:pPr>
              <w:spacing w:after="20" w:before="20"/>
            </w:pPr>
            <w:r/>
            <w:r>
              <w:rPr>
                <w:b/>
                <w:sz w:val="17"/>
              </w:rPr>
              <w:t>DPS (35 fils held, then progressive)</w:t>
            </w:r>
          </w:p>
        </w:tc>
        <w:tc>
          <w:tcPr>
            <w:tcW w:type="dxa" w:w="1224"/>
          </w:tcPr>
          <w:p>
            <w:pPr>
              <w:spacing w:after="20" w:before="20"/>
              <w:jc w:val="center"/>
            </w:pPr>
            <w:r/>
            <w:r>
              <w:rPr>
                <w:sz w:val="17"/>
              </w:rPr>
              <w:t>Board policy</w:t>
            </w:r>
          </w:p>
        </w:tc>
        <w:tc>
          <w:tcPr>
            <w:tcW w:type="dxa" w:w="6192"/>
          </w:tcPr>
          <w:p>
            <w:pPr>
              <w:spacing w:after="20" w:before="20"/>
              <w:jc w:val="center"/>
            </w:pPr>
            <w:r/>
            <w:r>
              <w:rPr>
                <w:sz w:val="17"/>
              </w:rPr>
              <w:t>FY25 DPS of 35 fils is disclosed and AGM-approved. Held flat through the FY26 dip (no second cut), then progressive. CET1 is the OUTPUT, not an input. (F17)</w:t>
            </w:r>
          </w:p>
        </w:tc>
      </w:tr>
      <w:tr>
        <w:tc>
          <w:tcPr>
            <w:tcW w:type="dxa" w:w="2520"/>
          </w:tcPr>
          <w:p>
            <w:pPr>
              <w:spacing w:after="20" w:before="20"/>
            </w:pPr>
            <w:r/>
            <w:r>
              <w:rPr>
                <w:b/>
                <w:sz w:val="17"/>
              </w:rPr>
              <w:t>RWA density (84.8%, −0.8pt/yr)</w:t>
            </w:r>
          </w:p>
        </w:tc>
        <w:tc>
          <w:tcPr>
            <w:tcW w:type="dxa" w:w="1224"/>
          </w:tcPr>
          <w:p>
            <w:pPr>
              <w:spacing w:after="20" w:before="20"/>
              <w:jc w:val="center"/>
            </w:pPr>
            <w:r/>
            <w:r>
              <w:rPr>
                <w:sz w:val="17"/>
              </w:rPr>
              <w:t>Disclosed</w:t>
            </w:r>
          </w:p>
        </w:tc>
        <w:tc>
          <w:tcPr>
            <w:tcW w:type="dxa" w:w="6192"/>
          </w:tcPr>
          <w:p>
            <w:pPr>
              <w:spacing w:after="20" w:before="20"/>
              <w:jc w:val="center"/>
            </w:pPr>
            <w:r/>
            <w:r>
              <w:rPr>
                <w:sz w:val="17"/>
              </w:rPr>
              <w:t>Risk-weighted assets and CET1 capital are BOTH published — the regulatory-capital slide of each investor presentation. RWA 257.2 → 298.9 → 305.0bn; CET1 capital 34.0 → 36.9 → 38.5bn. Only the forward density FADE is our own assumption. (F19)</w:t>
            </w:r>
          </w:p>
        </w:tc>
      </w:tr>
      <w:tr>
        <w:tc>
          <w:tcPr>
            <w:tcW w:type="dxa" w:w="2520"/>
          </w:tcPr>
          <w:p>
            <w:pPr>
              <w:spacing w:after="20" w:before="20"/>
            </w:pPr>
            <w:r/>
            <w:r>
              <w:rPr>
                <w:b/>
                <w:sz w:val="17"/>
              </w:rPr>
              <w:t>Beta (1.00)</w:t>
            </w:r>
          </w:p>
        </w:tc>
        <w:tc>
          <w:tcPr>
            <w:tcW w:type="dxa" w:w="1224"/>
          </w:tcPr>
          <w:p>
            <w:pPr>
              <w:spacing w:after="20" w:before="20"/>
              <w:jc w:val="center"/>
            </w:pPr>
            <w:r/>
            <w:r>
              <w:rPr>
                <w:sz w:val="17"/>
              </w:rPr>
              <w:t>Fallback</w:t>
            </w:r>
          </w:p>
        </w:tc>
        <w:tc>
          <w:tcPr>
            <w:tcW w:type="dxa" w:w="6192"/>
          </w:tcPr>
          <w:p>
            <w:pPr>
              <w:spacing w:after="20" w:before="20"/>
              <w:jc w:val="center"/>
            </w:pPr>
            <w:r/>
            <w:r>
              <w:rPr>
                <w:sz w:val="17"/>
              </w:rPr>
              <w:t>A regression against the DFM index was genuinely attempted: β 0.796, R² 29.9%, standard error 0.296 — on only 19 observations, below our 24-observation minimum. Beta therefore defaults to 1.00 and is sensitized 0.8–1.3. (F20)</w:t>
            </w:r>
          </w:p>
        </w:tc>
      </w:tr>
    </w:tbl>
    <w:p>
      <w:pPr>
        <w:spacing w:after="60"/>
      </w:pPr>
    </w:p>
    <w:p>
      <w:pPr>
        <w:spacing w:after="120" w:before="120"/>
      </w:pPr>
      <w:r>
        <w:rPr>
          <w:b w:val="0"/>
          <w:i w:val="0"/>
          <w:sz w:val="21"/>
        </w:rPr>
        <w:t>The build itself — fully live in the companion Excel's Driver Build sheet:</w:t>
      </w:r>
    </w:p>
    <w:p>
      <w:pPr>
        <w:spacing w:after="120"/>
      </w:pPr>
      <w:r>
        <w:rPr>
          <w:b/>
          <w:i w:val="0"/>
          <w:sz w:val="21"/>
        </w:rPr>
        <w:t xml:space="preserve">The margin. </w:t>
      </w:r>
      <w:r>
        <w:rPr>
          <w:b w:val="0"/>
          <w:i w:val="0"/>
          <w:sz w:val="21"/>
        </w:rPr>
        <w:t>Anchors on the disclosed quarterly series (3.0% FY24 → 2.6% FY25 → 2.5% in Q1-26) and takes management's ~2.3% FY26 guide at face value, troughing at 2.28% in FY27 before CASA (34% of deposits) and asset repricing pull it back to 2.40%. Note the direction of the risk here: that guide was set in February, before the Fed turned hawkish. If US rates hold rather than fall, the guide is the conservative case, and every 10bp of NPM is worth AED 0.34 a share.</w:t>
      </w:r>
    </w:p>
    <w:p>
      <w:pPr>
        <w:spacing w:after="120"/>
      </w:pPr>
      <w:r>
        <w:rPr>
          <w:b/>
          <w:i w:val="0"/>
          <w:sz w:val="21"/>
        </w:rPr>
        <w:t xml:space="preserve">The provisions. </w:t>
      </w:r>
      <w:r>
        <w:rPr>
          <w:b w:val="0"/>
          <w:i w:val="0"/>
          <w:sz w:val="21"/>
        </w:rPr>
        <w:t>45bp in FY26 — which is not a forecast at all, it is what Q1 actually printed as management put war overlays through. That is more than triple FY25's 14bp. Held at 45bp through FY27 for the credit lag, then normalising to 35bp. This single line costs about AED 1.0bn of pre-tax profit a year versus FY25. Two things are worth saying against our own assumption, both of them disclosed: DIB's asset quality is improving, not deteriorating (first-quarter non-performing financing fell to 2.5%, a decade low, with cash coverage rising to 122%), and management guides the full year to 2.5% with coverage at 160% — i.e. stable. If they are right, our 45bp is too harsh, and the normalised FY24 charge of 58bp is the through-cycle number rather than a floor to fear.</w:t>
      </w:r>
    </w:p>
    <w:p>
      <w:pPr>
        <w:spacing w:after="120"/>
      </w:pPr>
      <w:r>
        <w:rPr>
          <w:b/>
          <w:i w:val="0"/>
          <w:sz w:val="21"/>
        </w:rPr>
        <w:t xml:space="preserve">The tax. </w:t>
      </w:r>
      <w:r>
        <w:rPr>
          <w:b w:val="0"/>
          <w:i w:val="0"/>
          <w:sz w:val="21"/>
        </w:rPr>
        <w:t>DIB is inside the 15% domestic minimum top-up tax, and its effective rate has climbed from 9.3% in FY24 to 13.3% in FY25 to 15.4% in the first quarter of 2026. We model 15.0% flat. One point is worth making carefully here, because it is widely misunderstood: a sub-15% consolidated tax rate is not impossible for an in-scope group, and DIB's own accounts prove it — FY25 printed 13.3%, in the first year the top-up tax applied. The global minimum tax sets a floor on a jurisdictional effective rate computed under its own rules, not on a group's consolidated accounting tax rate. Profits from equity-accounted associates (AED 381mn in FY25) enter pre-tax profit already net of their own tax, which mechanically dilutes the consolidated ratio. Note too that the first quarter of 2025 ran 14.8% against a 13.3% full year — the first quarter runs above the year. So our 15.0% is a conservative floor we have chosen, not a legal necessity, and it may well prove too high. Management's stated aim of restoring 9% sits in the sensitivity grid as upside worth AED 0.70 a share.</w:t>
      </w:r>
    </w:p>
    <w:p>
      <w:pPr>
        <w:spacing w:after="120"/>
      </w:pPr>
      <w:r>
        <w:rPr>
          <w:b/>
          <w:i w:val="0"/>
          <w:sz w:val="21"/>
        </w:rPr>
        <w:t xml:space="preserve">The capital. </w:t>
      </w:r>
      <w:r>
        <w:rPr>
          <w:b w:val="0"/>
          <w:i w:val="0"/>
          <w:sz w:val="21"/>
        </w:rPr>
        <w:t>This is the load-bearing part, and it runs entirely on published figures. Risk-weighted assets are disclosed — AED 257.2bn at December 2024, 298.9bn at December 2025 and 305bn at the first quarter — as is CET1 capital (34.0, 36.9 and 38.5bn), on the regulatory-capital slide of each investor presentation. From there: risk-weighted assets grow with financing at a density of 84.8%, fading 0.8 of a point a year. The dividend is board policy; CET1 is what falls out of it. Run it forward and the ratio rebuilds from 12.46% to 13.76% by FY30 while the dividend per share climbs from 35 to 59 fils. The growth slowdown is what pays for both.</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3240"/>
            <w:shd w:val="clear" w:fill="1C3A36"/>
          </w:tcPr>
          <w:p>
            <w:pPr>
              <w:spacing w:after="20" w:before="20"/>
            </w:pPr>
            <w:r/>
            <w:r>
              <w:rPr>
                <w:b/>
                <w:color w:val="FFFFFF"/>
                <w:sz w:val="18"/>
              </w:rPr>
              <w:t>Driver build (AED mn)</w:t>
            </w:r>
          </w:p>
        </w:tc>
        <w:tc>
          <w:tcPr>
            <w:tcW w:type="dxa" w:w="1339"/>
            <w:shd w:val="clear" w:fill="1C3A36"/>
          </w:tcPr>
          <w:p>
            <w:pPr>
              <w:spacing w:after="20" w:before="20"/>
              <w:jc w:val="center"/>
            </w:pPr>
            <w:r/>
            <w:r>
              <w:rPr>
                <w:b/>
                <w:color w:val="FFFFFF"/>
                <w:sz w:val="18"/>
              </w:rPr>
              <w:t>FY26E</w:t>
            </w:r>
          </w:p>
        </w:tc>
        <w:tc>
          <w:tcPr>
            <w:tcW w:type="dxa" w:w="1339"/>
            <w:shd w:val="clear" w:fill="1C3A36"/>
          </w:tcPr>
          <w:p>
            <w:pPr>
              <w:spacing w:after="20" w:before="20"/>
              <w:jc w:val="center"/>
            </w:pPr>
            <w:r/>
            <w:r>
              <w:rPr>
                <w:b/>
                <w:color w:val="FFFFFF"/>
                <w:sz w:val="18"/>
              </w:rPr>
              <w:t>FY27E</w:t>
            </w:r>
          </w:p>
        </w:tc>
        <w:tc>
          <w:tcPr>
            <w:tcW w:type="dxa" w:w="1339"/>
            <w:shd w:val="clear" w:fill="1C3A36"/>
          </w:tcPr>
          <w:p>
            <w:pPr>
              <w:spacing w:after="20" w:before="20"/>
              <w:jc w:val="center"/>
            </w:pPr>
            <w:r/>
            <w:r>
              <w:rPr>
                <w:b/>
                <w:color w:val="FFFFFF"/>
                <w:sz w:val="18"/>
              </w:rPr>
              <w:t>FY28E</w:t>
            </w:r>
          </w:p>
        </w:tc>
        <w:tc>
          <w:tcPr>
            <w:tcW w:type="dxa" w:w="1339"/>
            <w:shd w:val="clear" w:fill="1C3A36"/>
          </w:tcPr>
          <w:p>
            <w:pPr>
              <w:spacing w:after="20" w:before="20"/>
              <w:jc w:val="center"/>
            </w:pPr>
            <w:r/>
            <w:r>
              <w:rPr>
                <w:b/>
                <w:color w:val="FFFFFF"/>
                <w:sz w:val="18"/>
              </w:rPr>
              <w:t>FY29E</w:t>
            </w:r>
          </w:p>
        </w:tc>
        <w:tc>
          <w:tcPr>
            <w:tcW w:type="dxa" w:w="1339"/>
            <w:shd w:val="clear" w:fill="1C3A36"/>
          </w:tcPr>
          <w:p>
            <w:pPr>
              <w:spacing w:after="20" w:before="20"/>
              <w:jc w:val="center"/>
            </w:pPr>
            <w:r/>
            <w:r>
              <w:rPr>
                <w:b/>
                <w:color w:val="FFFFFF"/>
                <w:sz w:val="18"/>
              </w:rPr>
              <w:t>FY30E</w:t>
            </w:r>
          </w:p>
        </w:tc>
      </w:tr>
      <w:tr>
        <w:tc>
          <w:tcPr>
            <w:tcW w:type="dxa" w:w="3240"/>
          </w:tcPr>
          <w:p>
            <w:pPr>
              <w:spacing w:after="20" w:before="20"/>
            </w:pPr>
            <w:r/>
            <w:r>
              <w:rPr>
                <w:b/>
                <w:sz w:val="18"/>
              </w:rPr>
              <w:t>Net financing + sukuk</w:t>
            </w:r>
          </w:p>
        </w:tc>
        <w:tc>
          <w:tcPr>
            <w:tcW w:type="dxa" w:w="1339"/>
          </w:tcPr>
          <w:p>
            <w:pPr>
              <w:spacing w:after="20" w:before="20"/>
              <w:jc w:val="center"/>
            </w:pPr>
            <w:r/>
            <w:r>
              <w:rPr>
                <w:sz w:val="18"/>
              </w:rPr>
              <w:t>387,908</w:t>
            </w:r>
          </w:p>
        </w:tc>
        <w:tc>
          <w:tcPr>
            <w:tcW w:type="dxa" w:w="1339"/>
          </w:tcPr>
          <w:p>
            <w:pPr>
              <w:spacing w:after="20" w:before="20"/>
              <w:jc w:val="center"/>
            </w:pPr>
            <w:r/>
            <w:r>
              <w:rPr>
                <w:sz w:val="18"/>
              </w:rPr>
              <w:t>422,820</w:t>
            </w:r>
          </w:p>
        </w:tc>
        <w:tc>
          <w:tcPr>
            <w:tcW w:type="dxa" w:w="1339"/>
          </w:tcPr>
          <w:p>
            <w:pPr>
              <w:spacing w:after="20" w:before="20"/>
              <w:jc w:val="center"/>
            </w:pPr>
            <w:r/>
            <w:r>
              <w:rPr>
                <w:sz w:val="18"/>
              </w:rPr>
              <w:t>456,646</w:t>
            </w:r>
          </w:p>
        </w:tc>
        <w:tc>
          <w:tcPr>
            <w:tcW w:type="dxa" w:w="1339"/>
          </w:tcPr>
          <w:p>
            <w:pPr>
              <w:spacing w:after="20" w:before="20"/>
              <w:jc w:val="center"/>
            </w:pPr>
            <w:r/>
            <w:r>
              <w:rPr>
                <w:sz w:val="18"/>
              </w:rPr>
              <w:t>493,177</w:t>
            </w:r>
          </w:p>
        </w:tc>
        <w:tc>
          <w:tcPr>
            <w:tcW w:type="dxa" w:w="1339"/>
          </w:tcPr>
          <w:p>
            <w:pPr>
              <w:spacing w:after="20" w:before="20"/>
              <w:jc w:val="center"/>
            </w:pPr>
            <w:r/>
            <w:r>
              <w:rPr>
                <w:sz w:val="18"/>
              </w:rPr>
              <w:t>527,700</w:t>
            </w:r>
          </w:p>
        </w:tc>
      </w:tr>
      <w:tr>
        <w:tc>
          <w:tcPr>
            <w:tcW w:type="dxa" w:w="3240"/>
          </w:tcPr>
          <w:p>
            <w:pPr>
              <w:spacing w:after="20" w:before="20"/>
            </w:pPr>
            <w:r/>
            <w:r>
              <w:rPr>
                <w:b/>
                <w:sz w:val="18"/>
              </w:rPr>
              <w:t>Operating revenue</w:t>
            </w:r>
          </w:p>
        </w:tc>
        <w:tc>
          <w:tcPr>
            <w:tcW w:type="dxa" w:w="1339"/>
          </w:tcPr>
          <w:p>
            <w:pPr>
              <w:spacing w:after="20" w:before="20"/>
              <w:jc w:val="center"/>
            </w:pPr>
            <w:r/>
            <w:r>
              <w:rPr>
                <w:sz w:val="18"/>
              </w:rPr>
              <w:t>13,821</w:t>
            </w:r>
          </w:p>
        </w:tc>
        <w:tc>
          <w:tcPr>
            <w:tcW w:type="dxa" w:w="1339"/>
          </w:tcPr>
          <w:p>
            <w:pPr>
              <w:spacing w:after="20" w:before="20"/>
              <w:jc w:val="center"/>
            </w:pPr>
            <w:r/>
            <w:r>
              <w:rPr>
                <w:sz w:val="18"/>
              </w:rPr>
              <w:t>14,928</w:t>
            </w:r>
          </w:p>
        </w:tc>
        <w:tc>
          <w:tcPr>
            <w:tcW w:type="dxa" w:w="1339"/>
          </w:tcPr>
          <w:p>
            <w:pPr>
              <w:spacing w:after="20" w:before="20"/>
              <w:jc w:val="center"/>
            </w:pPr>
            <w:r/>
            <w:r>
              <w:rPr>
                <w:sz w:val="18"/>
              </w:rPr>
              <w:t>16,307</w:t>
            </w:r>
          </w:p>
        </w:tc>
        <w:tc>
          <w:tcPr>
            <w:tcW w:type="dxa" w:w="1339"/>
          </w:tcPr>
          <w:p>
            <w:pPr>
              <w:spacing w:after="20" w:before="20"/>
              <w:jc w:val="center"/>
            </w:pPr>
            <w:r/>
            <w:r>
              <w:rPr>
                <w:sz w:val="18"/>
              </w:rPr>
              <w:t>17,761</w:t>
            </w:r>
          </w:p>
        </w:tc>
        <w:tc>
          <w:tcPr>
            <w:tcW w:type="dxa" w:w="1339"/>
          </w:tcPr>
          <w:p>
            <w:pPr>
              <w:spacing w:after="20" w:before="20"/>
              <w:jc w:val="center"/>
            </w:pPr>
            <w:r/>
            <w:r>
              <w:rPr>
                <w:sz w:val="18"/>
              </w:rPr>
              <w:t>19,281</w:t>
            </w:r>
          </w:p>
        </w:tc>
      </w:tr>
      <w:tr>
        <w:tc>
          <w:tcPr>
            <w:tcW w:type="dxa" w:w="3240"/>
          </w:tcPr>
          <w:p>
            <w:pPr>
              <w:spacing w:after="20" w:before="20"/>
            </w:pPr>
            <w:r/>
            <w:r>
              <w:rPr>
                <w:b/>
                <w:sz w:val="18"/>
              </w:rPr>
              <w:t>Pre-provision operating profit</w:t>
            </w:r>
          </w:p>
        </w:tc>
        <w:tc>
          <w:tcPr>
            <w:tcW w:type="dxa" w:w="1339"/>
          </w:tcPr>
          <w:p>
            <w:pPr>
              <w:spacing w:after="20" w:before="20"/>
              <w:jc w:val="center"/>
            </w:pPr>
            <w:r/>
            <w:r>
              <w:rPr>
                <w:sz w:val="18"/>
              </w:rPr>
              <w:t>9,951</w:t>
            </w:r>
          </w:p>
        </w:tc>
        <w:tc>
          <w:tcPr>
            <w:tcW w:type="dxa" w:w="1339"/>
          </w:tcPr>
          <w:p>
            <w:pPr>
              <w:spacing w:after="20" w:before="20"/>
              <w:jc w:val="center"/>
            </w:pPr>
            <w:r/>
            <w:r>
              <w:rPr>
                <w:sz w:val="18"/>
              </w:rPr>
              <w:t>10,778</w:t>
            </w:r>
          </w:p>
        </w:tc>
        <w:tc>
          <w:tcPr>
            <w:tcW w:type="dxa" w:w="1339"/>
          </w:tcPr>
          <w:p>
            <w:pPr>
              <w:spacing w:after="20" w:before="20"/>
              <w:jc w:val="center"/>
            </w:pPr>
            <w:r/>
            <w:r>
              <w:rPr>
                <w:sz w:val="18"/>
              </w:rPr>
              <w:t>11,823</w:t>
            </w:r>
          </w:p>
        </w:tc>
        <w:tc>
          <w:tcPr>
            <w:tcW w:type="dxa" w:w="1339"/>
          </w:tcPr>
          <w:p>
            <w:pPr>
              <w:spacing w:after="20" w:before="20"/>
              <w:jc w:val="center"/>
            </w:pPr>
            <w:r/>
            <w:r>
              <w:rPr>
                <w:sz w:val="18"/>
              </w:rPr>
              <w:t>12,912</w:t>
            </w:r>
          </w:p>
        </w:tc>
        <w:tc>
          <w:tcPr>
            <w:tcW w:type="dxa" w:w="1339"/>
          </w:tcPr>
          <w:p>
            <w:pPr>
              <w:spacing w:after="20" w:before="20"/>
              <w:jc w:val="center"/>
            </w:pPr>
            <w:r/>
            <w:r>
              <w:rPr>
                <w:sz w:val="18"/>
              </w:rPr>
              <w:t>14,075</w:t>
            </w:r>
          </w:p>
        </w:tc>
      </w:tr>
      <w:tr>
        <w:tc>
          <w:tcPr>
            <w:tcW w:type="dxa" w:w="3240"/>
          </w:tcPr>
          <w:p>
            <w:pPr>
              <w:spacing w:after="20" w:before="20"/>
            </w:pPr>
            <w:r/>
            <w:r>
              <w:rPr>
                <w:b/>
                <w:sz w:val="18"/>
              </w:rPr>
              <w:t>Impairment charge</w:t>
            </w:r>
          </w:p>
        </w:tc>
        <w:tc>
          <w:tcPr>
            <w:tcW w:type="dxa" w:w="1339"/>
          </w:tcPr>
          <w:p>
            <w:pPr>
              <w:spacing w:after="20" w:before="20"/>
              <w:jc w:val="center"/>
            </w:pPr>
            <w:r/>
            <w:r>
              <w:rPr>
                <w:sz w:val="18"/>
              </w:rPr>
              <w:t>-1,666</w:t>
            </w:r>
          </w:p>
        </w:tc>
        <w:tc>
          <w:tcPr>
            <w:tcW w:type="dxa" w:w="1339"/>
          </w:tcPr>
          <w:p>
            <w:pPr>
              <w:spacing w:after="20" w:before="20"/>
              <w:jc w:val="center"/>
            </w:pPr>
            <w:r/>
            <w:r>
              <w:rPr>
                <w:sz w:val="18"/>
              </w:rPr>
              <w:t>-1,824</w:t>
            </w:r>
          </w:p>
        </w:tc>
        <w:tc>
          <w:tcPr>
            <w:tcW w:type="dxa" w:w="1339"/>
          </w:tcPr>
          <w:p>
            <w:pPr>
              <w:spacing w:after="20" w:before="20"/>
              <w:jc w:val="center"/>
            </w:pPr>
            <w:r/>
            <w:r>
              <w:rPr>
                <w:sz w:val="18"/>
              </w:rPr>
              <w:t>-1,759</w:t>
            </w:r>
          </w:p>
        </w:tc>
        <w:tc>
          <w:tcPr>
            <w:tcW w:type="dxa" w:w="1339"/>
          </w:tcPr>
          <w:p>
            <w:pPr>
              <w:spacing w:after="20" w:before="20"/>
              <w:jc w:val="center"/>
            </w:pPr>
            <w:r/>
            <w:r>
              <w:rPr>
                <w:sz w:val="18"/>
              </w:rPr>
              <w:t>-1,662</w:t>
            </w:r>
          </w:p>
        </w:tc>
        <w:tc>
          <w:tcPr>
            <w:tcW w:type="dxa" w:w="1339"/>
          </w:tcPr>
          <w:p>
            <w:pPr>
              <w:spacing w:after="20" w:before="20"/>
              <w:jc w:val="center"/>
            </w:pPr>
            <w:r/>
            <w:r>
              <w:rPr>
                <w:sz w:val="18"/>
              </w:rPr>
              <w:t>-1,787</w:t>
            </w:r>
          </w:p>
        </w:tc>
      </w:tr>
      <w:tr>
        <w:tc>
          <w:tcPr>
            <w:tcW w:type="dxa" w:w="3240"/>
          </w:tcPr>
          <w:p>
            <w:pPr>
              <w:spacing w:after="20" w:before="20"/>
            </w:pPr>
            <w:r/>
            <w:r>
              <w:rPr>
                <w:b/>
                <w:sz w:val="18"/>
              </w:rPr>
              <w:t>Profit before tax</w:t>
            </w:r>
          </w:p>
        </w:tc>
        <w:tc>
          <w:tcPr>
            <w:tcW w:type="dxa" w:w="1339"/>
          </w:tcPr>
          <w:p>
            <w:pPr>
              <w:spacing w:after="20" w:before="20"/>
              <w:jc w:val="center"/>
            </w:pPr>
            <w:r/>
            <w:r>
              <w:rPr>
                <w:sz w:val="18"/>
              </w:rPr>
              <w:t>8,285</w:t>
            </w:r>
          </w:p>
        </w:tc>
        <w:tc>
          <w:tcPr>
            <w:tcW w:type="dxa" w:w="1339"/>
          </w:tcPr>
          <w:p>
            <w:pPr>
              <w:spacing w:after="20" w:before="20"/>
              <w:jc w:val="center"/>
            </w:pPr>
            <w:r/>
            <w:r>
              <w:rPr>
                <w:sz w:val="18"/>
              </w:rPr>
              <w:t>8,954</w:t>
            </w:r>
          </w:p>
        </w:tc>
        <w:tc>
          <w:tcPr>
            <w:tcW w:type="dxa" w:w="1339"/>
          </w:tcPr>
          <w:p>
            <w:pPr>
              <w:spacing w:after="20" w:before="20"/>
              <w:jc w:val="center"/>
            </w:pPr>
            <w:r/>
            <w:r>
              <w:rPr>
                <w:sz w:val="18"/>
              </w:rPr>
              <w:t>10,064</w:t>
            </w:r>
          </w:p>
        </w:tc>
        <w:tc>
          <w:tcPr>
            <w:tcW w:type="dxa" w:w="1339"/>
          </w:tcPr>
          <w:p>
            <w:pPr>
              <w:spacing w:after="20" w:before="20"/>
              <w:jc w:val="center"/>
            </w:pPr>
            <w:r/>
            <w:r>
              <w:rPr>
                <w:sz w:val="18"/>
              </w:rPr>
              <w:t>11,250</w:t>
            </w:r>
          </w:p>
        </w:tc>
        <w:tc>
          <w:tcPr>
            <w:tcW w:type="dxa" w:w="1339"/>
          </w:tcPr>
          <w:p>
            <w:pPr>
              <w:spacing w:after="20" w:before="20"/>
              <w:jc w:val="center"/>
            </w:pPr>
            <w:r/>
            <w:r>
              <w:rPr>
                <w:sz w:val="18"/>
              </w:rPr>
              <w:t>12,288</w:t>
            </w:r>
          </w:p>
        </w:tc>
      </w:tr>
      <w:tr>
        <w:tc>
          <w:tcPr>
            <w:tcW w:type="dxa" w:w="3240"/>
          </w:tcPr>
          <w:p>
            <w:pPr>
              <w:spacing w:after="20" w:before="20"/>
            </w:pPr>
            <w:r/>
            <w:r>
              <w:rPr>
                <w:b/>
                <w:sz w:val="18"/>
              </w:rPr>
              <w:t>Earnings to common</w:t>
            </w:r>
          </w:p>
        </w:tc>
        <w:tc>
          <w:tcPr>
            <w:tcW w:type="dxa" w:w="1339"/>
          </w:tcPr>
          <w:p>
            <w:pPr>
              <w:spacing w:after="20" w:before="20"/>
              <w:jc w:val="center"/>
            </w:pPr>
            <w:r/>
            <w:r>
              <w:rPr>
                <w:b/>
                <w:sz w:val="18"/>
              </w:rPr>
              <w:t>6,212</w:t>
            </w:r>
          </w:p>
        </w:tc>
        <w:tc>
          <w:tcPr>
            <w:tcW w:type="dxa" w:w="1339"/>
          </w:tcPr>
          <w:p>
            <w:pPr>
              <w:spacing w:after="20" w:before="20"/>
              <w:jc w:val="center"/>
            </w:pPr>
            <w:r/>
            <w:r>
              <w:rPr>
                <w:b/>
                <w:sz w:val="18"/>
              </w:rPr>
              <w:t>6,661</w:t>
            </w:r>
          </w:p>
        </w:tc>
        <w:tc>
          <w:tcPr>
            <w:tcW w:type="dxa" w:w="1339"/>
          </w:tcPr>
          <w:p>
            <w:pPr>
              <w:spacing w:after="20" w:before="20"/>
              <w:jc w:val="center"/>
            </w:pPr>
            <w:r/>
            <w:r>
              <w:rPr>
                <w:b/>
                <w:sz w:val="18"/>
              </w:rPr>
              <w:t>7,568</w:t>
            </w:r>
          </w:p>
        </w:tc>
        <w:tc>
          <w:tcPr>
            <w:tcW w:type="dxa" w:w="1339"/>
          </w:tcPr>
          <w:p>
            <w:pPr>
              <w:spacing w:after="20" w:before="20"/>
              <w:jc w:val="center"/>
            </w:pPr>
            <w:r/>
            <w:r>
              <w:rPr>
                <w:b/>
                <w:sz w:val="18"/>
              </w:rPr>
              <w:t>8,536</w:t>
            </w:r>
          </w:p>
        </w:tc>
        <w:tc>
          <w:tcPr>
            <w:tcW w:type="dxa" w:w="1339"/>
          </w:tcPr>
          <w:p>
            <w:pPr>
              <w:spacing w:after="20" w:before="20"/>
              <w:jc w:val="center"/>
            </w:pPr>
            <w:r/>
            <w:r>
              <w:rPr>
                <w:b/>
                <w:sz w:val="18"/>
              </w:rPr>
              <w:t>9,384</w:t>
            </w:r>
          </w:p>
        </w:tc>
      </w:tr>
      <w:tr>
        <w:tc>
          <w:tcPr>
            <w:tcW w:type="dxa" w:w="3240"/>
          </w:tcPr>
          <w:p>
            <w:pPr>
              <w:spacing w:after="20" w:before="20"/>
            </w:pPr>
            <w:r/>
            <w:r>
              <w:rPr>
                <w:b/>
                <w:sz w:val="18"/>
              </w:rPr>
              <w:t>EPS (AED)</w:t>
            </w:r>
          </w:p>
        </w:tc>
        <w:tc>
          <w:tcPr>
            <w:tcW w:type="dxa" w:w="1339"/>
          </w:tcPr>
          <w:p>
            <w:pPr>
              <w:spacing w:after="20" w:before="20"/>
              <w:jc w:val="center"/>
            </w:pPr>
            <w:r/>
            <w:r>
              <w:rPr>
                <w:b/>
                <w:sz w:val="18"/>
              </w:rPr>
              <w:t>0.86</w:t>
            </w:r>
          </w:p>
        </w:tc>
        <w:tc>
          <w:tcPr>
            <w:tcW w:type="dxa" w:w="1339"/>
          </w:tcPr>
          <w:p>
            <w:pPr>
              <w:spacing w:after="20" w:before="20"/>
              <w:jc w:val="center"/>
            </w:pPr>
            <w:r/>
            <w:r>
              <w:rPr>
                <w:b/>
                <w:sz w:val="18"/>
              </w:rPr>
              <w:t>0.92</w:t>
            </w:r>
          </w:p>
        </w:tc>
        <w:tc>
          <w:tcPr>
            <w:tcW w:type="dxa" w:w="1339"/>
          </w:tcPr>
          <w:p>
            <w:pPr>
              <w:spacing w:after="20" w:before="20"/>
              <w:jc w:val="center"/>
            </w:pPr>
            <w:r/>
            <w:r>
              <w:rPr>
                <w:b/>
                <w:sz w:val="18"/>
              </w:rPr>
              <w:t>1.05</w:t>
            </w:r>
          </w:p>
        </w:tc>
        <w:tc>
          <w:tcPr>
            <w:tcW w:type="dxa" w:w="1339"/>
          </w:tcPr>
          <w:p>
            <w:pPr>
              <w:spacing w:after="20" w:before="20"/>
              <w:jc w:val="center"/>
            </w:pPr>
            <w:r/>
            <w:r>
              <w:rPr>
                <w:b/>
                <w:sz w:val="18"/>
              </w:rPr>
              <w:t>1.18</w:t>
            </w:r>
          </w:p>
        </w:tc>
        <w:tc>
          <w:tcPr>
            <w:tcW w:type="dxa" w:w="1339"/>
          </w:tcPr>
          <w:p>
            <w:pPr>
              <w:spacing w:after="20" w:before="20"/>
              <w:jc w:val="center"/>
            </w:pPr>
            <w:r/>
            <w:r>
              <w:rPr>
                <w:b/>
                <w:sz w:val="18"/>
              </w:rPr>
              <w:t>1.30</w:t>
            </w:r>
          </w:p>
        </w:tc>
      </w:tr>
      <w:tr>
        <w:tc>
          <w:tcPr>
            <w:tcW w:type="dxa" w:w="3240"/>
          </w:tcPr>
          <w:p>
            <w:pPr>
              <w:spacing w:after="20" w:before="20"/>
            </w:pPr>
            <w:r/>
            <w:r>
              <w:rPr>
                <w:b/>
                <w:sz w:val="18"/>
              </w:rPr>
              <w:t>DPS (AED)</w:t>
            </w:r>
          </w:p>
        </w:tc>
        <w:tc>
          <w:tcPr>
            <w:tcW w:type="dxa" w:w="1339"/>
          </w:tcPr>
          <w:p>
            <w:pPr>
              <w:spacing w:after="20" w:before="20"/>
              <w:jc w:val="center"/>
            </w:pPr>
            <w:r/>
            <w:r>
              <w:rPr>
                <w:sz w:val="18"/>
              </w:rPr>
              <w:t>0.35</w:t>
            </w:r>
          </w:p>
        </w:tc>
        <w:tc>
          <w:tcPr>
            <w:tcW w:type="dxa" w:w="1339"/>
          </w:tcPr>
          <w:p>
            <w:pPr>
              <w:spacing w:after="20" w:before="20"/>
              <w:jc w:val="center"/>
            </w:pPr>
            <w:r/>
            <w:r>
              <w:rPr>
                <w:sz w:val="18"/>
              </w:rPr>
              <w:t>0.39</w:t>
            </w:r>
          </w:p>
        </w:tc>
        <w:tc>
          <w:tcPr>
            <w:tcW w:type="dxa" w:w="1339"/>
          </w:tcPr>
          <w:p>
            <w:pPr>
              <w:spacing w:after="20" w:before="20"/>
              <w:jc w:val="center"/>
            </w:pPr>
            <w:r/>
            <w:r>
              <w:rPr>
                <w:sz w:val="18"/>
              </w:rPr>
              <w:t>0.45</w:t>
            </w:r>
          </w:p>
        </w:tc>
        <w:tc>
          <w:tcPr>
            <w:tcW w:type="dxa" w:w="1339"/>
          </w:tcPr>
          <w:p>
            <w:pPr>
              <w:spacing w:after="20" w:before="20"/>
              <w:jc w:val="center"/>
            </w:pPr>
            <w:r/>
            <w:r>
              <w:rPr>
                <w:sz w:val="18"/>
              </w:rPr>
              <w:t>0.52</w:t>
            </w:r>
          </w:p>
        </w:tc>
        <w:tc>
          <w:tcPr>
            <w:tcW w:type="dxa" w:w="1339"/>
          </w:tcPr>
          <w:p>
            <w:pPr>
              <w:spacing w:after="20" w:before="20"/>
              <w:jc w:val="center"/>
            </w:pPr>
            <w:r/>
            <w:r>
              <w:rPr>
                <w:sz w:val="18"/>
              </w:rPr>
              <w:t>0.59</w:t>
            </w:r>
          </w:p>
        </w:tc>
      </w:tr>
      <w:tr>
        <w:tc>
          <w:tcPr>
            <w:tcW w:type="dxa" w:w="3240"/>
          </w:tcPr>
          <w:p>
            <w:pPr>
              <w:spacing w:after="20" w:before="20"/>
            </w:pPr>
            <w:r/>
            <w:r>
              <w:rPr>
                <w:b/>
                <w:sz w:val="18"/>
              </w:rPr>
              <w:t>ROE %</w:t>
            </w:r>
          </w:p>
        </w:tc>
        <w:tc>
          <w:tcPr>
            <w:tcW w:type="dxa" w:w="1339"/>
          </w:tcPr>
          <w:p>
            <w:pPr>
              <w:spacing w:after="20" w:before="20"/>
              <w:jc w:val="center"/>
            </w:pPr>
            <w:r/>
            <w:r>
              <w:rPr>
                <w:sz w:val="18"/>
              </w:rPr>
              <w:t>14.0%</w:t>
            </w:r>
          </w:p>
        </w:tc>
        <w:tc>
          <w:tcPr>
            <w:tcW w:type="dxa" w:w="1339"/>
          </w:tcPr>
          <w:p>
            <w:pPr>
              <w:spacing w:after="20" w:before="20"/>
              <w:jc w:val="center"/>
            </w:pPr>
            <w:r/>
            <w:r>
              <w:rPr>
                <w:sz w:val="18"/>
              </w:rPr>
              <w:t>13.8%</w:t>
            </w:r>
          </w:p>
        </w:tc>
        <w:tc>
          <w:tcPr>
            <w:tcW w:type="dxa" w:w="1339"/>
          </w:tcPr>
          <w:p>
            <w:pPr>
              <w:spacing w:after="20" w:before="20"/>
              <w:jc w:val="center"/>
            </w:pPr>
            <w:r/>
            <w:r>
              <w:rPr>
                <w:sz w:val="18"/>
              </w:rPr>
              <w:t>14.5%</w:t>
            </w:r>
          </w:p>
        </w:tc>
        <w:tc>
          <w:tcPr>
            <w:tcW w:type="dxa" w:w="1339"/>
          </w:tcPr>
          <w:p>
            <w:pPr>
              <w:spacing w:after="20" w:before="20"/>
              <w:jc w:val="center"/>
            </w:pPr>
            <w:r/>
            <w:r>
              <w:rPr>
                <w:sz w:val="18"/>
              </w:rPr>
              <w:t>15.0%</w:t>
            </w:r>
          </w:p>
        </w:tc>
        <w:tc>
          <w:tcPr>
            <w:tcW w:type="dxa" w:w="1339"/>
          </w:tcPr>
          <w:p>
            <w:pPr>
              <w:spacing w:after="20" w:before="20"/>
              <w:jc w:val="center"/>
            </w:pPr>
            <w:r/>
            <w:r>
              <w:rPr>
                <w:sz w:val="18"/>
              </w:rPr>
              <w:t>15.2%</w:t>
            </w:r>
          </w:p>
        </w:tc>
      </w:tr>
      <w:tr>
        <w:tc>
          <w:tcPr>
            <w:tcW w:type="dxa" w:w="3240"/>
          </w:tcPr>
          <w:p>
            <w:pPr>
              <w:spacing w:after="20" w:before="20"/>
            </w:pPr>
            <w:r/>
            <w:r>
              <w:rPr>
                <w:b/>
                <w:sz w:val="18"/>
              </w:rPr>
              <w:t>CET1 %  (output)</w:t>
            </w:r>
          </w:p>
        </w:tc>
        <w:tc>
          <w:tcPr>
            <w:tcW w:type="dxa" w:w="1339"/>
          </w:tcPr>
          <w:p>
            <w:pPr>
              <w:spacing w:after="20" w:before="20"/>
              <w:jc w:val="center"/>
            </w:pPr>
            <w:r/>
            <w:r>
              <w:rPr>
                <w:b/>
                <w:sz w:val="18"/>
              </w:rPr>
              <w:t>12.46%</w:t>
            </w:r>
          </w:p>
        </w:tc>
        <w:tc>
          <w:tcPr>
            <w:tcW w:type="dxa" w:w="1339"/>
          </w:tcPr>
          <w:p>
            <w:pPr>
              <w:spacing w:after="20" w:before="20"/>
              <w:jc w:val="center"/>
            </w:pPr>
            <w:r/>
            <w:r>
              <w:rPr>
                <w:b/>
                <w:sz w:val="18"/>
              </w:rPr>
              <w:t>12.63%</w:t>
            </w:r>
          </w:p>
        </w:tc>
        <w:tc>
          <w:tcPr>
            <w:tcW w:type="dxa" w:w="1339"/>
          </w:tcPr>
          <w:p>
            <w:pPr>
              <w:spacing w:after="20" w:before="20"/>
              <w:jc w:val="center"/>
            </w:pPr>
            <w:r/>
            <w:r>
              <w:rPr>
                <w:b/>
                <w:sz w:val="18"/>
              </w:rPr>
              <w:t>12.96%</w:t>
            </w:r>
          </w:p>
        </w:tc>
        <w:tc>
          <w:tcPr>
            <w:tcW w:type="dxa" w:w="1339"/>
          </w:tcPr>
          <w:p>
            <w:pPr>
              <w:spacing w:after="20" w:before="20"/>
              <w:jc w:val="center"/>
            </w:pPr>
            <w:r/>
            <w:r>
              <w:rPr>
                <w:b/>
                <w:sz w:val="18"/>
              </w:rPr>
              <w:t>13.31%</w:t>
            </w:r>
          </w:p>
        </w:tc>
        <w:tc>
          <w:tcPr>
            <w:tcW w:type="dxa" w:w="1339"/>
          </w:tcPr>
          <w:p>
            <w:pPr>
              <w:spacing w:after="20" w:before="20"/>
              <w:jc w:val="center"/>
            </w:pPr>
            <w:r/>
            <w:r>
              <w:rPr>
                <w:b/>
                <w:sz w:val="18"/>
              </w:rPr>
              <w:t>13.76%</w:t>
            </w:r>
          </w:p>
        </w:tc>
      </w:tr>
    </w:tbl>
    <w:p>
      <w:pPr>
        <w:spacing w:after="60"/>
      </w:pPr>
    </w:p>
    <w:p>
      <w:pPr>
        <w:jc w:val="center"/>
      </w:pPr>
      <w:r>
        <w:drawing>
          <wp:inline xmlns:a="http://schemas.openxmlformats.org/drawingml/2006/main" xmlns:pic="http://schemas.openxmlformats.org/drawingml/2006/picture">
            <wp:extent cx="6309360" cy="2843609"/>
            <wp:docPr id="2" name="Picture 2"/>
            <wp:cNvGraphicFramePr>
              <a:graphicFrameLocks noChangeAspect="1"/>
            </wp:cNvGraphicFramePr>
            <a:graphic>
              <a:graphicData uri="http://schemas.openxmlformats.org/drawingml/2006/picture">
                <pic:pic>
                  <pic:nvPicPr>
                    <pic:cNvPr id="0" name="fig6.png"/>
                    <pic:cNvPicPr/>
                  </pic:nvPicPr>
                  <pic:blipFill>
                    <a:blip r:embed="rId10"/>
                    <a:stretch>
                      <a:fillRect/>
                    </a:stretch>
                  </pic:blipFill>
                  <pic:spPr>
                    <a:xfrm>
                      <a:off x="0" y="0"/>
                      <a:ext cx="6309360" cy="2843609"/>
                    </a:xfrm>
                    <a:prstGeom prst="rect"/>
                  </pic:spPr>
                </pic:pic>
              </a:graphicData>
            </a:graphic>
          </wp:inline>
        </w:drawing>
      </w:r>
    </w:p>
    <w:p>
      <w:pPr>
        <w:spacing w:after="180" w:before="0"/>
        <w:jc w:val="center"/>
      </w:pPr>
      <w:r>
        <w:rPr>
          <w:b w:val="0"/>
          <w:i/>
          <w:color w:val="6E7B77"/>
          <w:sz w:val="17"/>
        </w:rPr>
        <w:t>Figure 2 — Operating revenue build: funded income plus non-funded, with the net profit margin on the right axis. The FY27 trough is the single most consequential assumption in the model.</w:t>
      </w:r>
    </w:p>
    <w:p>
      <w:pPr>
        <w:jc w:val="center"/>
      </w:pPr>
      <w:r>
        <w:drawing>
          <wp:inline xmlns:a="http://schemas.openxmlformats.org/drawingml/2006/main" xmlns:pic="http://schemas.openxmlformats.org/drawingml/2006/picture">
            <wp:extent cx="6309360" cy="2843609"/>
            <wp:docPr id="3" name="Picture 3"/>
            <wp:cNvGraphicFramePr>
              <a:graphicFrameLocks noChangeAspect="1"/>
            </wp:cNvGraphicFramePr>
            <a:graphic>
              <a:graphicData uri="http://schemas.openxmlformats.org/drawingml/2006/picture">
                <pic:pic>
                  <pic:nvPicPr>
                    <pic:cNvPr id="0" name="fig7.png"/>
                    <pic:cNvPicPr/>
                  </pic:nvPicPr>
                  <pic:blipFill>
                    <a:blip r:embed="rId11"/>
                    <a:stretch>
                      <a:fillRect/>
                    </a:stretch>
                  </pic:blipFill>
                  <pic:spPr>
                    <a:xfrm>
                      <a:off x="0" y="0"/>
                      <a:ext cx="6309360" cy="2843609"/>
                    </a:xfrm>
                    <a:prstGeom prst="rect"/>
                  </pic:spPr>
                </pic:pic>
              </a:graphicData>
            </a:graphic>
          </wp:inline>
        </w:drawing>
      </w:r>
    </w:p>
    <w:p>
      <w:pPr>
        <w:spacing w:after="180" w:before="0"/>
        <w:jc w:val="center"/>
      </w:pPr>
      <w:r>
        <w:rPr>
          <w:b w:val="0"/>
          <w:i/>
          <w:color w:val="6E7B77"/>
          <w:sz w:val="17"/>
        </w:rPr>
        <w:t>Figure 3 — Pre-tax profit, history and model. FY25 is flat against the REPORTED FY24 base and +20% against the NORMALISED one — the FY24 print is flattered by a one-off legacy recovery of roughly AED 1.5bn. Both framings are stated wherever this growth rate appears.</w:t>
      </w:r>
    </w:p>
    <w:p>
      <w:pPr>
        <w:jc w:val="center"/>
      </w:pPr>
      <w:r>
        <w:drawing>
          <wp:inline xmlns:a="http://schemas.openxmlformats.org/drawingml/2006/main" xmlns:pic="http://schemas.openxmlformats.org/drawingml/2006/picture">
            <wp:extent cx="6309360" cy="2784978"/>
            <wp:docPr id="4" name="Picture 4"/>
            <wp:cNvGraphicFramePr>
              <a:graphicFrameLocks noChangeAspect="1"/>
            </wp:cNvGraphicFramePr>
            <a:graphic>
              <a:graphicData uri="http://schemas.openxmlformats.org/drawingml/2006/picture">
                <pic:pic>
                  <pic:nvPicPr>
                    <pic:cNvPr id="0" name="fig11.png"/>
                    <pic:cNvPicPr/>
                  </pic:nvPicPr>
                  <pic:blipFill>
                    <a:blip r:embed="rId12"/>
                    <a:stretch>
                      <a:fillRect/>
                    </a:stretch>
                  </pic:blipFill>
                  <pic:spPr>
                    <a:xfrm>
                      <a:off x="0" y="0"/>
                      <a:ext cx="6309360" cy="2784978"/>
                    </a:xfrm>
                    <a:prstGeom prst="rect"/>
                  </pic:spPr>
                </pic:pic>
              </a:graphicData>
            </a:graphic>
          </wp:inline>
        </w:drawing>
      </w:r>
    </w:p>
    <w:p>
      <w:pPr>
        <w:spacing w:after="180" w:before="0"/>
        <w:jc w:val="center"/>
      </w:pPr>
      <w:r>
        <w:rPr>
          <w:b w:val="0"/>
          <w:i/>
          <w:color w:val="6E7B77"/>
          <w:sz w:val="17"/>
        </w:rPr>
        <w:t>Figure 4 — DuPont: what each dirham of assets earns, and where it leaks. The impairment and tax bars are the two that widened in 2026.</w:t>
      </w:r>
    </w:p>
    <w:p>
      <w:pPr>
        <w:spacing w:after="80" w:before="200"/>
      </w:pPr>
      <w:r>
        <w:rPr>
          <w:b/>
          <w:i w:val="0"/>
          <w:color w:val="1C3A36"/>
          <w:sz w:val="22"/>
        </w:rPr>
        <w:t>1.7  Synthesis — weights and the football field</w:t>
      </w:r>
    </w:p>
    <w:p>
      <w:pPr>
        <w:spacing w:after="120" w:before="0"/>
      </w:pPr>
      <w:r>
        <w:rPr>
          <w:b w:val="0"/>
          <w:i w:val="0"/>
          <w:sz w:val="21"/>
        </w:rPr>
        <w:t>Weights reflect how far each lens can be trusted for a bank of this kind. The dividend model leads because the dividend is what the market just repriced and what a minority shareholder actually receives. Residual income takes the second-largest weight because it is the least terminal-dependent of the three fundamental lenses. The relative lens earns real weight — 20% — because it is the only one anchored in prices being set today, and because for DIB it is saying something genuinely informative rather than merely restating the share price. The through-cycle lens keeps the whole set honest.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3456"/>
            <w:shd w:val="clear" w:fill="1C3A36"/>
          </w:tcPr>
          <w:p>
            <w:pPr>
              <w:spacing w:after="20" w:before="20"/>
            </w:pPr>
            <w:r/>
            <w:r>
              <w:rPr>
                <w:b/>
                <w:color w:val="FFFFFF"/>
                <w:sz w:val="18"/>
              </w:rPr>
              <w:t>Lens</w:t>
            </w:r>
          </w:p>
        </w:tc>
        <w:tc>
          <w:tcPr>
            <w:tcW w:type="dxa" w:w="2016"/>
            <w:shd w:val="clear" w:fill="1C3A36"/>
          </w:tcPr>
          <w:p>
            <w:pPr>
              <w:spacing w:after="20" w:before="20"/>
              <w:jc w:val="center"/>
            </w:pPr>
            <w:r/>
            <w:r>
              <w:rPr>
                <w:b/>
                <w:color w:val="FFFFFF"/>
                <w:sz w:val="18"/>
              </w:rPr>
              <w:t>Value (AED)</w:t>
            </w:r>
          </w:p>
        </w:tc>
        <w:tc>
          <w:tcPr>
            <w:tcW w:type="dxa" w:w="1728"/>
            <w:shd w:val="clear" w:fill="1C3A36"/>
          </w:tcPr>
          <w:p>
            <w:pPr>
              <w:spacing w:after="20" w:before="20"/>
              <w:jc w:val="center"/>
            </w:pPr>
            <w:r/>
            <w:r>
              <w:rPr>
                <w:b/>
                <w:color w:val="FFFFFF"/>
                <w:sz w:val="18"/>
              </w:rPr>
              <w:t>Weight</w:t>
            </w:r>
          </w:p>
        </w:tc>
        <w:tc>
          <w:tcPr>
            <w:tcW w:type="dxa" w:w="2016"/>
            <w:shd w:val="clear" w:fill="1C3A36"/>
          </w:tcPr>
          <w:p>
            <w:pPr>
              <w:spacing w:after="20" w:before="20"/>
              <w:jc w:val="center"/>
            </w:pPr>
            <w:r/>
            <w:r>
              <w:rPr>
                <w:b/>
                <w:color w:val="FFFFFF"/>
                <w:sz w:val="18"/>
              </w:rPr>
              <w:t>Contribution</w:t>
            </w:r>
          </w:p>
        </w:tc>
      </w:tr>
      <w:tr>
        <w:tc>
          <w:tcPr>
            <w:tcW w:type="dxa" w:w="3456"/>
          </w:tcPr>
          <w:p>
            <w:pPr>
              <w:spacing w:after="20" w:before="20"/>
            </w:pPr>
            <w:r/>
            <w:r>
              <w:rPr>
                <w:b/>
                <w:sz w:val="18"/>
              </w:rPr>
              <w:t>DDM (primary)</w:t>
            </w:r>
          </w:p>
        </w:tc>
        <w:tc>
          <w:tcPr>
            <w:tcW w:type="dxa" w:w="2016"/>
          </w:tcPr>
          <w:p>
            <w:pPr>
              <w:spacing w:after="20" w:before="20"/>
              <w:jc w:val="center"/>
            </w:pPr>
            <w:r/>
            <w:r>
              <w:rPr>
                <w:sz w:val="18"/>
              </w:rPr>
              <w:t>10.90</w:t>
            </w:r>
          </w:p>
        </w:tc>
        <w:tc>
          <w:tcPr>
            <w:tcW w:type="dxa" w:w="1728"/>
          </w:tcPr>
          <w:p>
            <w:pPr>
              <w:spacing w:after="20" w:before="20"/>
              <w:jc w:val="center"/>
            </w:pPr>
            <w:r/>
            <w:r>
              <w:rPr>
                <w:sz w:val="18"/>
              </w:rPr>
              <w:t>30%</w:t>
            </w:r>
          </w:p>
        </w:tc>
        <w:tc>
          <w:tcPr>
            <w:tcW w:type="dxa" w:w="2016"/>
          </w:tcPr>
          <w:p>
            <w:pPr>
              <w:spacing w:after="20" w:before="20"/>
              <w:jc w:val="center"/>
            </w:pPr>
            <w:r/>
            <w:r>
              <w:rPr>
                <w:sz w:val="18"/>
              </w:rPr>
              <w:t>3.27</w:t>
            </w:r>
          </w:p>
        </w:tc>
      </w:tr>
      <w:tr>
        <w:tc>
          <w:tcPr>
            <w:tcW w:type="dxa" w:w="3456"/>
          </w:tcPr>
          <w:p>
            <w:pPr>
              <w:spacing w:after="20" w:before="20"/>
            </w:pPr>
            <w:r/>
            <w:r>
              <w:rPr>
                <w:b/>
                <w:sz w:val="18"/>
              </w:rPr>
              <w:t>Residual income</w:t>
            </w:r>
          </w:p>
        </w:tc>
        <w:tc>
          <w:tcPr>
            <w:tcW w:type="dxa" w:w="2016"/>
          </w:tcPr>
          <w:p>
            <w:pPr>
              <w:spacing w:after="20" w:before="20"/>
              <w:jc w:val="center"/>
            </w:pPr>
            <w:r/>
            <w:r>
              <w:rPr>
                <w:sz w:val="18"/>
              </w:rPr>
              <w:t>11.20</w:t>
            </w:r>
          </w:p>
        </w:tc>
        <w:tc>
          <w:tcPr>
            <w:tcW w:type="dxa" w:w="1728"/>
          </w:tcPr>
          <w:p>
            <w:pPr>
              <w:spacing w:after="20" w:before="20"/>
              <w:jc w:val="center"/>
            </w:pPr>
            <w:r/>
            <w:r>
              <w:rPr>
                <w:sz w:val="18"/>
              </w:rPr>
              <w:t>20%</w:t>
            </w:r>
          </w:p>
        </w:tc>
        <w:tc>
          <w:tcPr>
            <w:tcW w:type="dxa" w:w="2016"/>
          </w:tcPr>
          <w:p>
            <w:pPr>
              <w:spacing w:after="20" w:before="20"/>
              <w:jc w:val="center"/>
            </w:pPr>
            <w:r/>
            <w:r>
              <w:rPr>
                <w:sz w:val="18"/>
              </w:rPr>
              <w:t>2.24</w:t>
            </w:r>
          </w:p>
        </w:tc>
      </w:tr>
      <w:tr>
        <w:tc>
          <w:tcPr>
            <w:tcW w:type="dxa" w:w="3456"/>
          </w:tcPr>
          <w:p>
            <w:pPr>
              <w:spacing w:after="20" w:before="20"/>
            </w:pPr>
            <w:r/>
            <w:r>
              <w:rPr>
                <w:b/>
                <w:sz w:val="18"/>
              </w:rPr>
              <w:t>Equity DCF (FCFE)</w:t>
            </w:r>
          </w:p>
        </w:tc>
        <w:tc>
          <w:tcPr>
            <w:tcW w:type="dxa" w:w="2016"/>
          </w:tcPr>
          <w:p>
            <w:pPr>
              <w:spacing w:after="20" w:before="20"/>
              <w:jc w:val="center"/>
            </w:pPr>
            <w:r/>
            <w:r>
              <w:rPr>
                <w:sz w:val="18"/>
              </w:rPr>
              <w:t>10.44</w:t>
            </w:r>
          </w:p>
        </w:tc>
        <w:tc>
          <w:tcPr>
            <w:tcW w:type="dxa" w:w="1728"/>
          </w:tcPr>
          <w:p>
            <w:pPr>
              <w:spacing w:after="20" w:before="20"/>
              <w:jc w:val="center"/>
            </w:pPr>
            <w:r/>
            <w:r>
              <w:rPr>
                <w:sz w:val="18"/>
              </w:rPr>
              <w:t>15%</w:t>
            </w:r>
          </w:p>
        </w:tc>
        <w:tc>
          <w:tcPr>
            <w:tcW w:type="dxa" w:w="2016"/>
          </w:tcPr>
          <w:p>
            <w:pPr>
              <w:spacing w:after="20" w:before="20"/>
              <w:jc w:val="center"/>
            </w:pPr>
            <w:r/>
            <w:r>
              <w:rPr>
                <w:sz w:val="18"/>
              </w:rPr>
              <w:t>1.57</w:t>
            </w:r>
          </w:p>
        </w:tc>
      </w:tr>
      <w:tr>
        <w:tc>
          <w:tcPr>
            <w:tcW w:type="dxa" w:w="3456"/>
          </w:tcPr>
          <w:p>
            <w:pPr>
              <w:spacing w:after="20" w:before="20"/>
            </w:pPr>
            <w:r/>
            <w:r>
              <w:rPr>
                <w:b/>
                <w:sz w:val="18"/>
              </w:rPr>
              <w:t>Relative multiples</w:t>
            </w:r>
          </w:p>
        </w:tc>
        <w:tc>
          <w:tcPr>
            <w:tcW w:type="dxa" w:w="2016"/>
          </w:tcPr>
          <w:p>
            <w:pPr>
              <w:spacing w:after="20" w:before="20"/>
              <w:jc w:val="center"/>
            </w:pPr>
            <w:r/>
            <w:r>
              <w:rPr>
                <w:sz w:val="18"/>
              </w:rPr>
              <w:t>8.14</w:t>
            </w:r>
          </w:p>
        </w:tc>
        <w:tc>
          <w:tcPr>
            <w:tcW w:type="dxa" w:w="1728"/>
          </w:tcPr>
          <w:p>
            <w:pPr>
              <w:spacing w:after="20" w:before="20"/>
              <w:jc w:val="center"/>
            </w:pPr>
            <w:r/>
            <w:r>
              <w:rPr>
                <w:sz w:val="18"/>
              </w:rPr>
              <w:t>20%</w:t>
            </w:r>
          </w:p>
        </w:tc>
        <w:tc>
          <w:tcPr>
            <w:tcW w:type="dxa" w:w="2016"/>
          </w:tcPr>
          <w:p>
            <w:pPr>
              <w:spacing w:after="20" w:before="20"/>
              <w:jc w:val="center"/>
            </w:pPr>
            <w:r/>
            <w:r>
              <w:rPr>
                <w:sz w:val="18"/>
              </w:rPr>
              <w:t>1.63</w:t>
            </w:r>
          </w:p>
        </w:tc>
      </w:tr>
      <w:tr>
        <w:tc>
          <w:tcPr>
            <w:tcW w:type="dxa" w:w="3456"/>
          </w:tcPr>
          <w:p>
            <w:pPr>
              <w:spacing w:after="20" w:before="20"/>
            </w:pPr>
            <w:r/>
            <w:r>
              <w:rPr>
                <w:b/>
                <w:sz w:val="18"/>
              </w:rPr>
              <w:t>Normalized (through-cycle)</w:t>
            </w:r>
          </w:p>
        </w:tc>
        <w:tc>
          <w:tcPr>
            <w:tcW w:type="dxa" w:w="2016"/>
          </w:tcPr>
          <w:p>
            <w:pPr>
              <w:spacing w:after="20" w:before="20"/>
              <w:jc w:val="center"/>
            </w:pPr>
            <w:r/>
            <w:r>
              <w:rPr>
                <w:sz w:val="18"/>
              </w:rPr>
              <w:t>9.86</w:t>
            </w:r>
          </w:p>
        </w:tc>
        <w:tc>
          <w:tcPr>
            <w:tcW w:type="dxa" w:w="1728"/>
          </w:tcPr>
          <w:p>
            <w:pPr>
              <w:spacing w:after="20" w:before="20"/>
              <w:jc w:val="center"/>
            </w:pPr>
            <w:r/>
            <w:r>
              <w:rPr>
                <w:sz w:val="18"/>
              </w:rPr>
              <w:t>15%</w:t>
            </w:r>
          </w:p>
        </w:tc>
        <w:tc>
          <w:tcPr>
            <w:tcW w:type="dxa" w:w="2016"/>
          </w:tcPr>
          <w:p>
            <w:pPr>
              <w:spacing w:after="20" w:before="20"/>
              <w:jc w:val="center"/>
            </w:pPr>
            <w:r/>
            <w:r>
              <w:rPr>
                <w:sz w:val="18"/>
              </w:rPr>
              <w:t>1.48</w:t>
            </w:r>
          </w:p>
        </w:tc>
      </w:tr>
      <w:tr>
        <w:tc>
          <w:tcPr>
            <w:tcW w:type="dxa" w:w="3456"/>
            <w:shd w:val="clear" w:fill="F2E9D2"/>
          </w:tcPr>
          <w:p>
            <w:pPr>
              <w:spacing w:after="20" w:before="20"/>
            </w:pPr>
            <w:r/>
            <w:r>
              <w:rPr>
                <w:b/>
                <w:sz w:val="18"/>
              </w:rPr>
              <w:t>Weighted central</w:t>
            </w:r>
          </w:p>
        </w:tc>
        <w:tc>
          <w:tcPr>
            <w:tcW w:type="dxa" w:w="2016"/>
            <w:shd w:val="clear" w:fill="F2E9D2"/>
          </w:tcPr>
          <w:p>
            <w:pPr>
              <w:spacing w:after="20" w:before="20"/>
              <w:jc w:val="center"/>
            </w:pPr>
            <w:r/>
            <w:r>
              <w:rPr>
                <w:b/>
                <w:sz w:val="18"/>
              </w:rPr>
            </w:r>
          </w:p>
        </w:tc>
        <w:tc>
          <w:tcPr>
            <w:tcW w:type="dxa" w:w="1728"/>
            <w:shd w:val="clear" w:fill="F2E9D2"/>
          </w:tcPr>
          <w:p>
            <w:pPr>
              <w:spacing w:after="20" w:before="20"/>
              <w:jc w:val="center"/>
            </w:pPr>
            <w:r/>
            <w:r>
              <w:rPr>
                <w:b/>
                <w:sz w:val="18"/>
              </w:rPr>
            </w:r>
          </w:p>
        </w:tc>
        <w:tc>
          <w:tcPr>
            <w:tcW w:type="dxa" w:w="2016"/>
            <w:shd w:val="clear" w:fill="F2E9D2"/>
          </w:tcPr>
          <w:p>
            <w:pPr>
              <w:spacing w:after="20" w:before="20"/>
              <w:jc w:val="center"/>
            </w:pPr>
            <w:r/>
            <w:r>
              <w:rPr>
                <w:b/>
                <w:sz w:val="18"/>
              </w:rPr>
              <w:t>10.18</w:t>
            </w:r>
          </w:p>
        </w:tc>
      </w:tr>
    </w:tbl>
    <w:p>
      <w:pPr>
        <w:spacing w:after="60"/>
      </w:pPr>
    </w:p>
    <w:p>
      <w:pPr>
        <w:spacing w:after="160" w:before="40"/>
      </w:pPr>
      <w:r>
        <w:rPr>
          <w:b w:val="0"/>
          <w:i/>
          <w:color w:val="6E7B77"/>
          <w:sz w:val="16"/>
        </w:rPr>
        <w:t>Shaded gold: the headline figure this table is building toward — or, in a grid of alternatives, the row we actually use rather than the sensitivities shown around it.</w:t>
      </w:r>
    </w:p>
    <w:p>
      <w:pPr>
        <w:spacing w:after="120" w:before="0"/>
      </w:pPr>
      <w:r>
        <w:rPr>
          <w:b w:val="0"/>
          <w:i w:val="0"/>
          <w:sz w:val="21"/>
        </w:rPr>
        <w:t>Unusually, the lenses do not split into two irreconcilable families here. The spread from AED 8.14 to AED 11.20 is 38% — narrow, by the standards of this house. So the weighted central of AED 10.18 is not the arbitrary blend of divergent methods that our protocol warns against; it is a genuine convergence. That convergence is itself the finding.</w:t>
      </w:r>
    </w:p>
    <w:p>
      <w:pPr>
        <w:spacing w:after="80" w:before="200"/>
      </w:pPr>
      <w:r>
        <w:rPr>
          <w:b/>
          <w:i w:val="0"/>
          <w:color w:val="1C3A36"/>
          <w:sz w:val="22"/>
        </w:rPr>
        <w:t>1.8  The crux — the margin is falling, the provisions are rising, and the capital is thin</w:t>
      </w:r>
    </w:p>
    <w:p>
      <w:pPr>
        <w:spacing w:after="120" w:before="0"/>
      </w:pPr>
      <w:r>
        <w:rPr>
          <w:b w:val="0"/>
          <w:i w:val="0"/>
          <w:sz w:val="21"/>
        </w:rPr>
        <w:t>Every bank study has one load-bearing tension. DIB's is a three-way squeeze on a capital base that has already been stretched once, and it is best stated in real units rather than as an abstract margin percentage.</w:t>
      </w:r>
    </w:p>
    <w:tbl>
      <w:tblPr>
        <w:tblStyle w:val="TableGrid"/>
        <w:tblW w:type="auto" w:w="0"/>
        <w:jc w:val="center"/>
        <w:tblLook w:firstColumn="1" w:firstRow="1" w:lastColumn="0" w:lastRow="0" w:noHBand="0" w:noVBand="1" w:val="04A0"/>
      </w:tblPr>
      <w:tblGrid>
        <w:gridCol w:w="4997"/>
        <w:gridCol w:w="4997"/>
      </w:tblGrid>
      <w:tr>
        <w:tc>
          <w:tcPr>
            <w:tcW w:type="dxa" w:w="6624"/>
            <w:shd w:val="clear" w:fill="1C3A36"/>
          </w:tcPr>
          <w:p>
            <w:pPr>
              <w:spacing w:after="20" w:before="20"/>
            </w:pPr>
            <w:r/>
            <w:r>
              <w:rPr>
                <w:b/>
                <w:color w:val="FFFFFF"/>
                <w:sz w:val="18"/>
              </w:rPr>
              <w:t>The crux, in real units</w:t>
            </w:r>
          </w:p>
        </w:tc>
        <w:tc>
          <w:tcPr>
            <w:tcW w:type="dxa" w:w="3312"/>
            <w:shd w:val="clear" w:fill="1C3A36"/>
          </w:tcPr>
          <w:p>
            <w:pPr>
              <w:spacing w:after="20" w:before="20"/>
              <w:jc w:val="center"/>
            </w:pPr>
            <w:r/>
            <w:r>
              <w:rPr>
                <w:b/>
                <w:color w:val="FFFFFF"/>
                <w:sz w:val="18"/>
              </w:rPr>
              <w:t>Effect on the central</w:t>
            </w:r>
          </w:p>
        </w:tc>
      </w:tr>
      <w:tr>
        <w:tc>
          <w:tcPr>
            <w:tcW w:type="dxa" w:w="6624"/>
          </w:tcPr>
          <w:p>
            <w:pPr>
              <w:spacing w:after="20" w:before="20"/>
            </w:pPr>
            <w:r/>
            <w:r>
              <w:rPr>
                <w:b/>
                <w:sz w:val="18"/>
              </w:rPr>
              <w:t>NPM +10bp across the path (≈ AED 0.47bn of revenue a year)</w:t>
            </w:r>
          </w:p>
        </w:tc>
        <w:tc>
          <w:tcPr>
            <w:tcW w:type="dxa" w:w="3312"/>
          </w:tcPr>
          <w:p>
            <w:pPr>
              <w:spacing w:after="20" w:before="20"/>
              <w:jc w:val="center"/>
            </w:pPr>
            <w:r/>
            <w:r>
              <w:rPr>
                <w:sz w:val="18"/>
              </w:rPr>
              <w:t>+0.32 / share</w:t>
            </w:r>
          </w:p>
        </w:tc>
      </w:tr>
      <w:tr>
        <w:tc>
          <w:tcPr>
            <w:tcW w:type="dxa" w:w="6624"/>
          </w:tcPr>
          <w:p>
            <w:pPr>
              <w:spacing w:after="20" w:before="20"/>
            </w:pPr>
            <w:r/>
            <w:r>
              <w:rPr>
                <w:b/>
                <w:sz w:val="18"/>
              </w:rPr>
              <w:t>NPM −10bp</w:t>
            </w:r>
          </w:p>
        </w:tc>
        <w:tc>
          <w:tcPr>
            <w:tcW w:type="dxa" w:w="3312"/>
          </w:tcPr>
          <w:p>
            <w:pPr>
              <w:spacing w:after="20" w:before="20"/>
              <w:jc w:val="center"/>
            </w:pPr>
            <w:r/>
            <w:r>
              <w:rPr>
                <w:sz w:val="18"/>
              </w:rPr>
              <w:t>-0.32 / share</w:t>
            </w:r>
          </w:p>
        </w:tc>
      </w:tr>
      <w:tr>
        <w:tc>
          <w:tcPr>
            <w:tcW w:type="dxa" w:w="6624"/>
          </w:tcPr>
          <w:p>
            <w:pPr>
              <w:spacing w:after="20" w:before="20"/>
            </w:pPr>
            <w:r/>
            <w:r>
              <w:rPr>
                <w:b/>
                <w:sz w:val="18"/>
              </w:rPr>
              <w:t>NPM −20bp (the deeper-cuts path)</w:t>
            </w:r>
          </w:p>
        </w:tc>
        <w:tc>
          <w:tcPr>
            <w:tcW w:type="dxa" w:w="3312"/>
          </w:tcPr>
          <w:p>
            <w:pPr>
              <w:spacing w:after="20" w:before="20"/>
              <w:jc w:val="center"/>
            </w:pPr>
            <w:r/>
            <w:r>
              <w:rPr>
                <w:sz w:val="18"/>
              </w:rPr>
              <w:t>-0.65 / share</w:t>
            </w:r>
          </w:p>
        </w:tc>
      </w:tr>
      <w:tr>
        <w:tc>
          <w:tcPr>
            <w:tcW w:type="dxa" w:w="6624"/>
          </w:tcPr>
          <w:p>
            <w:pPr>
              <w:spacing w:after="20" w:before="20"/>
            </w:pPr>
            <w:r/>
            <w:r>
              <w:rPr>
                <w:b/>
                <w:sz w:val="18"/>
              </w:rPr>
              <w:t>Cost of risk +10bp (≈ AED 0.44bn pre-tax a year)</w:t>
            </w:r>
          </w:p>
        </w:tc>
        <w:tc>
          <w:tcPr>
            <w:tcW w:type="dxa" w:w="3312"/>
          </w:tcPr>
          <w:p>
            <w:pPr>
              <w:spacing w:after="20" w:before="20"/>
              <w:jc w:val="center"/>
            </w:pPr>
            <w:r/>
            <w:r>
              <w:rPr>
                <w:sz w:val="18"/>
              </w:rPr>
              <w:t>-0.42 / share</w:t>
            </w:r>
          </w:p>
        </w:tc>
      </w:tr>
      <w:tr>
        <w:tc>
          <w:tcPr>
            <w:tcW w:type="dxa" w:w="6624"/>
          </w:tcPr>
          <w:p>
            <w:pPr>
              <w:spacing w:after="20" w:before="20"/>
            </w:pPr>
            <w:r/>
            <w:r>
              <w:rPr>
                <w:b/>
                <w:sz w:val="18"/>
              </w:rPr>
              <w:t>Cost of risk −10bp</w:t>
            </w:r>
          </w:p>
        </w:tc>
        <w:tc>
          <w:tcPr>
            <w:tcW w:type="dxa" w:w="3312"/>
          </w:tcPr>
          <w:p>
            <w:pPr>
              <w:spacing w:after="20" w:before="20"/>
              <w:jc w:val="center"/>
            </w:pPr>
            <w:r/>
            <w:r>
              <w:rPr>
                <w:sz w:val="18"/>
              </w:rPr>
              <w:t>+0.42 / share</w:t>
            </w:r>
          </w:p>
        </w:tc>
      </w:tr>
      <w:tr>
        <w:tc>
          <w:tcPr>
            <w:tcW w:type="dxa" w:w="6624"/>
          </w:tcPr>
          <w:p>
            <w:pPr>
              <w:spacing w:after="20" w:before="20"/>
            </w:pPr>
            <w:r/>
            <w:r>
              <w:rPr>
                <w:b/>
                <w:sz w:val="18"/>
              </w:rPr>
              <w:t>Cost of risk to 60bp (the NORMALISED FY24 charge was 58bp)</w:t>
            </w:r>
          </w:p>
        </w:tc>
        <w:tc>
          <w:tcPr>
            <w:tcW w:type="dxa" w:w="3312"/>
          </w:tcPr>
          <w:p>
            <w:pPr>
              <w:spacing w:after="20" w:before="20"/>
              <w:jc w:val="center"/>
            </w:pPr>
            <w:r/>
            <w:r>
              <w:rPr>
                <w:sz w:val="18"/>
              </w:rPr>
              <w:t>-0.62 / share</w:t>
            </w:r>
          </w:p>
        </w:tc>
      </w:tr>
      <w:tr>
        <w:tc>
          <w:tcPr>
            <w:tcW w:type="dxa" w:w="6624"/>
          </w:tcPr>
          <w:p>
            <w:pPr>
              <w:spacing w:after="20" w:before="20"/>
            </w:pPr>
            <w:r/>
            <w:r>
              <w:rPr>
                <w:b/>
                <w:sz w:val="18"/>
              </w:rPr>
              <w:t>Effective tax back to 9% (management's stated aim)</w:t>
            </w:r>
          </w:p>
        </w:tc>
        <w:tc>
          <w:tcPr>
            <w:tcW w:type="dxa" w:w="3312"/>
          </w:tcPr>
          <w:p>
            <w:pPr>
              <w:spacing w:after="20" w:before="20"/>
              <w:jc w:val="center"/>
            </w:pPr>
            <w:r/>
            <w:r>
              <w:rPr>
                <w:sz w:val="18"/>
              </w:rPr>
              <w:t>+0.70 / share</w:t>
            </w:r>
          </w:p>
        </w:tc>
      </w:tr>
      <w:tr>
        <w:tc>
          <w:tcPr>
            <w:tcW w:type="dxa" w:w="6624"/>
            <w:shd w:val="clear" w:fill="F6DDDA"/>
          </w:tcPr>
          <w:p>
            <w:pPr>
              <w:spacing w:after="20" w:before="20"/>
            </w:pPr>
            <w:r/>
            <w:r>
              <w:rPr>
                <w:b/>
                <w:sz w:val="18"/>
              </w:rPr>
              <w:t>Conflict adder → 0 (peace holds)</w:t>
            </w:r>
          </w:p>
        </w:tc>
        <w:tc>
          <w:tcPr>
            <w:tcW w:type="dxa" w:w="3312"/>
            <w:shd w:val="clear" w:fill="F6DDDA"/>
          </w:tcPr>
          <w:p>
            <w:pPr>
              <w:spacing w:after="20" w:before="20"/>
              <w:jc w:val="center"/>
            </w:pPr>
            <w:r/>
            <w:r>
              <w:rPr>
                <w:sz w:val="18"/>
              </w:rPr>
              <w:t>+1.68 / share</w:t>
            </w:r>
          </w:p>
        </w:tc>
      </w:tr>
      <w:tr>
        <w:tc>
          <w:tcPr>
            <w:tcW w:type="dxa" w:w="6624"/>
            <w:shd w:val="clear" w:fill="F6DDDA"/>
          </w:tcPr>
          <w:p>
            <w:pPr>
              <w:spacing w:after="20" w:before="20"/>
            </w:pPr>
            <w:r/>
            <w:r>
              <w:rPr>
                <w:b/>
                <w:sz w:val="18"/>
              </w:rPr>
              <w:t>Conflict adder → 2.5pt (renewed Hormuz closure)</w:t>
            </w:r>
          </w:p>
        </w:tc>
        <w:tc>
          <w:tcPr>
            <w:tcW w:type="dxa" w:w="3312"/>
            <w:shd w:val="clear" w:fill="F6DDDA"/>
          </w:tcPr>
          <w:p>
            <w:pPr>
              <w:spacing w:after="20" w:before="20"/>
              <w:jc w:val="center"/>
            </w:pPr>
            <w:r/>
            <w:r>
              <w:rPr>
                <w:sz w:val="18"/>
              </w:rPr>
              <w:t>-1.73 / share</w:t>
            </w:r>
          </w:p>
        </w:tc>
      </w:tr>
    </w:tbl>
    <w:p>
      <w:pPr>
        <w:spacing w:after="60"/>
      </w:pPr>
    </w:p>
    <w:p>
      <w:pPr>
        <w:spacing w:after="160" w:before="40"/>
      </w:pPr>
      <w:r>
        <w:rPr>
          <w:b w:val="0"/>
          <w:i/>
          <w:color w:val="6E7B77"/>
          <w:sz w:val="16"/>
        </w:rPr>
        <w:t>Shaded pink: both rows are the Iran-war risk premium, which can swing fair value up (peace) or down (a renewed Hormuz closure) — it is flagged because neither DIB nor this model controls it, not because it is necessarily bad news.</w:t>
      </w:r>
    </w:p>
    <w:p>
      <w:pPr>
        <w:spacing w:after="120" w:before="0"/>
      </w:pPr>
      <w:r>
        <w:rPr>
          <w:b w:val="0"/>
          <w:i w:val="0"/>
          <w:sz w:val="21"/>
        </w:rPr>
        <w:t>Read the provision rows carefully. The cost of risk is the single most powerful lever in this model — more powerful than the margin — because DIB is coming off a 14bp base that is about as benign as a bank's provisioning ever gets, and Q1 has already tripled it to 45bp. The FY24 comparison is worse than the headline: that year's reported 14bp was flattered by the disclosed legacy recovery, and DIB's own normalised FY24 impairment charge is AED 1,677mn — a normalised cost of risk of 58bp. The market is not wrong to watch this line. But the honest reading is that a 60bp through-cycle charge is DIB's own recent normalised experience, not a stress scenario.</w:t>
      </w:r>
    </w:p>
    <w:p>
      <w:pPr>
        <w:spacing w:after="120" w:before="0"/>
      </w:pPr>
      <w:r>
        <w:rPr>
          <w:b w:val="0"/>
          <w:i w:val="0"/>
          <w:sz w:val="21"/>
        </w:rPr>
        <w:t>But the crux proper is what those two squeezes do to capital, and this is why the dividend cut mattered so much. DIB ended 2025 with CET1 at 12.3% — against a Fitch downgrade trigger at 12%, and a new 0.5% counter-cyclical buffer from 2026 that makes the effective floor 12.5%. It got there by cutting the dividend. The chart below runs the capital equation forward under three paths.</w:t>
      </w:r>
    </w:p>
    <w:p>
      <w:pPr>
        <w:jc w:val="center"/>
      </w:pPr>
      <w:r>
        <w:drawing>
          <wp:inline xmlns:a="http://schemas.openxmlformats.org/drawingml/2006/main" xmlns:pic="http://schemas.openxmlformats.org/drawingml/2006/picture">
            <wp:extent cx="6309360" cy="2970644"/>
            <wp:docPr id="5" name="Picture 5"/>
            <wp:cNvGraphicFramePr>
              <a:graphicFrameLocks noChangeAspect="1"/>
            </wp:cNvGraphicFramePr>
            <a:graphic>
              <a:graphicData uri="http://schemas.openxmlformats.org/drawingml/2006/picture">
                <pic:pic>
                  <pic:nvPicPr>
                    <pic:cNvPr id="0" name="fig8.png"/>
                    <pic:cNvPicPr/>
                  </pic:nvPicPr>
                  <pic:blipFill>
                    <a:blip r:embed="rId13"/>
                    <a:stretch>
                      <a:fillRect/>
                    </a:stretch>
                  </pic:blipFill>
                  <pic:spPr>
                    <a:xfrm>
                      <a:off x="0" y="0"/>
                      <a:ext cx="6309360" cy="2970644"/>
                    </a:xfrm>
                    <a:prstGeom prst="rect"/>
                  </pic:spPr>
                </pic:pic>
              </a:graphicData>
            </a:graphic>
          </wp:inline>
        </w:drawing>
      </w:r>
    </w:p>
    <w:p>
      <w:pPr>
        <w:spacing w:after="180" w:before="0"/>
        <w:jc w:val="center"/>
      </w:pPr>
      <w:r>
        <w:rPr>
          <w:b w:val="0"/>
          <w:i/>
          <w:color w:val="6E7B77"/>
          <w:sz w:val="17"/>
        </w:rPr>
        <w:t>Figure 5 — The capital equation. On the base path, halving growth to 10% lets DIB rebuild CET1 from 12.45% to 14.0% while paying a rising dividend. Under a double squeeze — margin −20bp AND cost of risk +20bp — CET1 sits at 12.25–12.28% through FY26–27, THROUGH the effective 12.5% floor. The buffer is one bad year deep.</w:t>
      </w:r>
    </w:p>
    <w:p>
      <w:pPr>
        <w:spacing w:after="120" w:before="0"/>
      </w:pPr>
      <w:r>
        <w:rPr>
          <w:b w:val="0"/>
          <w:i w:val="0"/>
          <w:sz w:val="21"/>
        </w:rPr>
        <w:t>That is the honest bear case, and it is not a valuation argument at all — it is a capital argument. If margin and provisions squeeze together, DIB does not go anywhere near insolvency; it simply runs out of room to pay a progressive dividend, and the board cuts again. A second cut, coming eighteen months after the first, would tell the market that the FY25 cut had not bought enough — and the DDM, which carries 30% of the weight here, would have to be rebuilt on a lower payout. That, and not the war, is the risk this share price is really expressing.</w:t>
      </w:r>
    </w:p>
    <w:p>
      <w:pPr>
        <w:spacing w:after="80" w:before="200"/>
      </w:pPr>
      <w:r>
        <w:rPr>
          <w:b/>
          <w:i w:val="0"/>
          <w:color w:val="1C3A36"/>
          <w:sz w:val="22"/>
        </w:rPr>
        <w:t>1.9  Macro &amp; regime</w:t>
      </w:r>
    </w:p>
    <w:p>
      <w:pPr>
        <w:spacing w:after="120" w:before="0"/>
      </w:pPr>
      <w:r>
        <w:rPr>
          <w:b w:val="0"/>
          <w:i w:val="0"/>
          <w:sz w:val="21"/>
        </w:rPr>
        <w:t>The backdrop is a bruised macro sitting on top of a strong micro, and it moved materially in the days around this study. The UAE grew 5.6% in 2025. On 2 July the central bank cut its 2026 forecast to 1.7% — from 5.6% — and called it the war's bill: hydrocarbon growth +0.8%, non-hydrocarbon +1.9%, with a snap-back to 9.8% pencilled in for 2027. The war itself began on 28 February when the US and Israel struck Iran; the Strait of Hormuz was effectively closed, in what the IEA has called the largest supply disruption in the history of the oil market. A ceasefire was agreed on 7 April and a 60-day memorandum in mid-June.</w:t>
      </w:r>
    </w:p>
    <w:p>
      <w:pPr>
        <w:spacing w:after="120"/>
      </w:pPr>
      <w:r>
        <w:rPr>
          <w:b/>
          <w:i w:val="0"/>
          <w:color w:val="B4433A"/>
          <w:sz w:val="21"/>
        </w:rPr>
        <w:t xml:space="preserve">That memorandum broke while this study was being written. </w:t>
      </w:r>
      <w:r>
        <w:rPr>
          <w:b w:val="0"/>
          <w:i w:val="0"/>
          <w:sz w:val="21"/>
        </w:rPr>
        <w:t>On 7 July Iran attacked three commercial vessels in the strait; the US revoked its oil-sanctions waiver and struck around 90 Iranian targets; on 8 July, at the NATO summit in Ankara, President Trump declared the ceasefire "over"; Iran retaliated against US bases in Bahrain and Kuwait. Talks resumed in Oman on 11 July — the day of this study. DIB's own price traces it: AED 7.72 on 3 July, roughly AED 7.54 by 9 July. The 1.0-point conflict adder in the cost of equity was calibrated on a ceasefire that is now, at best, provisional. That is why the adder sits at the top of the crux table rather than in a footnote: it is worth AED 1.63 up and AED 1.80 down, and neither management nor this model controls it.</w:t>
      </w:r>
    </w:p>
    <w:p>
      <w:pPr>
        <w:spacing w:after="120" w:before="0"/>
      </w:pPr>
      <w:r>
        <w:rPr>
          <w:b w:val="0"/>
          <w:i w:val="0"/>
          <w:sz w:val="21"/>
        </w:rPr>
        <w:t>Against that, the banking system has been conspicuously resilient. UAE bank assets reached AED 5.56tn in Q1-2026, up 17.7%; loans grew 20.3% and deposits 17.4%; the sector's capital adequacy is 16.8% and net NPLs 1.5%. The central bank held its base rate at 3.65% and rolled out a resilience package. DIB itself booked the disruption as provisions, not losses. The rate cycle is the thing that actually matters for the model, and it has turned: the Fed held at 3.50–3.75% with a hawkish new chair, which means the margin guidance DIB set in February may prove conservative.</w:t>
      </w:r>
    </w:p>
    <w:p>
      <w:pPr>
        <w:spacing w:after="80" w:before="200"/>
      </w:pPr>
      <w:r>
        <w:rPr>
          <w:b/>
          <w:i w:val="0"/>
          <w:color w:val="1C3A36"/>
          <w:sz w:val="22"/>
        </w:rPr>
        <w:t>1.10  Sensitivity — Ke × terminal growth, and the beta we could not regress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2736"/>
            <w:shd w:val="clear" w:fill="1C3A36"/>
          </w:tcPr>
          <w:p>
            <w:pPr>
              <w:spacing w:after="20" w:before="20"/>
            </w:pPr>
            <w:r/>
            <w:r>
              <w:rPr>
                <w:b/>
                <w:color w:val="FFFFFF"/>
                <w:sz w:val="18"/>
              </w:rPr>
              <w:t>Weighted central (AED)</w:t>
            </w:r>
          </w:p>
        </w:tc>
        <w:tc>
          <w:tcPr>
            <w:tcW w:type="dxa" w:w="1800"/>
            <w:shd w:val="clear" w:fill="1C3A36"/>
          </w:tcPr>
          <w:p>
            <w:pPr>
              <w:spacing w:after="20" w:before="20"/>
              <w:jc w:val="center"/>
            </w:pPr>
            <w:r/>
            <w:r>
              <w:rPr>
                <w:b/>
                <w:color w:val="FFFFFF"/>
                <w:sz w:val="18"/>
              </w:rPr>
              <w:t>g 3.0%</w:t>
            </w:r>
          </w:p>
        </w:tc>
        <w:tc>
          <w:tcPr>
            <w:tcW w:type="dxa" w:w="1800"/>
            <w:shd w:val="clear" w:fill="1C3A36"/>
          </w:tcPr>
          <w:p>
            <w:pPr>
              <w:spacing w:after="20" w:before="20"/>
              <w:jc w:val="center"/>
            </w:pPr>
            <w:r/>
            <w:r>
              <w:rPr>
                <w:b/>
                <w:color w:val="FFFFFF"/>
                <w:sz w:val="18"/>
              </w:rPr>
              <w:t>g 3.5%</w:t>
            </w:r>
          </w:p>
        </w:tc>
        <w:tc>
          <w:tcPr>
            <w:tcW w:type="dxa" w:w="1800"/>
            <w:shd w:val="clear" w:fill="1C3A36"/>
          </w:tcPr>
          <w:p>
            <w:pPr>
              <w:spacing w:after="20" w:before="20"/>
              <w:jc w:val="center"/>
            </w:pPr>
            <w:r/>
            <w:r>
              <w:rPr>
                <w:b/>
                <w:color w:val="FFFFFF"/>
                <w:sz w:val="18"/>
              </w:rPr>
              <w:t>g 4.0%</w:t>
            </w:r>
          </w:p>
        </w:tc>
        <w:tc>
          <w:tcPr>
            <w:tcW w:type="dxa" w:w="1800"/>
            <w:shd w:val="clear" w:fill="1C3A36"/>
          </w:tcPr>
          <w:p>
            <w:pPr>
              <w:spacing w:after="20" w:before="20"/>
              <w:jc w:val="center"/>
            </w:pPr>
            <w:r/>
            <w:r>
              <w:rPr>
                <w:b/>
                <w:color w:val="FFFFFF"/>
                <w:sz w:val="18"/>
              </w:rPr>
              <w:t>g 4.5%</w:t>
            </w:r>
          </w:p>
        </w:tc>
      </w:tr>
      <w:tr>
        <w:tc>
          <w:tcPr>
            <w:tcW w:type="dxa" w:w="2736"/>
          </w:tcPr>
          <w:p>
            <w:pPr>
              <w:spacing w:after="20" w:before="20"/>
            </w:pPr>
            <w:r/>
            <w:r>
              <w:rPr>
                <w:b/>
                <w:sz w:val="18"/>
              </w:rPr>
              <w:t>Ke 9.57%</w:t>
            </w:r>
          </w:p>
        </w:tc>
        <w:tc>
          <w:tcPr>
            <w:tcW w:type="dxa" w:w="1800"/>
          </w:tcPr>
          <w:p>
            <w:pPr>
              <w:spacing w:after="20" w:before="20"/>
              <w:jc w:val="center"/>
            </w:pPr>
            <w:r/>
            <w:r>
              <w:rPr>
                <w:sz w:val="18"/>
              </w:rPr>
              <w:t>10.99</w:t>
            </w:r>
          </w:p>
        </w:tc>
        <w:tc>
          <w:tcPr>
            <w:tcW w:type="dxa" w:w="1800"/>
          </w:tcPr>
          <w:p>
            <w:pPr>
              <w:spacing w:after="20" w:before="20"/>
              <w:jc w:val="center"/>
            </w:pPr>
            <w:r/>
            <w:r>
              <w:rPr>
                <w:sz w:val="18"/>
              </w:rPr>
              <w:t>11.39</w:t>
            </w:r>
          </w:p>
        </w:tc>
        <w:tc>
          <w:tcPr>
            <w:tcW w:type="dxa" w:w="1800"/>
          </w:tcPr>
          <w:p>
            <w:pPr>
              <w:spacing w:after="20" w:before="20"/>
              <w:jc w:val="center"/>
            </w:pPr>
            <w:r/>
            <w:r>
              <w:rPr>
                <w:sz w:val="18"/>
              </w:rPr>
              <w:t>11.86</w:t>
            </w:r>
          </w:p>
        </w:tc>
        <w:tc>
          <w:tcPr>
            <w:tcW w:type="dxa" w:w="1800"/>
          </w:tcPr>
          <w:p>
            <w:pPr>
              <w:spacing w:after="20" w:before="20"/>
              <w:jc w:val="center"/>
            </w:pPr>
            <w:r/>
            <w:r>
              <w:rPr>
                <w:sz w:val="18"/>
              </w:rPr>
              <w:t>12.43</w:t>
            </w:r>
          </w:p>
        </w:tc>
      </w:tr>
      <w:tr>
        <w:tc>
          <w:tcPr>
            <w:tcW w:type="dxa" w:w="2736"/>
          </w:tcPr>
          <w:p>
            <w:pPr>
              <w:spacing w:after="20" w:before="20"/>
            </w:pPr>
            <w:r/>
            <w:r>
              <w:rPr>
                <w:b/>
                <w:sz w:val="18"/>
              </w:rPr>
              <w:t>Ke 10.07%</w:t>
            </w:r>
          </w:p>
        </w:tc>
        <w:tc>
          <w:tcPr>
            <w:tcW w:type="dxa" w:w="1800"/>
          </w:tcPr>
          <w:p>
            <w:pPr>
              <w:spacing w:after="20" w:before="20"/>
              <w:jc w:val="center"/>
            </w:pPr>
            <w:r/>
            <w:r>
              <w:rPr>
                <w:sz w:val="18"/>
              </w:rPr>
              <w:t>10.26</w:t>
            </w:r>
          </w:p>
        </w:tc>
        <w:tc>
          <w:tcPr>
            <w:tcW w:type="dxa" w:w="1800"/>
          </w:tcPr>
          <w:p>
            <w:pPr>
              <w:spacing w:after="20" w:before="20"/>
              <w:jc w:val="center"/>
            </w:pPr>
            <w:r/>
            <w:r>
              <w:rPr>
                <w:sz w:val="18"/>
              </w:rPr>
              <w:t>10.58</w:t>
            </w:r>
          </w:p>
        </w:tc>
        <w:tc>
          <w:tcPr>
            <w:tcW w:type="dxa" w:w="1800"/>
          </w:tcPr>
          <w:p>
            <w:pPr>
              <w:spacing w:after="20" w:before="20"/>
              <w:jc w:val="center"/>
            </w:pPr>
            <w:r/>
            <w:r>
              <w:rPr>
                <w:sz w:val="18"/>
              </w:rPr>
              <w:t>10.95</w:t>
            </w:r>
          </w:p>
        </w:tc>
        <w:tc>
          <w:tcPr>
            <w:tcW w:type="dxa" w:w="1800"/>
          </w:tcPr>
          <w:p>
            <w:pPr>
              <w:spacing w:after="20" w:before="20"/>
              <w:jc w:val="center"/>
            </w:pPr>
            <w:r/>
            <w:r>
              <w:rPr>
                <w:sz w:val="18"/>
              </w:rPr>
              <w:t>11.39</w:t>
            </w:r>
          </w:p>
        </w:tc>
      </w:tr>
      <w:tr>
        <w:tc>
          <w:tcPr>
            <w:tcW w:type="dxa" w:w="2736"/>
            <w:shd w:val="clear" w:fill="F2E9D2"/>
          </w:tcPr>
          <w:p>
            <w:pPr>
              <w:spacing w:after="20" w:before="20"/>
            </w:pPr>
            <w:r/>
            <w:r>
              <w:rPr>
                <w:b/>
                <w:sz w:val="18"/>
              </w:rPr>
              <w:t>Ke 10.57%</w:t>
            </w:r>
          </w:p>
        </w:tc>
        <w:tc>
          <w:tcPr>
            <w:tcW w:type="dxa" w:w="1800"/>
            <w:shd w:val="clear" w:fill="F2E9D2"/>
          </w:tcPr>
          <w:p>
            <w:pPr>
              <w:spacing w:after="20" w:before="20"/>
              <w:jc w:val="center"/>
            </w:pPr>
            <w:r/>
            <w:r>
              <w:rPr>
                <w:sz w:val="18"/>
              </w:rPr>
              <w:t>9.63</w:t>
            </w:r>
          </w:p>
        </w:tc>
        <w:tc>
          <w:tcPr>
            <w:tcW w:type="dxa" w:w="1800"/>
            <w:shd w:val="clear" w:fill="F2E9D2"/>
          </w:tcPr>
          <w:p>
            <w:pPr>
              <w:spacing w:after="20" w:before="20"/>
              <w:jc w:val="center"/>
            </w:pPr>
            <w:r/>
            <w:r>
              <w:rPr>
                <w:sz w:val="18"/>
              </w:rPr>
              <w:t>9.89</w:t>
            </w:r>
          </w:p>
        </w:tc>
        <w:tc>
          <w:tcPr>
            <w:tcW w:type="dxa" w:w="1800"/>
            <w:shd w:val="clear" w:fill="F2E9D2"/>
          </w:tcPr>
          <w:p>
            <w:pPr>
              <w:spacing w:after="20" w:before="20"/>
              <w:jc w:val="center"/>
            </w:pPr>
            <w:r/>
            <w:r>
              <w:rPr>
                <w:sz w:val="18"/>
              </w:rPr>
              <w:t>10.18</w:t>
            </w:r>
          </w:p>
        </w:tc>
        <w:tc>
          <w:tcPr>
            <w:tcW w:type="dxa" w:w="1800"/>
            <w:shd w:val="clear" w:fill="F2E9D2"/>
          </w:tcPr>
          <w:p>
            <w:pPr>
              <w:spacing w:after="20" w:before="20"/>
              <w:jc w:val="center"/>
            </w:pPr>
            <w:r/>
            <w:r>
              <w:rPr>
                <w:sz w:val="18"/>
              </w:rPr>
              <w:t>10.53</w:t>
            </w:r>
          </w:p>
        </w:tc>
      </w:tr>
      <w:tr>
        <w:tc>
          <w:tcPr>
            <w:tcW w:type="dxa" w:w="2736"/>
          </w:tcPr>
          <w:p>
            <w:pPr>
              <w:spacing w:after="20" w:before="20"/>
            </w:pPr>
            <w:r/>
            <w:r>
              <w:rPr>
                <w:b/>
                <w:sz w:val="18"/>
              </w:rPr>
              <w:t>Ke 11.07%</w:t>
            </w:r>
          </w:p>
        </w:tc>
        <w:tc>
          <w:tcPr>
            <w:tcW w:type="dxa" w:w="1800"/>
          </w:tcPr>
          <w:p>
            <w:pPr>
              <w:spacing w:after="20" w:before="20"/>
              <w:jc w:val="center"/>
            </w:pPr>
            <w:r/>
            <w:r>
              <w:rPr>
                <w:sz w:val="18"/>
              </w:rPr>
              <w:t>9.08</w:t>
            </w:r>
          </w:p>
        </w:tc>
        <w:tc>
          <w:tcPr>
            <w:tcW w:type="dxa" w:w="1800"/>
          </w:tcPr>
          <w:p>
            <w:pPr>
              <w:spacing w:after="20" w:before="20"/>
              <w:jc w:val="center"/>
            </w:pPr>
            <w:r/>
            <w:r>
              <w:rPr>
                <w:sz w:val="18"/>
              </w:rPr>
              <w:t>9.29</w:t>
            </w:r>
          </w:p>
        </w:tc>
        <w:tc>
          <w:tcPr>
            <w:tcW w:type="dxa" w:w="1800"/>
          </w:tcPr>
          <w:p>
            <w:pPr>
              <w:spacing w:after="20" w:before="20"/>
              <w:jc w:val="center"/>
            </w:pPr>
            <w:r/>
            <w:r>
              <w:rPr>
                <w:sz w:val="18"/>
              </w:rPr>
              <w:t>9.52</w:t>
            </w:r>
          </w:p>
        </w:tc>
        <w:tc>
          <w:tcPr>
            <w:tcW w:type="dxa" w:w="1800"/>
          </w:tcPr>
          <w:p>
            <w:pPr>
              <w:spacing w:after="20" w:before="20"/>
              <w:jc w:val="center"/>
            </w:pPr>
            <w:r/>
            <w:r>
              <w:rPr>
                <w:sz w:val="18"/>
              </w:rPr>
              <w:t>9.79</w:t>
            </w:r>
          </w:p>
        </w:tc>
      </w:tr>
      <w:tr>
        <w:tc>
          <w:tcPr>
            <w:tcW w:type="dxa" w:w="2736"/>
          </w:tcPr>
          <w:p>
            <w:pPr>
              <w:spacing w:after="20" w:before="20"/>
            </w:pPr>
            <w:r/>
            <w:r>
              <w:rPr>
                <w:b/>
                <w:sz w:val="18"/>
              </w:rPr>
              <w:t>Ke 11.57%</w:t>
            </w:r>
          </w:p>
        </w:tc>
        <w:tc>
          <w:tcPr>
            <w:tcW w:type="dxa" w:w="1800"/>
          </w:tcPr>
          <w:p>
            <w:pPr>
              <w:spacing w:after="20" w:before="20"/>
              <w:jc w:val="center"/>
            </w:pPr>
            <w:r/>
            <w:r>
              <w:rPr>
                <w:sz w:val="18"/>
              </w:rPr>
              <w:t>8.59</w:t>
            </w:r>
          </w:p>
        </w:tc>
        <w:tc>
          <w:tcPr>
            <w:tcW w:type="dxa" w:w="1800"/>
          </w:tcPr>
          <w:p>
            <w:pPr>
              <w:spacing w:after="20" w:before="20"/>
              <w:jc w:val="center"/>
            </w:pPr>
            <w:r/>
            <w:r>
              <w:rPr>
                <w:sz w:val="18"/>
              </w:rPr>
              <w:t>8.76</w:t>
            </w:r>
          </w:p>
        </w:tc>
        <w:tc>
          <w:tcPr>
            <w:tcW w:type="dxa" w:w="1800"/>
          </w:tcPr>
          <w:p>
            <w:pPr>
              <w:spacing w:after="20" w:before="20"/>
              <w:jc w:val="center"/>
            </w:pPr>
            <w:r/>
            <w:r>
              <w:rPr>
                <w:sz w:val="18"/>
              </w:rPr>
              <w:t>8.95</w:t>
            </w:r>
          </w:p>
        </w:tc>
        <w:tc>
          <w:tcPr>
            <w:tcW w:type="dxa" w:w="1800"/>
          </w:tcPr>
          <w:p>
            <w:pPr>
              <w:spacing w:after="20" w:before="20"/>
              <w:jc w:val="center"/>
            </w:pPr>
            <w:r/>
            <w:r>
              <w:rPr>
                <w:sz w:val="18"/>
              </w:rPr>
              <w:t>9.17</w:t>
            </w:r>
          </w:p>
        </w:tc>
      </w:tr>
      <w:tr>
        <w:tc>
          <w:tcPr>
            <w:tcW w:type="dxa" w:w="2736"/>
          </w:tcPr>
          <w:p>
            <w:pPr>
              <w:spacing w:after="20" w:before="20"/>
            </w:pPr>
            <w:r/>
            <w:r>
              <w:rPr>
                <w:b/>
                <w:sz w:val="18"/>
              </w:rPr>
              <w:t>Ke 12.07%</w:t>
            </w:r>
          </w:p>
        </w:tc>
        <w:tc>
          <w:tcPr>
            <w:tcW w:type="dxa" w:w="1800"/>
          </w:tcPr>
          <w:p>
            <w:pPr>
              <w:spacing w:after="20" w:before="20"/>
              <w:jc w:val="center"/>
            </w:pPr>
            <w:r/>
            <w:r>
              <w:rPr>
                <w:sz w:val="18"/>
              </w:rPr>
              <w:t>8.16</w:t>
            </w:r>
          </w:p>
        </w:tc>
        <w:tc>
          <w:tcPr>
            <w:tcW w:type="dxa" w:w="1800"/>
          </w:tcPr>
          <w:p>
            <w:pPr>
              <w:spacing w:after="20" w:before="20"/>
              <w:jc w:val="center"/>
            </w:pPr>
            <w:r/>
            <w:r>
              <w:rPr>
                <w:sz w:val="18"/>
              </w:rPr>
              <w:t>8.30</w:t>
            </w:r>
          </w:p>
        </w:tc>
        <w:tc>
          <w:tcPr>
            <w:tcW w:type="dxa" w:w="1800"/>
          </w:tcPr>
          <w:p>
            <w:pPr>
              <w:spacing w:after="20" w:before="20"/>
              <w:jc w:val="center"/>
            </w:pPr>
            <w:r/>
            <w:r>
              <w:rPr>
                <w:sz w:val="18"/>
              </w:rPr>
              <w:t>8.45</w:t>
            </w:r>
          </w:p>
        </w:tc>
        <w:tc>
          <w:tcPr>
            <w:tcW w:type="dxa" w:w="1800"/>
          </w:tcPr>
          <w:p>
            <w:pPr>
              <w:spacing w:after="20" w:before="20"/>
              <w:jc w:val="center"/>
            </w:pPr>
            <w:r/>
            <w:r>
              <w:rPr>
                <w:sz w:val="18"/>
              </w:rPr>
              <w:t>8.62</w:t>
            </w:r>
          </w:p>
        </w:tc>
      </w:tr>
    </w:tbl>
    <w:p>
      <w:pPr>
        <w:spacing w:after="60"/>
      </w:pPr>
    </w:p>
    <w:p>
      <w:pPr>
        <w:spacing w:after="160" w:before="40"/>
      </w:pPr>
      <w:r>
        <w:rPr>
          <w:b w:val="0"/>
          <w:i/>
          <w:color w:val="6E7B77"/>
          <w:sz w:val="16"/>
        </w:rPr>
        <w:t>Shaded gold: the combination of cost of equity and terminal growth actually used in the base case (§1.10 states both).</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2736"/>
            <w:shd w:val="clear" w:fill="1C3A36"/>
          </w:tcPr>
          <w:p>
            <w:pPr>
              <w:spacing w:after="20" w:before="20"/>
            </w:pPr>
            <w:r/>
            <w:r>
              <w:rPr>
                <w:b/>
                <w:color w:val="FFFFFF"/>
                <w:sz w:val="18"/>
              </w:rPr>
              <w:t>DDM alone (AED)</w:t>
            </w:r>
          </w:p>
        </w:tc>
        <w:tc>
          <w:tcPr>
            <w:tcW w:type="dxa" w:w="1800"/>
            <w:shd w:val="clear" w:fill="1C3A36"/>
          </w:tcPr>
          <w:p>
            <w:pPr>
              <w:spacing w:after="20" w:before="20"/>
              <w:jc w:val="center"/>
            </w:pPr>
            <w:r/>
            <w:r>
              <w:rPr>
                <w:b/>
                <w:color w:val="FFFFFF"/>
                <w:sz w:val="18"/>
              </w:rPr>
              <w:t>g 3.0%</w:t>
            </w:r>
          </w:p>
        </w:tc>
        <w:tc>
          <w:tcPr>
            <w:tcW w:type="dxa" w:w="1800"/>
            <w:shd w:val="clear" w:fill="1C3A36"/>
          </w:tcPr>
          <w:p>
            <w:pPr>
              <w:spacing w:after="20" w:before="20"/>
              <w:jc w:val="center"/>
            </w:pPr>
            <w:r/>
            <w:r>
              <w:rPr>
                <w:b/>
                <w:color w:val="FFFFFF"/>
                <w:sz w:val="18"/>
              </w:rPr>
              <w:t>g 3.5%</w:t>
            </w:r>
          </w:p>
        </w:tc>
        <w:tc>
          <w:tcPr>
            <w:tcW w:type="dxa" w:w="1800"/>
            <w:shd w:val="clear" w:fill="1C3A36"/>
          </w:tcPr>
          <w:p>
            <w:pPr>
              <w:spacing w:after="20" w:before="20"/>
              <w:jc w:val="center"/>
            </w:pPr>
            <w:r/>
            <w:r>
              <w:rPr>
                <w:b/>
                <w:color w:val="FFFFFF"/>
                <w:sz w:val="18"/>
              </w:rPr>
              <w:t>g 4.0%</w:t>
            </w:r>
          </w:p>
        </w:tc>
        <w:tc>
          <w:tcPr>
            <w:tcW w:type="dxa" w:w="1800"/>
            <w:shd w:val="clear" w:fill="1C3A36"/>
          </w:tcPr>
          <w:p>
            <w:pPr>
              <w:spacing w:after="20" w:before="20"/>
              <w:jc w:val="center"/>
            </w:pPr>
            <w:r/>
            <w:r>
              <w:rPr>
                <w:b/>
                <w:color w:val="FFFFFF"/>
                <w:sz w:val="18"/>
              </w:rPr>
              <w:t>g 4.5%</w:t>
            </w:r>
          </w:p>
        </w:tc>
      </w:tr>
      <w:tr>
        <w:tc>
          <w:tcPr>
            <w:tcW w:type="dxa" w:w="2736"/>
          </w:tcPr>
          <w:p>
            <w:pPr>
              <w:spacing w:after="20" w:before="20"/>
            </w:pPr>
            <w:r/>
            <w:r>
              <w:rPr>
                <w:b/>
                <w:sz w:val="18"/>
              </w:rPr>
              <w:t>Ke 9.57%</w:t>
            </w:r>
          </w:p>
        </w:tc>
        <w:tc>
          <w:tcPr>
            <w:tcW w:type="dxa" w:w="1800"/>
          </w:tcPr>
          <w:p>
            <w:pPr>
              <w:spacing w:after="20" w:before="20"/>
              <w:jc w:val="center"/>
            </w:pPr>
            <w:r/>
            <w:r>
              <w:rPr>
                <w:sz w:val="18"/>
              </w:rPr>
              <w:t>12.12</w:t>
            </w:r>
          </w:p>
        </w:tc>
        <w:tc>
          <w:tcPr>
            <w:tcW w:type="dxa" w:w="1800"/>
          </w:tcPr>
          <w:p>
            <w:pPr>
              <w:spacing w:after="20" w:before="20"/>
              <w:jc w:val="center"/>
            </w:pPr>
            <w:r/>
            <w:r>
              <w:rPr>
                <w:sz w:val="18"/>
              </w:rPr>
              <w:t>12.57</w:t>
            </w:r>
          </w:p>
        </w:tc>
        <w:tc>
          <w:tcPr>
            <w:tcW w:type="dxa" w:w="1800"/>
          </w:tcPr>
          <w:p>
            <w:pPr>
              <w:spacing w:after="20" w:before="20"/>
              <w:jc w:val="center"/>
            </w:pPr>
            <w:r/>
            <w:r>
              <w:rPr>
                <w:sz w:val="18"/>
              </w:rPr>
              <w:t>13.11</w:t>
            </w:r>
          </w:p>
        </w:tc>
        <w:tc>
          <w:tcPr>
            <w:tcW w:type="dxa" w:w="1800"/>
          </w:tcPr>
          <w:p>
            <w:pPr>
              <w:spacing w:after="20" w:before="20"/>
              <w:jc w:val="center"/>
            </w:pPr>
            <w:r/>
            <w:r>
              <w:rPr>
                <w:sz w:val="18"/>
              </w:rPr>
              <w:t>13.75</w:t>
            </w:r>
          </w:p>
        </w:tc>
      </w:tr>
      <w:tr>
        <w:tc>
          <w:tcPr>
            <w:tcW w:type="dxa" w:w="2736"/>
          </w:tcPr>
          <w:p>
            <w:pPr>
              <w:spacing w:after="20" w:before="20"/>
            </w:pPr>
            <w:r/>
            <w:r>
              <w:rPr>
                <w:b/>
                <w:sz w:val="18"/>
              </w:rPr>
              <w:t>Ke 10.07%</w:t>
            </w:r>
          </w:p>
        </w:tc>
        <w:tc>
          <w:tcPr>
            <w:tcW w:type="dxa" w:w="1800"/>
          </w:tcPr>
          <w:p>
            <w:pPr>
              <w:spacing w:after="20" w:before="20"/>
              <w:jc w:val="center"/>
            </w:pPr>
            <w:r/>
            <w:r>
              <w:rPr>
                <w:sz w:val="18"/>
              </w:rPr>
              <w:t>11.14</w:t>
            </w:r>
          </w:p>
        </w:tc>
        <w:tc>
          <w:tcPr>
            <w:tcW w:type="dxa" w:w="1800"/>
          </w:tcPr>
          <w:p>
            <w:pPr>
              <w:spacing w:after="20" w:before="20"/>
              <w:jc w:val="center"/>
            </w:pPr>
            <w:r/>
            <w:r>
              <w:rPr>
                <w:sz w:val="18"/>
              </w:rPr>
              <w:t>11.50</w:t>
            </w:r>
          </w:p>
        </w:tc>
        <w:tc>
          <w:tcPr>
            <w:tcW w:type="dxa" w:w="1800"/>
          </w:tcPr>
          <w:p>
            <w:pPr>
              <w:spacing w:after="20" w:before="20"/>
              <w:jc w:val="center"/>
            </w:pPr>
            <w:r/>
            <w:r>
              <w:rPr>
                <w:sz w:val="18"/>
              </w:rPr>
              <w:t>11.91</w:t>
            </w:r>
          </w:p>
        </w:tc>
        <w:tc>
          <w:tcPr>
            <w:tcW w:type="dxa" w:w="1800"/>
          </w:tcPr>
          <w:p>
            <w:pPr>
              <w:spacing w:after="20" w:before="20"/>
              <w:jc w:val="center"/>
            </w:pPr>
            <w:r/>
            <w:r>
              <w:rPr>
                <w:sz w:val="18"/>
              </w:rPr>
              <w:t>12.40</w:t>
            </w:r>
          </w:p>
        </w:tc>
      </w:tr>
      <w:tr>
        <w:tc>
          <w:tcPr>
            <w:tcW w:type="dxa" w:w="2736"/>
          </w:tcPr>
          <w:p>
            <w:pPr>
              <w:spacing w:after="20" w:before="20"/>
            </w:pPr>
            <w:r/>
            <w:r>
              <w:rPr>
                <w:b/>
                <w:sz w:val="18"/>
              </w:rPr>
              <w:t>Ke 10.57%</w:t>
            </w:r>
          </w:p>
        </w:tc>
        <w:tc>
          <w:tcPr>
            <w:tcW w:type="dxa" w:w="1800"/>
          </w:tcPr>
          <w:p>
            <w:pPr>
              <w:spacing w:after="20" w:before="20"/>
              <w:jc w:val="center"/>
            </w:pPr>
            <w:r/>
            <w:r>
              <w:rPr>
                <w:sz w:val="18"/>
              </w:rPr>
              <w:t>10.29</w:t>
            </w:r>
          </w:p>
        </w:tc>
        <w:tc>
          <w:tcPr>
            <w:tcW w:type="dxa" w:w="1800"/>
          </w:tcPr>
          <w:p>
            <w:pPr>
              <w:spacing w:after="20" w:before="20"/>
              <w:jc w:val="center"/>
            </w:pPr>
            <w:r/>
            <w:r>
              <w:rPr>
                <w:sz w:val="18"/>
              </w:rPr>
              <w:t>10.58</w:t>
            </w:r>
          </w:p>
        </w:tc>
        <w:tc>
          <w:tcPr>
            <w:tcW w:type="dxa" w:w="1800"/>
          </w:tcPr>
          <w:p>
            <w:pPr>
              <w:spacing w:after="20" w:before="20"/>
              <w:jc w:val="center"/>
            </w:pPr>
            <w:r/>
            <w:r>
              <w:rPr>
                <w:sz w:val="18"/>
              </w:rPr>
              <w:t>10.90</w:t>
            </w:r>
          </w:p>
        </w:tc>
        <w:tc>
          <w:tcPr>
            <w:tcW w:type="dxa" w:w="1800"/>
          </w:tcPr>
          <w:p>
            <w:pPr>
              <w:spacing w:after="20" w:before="20"/>
              <w:jc w:val="center"/>
            </w:pPr>
            <w:r/>
            <w:r>
              <w:rPr>
                <w:sz w:val="18"/>
              </w:rPr>
              <w:t>11.27</w:t>
            </w:r>
          </w:p>
        </w:tc>
      </w:tr>
      <w:tr>
        <w:tc>
          <w:tcPr>
            <w:tcW w:type="dxa" w:w="2736"/>
          </w:tcPr>
          <w:p>
            <w:pPr>
              <w:spacing w:after="20" w:before="20"/>
            </w:pPr>
            <w:r/>
            <w:r>
              <w:rPr>
                <w:b/>
                <w:sz w:val="18"/>
              </w:rPr>
              <w:t>Ke 11.07%</w:t>
            </w:r>
          </w:p>
        </w:tc>
        <w:tc>
          <w:tcPr>
            <w:tcW w:type="dxa" w:w="1800"/>
          </w:tcPr>
          <w:p>
            <w:pPr>
              <w:spacing w:after="20" w:before="20"/>
              <w:jc w:val="center"/>
            </w:pPr>
            <w:r/>
            <w:r>
              <w:rPr>
                <w:sz w:val="18"/>
              </w:rPr>
              <w:t>9.56</w:t>
            </w:r>
          </w:p>
        </w:tc>
        <w:tc>
          <w:tcPr>
            <w:tcW w:type="dxa" w:w="1800"/>
          </w:tcPr>
          <w:p>
            <w:pPr>
              <w:spacing w:after="20" w:before="20"/>
              <w:jc w:val="center"/>
            </w:pPr>
            <w:r/>
            <w:r>
              <w:rPr>
                <w:sz w:val="18"/>
              </w:rPr>
              <w:t>9.78</w:t>
            </w:r>
          </w:p>
        </w:tc>
        <w:tc>
          <w:tcPr>
            <w:tcW w:type="dxa" w:w="1800"/>
          </w:tcPr>
          <w:p>
            <w:pPr>
              <w:spacing w:after="20" w:before="20"/>
              <w:jc w:val="center"/>
            </w:pPr>
            <w:r/>
            <w:r>
              <w:rPr>
                <w:sz w:val="18"/>
              </w:rPr>
              <w:t>10.03</w:t>
            </w:r>
          </w:p>
        </w:tc>
        <w:tc>
          <w:tcPr>
            <w:tcW w:type="dxa" w:w="1800"/>
          </w:tcPr>
          <w:p>
            <w:pPr>
              <w:spacing w:after="20" w:before="20"/>
              <w:jc w:val="center"/>
            </w:pPr>
            <w:r/>
            <w:r>
              <w:rPr>
                <w:sz w:val="18"/>
              </w:rPr>
              <w:t>10.32</w:t>
            </w:r>
          </w:p>
        </w:tc>
      </w:tr>
      <w:tr>
        <w:tc>
          <w:tcPr>
            <w:tcW w:type="dxa" w:w="2736"/>
          </w:tcPr>
          <w:p>
            <w:pPr>
              <w:spacing w:after="20" w:before="20"/>
            </w:pPr>
            <w:r/>
            <w:r>
              <w:rPr>
                <w:b/>
                <w:sz w:val="18"/>
              </w:rPr>
              <w:t>Ke 11.57%</w:t>
            </w:r>
          </w:p>
        </w:tc>
        <w:tc>
          <w:tcPr>
            <w:tcW w:type="dxa" w:w="1800"/>
          </w:tcPr>
          <w:p>
            <w:pPr>
              <w:spacing w:after="20" w:before="20"/>
              <w:jc w:val="center"/>
            </w:pPr>
            <w:r/>
            <w:r>
              <w:rPr>
                <w:sz w:val="18"/>
              </w:rPr>
              <w:t>8.91</w:t>
            </w:r>
          </w:p>
        </w:tc>
        <w:tc>
          <w:tcPr>
            <w:tcW w:type="dxa" w:w="1800"/>
          </w:tcPr>
          <w:p>
            <w:pPr>
              <w:spacing w:after="20" w:before="20"/>
              <w:jc w:val="center"/>
            </w:pPr>
            <w:r/>
            <w:r>
              <w:rPr>
                <w:sz w:val="18"/>
              </w:rPr>
              <w:t>9.09</w:t>
            </w:r>
          </w:p>
        </w:tc>
        <w:tc>
          <w:tcPr>
            <w:tcW w:type="dxa" w:w="1800"/>
          </w:tcPr>
          <w:p>
            <w:pPr>
              <w:spacing w:after="20" w:before="20"/>
              <w:jc w:val="center"/>
            </w:pPr>
            <w:r/>
            <w:r>
              <w:rPr>
                <w:sz w:val="18"/>
              </w:rPr>
              <w:t>9.28</w:t>
            </w:r>
          </w:p>
        </w:tc>
        <w:tc>
          <w:tcPr>
            <w:tcW w:type="dxa" w:w="1800"/>
          </w:tcPr>
          <w:p>
            <w:pPr>
              <w:spacing w:after="20" w:before="20"/>
              <w:jc w:val="center"/>
            </w:pPr>
            <w:r/>
            <w:r>
              <w:rPr>
                <w:sz w:val="18"/>
              </w:rPr>
              <w:t>9.51</w:t>
            </w:r>
          </w:p>
        </w:tc>
      </w:tr>
      <w:tr>
        <w:tc>
          <w:tcPr>
            <w:tcW w:type="dxa" w:w="2736"/>
          </w:tcPr>
          <w:p>
            <w:pPr>
              <w:spacing w:after="20" w:before="20"/>
            </w:pPr>
            <w:r/>
            <w:r>
              <w:rPr>
                <w:b/>
                <w:sz w:val="18"/>
              </w:rPr>
              <w:t>Ke 12.07%</w:t>
            </w:r>
          </w:p>
        </w:tc>
        <w:tc>
          <w:tcPr>
            <w:tcW w:type="dxa" w:w="1800"/>
          </w:tcPr>
          <w:p>
            <w:pPr>
              <w:spacing w:after="20" w:before="20"/>
              <w:jc w:val="center"/>
            </w:pPr>
            <w:r/>
            <w:r>
              <w:rPr>
                <w:sz w:val="18"/>
              </w:rPr>
              <w:t>8.33</w:t>
            </w:r>
          </w:p>
        </w:tc>
        <w:tc>
          <w:tcPr>
            <w:tcW w:type="dxa" w:w="1800"/>
          </w:tcPr>
          <w:p>
            <w:pPr>
              <w:spacing w:after="20" w:before="20"/>
              <w:jc w:val="center"/>
            </w:pPr>
            <w:r/>
            <w:r>
              <w:rPr>
                <w:sz w:val="18"/>
              </w:rPr>
              <w:t>8.47</w:t>
            </w:r>
          </w:p>
        </w:tc>
        <w:tc>
          <w:tcPr>
            <w:tcW w:type="dxa" w:w="1800"/>
          </w:tcPr>
          <w:p>
            <w:pPr>
              <w:spacing w:after="20" w:before="20"/>
              <w:jc w:val="center"/>
            </w:pPr>
            <w:r/>
            <w:r>
              <w:rPr>
                <w:sz w:val="18"/>
              </w:rPr>
              <w:t>8.63</w:t>
            </w:r>
          </w:p>
        </w:tc>
        <w:tc>
          <w:tcPr>
            <w:tcW w:type="dxa" w:w="1800"/>
          </w:tcPr>
          <w:p>
            <w:pPr>
              <w:spacing w:after="20" w:before="20"/>
              <w:jc w:val="center"/>
            </w:pPr>
            <w:r/>
            <w:r>
              <w:rPr>
                <w:sz w:val="18"/>
              </w:rPr>
              <w:t>8.80</w:t>
            </w:r>
          </w:p>
        </w:tc>
      </w:tr>
    </w:tbl>
    <w:p>
      <w:pPr>
        <w:spacing w:after="60"/>
      </w:pP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c>
          <w:tcPr>
            <w:tcW w:type="dxa" w:w="4320"/>
            <w:shd w:val="clear" w:fill="1C3A36"/>
          </w:tcPr>
          <w:p>
            <w:pPr>
              <w:spacing w:after="20" w:before="20"/>
            </w:pPr>
            <w:r/>
            <w:r>
              <w:rPr>
                <w:b/>
                <w:color w:val="FFFFFF"/>
                <w:sz w:val="18"/>
              </w:rPr>
              <w:t>Beta (assumed 1.0 — the regression failed the sample gate)</w:t>
            </w:r>
          </w:p>
        </w:tc>
        <w:tc>
          <w:tcPr>
            <w:tcW w:type="dxa" w:w="936"/>
            <w:shd w:val="clear" w:fill="1C3A36"/>
          </w:tcPr>
          <w:p>
            <w:pPr>
              <w:spacing w:after="20" w:before="20"/>
              <w:jc w:val="center"/>
            </w:pPr>
            <w:r/>
            <w:r>
              <w:rPr>
                <w:b/>
                <w:color w:val="FFFFFF"/>
                <w:sz w:val="18"/>
              </w:rPr>
              <w:t>0.80</w:t>
            </w:r>
          </w:p>
        </w:tc>
        <w:tc>
          <w:tcPr>
            <w:tcW w:type="dxa" w:w="936"/>
            <w:shd w:val="clear" w:fill="1C3A36"/>
          </w:tcPr>
          <w:p>
            <w:pPr>
              <w:spacing w:after="20" w:before="20"/>
              <w:jc w:val="center"/>
            </w:pPr>
            <w:r/>
            <w:r>
              <w:rPr>
                <w:b/>
                <w:color w:val="FFFFFF"/>
                <w:sz w:val="18"/>
              </w:rPr>
              <w:t>0.90</w:t>
            </w:r>
          </w:p>
        </w:tc>
        <w:tc>
          <w:tcPr>
            <w:tcW w:type="dxa" w:w="936"/>
            <w:shd w:val="clear" w:fill="1C3A36"/>
          </w:tcPr>
          <w:p>
            <w:pPr>
              <w:spacing w:after="20" w:before="20"/>
              <w:jc w:val="center"/>
            </w:pPr>
            <w:r/>
            <w:r>
              <w:rPr>
                <w:b/>
                <w:color w:val="FFFFFF"/>
                <w:sz w:val="18"/>
              </w:rPr>
              <w:t>1.00</w:t>
            </w:r>
          </w:p>
        </w:tc>
        <w:tc>
          <w:tcPr>
            <w:tcW w:type="dxa" w:w="936"/>
            <w:shd w:val="clear" w:fill="1C3A36"/>
          </w:tcPr>
          <w:p>
            <w:pPr>
              <w:spacing w:after="20" w:before="20"/>
              <w:jc w:val="center"/>
            </w:pPr>
            <w:r/>
            <w:r>
              <w:rPr>
                <w:b/>
                <w:color w:val="FFFFFF"/>
                <w:sz w:val="18"/>
              </w:rPr>
              <w:t>1.10</w:t>
            </w:r>
          </w:p>
        </w:tc>
        <w:tc>
          <w:tcPr>
            <w:tcW w:type="dxa" w:w="936"/>
            <w:shd w:val="clear" w:fill="1C3A36"/>
          </w:tcPr>
          <w:p>
            <w:pPr>
              <w:spacing w:after="20" w:before="20"/>
              <w:jc w:val="center"/>
            </w:pPr>
            <w:r/>
            <w:r>
              <w:rPr>
                <w:b/>
                <w:color w:val="FFFFFF"/>
                <w:sz w:val="18"/>
              </w:rPr>
              <w:t>1.20</w:t>
            </w:r>
          </w:p>
        </w:tc>
        <w:tc>
          <w:tcPr>
            <w:tcW w:type="dxa" w:w="936"/>
            <w:shd w:val="clear" w:fill="1C3A36"/>
          </w:tcPr>
          <w:p>
            <w:pPr>
              <w:spacing w:after="20" w:before="20"/>
              <w:jc w:val="center"/>
            </w:pPr>
            <w:r/>
            <w:r>
              <w:rPr>
                <w:b/>
                <w:color w:val="FFFFFF"/>
                <w:sz w:val="18"/>
              </w:rPr>
              <w:t>1.30</w:t>
            </w:r>
          </w:p>
        </w:tc>
      </w:tr>
      <w:tr>
        <w:tc>
          <w:tcPr>
            <w:tcW w:type="dxa" w:w="4320"/>
          </w:tcPr>
          <w:p>
            <w:pPr>
              <w:spacing w:after="20" w:before="20"/>
            </w:pPr>
            <w:r/>
            <w:r>
              <w:rPr>
                <w:b/>
                <w:sz w:val="18"/>
              </w:rPr>
              <w:t>Weighted central (AED)</w:t>
            </w:r>
          </w:p>
        </w:tc>
        <w:tc>
          <w:tcPr>
            <w:tcW w:type="dxa" w:w="936"/>
          </w:tcPr>
          <w:p>
            <w:pPr>
              <w:spacing w:after="20" w:before="20"/>
              <w:jc w:val="center"/>
            </w:pPr>
            <w:r/>
            <w:r>
              <w:rPr>
                <w:sz w:val="18"/>
              </w:rPr>
              <w:t>11.81</w:t>
            </w:r>
          </w:p>
        </w:tc>
        <w:tc>
          <w:tcPr>
            <w:tcW w:type="dxa" w:w="936"/>
          </w:tcPr>
          <w:p>
            <w:pPr>
              <w:spacing w:after="20" w:before="20"/>
              <w:jc w:val="center"/>
            </w:pPr>
            <w:r/>
            <w:r>
              <w:rPr>
                <w:sz w:val="18"/>
              </w:rPr>
              <w:t>10.93</w:t>
            </w:r>
          </w:p>
        </w:tc>
        <w:tc>
          <w:tcPr>
            <w:tcW w:type="dxa" w:w="936"/>
          </w:tcPr>
          <w:p>
            <w:pPr>
              <w:spacing w:after="20" w:before="20"/>
              <w:jc w:val="center"/>
            </w:pPr>
            <w:r/>
            <w:r>
              <w:rPr>
                <w:sz w:val="18"/>
              </w:rPr>
              <w:t>10.18</w:t>
            </w:r>
          </w:p>
        </w:tc>
        <w:tc>
          <w:tcPr>
            <w:tcW w:type="dxa" w:w="936"/>
          </w:tcPr>
          <w:p>
            <w:pPr>
              <w:spacing w:after="20" w:before="20"/>
              <w:jc w:val="center"/>
            </w:pPr>
            <w:r/>
            <w:r>
              <w:rPr>
                <w:sz w:val="18"/>
              </w:rPr>
              <w:t>9.54</w:t>
            </w:r>
          </w:p>
        </w:tc>
        <w:tc>
          <w:tcPr>
            <w:tcW w:type="dxa" w:w="936"/>
          </w:tcPr>
          <w:p>
            <w:pPr>
              <w:spacing w:after="20" w:before="20"/>
              <w:jc w:val="center"/>
            </w:pPr>
            <w:r/>
            <w:r>
              <w:rPr>
                <w:sz w:val="18"/>
              </w:rPr>
              <w:t>8.98</w:t>
            </w:r>
          </w:p>
        </w:tc>
        <w:tc>
          <w:tcPr>
            <w:tcW w:type="dxa" w:w="936"/>
          </w:tcPr>
          <w:p>
            <w:pPr>
              <w:spacing w:after="20" w:before="20"/>
              <w:jc w:val="center"/>
            </w:pPr>
            <w:r/>
            <w:r>
              <w:rPr>
                <w:sz w:val="18"/>
              </w:rPr>
              <w:t>8.49</w:t>
            </w:r>
          </w:p>
        </w:tc>
      </w:tr>
    </w:tbl>
    <w:p>
      <w:pPr>
        <w:spacing w:after="60"/>
      </w:pPr>
    </w:p>
    <w:p>
      <w:pPr>
        <w:spacing w:after="120" w:before="0"/>
      </w:pPr>
      <w:r>
        <w:rPr>
          <w:b w:val="0"/>
          <w:i w:val="0"/>
          <w:sz w:val="21"/>
        </w:rPr>
        <w:t>The beta grid is not decoration. We genuinely attempted the regression against the DFM General Index and got β = 0.796 with an R² of 29.9% and a standard error of 0.296 — a respectable fit whose R², standard error and sign all clear the house usability gate. It fails on one criterion only: nineteen observations, against a minimum of twenty-four. That is not a modelling choice, it is a data wall — investing.com serves a fixed twenty-row table and the DFM's own historical page renders client-side. So the our fallback rule applies and beta defaults to 1.00. But note where the attempted 0.80 lands in the grid: at AED 11.81, above the published central, not below it. The fallback is the conservative choice here.</w:t>
      </w:r>
    </w:p>
    <w:p>
      <w:pPr>
        <w:spacing w:after="120" w:before="0"/>
      </w:pPr>
      <w:r>
        <w:rPr>
          <w:b w:val="0"/>
          <w:i/>
          <w:color w:val="6E7B77"/>
          <w:sz w:val="18"/>
        </w:rPr>
        <w:t>Both ERP bases are carried: rating-based Ke 10.57% and CDS-based 10.63%. The published central uses the rating basis. Full grids are live in the companion Excel.</w:t>
      </w:r>
    </w:p>
    <w:p>
      <w:pPr>
        <w:spacing w:after="100" w:before="260"/>
      </w:pPr>
      <w:r>
        <w:rPr>
          <w:b/>
          <w:i w:val="0"/>
          <w:color w:val="1C3A36"/>
          <w:sz w:val="26"/>
        </w:rPr>
        <w:t>2. Technical &amp; positioning read</w:t>
      </w:r>
    </w:p>
    <w:p>
      <w:pPr>
        <w:jc w:val="center"/>
      </w:pPr>
      <w:r>
        <w:drawing>
          <wp:inline xmlns:a="http://schemas.openxmlformats.org/drawingml/2006/main" xmlns:pic="http://schemas.openxmlformats.org/drawingml/2006/picture">
            <wp:extent cx="6309360" cy="2843609"/>
            <wp:docPr id="6" name="Picture 6"/>
            <wp:cNvGraphicFramePr>
              <a:graphicFrameLocks noChangeAspect="1"/>
            </wp:cNvGraphicFramePr>
            <a:graphic>
              <a:graphicData uri="http://schemas.openxmlformats.org/drawingml/2006/picture">
                <pic:pic>
                  <pic:nvPicPr>
                    <pic:cNvPr id="0" name="fig1.png"/>
                    <pic:cNvPicPr/>
                  </pic:nvPicPr>
                  <pic:blipFill>
                    <a:blip r:embed="rId14"/>
                    <a:stretch>
                      <a:fillRect/>
                    </a:stretch>
                  </pic:blipFill>
                  <pic:spPr>
                    <a:xfrm>
                      <a:off x="0" y="0"/>
                      <a:ext cx="6309360" cy="2843609"/>
                    </a:xfrm>
                    <a:prstGeom prst="rect"/>
                  </pic:spPr>
                </pic:pic>
              </a:graphicData>
            </a:graphic>
          </wp:inline>
        </w:drawing>
      </w:r>
    </w:p>
    <w:p>
      <w:pPr>
        <w:spacing w:after="180" w:before="0"/>
        <w:jc w:val="center"/>
      </w:pPr>
      <w:r>
        <w:rPr>
          <w:b w:val="0"/>
          <w:i/>
          <w:color w:val="6E7B77"/>
          <w:sz w:val="17"/>
        </w:rPr>
        <w:t>Figure 6 — Five years of DIB. The February 2026 peak at AED 10.20, the −8.6% results session on 33mn shares, the war leg down to AED 7.09 in April, and a base building since.</w:t>
      </w:r>
    </w:p>
    <w:p>
      <w:pPr>
        <w:spacing w:after="120" w:before="0"/>
      </w:pPr>
      <w:r>
        <w:rPr>
          <w:b w:val="0"/>
          <w:i w:val="0"/>
          <w:sz w:val="21"/>
        </w:rPr>
        <w:t>Price at AED 7.72 sits above the 20-day (7.59) and 50-day (7.40) moving averages but still below the 100-day (7.76) and well below the 200-day (8.63). That is the signature of a downtrend in repair rather than a trend restored — the opposite of what we found at ADCB last week, which sat above every average. RSI-14 at 57 is neutral. MACD (12,26,9) reads 0.055 / 0.063 / -0.008: the line is above zero, so the regime has turned constructive, but the histogram is marginally negative — momentum is pausing rather than accelerating.</w:t>
      </w:r>
    </w:p>
    <w:p>
      <w:pPr>
        <w:spacing w:after="120" w:before="0"/>
      </w:pPr>
      <w:r>
        <w:rPr>
          <w:b w:val="0"/>
          <w:i w:val="0"/>
          <w:sz w:val="21"/>
        </w:rPr>
        <w:t>The positioning context is what matters. The stock is 24% below its February high and only 9% above its April low. Realized volatility is running at 30% over sixty days against 27% over the year — elevated, not extreme. Average daily volume is about 6.4mn shares, roughly AED 47mn a day, so the name is genuinely liquid. The technical read and the §1 value gap point the same way, which is precisely the moment at which the discipline of §3 would matter most — and §3, for this name, has nothing to offer.</w:t>
      </w:r>
    </w:p>
    <w:tbl>
      <w:tblPr>
        <w:tblStyle w:val="TableGrid"/>
        <w:tblW w:type="auto" w:w="0"/>
        <w:jc w:val="center"/>
        <w:tblLook w:firstColumn="1" w:firstRow="1" w:lastColumn="0" w:lastRow="0" w:noHBand="0" w:noVBand="1" w:val="04A0"/>
      </w:tblPr>
      <w:tblGrid>
        <w:gridCol w:w="3331"/>
        <w:gridCol w:w="3331"/>
        <w:gridCol w:w="3331"/>
      </w:tblGrid>
      <w:tr>
        <w:tc>
          <w:tcPr>
            <w:tcW w:type="dxa" w:w="2736"/>
            <w:shd w:val="clear" w:fill="1C3A36"/>
          </w:tcPr>
          <w:p>
            <w:pPr>
              <w:spacing w:after="20" w:before="20"/>
            </w:pPr>
            <w:r/>
            <w:r>
              <w:rPr>
                <w:b/>
                <w:color w:val="FFFFFF"/>
                <w:sz w:val="17"/>
              </w:rPr>
              <w:t>Indicator</w:t>
            </w:r>
          </w:p>
        </w:tc>
        <w:tc>
          <w:tcPr>
            <w:tcW w:type="dxa" w:w="3024"/>
            <w:shd w:val="clear" w:fill="1C3A36"/>
          </w:tcPr>
          <w:p>
            <w:pPr>
              <w:spacing w:after="20" w:before="20"/>
              <w:jc w:val="center"/>
            </w:pPr>
            <w:r/>
            <w:r>
              <w:rPr>
                <w:b/>
                <w:color w:val="FFFFFF"/>
                <w:sz w:val="17"/>
              </w:rPr>
              <w:t>Level</w:t>
            </w:r>
          </w:p>
        </w:tc>
        <w:tc>
          <w:tcPr>
            <w:tcW w:type="dxa" w:w="4176"/>
            <w:shd w:val="clear" w:fill="1C3A36"/>
          </w:tcPr>
          <w:p>
            <w:pPr>
              <w:spacing w:after="20" w:before="20"/>
              <w:jc w:val="center"/>
            </w:pPr>
            <w:r/>
            <w:r>
              <w:rPr>
                <w:b/>
                <w:color w:val="FFFFFF"/>
                <w:sz w:val="17"/>
              </w:rPr>
              <w:t>Read</w:t>
            </w:r>
          </w:p>
        </w:tc>
      </w:tr>
      <w:tr>
        <w:tc>
          <w:tcPr>
            <w:tcW w:type="dxa" w:w="2736"/>
          </w:tcPr>
          <w:p>
            <w:pPr>
              <w:spacing w:after="20" w:before="20"/>
            </w:pPr>
            <w:r/>
            <w:r>
              <w:rPr>
                <w:b/>
                <w:sz w:val="17"/>
              </w:rPr>
              <w:t>MA20 / MA50 / MA100 / MA200</w:t>
            </w:r>
          </w:p>
        </w:tc>
        <w:tc>
          <w:tcPr>
            <w:tcW w:type="dxa" w:w="3024"/>
          </w:tcPr>
          <w:p>
            <w:pPr>
              <w:spacing w:after="20" w:before="20"/>
              <w:jc w:val="center"/>
            </w:pPr>
            <w:r/>
            <w:r>
              <w:rPr>
                <w:sz w:val="17"/>
              </w:rPr>
              <w:t>7.59 / 7.40 / 7.76 / 8.63</w:t>
            </w:r>
          </w:p>
        </w:tc>
        <w:tc>
          <w:tcPr>
            <w:tcW w:type="dxa" w:w="4176"/>
          </w:tcPr>
          <w:p>
            <w:pPr>
              <w:spacing w:after="20" w:before="20"/>
              <w:jc w:val="center"/>
            </w:pPr>
            <w:r/>
            <w:r>
              <w:rPr>
                <w:sz w:val="17"/>
              </w:rPr>
              <w:t>Above the short pair, below the long pair — a base, not a repaired trend</w:t>
            </w:r>
          </w:p>
        </w:tc>
      </w:tr>
      <w:tr>
        <w:tc>
          <w:tcPr>
            <w:tcW w:type="dxa" w:w="2736"/>
          </w:tcPr>
          <w:p>
            <w:pPr>
              <w:spacing w:after="20" w:before="20"/>
            </w:pPr>
            <w:r/>
            <w:r>
              <w:rPr>
                <w:b/>
                <w:sz w:val="17"/>
              </w:rPr>
              <w:t>RSI-14</w:t>
            </w:r>
          </w:p>
        </w:tc>
        <w:tc>
          <w:tcPr>
            <w:tcW w:type="dxa" w:w="3024"/>
          </w:tcPr>
          <w:p>
            <w:pPr>
              <w:spacing w:after="20" w:before="20"/>
              <w:jc w:val="center"/>
            </w:pPr>
            <w:r/>
            <w:r>
              <w:rPr>
                <w:sz w:val="17"/>
              </w:rPr>
              <w:t>57</w:t>
            </w:r>
          </w:p>
        </w:tc>
        <w:tc>
          <w:tcPr>
            <w:tcW w:type="dxa" w:w="4176"/>
          </w:tcPr>
          <w:p>
            <w:pPr>
              <w:spacing w:after="20" w:before="20"/>
              <w:jc w:val="center"/>
            </w:pPr>
            <w:r/>
            <w:r>
              <w:rPr>
                <w:sz w:val="17"/>
              </w:rPr>
              <w:t>Neutral</w:t>
            </w:r>
          </w:p>
        </w:tc>
      </w:tr>
      <w:tr>
        <w:tc>
          <w:tcPr>
            <w:tcW w:type="dxa" w:w="2736"/>
          </w:tcPr>
          <w:p>
            <w:pPr>
              <w:spacing w:after="20" w:before="20"/>
            </w:pPr>
            <w:r/>
            <w:r>
              <w:rPr>
                <w:b/>
                <w:sz w:val="17"/>
              </w:rPr>
              <w:t>MACD 12 26 9</w:t>
            </w:r>
          </w:p>
        </w:tc>
        <w:tc>
          <w:tcPr>
            <w:tcW w:type="dxa" w:w="3024"/>
          </w:tcPr>
          <w:p>
            <w:pPr>
              <w:spacing w:after="20" w:before="20"/>
              <w:jc w:val="center"/>
            </w:pPr>
            <w:r/>
            <w:r>
              <w:rPr>
                <w:sz w:val="17"/>
              </w:rPr>
              <w:t>0.055 / 0.063 / -0.008</w:t>
            </w:r>
          </w:p>
        </w:tc>
        <w:tc>
          <w:tcPr>
            <w:tcW w:type="dxa" w:w="4176"/>
          </w:tcPr>
          <w:p>
            <w:pPr>
              <w:spacing w:after="20" w:before="20"/>
              <w:jc w:val="center"/>
            </w:pPr>
            <w:r/>
            <w:r>
              <w:rPr>
                <w:sz w:val="17"/>
              </w:rPr>
              <w:t>Positive regime, momentum pausing</w:t>
            </w:r>
          </w:p>
        </w:tc>
      </w:tr>
      <w:tr>
        <w:tc>
          <w:tcPr>
            <w:tcW w:type="dxa" w:w="2736"/>
          </w:tcPr>
          <w:p>
            <w:pPr>
              <w:spacing w:after="20" w:before="20"/>
            </w:pPr>
            <w:r/>
            <w:r>
              <w:rPr>
                <w:b/>
                <w:sz w:val="17"/>
              </w:rPr>
              <w:t>52-week range</w:t>
            </w:r>
          </w:p>
        </w:tc>
        <w:tc>
          <w:tcPr>
            <w:tcW w:type="dxa" w:w="3024"/>
          </w:tcPr>
          <w:p>
            <w:pPr>
              <w:spacing w:after="20" w:before="20"/>
              <w:jc w:val="center"/>
            </w:pPr>
            <w:r/>
            <w:r>
              <w:rPr>
                <w:sz w:val="17"/>
              </w:rPr>
              <w:t>7.09 – 10.20</w:t>
            </w:r>
          </w:p>
        </w:tc>
        <w:tc>
          <w:tcPr>
            <w:tcW w:type="dxa" w:w="4176"/>
          </w:tcPr>
          <w:p>
            <w:pPr>
              <w:spacing w:after="20" w:before="20"/>
              <w:jc w:val="center"/>
            </w:pPr>
            <w:r/>
            <w:r>
              <w:rPr>
                <w:sz w:val="17"/>
              </w:rPr>
              <w:t>Spot 20% up the range</w:t>
            </w:r>
          </w:p>
        </w:tc>
      </w:tr>
      <w:tr>
        <w:tc>
          <w:tcPr>
            <w:tcW w:type="dxa" w:w="2736"/>
          </w:tcPr>
          <w:p>
            <w:pPr>
              <w:spacing w:after="20" w:before="20"/>
            </w:pPr>
            <w:r/>
            <w:r>
              <w:rPr>
                <w:b/>
                <w:sz w:val="17"/>
              </w:rPr>
              <w:t>All-time high</w:t>
            </w:r>
          </w:p>
        </w:tc>
        <w:tc>
          <w:tcPr>
            <w:tcW w:type="dxa" w:w="3024"/>
          </w:tcPr>
          <w:p>
            <w:pPr>
              <w:spacing w:after="20" w:before="20"/>
              <w:jc w:val="center"/>
            </w:pPr>
            <w:r/>
            <w:r>
              <w:rPr>
                <w:sz w:val="17"/>
              </w:rPr>
              <w:t>10.20 (09-Feb-2026)</w:t>
            </w:r>
          </w:p>
        </w:tc>
        <w:tc>
          <w:tcPr>
            <w:tcW w:type="dxa" w:w="4176"/>
          </w:tcPr>
          <w:p>
            <w:pPr>
              <w:spacing w:after="20" w:before="20"/>
              <w:jc w:val="center"/>
            </w:pPr>
            <w:r/>
            <w:r>
              <w:rPr>
                <w:sz w:val="17"/>
              </w:rPr>
              <w:t>-24.3% below</w:t>
            </w:r>
          </w:p>
        </w:tc>
      </w:tr>
      <w:tr>
        <w:tc>
          <w:tcPr>
            <w:tcW w:type="dxa" w:w="2736"/>
          </w:tcPr>
          <w:p>
            <w:pPr>
              <w:spacing w:after="20" w:before="20"/>
            </w:pPr>
            <w:r/>
            <w:r>
              <w:rPr>
                <w:b/>
                <w:sz w:val="17"/>
              </w:rPr>
              <w:t>Realized vol (60d / 252d, ann.)</w:t>
            </w:r>
          </w:p>
        </w:tc>
        <w:tc>
          <w:tcPr>
            <w:tcW w:type="dxa" w:w="3024"/>
          </w:tcPr>
          <w:p>
            <w:pPr>
              <w:spacing w:after="20" w:before="20"/>
              <w:jc w:val="center"/>
            </w:pPr>
            <w:r/>
            <w:r>
              <w:rPr>
                <w:sz w:val="17"/>
              </w:rPr>
              <w:t>30% / 27%</w:t>
            </w:r>
          </w:p>
        </w:tc>
        <w:tc>
          <w:tcPr>
            <w:tcW w:type="dxa" w:w="4176"/>
          </w:tcPr>
          <w:p>
            <w:pPr>
              <w:spacing w:after="20" w:before="20"/>
              <w:jc w:val="center"/>
            </w:pPr>
            <w:r/>
            <w:r>
              <w:rPr>
                <w:sz w:val="17"/>
              </w:rPr>
              <w:t>Elevated, not extreme</w:t>
            </w:r>
          </w:p>
        </w:tc>
      </w:tr>
    </w:tbl>
    <w:p>
      <w:pPr>
        <w:spacing w:after="60"/>
      </w:pPr>
    </w:p>
    <w:p>
      <w:pPr>
        <w:spacing w:after="100" w:before="260"/>
      </w:pPr>
      <w:r>
        <w:rPr>
          <w:b/>
          <w:i w:val="0"/>
          <w:color w:val="B4433A"/>
          <w:sz w:val="26"/>
        </w:rPr>
        <w:t>3. Monte Carlo — no forecast is published for this name</w:t>
      </w:r>
    </w:p>
    <w:tbl>
      <w:tblPr>
        <w:tblW w:type="auto" w:w="0"/>
        <w:jc w:val="center"/>
        <w:tblLook w:firstColumn="1" w:firstRow="1" w:lastColumn="0" w:lastRow="0" w:noHBand="0" w:noVBand="1" w:val="04A0"/>
      </w:tblPr>
      <w:tblGrid>
        <w:gridCol w:w="9994"/>
      </w:tblGrid>
      <w:tr>
        <w:tc>
          <w:tcPr>
            <w:tcW w:type="dxa" w:w="9994"/>
            <w:shd w:val="clear" w:fill="F6DDDA"/>
          </w:tcPr>
          <w:p>
            <w:pPr>
              <w:spacing w:after="60" w:before="60"/>
            </w:pPr>
            <w:r/>
            <w:r>
              <w:rPr>
                <w:b/>
                <w:color w:val="B4433A"/>
                <w:sz w:val="18"/>
              </w:rPr>
              <w:t xml:space="preserve">THE CALIBRATION TEST FAILED. </w:t>
            </w:r>
            <w:r>
              <w:rPr>
                <w:b w:val="0"/>
                <w:sz w:val="18"/>
              </w:rPr>
              <w:t>Under the fitted UAE market model, DIB's five-year backtest does not beat a naive random walk. The skill score is −0.025, and the 90% confidence interval sits entirely below zero under every resampling scheme we tried. Our rule is simple and it is not negotiable: if the engine cannot demonstrate an edge on a name, we publish no forecast for it. So there is no probability read, no percentile forecast, no touch ladder and no Calibration-Ledger entry for DIB. What follows is the diagnosis, in the open, and an illustrative volatility map — a picture of how wide the cone is, not a claim about where the price is going.</w:t>
            </w:r>
          </w:p>
        </w:tc>
      </w:tr>
    </w:tbl>
    <w:p>
      <w:pPr>
        <w:spacing w:after="120" w:before="0"/>
      </w:pPr>
    </w:p>
    <w:p>
      <w:pPr>
        <w:spacing w:after="80" w:before="200"/>
      </w:pPr>
      <w:r>
        <w:rPr>
          <w:b/>
          <w:i w:val="0"/>
          <w:color w:val="1C3A36"/>
          <w:sz w:val="22"/>
        </w:rPr>
        <w:t>3.1  Engine &amp; calibration — the backtest in the open</w:t>
      </w:r>
    </w:p>
    <w:p>
      <w:pPr>
        <w:spacing w:after="120" w:before="0"/>
      </w:pPr>
      <w:r>
        <w:rPr>
          <w:b w:val="0"/>
          <w:i w:val="0"/>
          <w:sz w:val="21"/>
        </w:rPr>
        <w:t>The engine models daily volatility with a gap-aware Yang-Zhang estimator and a heterogeneous-autoregressive forecast, draws shocks from a fat-tailed Student-t distribution, and centres the paths on carry alone — no momentum or reversal signal is used, because none tested reliably on the UAE panel. Tail heaviness and cone width are fitted to a panel of nine UAE names, not to DIB itself. History starts in January 2022, after the UAE moved its trading week to Monday–Friday, so the volatility estimate rests on a consistent calendar.</w:t>
      </w:r>
    </w:p>
    <w:tbl>
      <w:tblPr>
        <w:tblStyle w:val="TableGrid"/>
        <w:tblW w:type="auto" w:w="0"/>
        <w:jc w:val="center"/>
        <w:tblLook w:firstColumn="1" w:firstRow="1" w:lastColumn="0" w:lastRow="0" w:noHBand="0" w:noVBand="1" w:val="04A0"/>
      </w:tblPr>
      <w:tblGrid>
        <w:gridCol w:w="4997"/>
        <w:gridCol w:w="4997"/>
      </w:tblGrid>
      <w:tr>
        <w:tc>
          <w:tcPr>
            <w:tcW w:type="dxa" w:w="6048"/>
            <w:shd w:val="clear" w:fill="1C3A36"/>
          </w:tcPr>
          <w:p>
            <w:pPr>
              <w:spacing w:after="20" w:before="20"/>
            </w:pPr>
            <w:r/>
            <w:r>
              <w:rPr>
                <w:b/>
                <w:color w:val="FFFFFF"/>
                <w:sz w:val="18"/>
              </w:rPr>
              <w:t>Five-year backtest — walk-forward, 60-day horizon, non-overlapping</w:t>
            </w:r>
          </w:p>
        </w:tc>
        <w:tc>
          <w:tcPr>
            <w:tcW w:type="dxa" w:w="3888"/>
            <w:shd w:val="clear" w:fill="1C3A36"/>
          </w:tcPr>
          <w:p>
            <w:pPr>
              <w:spacing w:after="20" w:before="20"/>
              <w:jc w:val="center"/>
            </w:pPr>
            <w:r/>
            <w:r>
              <w:rPr>
                <w:b/>
                <w:color w:val="FFFFFF"/>
                <w:sz w:val="18"/>
              </w:rPr>
            </w:r>
          </w:p>
        </w:tc>
      </w:tr>
      <w:tr>
        <w:tc>
          <w:tcPr>
            <w:tcW w:type="dxa" w:w="6048"/>
          </w:tcPr>
          <w:p>
            <w:pPr>
              <w:spacing w:after="20" w:before="20"/>
            </w:pPr>
            <w:r/>
            <w:r>
              <w:rPr>
                <w:b/>
                <w:sz w:val="18"/>
              </w:rPr>
              <w:t>Windows</w:t>
            </w:r>
          </w:p>
        </w:tc>
        <w:tc>
          <w:tcPr>
            <w:tcW w:type="dxa" w:w="3888"/>
          </w:tcPr>
          <w:p>
            <w:pPr>
              <w:spacing w:after="20" w:before="20"/>
              <w:jc w:val="center"/>
            </w:pPr>
            <w:r/>
            <w:r>
              <w:rPr>
                <w:sz w:val="18"/>
              </w:rPr>
              <w:t>14 (post-2022 calendar change)</w:t>
            </w:r>
          </w:p>
        </w:tc>
      </w:tr>
      <w:tr>
        <w:tc>
          <w:tcPr>
            <w:tcW w:type="dxa" w:w="6048"/>
          </w:tcPr>
          <w:p>
            <w:pPr>
              <w:spacing w:after="20" w:before="20"/>
            </w:pPr>
            <w:r/>
            <w:r>
              <w:rPr>
                <w:b/>
                <w:sz w:val="18"/>
              </w:rPr>
              <w:t>Skill score vs the naive random walk (distribution accuracy)</w:t>
            </w:r>
          </w:p>
        </w:tc>
        <w:tc>
          <w:tcPr>
            <w:tcW w:type="dxa" w:w="3888"/>
          </w:tcPr>
          <w:p>
            <w:pPr>
              <w:spacing w:after="20" w:before="20"/>
              <w:jc w:val="center"/>
            </w:pPr>
            <w:r/>
            <w:r>
              <w:rPr>
                <w:sz w:val="18"/>
              </w:rPr>
              <w:t>-0.0247</w:t>
            </w:r>
          </w:p>
        </w:tc>
      </w:tr>
      <w:tr>
        <w:tc>
          <w:tcPr>
            <w:tcW w:type="dxa" w:w="6048"/>
          </w:tcPr>
          <w:p>
            <w:pPr>
              <w:spacing w:after="20" w:before="20"/>
            </w:pPr>
            <w:r/>
            <w:r>
              <w:rPr>
                <w:b/>
                <w:sz w:val="18"/>
              </w:rPr>
              <w:t>Skill score on median placement</w:t>
            </w:r>
          </w:p>
        </w:tc>
        <w:tc>
          <w:tcPr>
            <w:tcW w:type="dxa" w:w="3888"/>
          </w:tcPr>
          <w:p>
            <w:pPr>
              <w:spacing w:after="20" w:before="20"/>
              <w:jc w:val="center"/>
            </w:pPr>
            <w:r/>
            <w:r>
              <w:rPr>
                <w:sz w:val="18"/>
              </w:rPr>
              <w:t>+0.0030</w:t>
            </w:r>
          </w:p>
        </w:tc>
      </w:tr>
      <w:tr>
        <w:tc>
          <w:tcPr>
            <w:tcW w:type="dxa" w:w="6048"/>
          </w:tcPr>
          <w:p>
            <w:pPr>
              <w:spacing w:after="20" w:before="20"/>
            </w:pPr>
            <w:r/>
            <w:r>
              <w:rPr>
                <w:b/>
                <w:sz w:val="18"/>
              </w:rPr>
              <w:t>Skill score on interval width</w:t>
            </w:r>
          </w:p>
        </w:tc>
        <w:tc>
          <w:tcPr>
            <w:tcW w:type="dxa" w:w="3888"/>
          </w:tcPr>
          <w:p>
            <w:pPr>
              <w:spacing w:after="20" w:before="20"/>
              <w:jc w:val="center"/>
            </w:pPr>
            <w:r/>
            <w:r>
              <w:rPr>
                <w:sz w:val="18"/>
              </w:rPr>
              <w:t>-0.0308</w:t>
            </w:r>
          </w:p>
        </w:tc>
      </w:tr>
      <w:tr>
        <w:tc>
          <w:tcPr>
            <w:tcW w:type="dxa" w:w="6048"/>
          </w:tcPr>
          <w:p>
            <w:pPr>
              <w:spacing w:after="20" w:before="20"/>
            </w:pPr>
            <w:r/>
            <w:r>
              <w:rPr>
                <w:b/>
                <w:sz w:val="18"/>
              </w:rPr>
              <w:t>Coverage 50 / 80 / 90</w:t>
            </w:r>
          </w:p>
        </w:tc>
        <w:tc>
          <w:tcPr>
            <w:tcW w:type="dxa" w:w="3888"/>
          </w:tcPr>
          <w:p>
            <w:pPr>
              <w:spacing w:after="20" w:before="20"/>
              <w:jc w:val="center"/>
            </w:pPr>
            <w:r/>
            <w:r>
              <w:rPr>
                <w:sz w:val="18"/>
              </w:rPr>
              <w:t>0.43 / 0.79 / 1.00</w:t>
            </w:r>
          </w:p>
        </w:tc>
      </w:tr>
      <w:tr>
        <w:tc>
          <w:tcPr>
            <w:tcW w:type="dxa" w:w="6048"/>
          </w:tcPr>
          <w:p>
            <w:pPr>
              <w:spacing w:after="20" w:before="20"/>
            </w:pPr>
            <w:r/>
            <w:r>
              <w:rPr>
                <w:b/>
                <w:sz w:val="18"/>
              </w:rPr>
              <w:t>Calibration mean (0.50 = perfectly centred)</w:t>
            </w:r>
          </w:p>
        </w:tc>
        <w:tc>
          <w:tcPr>
            <w:tcW w:type="dxa" w:w="3888"/>
          </w:tcPr>
          <w:p>
            <w:pPr>
              <w:spacing w:after="20" w:before="20"/>
              <w:jc w:val="center"/>
            </w:pPr>
            <w:r/>
            <w:r>
              <w:rPr>
                <w:sz w:val="18"/>
              </w:rPr>
              <w:t>0.58</w:t>
            </w:r>
          </w:p>
        </w:tc>
      </w:tr>
      <w:tr>
        <w:tc>
          <w:tcPr>
            <w:tcW w:type="dxa" w:w="6048"/>
          </w:tcPr>
          <w:p>
            <w:pPr>
              <w:spacing w:after="20" w:before="20"/>
            </w:pPr>
            <w:r/>
            <w:r>
              <w:rPr>
                <w:b/>
                <w:sz w:val="18"/>
              </w:rPr>
              <w:t>Bootstrap 90% confidence interval — three resampling schemes</w:t>
            </w:r>
          </w:p>
        </w:tc>
        <w:tc>
          <w:tcPr>
            <w:tcW w:type="dxa" w:w="3888"/>
          </w:tcPr>
          <w:p>
            <w:pPr>
              <w:spacing w:after="20" w:before="20"/>
              <w:jc w:val="center"/>
            </w:pPr>
            <w:r/>
            <w:r>
              <w:rPr>
                <w:sz w:val="18"/>
              </w:rPr>
              <w:t>[-0.035, -0.003] · [-0.035, -0.003] · [-0.034, -0.001]</w:t>
            </w:r>
          </w:p>
        </w:tc>
      </w:tr>
      <w:tr>
        <w:tc>
          <w:tcPr>
            <w:tcW w:type="dxa" w:w="6048"/>
          </w:tcPr>
          <w:p>
            <w:pPr>
              <w:spacing w:after="20" w:before="20"/>
            </w:pPr>
            <w:r/>
            <w:r>
              <w:rPr>
                <w:b/>
                <w:sz w:val="18"/>
              </w:rPr>
              <w:t>Robust verdict (all blocks agree)</w:t>
            </w:r>
          </w:p>
        </w:tc>
        <w:tc>
          <w:tcPr>
            <w:tcW w:type="dxa" w:w="3888"/>
          </w:tcPr>
          <w:p>
            <w:pPr>
              <w:spacing w:after="20" w:before="20"/>
              <w:jc w:val="center"/>
            </w:pPr>
            <w:r/>
            <w:r>
              <w:rPr>
                <w:sz w:val="18"/>
              </w:rPr>
              <w:t>FAIL</w:t>
            </w:r>
          </w:p>
        </w:tc>
      </w:tr>
    </w:tbl>
    <w:p>
      <w:pPr>
        <w:spacing w:after="60"/>
      </w:pPr>
    </w:p>
    <w:p>
      <w:pPr>
        <w:spacing w:after="160" w:before="40"/>
      </w:pPr>
      <w:r>
        <w:rPr>
          <w:b w:val="0"/>
          <w:i/>
          <w:color w:val="6E7B77"/>
          <w:sz w:val="16"/>
        </w:rPr>
        <w:t>Shaded pink: the test failed on this design (see §3.1).</w:t>
      </w:r>
    </w:p>
    <w:p>
      <w:pPr>
        <w:jc w:val="center"/>
      </w:pPr>
      <w:r>
        <w:drawing>
          <wp:inline xmlns:a="http://schemas.openxmlformats.org/drawingml/2006/main" xmlns:pic="http://schemas.openxmlformats.org/drawingml/2006/picture">
            <wp:extent cx="6309360" cy="2050542"/>
            <wp:docPr id="7" name="Picture 7"/>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6309360" cy="2050542"/>
                    </a:xfrm>
                    <a:prstGeom prst="rect"/>
                  </pic:spPr>
                </pic:pic>
              </a:graphicData>
            </a:graphic>
          </wp:inline>
        </w:drawing>
      </w:r>
    </w:p>
    <w:p>
      <w:pPr>
        <w:spacing w:after="180" w:before="0"/>
        <w:jc w:val="center"/>
      </w:pPr>
      <w:r>
        <w:rPr>
          <w:b w:val="0"/>
          <w:i/>
          <w:color w:val="6E7B77"/>
          <w:sz w:val="17"/>
        </w:rPr>
        <w:t>Figure 7 — Calibration in three panels: realized versus model median per window; the cumulative skill score (it never gets above zero); and the calibration histogram. Every one of the fourteen realized outcomes fell inside the 90% band — which is the clue.</w:t>
      </w:r>
    </w:p>
    <w:p>
      <w:pPr>
        <w:spacing w:after="120" w:before="80"/>
      </w:pPr>
      <w:r>
        <w:rPr>
          <w:b w:val="0"/>
          <w:i w:val="0"/>
          <w:sz w:val="21"/>
        </w:rPr>
        <w:t>Now the diagnosis, because "failed" and "broken" are not the same thing and the difference matters.</w:t>
      </w:r>
    </w:p>
    <w:p>
      <w:pPr>
        <w:spacing w:after="120" w:before="0"/>
      </w:pPr>
      <w:r>
        <w:rPr>
          <w:b w:val="0"/>
          <w:i w:val="0"/>
          <w:sz w:val="21"/>
        </w:rPr>
        <w:t>A failure of this test is meant to flag something structurally wrong — price-limit censoring, degenerate volatility, bad data. None of those is present. There is no limit-hitting (the largest daily move in the pool is 8.99%). Zero-return days run at 9.2%, normal for a DFM large-cap. And the Yang-Zhang variance proxy is unbiased, at 1.017× realized close-to-close volatility. The data is clean.</w:t>
      </w:r>
    </w:p>
    <w:p>
      <w:pPr>
        <w:spacing w:after="120" w:before="0"/>
      </w:pPr>
      <w:r>
        <w:rPr>
          <w:b w:val="0"/>
          <w:i w:val="0"/>
          <w:sz w:val="21"/>
        </w:rPr>
        <w:t>What actually happened is this. The UAE profile is carry-only — no signal survived the panel — and DIB's carry is essentially zero, because its dividend yield (4.53%) almost exactly offsets the risk-free rate (3.65%). So the engine and the benchmark have an identical centre. The pinball-0.50 skill of +0.000 confirms it: on median placement they are a dead heat, by construction. The test therefore collapses to a pure contest about width — and on width the engine is not wrong. Its 60-day sigma of 0.105 tracks the full-sample realized 60-day dispersion (0.114) far better than the trailing-volatility benchmark does at 0.093, which is about 19% too narrow. DIB's 60-day variance ratio against square-root-of-time scaling is 1.23, so the benchmark's independent-increments assumption systematically under-disperses.</w:t>
      </w:r>
    </w:p>
    <w:p>
      <w:pPr>
        <w:spacing w:after="120" w:before="0"/>
      </w:pPr>
      <w:r>
        <w:rPr>
          <w:b w:val="0"/>
          <w:i w:val="0"/>
          <w:sz w:val="21"/>
        </w:rPr>
        <w:t>But the fourteen non-overlapping windows our test specifies happened to draw a quiet sample: realized dispersion of 0.083 against 0.114 for the full period. Against quiet outcomes, the narrower — and mis-specified — benchmark wins. Widen the sample and the two converge: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4176"/>
            <w:shd w:val="clear" w:fill="1C3A36"/>
          </w:tcPr>
          <w:p>
            <w:pPr>
              <w:spacing w:after="20" w:before="20"/>
            </w:pPr>
            <w:r/>
            <w:r>
              <w:rPr>
                <w:b/>
                <w:color w:val="FFFFFF"/>
                <w:sz w:val="18"/>
              </w:rPr>
              <w:t>Design</w:t>
            </w:r>
          </w:p>
        </w:tc>
        <w:tc>
          <w:tcPr>
            <w:tcW w:type="dxa" w:w="1584"/>
            <w:shd w:val="clear" w:fill="1C3A36"/>
          </w:tcPr>
          <w:p>
            <w:pPr>
              <w:spacing w:after="20" w:before="20"/>
              <w:jc w:val="center"/>
            </w:pPr>
            <w:r/>
            <w:r>
              <w:rPr>
                <w:b/>
                <w:color w:val="FFFFFF"/>
                <w:sz w:val="18"/>
              </w:rPr>
              <w:t>Windows</w:t>
            </w:r>
          </w:p>
        </w:tc>
        <w:tc>
          <w:tcPr>
            <w:tcW w:type="dxa" w:w="2016"/>
            <w:shd w:val="clear" w:fill="1C3A36"/>
          </w:tcPr>
          <w:p>
            <w:pPr>
              <w:spacing w:after="20" w:before="20"/>
              <w:jc w:val="center"/>
            </w:pPr>
            <w:r/>
            <w:r>
              <w:rPr>
                <w:b/>
                <w:color w:val="FFFFFF"/>
                <w:sz w:val="18"/>
              </w:rPr>
              <w:t>Skill score</w:t>
            </w:r>
          </w:p>
        </w:tc>
        <w:tc>
          <w:tcPr>
            <w:tcW w:type="dxa" w:w="2160"/>
            <w:shd w:val="clear" w:fill="1C3A36"/>
          </w:tcPr>
          <w:p>
            <w:pPr>
              <w:spacing w:after="20" w:before="20"/>
              <w:jc w:val="center"/>
            </w:pPr>
            <w:r/>
            <w:r>
              <w:rPr>
                <w:b/>
                <w:color w:val="FFFFFF"/>
                <w:sz w:val="18"/>
              </w:rPr>
              <w:t>Verdict</w:t>
            </w:r>
          </w:p>
        </w:tc>
      </w:tr>
      <w:tr>
        <w:tc>
          <w:tcPr>
            <w:tcW w:type="dxa" w:w="4176"/>
            <w:shd w:val="clear" w:fill="F6DDDA"/>
          </w:tcPr>
          <w:p>
            <w:pPr>
              <w:spacing w:after="20" w:before="20"/>
            </w:pPr>
            <w:r/>
            <w:r>
              <w:rPr>
                <w:b/>
                <w:sz w:val="18"/>
              </w:rPr>
              <w:t>Non-overlapping (our specified test)</w:t>
            </w:r>
          </w:p>
        </w:tc>
        <w:tc>
          <w:tcPr>
            <w:tcW w:type="dxa" w:w="1584"/>
            <w:shd w:val="clear" w:fill="F6DDDA"/>
          </w:tcPr>
          <w:p>
            <w:pPr>
              <w:spacing w:after="20" w:before="20"/>
              <w:jc w:val="center"/>
            </w:pPr>
            <w:r/>
            <w:r>
              <w:rPr>
                <w:sz w:val="18"/>
              </w:rPr>
              <w:t>14</w:t>
            </w:r>
          </w:p>
        </w:tc>
        <w:tc>
          <w:tcPr>
            <w:tcW w:type="dxa" w:w="2016"/>
            <w:shd w:val="clear" w:fill="F6DDDA"/>
          </w:tcPr>
          <w:p>
            <w:pPr>
              <w:spacing w:after="20" w:before="20"/>
              <w:jc w:val="center"/>
            </w:pPr>
            <w:r/>
            <w:r>
              <w:rPr>
                <w:sz w:val="18"/>
              </w:rPr>
              <w:t>-0.0247</w:t>
            </w:r>
          </w:p>
        </w:tc>
        <w:tc>
          <w:tcPr>
            <w:tcW w:type="dxa" w:w="2160"/>
            <w:shd w:val="clear" w:fill="F6DDDA"/>
          </w:tcPr>
          <w:p>
            <w:pPr>
              <w:spacing w:after="20" w:before="20"/>
              <w:jc w:val="center"/>
            </w:pPr>
            <w:r/>
            <w:r>
              <w:rPr>
                <w:sz w:val="18"/>
              </w:rPr>
              <w:t>FAIL</w:t>
            </w:r>
          </w:p>
        </w:tc>
      </w:tr>
      <w:tr>
        <w:tc>
          <w:tcPr>
            <w:tcW w:type="dxa" w:w="4176"/>
          </w:tcPr>
          <w:p>
            <w:pPr>
              <w:spacing w:after="20" w:before="20"/>
            </w:pPr>
            <w:r/>
            <w:r>
              <w:rPr>
                <w:b/>
                <w:sz w:val="18"/>
              </w:rPr>
              <w:t>Monthly origins</w:t>
            </w:r>
          </w:p>
        </w:tc>
        <w:tc>
          <w:tcPr>
            <w:tcW w:type="dxa" w:w="1584"/>
          </w:tcPr>
          <w:p>
            <w:pPr>
              <w:spacing w:after="20" w:before="20"/>
              <w:jc w:val="center"/>
            </w:pPr>
            <w:r/>
            <w:r>
              <w:rPr>
                <w:sz w:val="18"/>
              </w:rPr>
              <w:t>39</w:t>
            </w:r>
          </w:p>
        </w:tc>
        <w:tc>
          <w:tcPr>
            <w:tcW w:type="dxa" w:w="2016"/>
          </w:tcPr>
          <w:p>
            <w:pPr>
              <w:spacing w:after="20" w:before="20"/>
              <w:jc w:val="center"/>
            </w:pPr>
            <w:r/>
            <w:r>
              <w:rPr>
                <w:sz w:val="18"/>
              </w:rPr>
              <w:t>+0.0025</w:t>
            </w:r>
          </w:p>
        </w:tc>
        <w:tc>
          <w:tcPr>
            <w:tcW w:type="dxa" w:w="2160"/>
          </w:tcPr>
          <w:p>
            <w:pPr>
              <w:spacing w:after="20" w:before="20"/>
              <w:jc w:val="center"/>
            </w:pPr>
            <w:r/>
            <w:r>
              <w:rPr>
                <w:sz w:val="18"/>
              </w:rPr>
              <w:t>parity</w:t>
            </w:r>
          </w:p>
        </w:tc>
      </w:tr>
      <w:tr>
        <w:tc>
          <w:tcPr>
            <w:tcW w:type="dxa" w:w="4176"/>
          </w:tcPr>
          <w:p>
            <w:pPr>
              <w:spacing w:after="20" w:before="20"/>
            </w:pPr>
            <w:r/>
            <w:r>
              <w:rPr>
                <w:b/>
                <w:sz w:val="18"/>
              </w:rPr>
              <w:t>Bi-weekly origins</w:t>
            </w:r>
          </w:p>
        </w:tc>
        <w:tc>
          <w:tcPr>
            <w:tcW w:type="dxa" w:w="1584"/>
          </w:tcPr>
          <w:p>
            <w:pPr>
              <w:spacing w:after="20" w:before="20"/>
              <w:jc w:val="center"/>
            </w:pPr>
            <w:r/>
            <w:r>
              <w:rPr>
                <w:sz w:val="18"/>
              </w:rPr>
              <w:t>81</w:t>
            </w:r>
          </w:p>
        </w:tc>
        <w:tc>
          <w:tcPr>
            <w:tcW w:type="dxa" w:w="2016"/>
          </w:tcPr>
          <w:p>
            <w:pPr>
              <w:spacing w:after="20" w:before="20"/>
              <w:jc w:val="center"/>
            </w:pPr>
            <w:r/>
            <w:r>
              <w:rPr>
                <w:sz w:val="18"/>
              </w:rPr>
              <w:t>-0.0002</w:t>
            </w:r>
          </w:p>
        </w:tc>
        <w:tc>
          <w:tcPr>
            <w:tcW w:type="dxa" w:w="2160"/>
          </w:tcPr>
          <w:p>
            <w:pPr>
              <w:spacing w:after="20" w:before="20"/>
              <w:jc w:val="center"/>
            </w:pPr>
            <w:r/>
            <w:r>
              <w:rPr>
                <w:sz w:val="18"/>
              </w:rPr>
              <w:t>parity</w:t>
            </w:r>
          </w:p>
        </w:tc>
      </w:tr>
    </w:tbl>
    <w:p>
      <w:pPr>
        <w:spacing w:after="60"/>
      </w:pPr>
    </w:p>
    <w:p>
      <w:pPr>
        <w:spacing w:after="160" w:before="40"/>
      </w:pPr>
      <w:r>
        <w:rPr>
          <w:b w:val="0"/>
          <w:i/>
          <w:color w:val="6E7B77"/>
          <w:sz w:val="16"/>
        </w:rPr>
        <w:t>Shaded pink: the test design we specify in advance, and the one whose result is reported throughout this study. It fails; the other two rows are shown only to explain why.</w:t>
      </w:r>
    </w:p>
    <w:p>
      <w:pPr>
        <w:spacing w:after="120" w:before="0"/>
      </w:pPr>
      <w:r>
        <w:rPr>
          <w:b w:val="0"/>
          <w:i w:val="0"/>
          <w:sz w:val="21"/>
        </w:rPr>
        <w:t>The honest reading is that DIB has no demonstrable single-name edge — it is a dead heat on any adequately powered design. It is not that the model is broken. But we do not get to choose the design after seeing the result. Our test specifies non-overlapping windows; on that design the name fails; the forecast is therefore withheld. Re-specifying a test until it passes is precisely the self-deception this whole exercise exists to prevent, so it was not done.</w:t>
      </w:r>
    </w:p>
    <w:p>
      <w:pPr>
        <w:spacing w:after="120" w:before="0"/>
      </w:pPr>
      <w:r>
        <w:rPr>
          <w:b w:val="0"/>
          <w:i w:val="0"/>
          <w:sz w:val="21"/>
        </w:rPr>
        <w:t>Nor does narrowing the cone rescue it, before anyone suggests it: at a cone width of 0.90 the skill score gets worse (−0.039), and at 0.85 worse again (−0.045). Every rung of the ladder — Student-t degrees of freedom of 4, 6 and 12, width calibrations from 0.85 to 1.07 — is negative. There is no setting of this engine that beats a random walk on DIB's fourteen windows, and pretending otherwise by tuning would be dishonest.</w:t>
      </w:r>
    </w:p>
    <w:p>
      <w:pPr>
        <w:spacing w:after="120" w:before="0"/>
      </w:pPr>
      <w:r>
        <w:rPr>
          <w:b w:val="0"/>
          <w:i w:val="0"/>
          <w:sz w:val="21"/>
        </w:rPr>
        <w:t>What this costs the reader is real and should be stated plainly: you get no three-month distribution for DIB, no probability of being above spot, no touch ladder. What you get instead is the fundamental work in §1, which does not depend on the Monte Carlo engine at all, and the knowledge that when our forecast engine cannot demonstrate an edge, we say so and publish nothing rather than dress up a random walk as a forecast.</w:t>
      </w:r>
    </w:p>
    <w:p>
      <w:pPr>
        <w:spacing w:after="80" w:before="200"/>
      </w:pPr>
      <w:r>
        <w:rPr>
          <w:b/>
          <w:i w:val="0"/>
          <w:color w:val="1C3A36"/>
          <w:sz w:val="22"/>
        </w:rPr>
        <w:t>3.2  Illustrative volatility map (not a forecast)</w:t>
      </w:r>
    </w:p>
    <w:p>
      <w:pPr>
        <w:spacing w:after="120" w:before="0"/>
      </w:pPr>
      <w:r>
        <w:rPr>
          <w:b w:val="0"/>
          <w:i w:val="0"/>
          <w:sz w:val="21"/>
        </w:rPr>
        <w:t>For completeness, and clearly labelled: the following describes the width of the engine's cone on today's data. It is a volatility map. It is not a forecast, it is not graded, and nothing is entered on the Calibration Ledger against it. Read it as "how much does this thing typically move in three months", nothing more.</w:t>
      </w:r>
    </w:p>
    <w:tbl>
      <w:tblPr>
        <w:tblStyle w:val="TableGrid"/>
        <w:tblW w:type="auto" w:w="0"/>
        <w:jc w:val="center"/>
        <w:tblLook w:firstColumn="1" w:firstRow="1" w:lastColumn="0" w:lastRow="0" w:noHBand="0" w:noVBand="1" w:val="04A0"/>
      </w:tblPr>
      <w:tblGrid>
        <w:gridCol w:w="3331"/>
        <w:gridCol w:w="3331"/>
        <w:gridCol w:w="3331"/>
      </w:tblGrid>
      <w:tr>
        <w:tc>
          <w:tcPr>
            <w:tcW w:type="dxa" w:w="2880"/>
            <w:shd w:val="clear" w:fill="1C3A36"/>
          </w:tcPr>
          <w:p>
            <w:pPr>
              <w:spacing w:after="20" w:before="20"/>
            </w:pPr>
            <w:r/>
            <w:r>
              <w:rPr>
                <w:b/>
                <w:color w:val="FFFFFF"/>
                <w:sz w:val="18"/>
              </w:rPr>
              <w:t>Percentile</w:t>
            </w:r>
          </w:p>
        </w:tc>
        <w:tc>
          <w:tcPr>
            <w:tcW w:type="dxa" w:w="2304"/>
            <w:shd w:val="clear" w:fill="1C3A36"/>
          </w:tcPr>
          <w:p>
            <w:pPr>
              <w:spacing w:after="20" w:before="20"/>
              <w:jc w:val="center"/>
            </w:pPr>
            <w:r/>
            <w:r>
              <w:rPr>
                <w:b/>
                <w:color w:val="FFFFFF"/>
                <w:sz w:val="18"/>
              </w:rPr>
              <w:t>T+20 (AED)</w:t>
            </w:r>
          </w:p>
        </w:tc>
        <w:tc>
          <w:tcPr>
            <w:tcW w:type="dxa" w:w="2304"/>
            <w:shd w:val="clear" w:fill="1C3A36"/>
          </w:tcPr>
          <w:p>
            <w:pPr>
              <w:spacing w:after="20" w:before="20"/>
              <w:jc w:val="center"/>
            </w:pPr>
            <w:r/>
            <w:r>
              <w:rPr>
                <w:b/>
                <w:color w:val="FFFFFF"/>
                <w:sz w:val="18"/>
              </w:rPr>
              <w:t>T+60 (AED)</w:t>
            </w:r>
          </w:p>
        </w:tc>
      </w:tr>
      <w:tr>
        <w:tc>
          <w:tcPr>
            <w:tcW w:type="dxa" w:w="2880"/>
          </w:tcPr>
          <w:p>
            <w:pPr>
              <w:spacing w:after="20" w:before="20"/>
            </w:pPr>
            <w:r/>
            <w:r>
              <w:rPr>
                <w:b/>
                <w:sz w:val="18"/>
              </w:rPr>
              <w:t>5th</w:t>
            </w:r>
          </w:p>
        </w:tc>
        <w:tc>
          <w:tcPr>
            <w:tcW w:type="dxa" w:w="2304"/>
          </w:tcPr>
          <w:p>
            <w:pPr>
              <w:spacing w:after="20" w:before="20"/>
              <w:jc w:val="center"/>
            </w:pPr>
            <w:r/>
            <w:r>
              <w:rPr>
                <w:sz w:val="18"/>
              </w:rPr>
              <w:t>6.97</w:t>
            </w:r>
          </w:p>
        </w:tc>
        <w:tc>
          <w:tcPr>
            <w:tcW w:type="dxa" w:w="2304"/>
          </w:tcPr>
          <w:p>
            <w:pPr>
              <w:spacing w:after="20" w:before="20"/>
              <w:jc w:val="center"/>
            </w:pPr>
            <w:r/>
            <w:r>
              <w:rPr>
                <w:sz w:val="18"/>
              </w:rPr>
              <w:t>6.46</w:t>
            </w:r>
          </w:p>
        </w:tc>
      </w:tr>
      <w:tr>
        <w:tc>
          <w:tcPr>
            <w:tcW w:type="dxa" w:w="2880"/>
          </w:tcPr>
          <w:p>
            <w:pPr>
              <w:spacing w:after="20" w:before="20"/>
            </w:pPr>
            <w:r/>
            <w:r>
              <w:rPr>
                <w:b/>
                <w:sz w:val="18"/>
              </w:rPr>
              <w:t>25th</w:t>
            </w:r>
          </w:p>
        </w:tc>
        <w:tc>
          <w:tcPr>
            <w:tcW w:type="dxa" w:w="2304"/>
          </w:tcPr>
          <w:p>
            <w:pPr>
              <w:spacing w:after="20" w:before="20"/>
              <w:jc w:val="center"/>
            </w:pPr>
            <w:r/>
            <w:r>
              <w:rPr>
                <w:sz w:val="18"/>
              </w:rPr>
              <w:t>7.45</w:t>
            </w:r>
          </w:p>
        </w:tc>
        <w:tc>
          <w:tcPr>
            <w:tcW w:type="dxa" w:w="2304"/>
          </w:tcPr>
          <w:p>
            <w:pPr>
              <w:spacing w:after="20" w:before="20"/>
              <w:jc w:val="center"/>
            </w:pPr>
            <w:r/>
            <w:r>
              <w:rPr>
                <w:sz w:val="18"/>
              </w:rPr>
              <w:t>7.25</w:t>
            </w:r>
          </w:p>
        </w:tc>
      </w:tr>
      <w:tr>
        <w:tc>
          <w:tcPr>
            <w:tcW w:type="dxa" w:w="2880"/>
          </w:tcPr>
          <w:p>
            <w:pPr>
              <w:spacing w:after="20" w:before="20"/>
            </w:pPr>
            <w:r/>
            <w:r>
              <w:rPr>
                <w:b/>
                <w:sz w:val="18"/>
              </w:rPr>
              <w:t>50th</w:t>
            </w:r>
          </w:p>
        </w:tc>
        <w:tc>
          <w:tcPr>
            <w:tcW w:type="dxa" w:w="2304"/>
          </w:tcPr>
          <w:p>
            <w:pPr>
              <w:spacing w:after="20" w:before="20"/>
              <w:jc w:val="center"/>
            </w:pPr>
            <w:r/>
            <w:r>
              <w:rPr>
                <w:sz w:val="18"/>
              </w:rPr>
              <w:t>7.72</w:t>
            </w:r>
          </w:p>
        </w:tc>
        <w:tc>
          <w:tcPr>
            <w:tcW w:type="dxa" w:w="2304"/>
          </w:tcPr>
          <w:p>
            <w:pPr>
              <w:spacing w:after="20" w:before="20"/>
              <w:jc w:val="center"/>
            </w:pPr>
            <w:r/>
            <w:r>
              <w:rPr>
                <w:sz w:val="18"/>
              </w:rPr>
              <w:t>7.71</w:t>
            </w:r>
          </w:p>
        </w:tc>
      </w:tr>
      <w:tr>
        <w:tc>
          <w:tcPr>
            <w:tcW w:type="dxa" w:w="2880"/>
          </w:tcPr>
          <w:p>
            <w:pPr>
              <w:spacing w:after="20" w:before="20"/>
            </w:pPr>
            <w:r/>
            <w:r>
              <w:rPr>
                <w:b/>
                <w:sz w:val="18"/>
              </w:rPr>
              <w:t>75th</w:t>
            </w:r>
          </w:p>
        </w:tc>
        <w:tc>
          <w:tcPr>
            <w:tcW w:type="dxa" w:w="2304"/>
          </w:tcPr>
          <w:p>
            <w:pPr>
              <w:spacing w:after="20" w:before="20"/>
              <w:jc w:val="center"/>
            </w:pPr>
            <w:r/>
            <w:r>
              <w:rPr>
                <w:sz w:val="18"/>
              </w:rPr>
              <w:t>7.99</w:t>
            </w:r>
          </w:p>
        </w:tc>
        <w:tc>
          <w:tcPr>
            <w:tcW w:type="dxa" w:w="2304"/>
          </w:tcPr>
          <w:p>
            <w:pPr>
              <w:spacing w:after="20" w:before="20"/>
              <w:jc w:val="center"/>
            </w:pPr>
            <w:r/>
            <w:r>
              <w:rPr>
                <w:sz w:val="18"/>
              </w:rPr>
              <w:t>8.19</w:t>
            </w:r>
          </w:p>
        </w:tc>
      </w:tr>
      <w:tr>
        <w:tc>
          <w:tcPr>
            <w:tcW w:type="dxa" w:w="2880"/>
          </w:tcPr>
          <w:p>
            <w:pPr>
              <w:spacing w:after="20" w:before="20"/>
            </w:pPr>
            <w:r/>
            <w:r>
              <w:rPr>
                <w:b/>
                <w:sz w:val="18"/>
              </w:rPr>
              <w:t>95th</w:t>
            </w:r>
          </w:p>
        </w:tc>
        <w:tc>
          <w:tcPr>
            <w:tcW w:type="dxa" w:w="2304"/>
          </w:tcPr>
          <w:p>
            <w:pPr>
              <w:spacing w:after="20" w:before="20"/>
              <w:jc w:val="center"/>
            </w:pPr>
            <w:r/>
            <w:r>
              <w:rPr>
                <w:sz w:val="18"/>
              </w:rPr>
              <w:t>8.55</w:t>
            </w:r>
          </w:p>
        </w:tc>
        <w:tc>
          <w:tcPr>
            <w:tcW w:type="dxa" w:w="2304"/>
          </w:tcPr>
          <w:p>
            <w:pPr>
              <w:spacing w:after="20" w:before="20"/>
              <w:jc w:val="center"/>
            </w:pPr>
            <w:r/>
            <w:r>
              <w:rPr>
                <w:sz w:val="18"/>
              </w:rPr>
              <w:t>9.18</w:t>
            </w:r>
          </w:p>
        </w:tc>
      </w:tr>
    </w:tbl>
    <w:p>
      <w:pPr>
        <w:spacing w:after="60"/>
      </w:pPr>
    </w:p>
    <w:p>
      <w:pPr>
        <w:spacing w:after="120" w:before="0"/>
      </w:pPr>
      <w:r>
        <w:rPr>
          <w:b w:val="0"/>
          <w:i/>
          <w:sz w:val="19"/>
        </w:rPr>
        <w:t>The centre sits a hair below spot — AED 7.71, or -0.2% — and that is an explained flat, not a view. Carry over sixty days is ln(1 + rf 3.65%) − ln(1 + dividend yield 4.53%) = -0.20%. For a dividend-payer whose yield exceeds the risk-free rate, the expected total return is delivered as dividend rather than as price drift, so the price centre is flat-to-marginally-negative by arithmetic. Lens independence holds regardless: the §1 value gap never enters this drift. If it closes, it closes as a surprise to this distribution, not inside it.</w:t>
      </w:r>
    </w:p>
    <w:p>
      <w:pPr>
        <w:jc w:val="center"/>
      </w:pPr>
      <w:r>
        <w:drawing>
          <wp:inline xmlns:a="http://schemas.openxmlformats.org/drawingml/2006/main" xmlns:pic="http://schemas.openxmlformats.org/drawingml/2006/picture">
            <wp:extent cx="6309360" cy="2661202"/>
            <wp:docPr id="8" name="Picture 8"/>
            <wp:cNvGraphicFramePr>
              <a:graphicFrameLocks noChangeAspect="1"/>
            </wp:cNvGraphicFramePr>
            <a:graphic>
              <a:graphicData uri="http://schemas.openxmlformats.org/drawingml/2006/picture">
                <pic:pic>
                  <pic:nvPicPr>
                    <pic:cNvPr id="0" name="fig2.png"/>
                    <pic:cNvPicPr/>
                  </pic:nvPicPr>
                  <pic:blipFill>
                    <a:blip r:embed="rId16"/>
                    <a:stretch>
                      <a:fillRect/>
                    </a:stretch>
                  </pic:blipFill>
                  <pic:spPr>
                    <a:xfrm>
                      <a:off x="0" y="0"/>
                      <a:ext cx="6309360" cy="2661202"/>
                    </a:xfrm>
                    <a:prstGeom prst="rect"/>
                  </pic:spPr>
                </pic:pic>
              </a:graphicData>
            </a:graphic>
          </wp:inline>
        </w:drawing>
      </w:r>
    </w:p>
    <w:p>
      <w:pPr>
        <w:spacing w:after="180" w:before="0"/>
        <w:jc w:val="center"/>
      </w:pPr>
      <w:r>
        <w:rPr>
          <w:b w:val="0"/>
          <w:i/>
          <w:color w:val="6E7B77"/>
          <w:sz w:val="17"/>
        </w:rPr>
        <w:t>Figure 8 — Illustrative T+60 cone. 50,000 paths, Student-t(4) shocks, seed 42. NOT A FORECAST.</w:t>
      </w:r>
    </w:p>
    <w:p>
      <w:pPr>
        <w:jc w:val="center"/>
      </w:pPr>
      <w:r>
        <w:drawing>
          <wp:inline xmlns:a="http://schemas.openxmlformats.org/drawingml/2006/main" xmlns:pic="http://schemas.openxmlformats.org/drawingml/2006/picture">
            <wp:extent cx="6309360" cy="2661202"/>
            <wp:docPr id="9" name="Picture 9"/>
            <wp:cNvGraphicFramePr>
              <a:graphicFrameLocks noChangeAspect="1"/>
            </wp:cNvGraphicFramePr>
            <a:graphic>
              <a:graphicData uri="http://schemas.openxmlformats.org/drawingml/2006/picture">
                <pic:pic>
                  <pic:nvPicPr>
                    <pic:cNvPr id="0" name="fig4.png"/>
                    <pic:cNvPicPr/>
                  </pic:nvPicPr>
                  <pic:blipFill>
                    <a:blip r:embed="rId17"/>
                    <a:stretch>
                      <a:fillRect/>
                    </a:stretch>
                  </pic:blipFill>
                  <pic:spPr>
                    <a:xfrm>
                      <a:off x="0" y="0"/>
                      <a:ext cx="6309360" cy="2661202"/>
                    </a:xfrm>
                    <a:prstGeom prst="rect"/>
                  </pic:spPr>
                </pic:pic>
              </a:graphicData>
            </a:graphic>
          </wp:inline>
        </w:drawing>
      </w:r>
    </w:p>
    <w:p>
      <w:pPr>
        <w:spacing w:after="180" w:before="0"/>
        <w:jc w:val="center"/>
      </w:pPr>
      <w:r>
        <w:rPr>
          <w:b w:val="0"/>
          <w:i/>
          <w:color w:val="6E7B77"/>
          <w:sz w:val="17"/>
        </w:rPr>
        <w:t>Figure 9 — Illustrative terminal distribution at T+60. NOT A FORECAST.</w:t>
      </w:r>
    </w:p>
    <w:p>
      <w:pPr>
        <w:spacing w:after="100" w:before="260"/>
      </w:pPr>
      <w:r>
        <w:rPr>
          <w:b/>
          <w:i w:val="0"/>
          <w:color w:val="1C3A36"/>
          <w:sz w:val="26"/>
        </w:rPr>
        <w:t>4. What would change our mind</w:t>
      </w:r>
    </w:p>
    <w:p>
      <w:pPr>
        <w:spacing w:after="100"/>
      </w:pPr>
      <w:r>
        <w:rPr>
          <w:b/>
          <w:i w:val="0"/>
          <w:sz w:val="21"/>
        </w:rPr>
        <w:t>Falsifier 1 — H1-2026 results, due in days.</w:t>
      </w:r>
      <w:r>
        <w:rPr>
          <w:b w:val="0"/>
          <w:i w:val="0"/>
          <w:sz w:val="21"/>
        </w:rPr>
        <w:t xml:space="preserve"> The first live test of everything in §1.6. A net profit margin printing below 2.20%, or a cost of risk above 60bp, and the FY27 trough assumption is too kind: the central falls toward AED 9.5 and the capital equation tightens. Equally, an NPM at or above 2.40% — plausible now that the Fed has turned hawkish — and the guide was the conservative case, as we suspect.</w:t>
      </w:r>
    </w:p>
    <w:p>
      <w:pPr>
        <w:spacing w:after="100"/>
      </w:pPr>
      <w:r>
        <w:rPr>
          <w:b/>
          <w:i w:val="0"/>
          <w:sz w:val="21"/>
        </w:rPr>
        <w:t>Falsifier 2 — a second dividend cut.</w:t>
      </w:r>
      <w:r>
        <w:rPr>
          <w:b w:val="0"/>
          <w:i w:val="0"/>
          <w:sz w:val="21"/>
        </w:rPr>
        <w:t xml:space="preserve"> The DDM carries 30% of the weight and assumes 35 fils is the floor. If the board cuts again at the FY26 results, the thesis that the FY25 cut bought enough capital is simply wrong, and the primary lens must be rebuilt on a lower payout.</w:t>
      </w:r>
    </w:p>
    <w:p>
      <w:pPr>
        <w:spacing w:after="100"/>
      </w:pPr>
      <w:r>
        <w:rPr>
          <w:b/>
          <w:i w:val="0"/>
          <w:sz w:val="21"/>
        </w:rPr>
        <w:t>Falsifier 3 — CET1 printing below 12.3% at H1 without an RWA surge to explain it.</w:t>
      </w:r>
      <w:r>
        <w:rPr>
          <w:b w:val="0"/>
          <w:i w:val="0"/>
          <w:sz w:val="21"/>
        </w:rPr>
        <w:t xml:space="preserve"> The capital equation is tighter than modelled and the progressive-dividend path is not affordable. This is the crux failing in the direction the market is already pricing. Both sides of that ratio are disclosed quarterly — CET1 capital and risk-weighted assets are both published — so this falsifier is directly checkable against the half-year print, with no derivation in between.</w:t>
      </w:r>
    </w:p>
    <w:p>
      <w:pPr>
        <w:spacing w:after="100"/>
      </w:pPr>
      <w:r>
        <w:rPr>
          <w:b/>
          <w:i w:val="0"/>
          <w:sz w:val="21"/>
        </w:rPr>
        <w:t>Falsifier 4 — the Hormuz re-escalation hardening into a sustained closure.</w:t>
      </w:r>
      <w:r>
        <w:rPr>
          <w:b w:val="0"/>
          <w:i w:val="0"/>
          <w:sz w:val="21"/>
        </w:rPr>
        <w:t xml:space="preserve"> The 1.0-point conflict adder is a ceasefire-holding assumption, and the ceasefire was declared "over" on 8 July. At 2.5 points the central falls to roughly AED 8.8 — still above spot, but the margin of safety is largely gone. This is the live risk, not a tail footnote.</w:t>
      </w:r>
    </w:p>
    <w:p>
      <w:pPr>
        <w:spacing w:after="100"/>
      </w:pPr>
      <w:r>
        <w:rPr>
          <w:b/>
          <w:i w:val="0"/>
          <w:sz w:val="21"/>
        </w:rPr>
        <w:t>Falsifier 5 — the effective tax rate stays at 15% into 2028 and management quietly drops the 9% ambition.</w:t>
      </w:r>
      <w:r>
        <w:rPr>
          <w:b w:val="0"/>
          <w:i w:val="0"/>
          <w:sz w:val="21"/>
        </w:rPr>
        <w:t xml:space="preserve"> Worth about AED 0.72 a share against our base, which already assumes they fail. If they succeed instead, that is upside we have deliberately excluded.</w:t>
      </w:r>
    </w:p>
    <w:p>
      <w:pPr>
        <w:spacing w:after="100"/>
      </w:pPr>
      <w:r>
        <w:rPr>
          <w:b/>
          <w:i w:val="0"/>
          <w:sz w:val="21"/>
        </w:rPr>
        <w:t>Falsifier 6 — the pleasant failure mode.</w:t>
      </w:r>
      <w:r>
        <w:rPr>
          <w:b w:val="0"/>
          <w:i w:val="0"/>
          <w:sz w:val="21"/>
        </w:rPr>
        <w:t xml:space="preserve"> The UAE bank complex re-rates on de-escalation and DIB merely tracks it. The relative lens converges upward on the cash-flow lenses and the gap closes without DIB doing anything at all.</w:t>
      </w:r>
    </w:p>
    <w:p>
      <w:pPr>
        <w:spacing w:after="100" w:before="260"/>
      </w:pPr>
      <w:r>
        <w:rPr>
          <w:b/>
          <w:i w:val="0"/>
          <w:color w:val="1C3A36"/>
          <w:sz w:val="26"/>
        </w:rPr>
        <w:t>5. How to use this study</w:t>
      </w:r>
    </w:p>
    <w:p>
      <w:pPr>
        <w:spacing w:after="120" w:before="0"/>
      </w:pPr>
      <w:r>
        <w:rPr>
          <w:b w:val="0"/>
          <w:i w:val="0"/>
          <w:sz w:val="21"/>
        </w:rPr>
        <w:t>Read the central as a probability-weighted anchor, not a target — it is not a target, and this document contains no rating and no price target by design. If you wanted a three-month view, there isn't one for DIB: the engine could not demonstrate an edge on this name and we published nothing rather than dress a random walk up as a forecast. If you disagree with an input, the companion Excel reprices the entire study from one blue cell — change the NPM path, the cost of risk, the conflict adder or the beta, and every lens, the capital schedule and the weighted central all move. That is what the file is for. And grade us: the fundamental drivers in this study are logged as open rows on the public Fundamental Driver Ledger and will be closed against the actual prints.</w:t>
      </w:r>
    </w:p>
    <w:p>
      <w:pPr>
        <w:spacing w:after="100" w:before="260"/>
      </w:pPr>
      <w:r>
        <w:rPr>
          <w:b/>
          <w:i w:val="0"/>
          <w:color w:val="1C3A36"/>
          <w:sz w:val="26"/>
        </w:rPr>
        <w:t>6. Coverage &amp; ledger integration</w:t>
      </w:r>
    </w:p>
    <w:p>
      <w:pPr>
        <w:spacing w:after="120" w:before="0"/>
      </w:pPr>
      <w:r>
        <w:rPr>
          <w:b w:val="0"/>
          <w:i w:val="0"/>
          <w:sz w:val="21"/>
        </w:rPr>
        <w:t>DIB joins Testahil's UAE coverage alongside Abu Dhabi Commercial Bank and Alpha Dhabi. Its fourteen backtest windows are added to the UAE sample our market calibration is estimated on, where they will pull the pooled estimate down and, more usefully, sharpen a real question: whether the model is right to centre a UAE bank on carry alone when these names pay out their entire carry as dividend. No forecast entries are made on the Calibration Ledger for DIB — there is nothing to grade, because no forecast was published, and that absence is itself the honest entry. The forecast drivers in §1.6 are logged on the public driver ledger and resolve against the FY26 prints.</w:t>
      </w:r>
    </w:p>
    <w:p>
      <w:pPr>
        <w:spacing w:after="100" w:before="260"/>
      </w:pPr>
      <w:r>
        <w:rPr>
          <w:b/>
          <w:i w:val="0"/>
          <w:color w:val="1C3A36"/>
          <w:sz w:val="26"/>
        </w:rPr>
        <w:t>7. The one-paragraph version</w:t>
      </w:r>
    </w:p>
    <w:p>
      <w:pPr>
        <w:spacing w:after="120" w:before="0"/>
      </w:pPr>
      <w:r>
        <w:rPr>
          <w:b w:val="0"/>
          <w:i w:val="0"/>
          <w:sz w:val="21"/>
        </w:rPr>
        <w:t>Dubai Islamic Bank is the UAE's largest Islamic bank, earning an 18%-plus return on tangible equity, and it trades at 1.31× book and 7.9× earnings — cheaper than every UAE peer, on a better return than most of them. It got there in two steps: an 8.6% collapse the session after February's results, when it cut the dividend from 45 fils to 35, and then the war. Five lenses put it between AED 8.14 and AED 11.20, central AED 10.18, and unusually the market-anchored lens sits above the price too — this is not merely a cheap DCF. The counter is capital, not valuation: CET1 at 12.3% against a 12.5% effective floor, a margin still falling and a cost of risk that has already tripled off a benign base. Squeeze both and the buffer is gone and the board cuts again. As for the three-month distribution: there isn't one. The engine failed its calibration gate on this name, we say so on the front page, and we publish no forecast rather than a dressed-up random walk.</w:t>
      </w:r>
    </w:p>
    <w:p>
      <w:r>
        <w:br w:type="page"/>
      </w:r>
    </w:p>
    <w:p>
      <w:pPr>
        <w:spacing w:after="100" w:before="260"/>
      </w:pPr>
      <w:r>
        <w:rPr>
          <w:b/>
          <w:i w:val="0"/>
          <w:color w:val="1C3A36"/>
          <w:sz w:val="26"/>
        </w:rPr>
        <w:t>Appendix A — Financials (3-year history + 5-year model)</w:t>
      </w:r>
    </w:p>
    <w:p>
      <w:pPr>
        <w:spacing w:after="120" w:before="0"/>
      </w:pPr>
      <w:r>
        <w:rPr>
          <w:b w:val="0"/>
          <w:i/>
          <w:sz w:val="18"/>
        </w:rPr>
        <w:t>AED mn unless noted. History from DIB's FY2025 audited consolidated financial statements and its results releases. Forecast lines follow the driver build in §1.6. FY24 is shown BOTH ways — as reported, and normalised for the one-off legacy recovery — per the house dual-framing rule, because the entire growth narrative depends on which base you use.</w:t>
      </w:r>
    </w:p>
    <w:p>
      <w:pPr>
        <w:spacing w:after="80" w:before="200"/>
      </w:pPr>
      <w:r>
        <w:rPr>
          <w:b/>
          <w:i w:val="0"/>
          <w:color w:val="1C3A36"/>
          <w:sz w:val="22"/>
        </w:rPr>
        <w:t>A.1  Income statement</w:t>
      </w:r>
    </w:p>
    <w:tbl>
      <w:tblPr>
        <w:tblStyle w:val="TableGrid"/>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2664"/>
            <w:shd w:val="clear" w:fill="1C3A36"/>
          </w:tcPr>
          <w:p>
            <w:pPr>
              <w:spacing w:after="20" w:before="20"/>
            </w:pPr>
            <w:r/>
            <w:r>
              <w:rPr>
                <w:b/>
                <w:color w:val="FFFFFF"/>
                <w:sz w:val="16"/>
              </w:rPr>
              <w:t>Income statement</w:t>
            </w:r>
          </w:p>
        </w:tc>
        <w:tc>
          <w:tcPr>
            <w:tcW w:type="dxa" w:w="907"/>
            <w:shd w:val="clear" w:fill="1C3A36"/>
          </w:tcPr>
          <w:p>
            <w:pPr>
              <w:spacing w:after="20" w:before="20"/>
              <w:jc w:val="center"/>
            </w:pPr>
            <w:r/>
            <w:r>
              <w:rPr>
                <w:b/>
                <w:color w:val="FFFFFF"/>
                <w:sz w:val="16"/>
              </w:rPr>
              <w:t>FY23</w:t>
            </w:r>
          </w:p>
        </w:tc>
        <w:tc>
          <w:tcPr>
            <w:tcW w:type="dxa" w:w="907"/>
            <w:shd w:val="clear" w:fill="1C3A36"/>
          </w:tcPr>
          <w:p>
            <w:pPr>
              <w:spacing w:after="20" w:before="20"/>
              <w:jc w:val="center"/>
            </w:pPr>
            <w:r/>
            <w:r>
              <w:rPr>
                <w:b/>
                <w:color w:val="FFFFFF"/>
                <w:sz w:val="16"/>
              </w:rPr>
              <w:t>FY24</w:t>
            </w:r>
          </w:p>
        </w:tc>
        <w:tc>
          <w:tcPr>
            <w:tcW w:type="dxa" w:w="907"/>
            <w:shd w:val="clear" w:fill="1C3A36"/>
          </w:tcPr>
          <w:p>
            <w:pPr>
              <w:spacing w:after="20" w:before="20"/>
              <w:jc w:val="center"/>
            </w:pPr>
            <w:r/>
            <w:r>
              <w:rPr>
                <w:b/>
                <w:color w:val="FFFFFF"/>
                <w:sz w:val="16"/>
              </w:rPr>
              <w:t>FY25</w:t>
            </w:r>
          </w:p>
        </w:tc>
        <w:tc>
          <w:tcPr>
            <w:tcW w:type="dxa" w:w="907"/>
            <w:shd w:val="clear" w:fill="1C3A36"/>
          </w:tcPr>
          <w:p>
            <w:pPr>
              <w:spacing w:after="20" w:before="20"/>
              <w:jc w:val="center"/>
            </w:pPr>
            <w:r/>
            <w:r>
              <w:rPr>
                <w:b/>
                <w:color w:val="FFFFFF"/>
                <w:sz w:val="16"/>
              </w:rPr>
              <w:t>FY26E</w:t>
            </w:r>
          </w:p>
        </w:tc>
        <w:tc>
          <w:tcPr>
            <w:tcW w:type="dxa" w:w="907"/>
            <w:shd w:val="clear" w:fill="1C3A36"/>
          </w:tcPr>
          <w:p>
            <w:pPr>
              <w:spacing w:after="20" w:before="20"/>
              <w:jc w:val="center"/>
            </w:pPr>
            <w:r/>
            <w:r>
              <w:rPr>
                <w:b/>
                <w:color w:val="FFFFFF"/>
                <w:sz w:val="16"/>
              </w:rPr>
              <w:t>FY27E</w:t>
            </w:r>
          </w:p>
        </w:tc>
        <w:tc>
          <w:tcPr>
            <w:tcW w:type="dxa" w:w="907"/>
            <w:shd w:val="clear" w:fill="1C3A36"/>
          </w:tcPr>
          <w:p>
            <w:pPr>
              <w:spacing w:after="20" w:before="20"/>
              <w:jc w:val="center"/>
            </w:pPr>
            <w:r/>
            <w:r>
              <w:rPr>
                <w:b/>
                <w:color w:val="FFFFFF"/>
                <w:sz w:val="16"/>
              </w:rPr>
              <w:t>FY28E</w:t>
            </w:r>
          </w:p>
        </w:tc>
        <w:tc>
          <w:tcPr>
            <w:tcW w:type="dxa" w:w="907"/>
            <w:shd w:val="clear" w:fill="1C3A36"/>
          </w:tcPr>
          <w:p>
            <w:pPr>
              <w:spacing w:after="20" w:before="20"/>
              <w:jc w:val="center"/>
            </w:pPr>
            <w:r/>
            <w:r>
              <w:rPr>
                <w:b/>
                <w:color w:val="FFFFFF"/>
                <w:sz w:val="16"/>
              </w:rPr>
              <w:t>FY29E</w:t>
            </w:r>
          </w:p>
        </w:tc>
        <w:tc>
          <w:tcPr>
            <w:tcW w:type="dxa" w:w="907"/>
            <w:shd w:val="clear" w:fill="1C3A36"/>
          </w:tcPr>
          <w:p>
            <w:pPr>
              <w:spacing w:after="20" w:before="20"/>
              <w:jc w:val="center"/>
            </w:pPr>
            <w:r/>
            <w:r>
              <w:rPr>
                <w:b/>
                <w:color w:val="FFFFFF"/>
                <w:sz w:val="16"/>
              </w:rPr>
              <w:t>FY30E</w:t>
            </w:r>
          </w:p>
        </w:tc>
      </w:tr>
      <w:tr>
        <w:tc>
          <w:tcPr>
            <w:tcW w:type="dxa" w:w="2664"/>
          </w:tcPr>
          <w:p>
            <w:pPr>
              <w:spacing w:after="20" w:before="20"/>
            </w:pPr>
            <w:r/>
            <w:r>
              <w:rPr>
                <w:b/>
                <w:sz w:val="16"/>
              </w:rPr>
              <w:t>Funded income (the spread)</w:t>
            </w:r>
          </w:p>
        </w:tc>
        <w:tc>
          <w:tcPr>
            <w:tcW w:type="dxa" w:w="907"/>
          </w:tcPr>
          <w:p>
            <w:pPr>
              <w:spacing w:after="20" w:before="20"/>
              <w:jc w:val="center"/>
            </w:pPr>
            <w:r/>
            <w:r>
              <w:rPr>
                <w:sz w:val="16"/>
              </w:rPr>
              <w:t>—</w:t>
            </w:r>
          </w:p>
        </w:tc>
        <w:tc>
          <w:tcPr>
            <w:tcW w:type="dxa" w:w="907"/>
          </w:tcPr>
          <w:p>
            <w:pPr>
              <w:spacing w:after="20" w:before="20"/>
              <w:jc w:val="center"/>
            </w:pPr>
            <w:r/>
            <w:r>
              <w:rPr>
                <w:sz w:val="16"/>
              </w:rPr>
              <w:t>8,949</w:t>
            </w:r>
          </w:p>
        </w:tc>
        <w:tc>
          <w:tcPr>
            <w:tcW w:type="dxa" w:w="907"/>
          </w:tcPr>
          <w:p>
            <w:pPr>
              <w:spacing w:after="20" w:before="20"/>
              <w:jc w:val="center"/>
            </w:pPr>
            <w:r/>
            <w:r>
              <w:rPr>
                <w:sz w:val="16"/>
              </w:rPr>
              <w:t>8,972</w:t>
            </w:r>
          </w:p>
        </w:tc>
        <w:tc>
          <w:tcPr>
            <w:tcW w:type="dxa" w:w="907"/>
          </w:tcPr>
          <w:p>
            <w:pPr>
              <w:spacing w:after="20" w:before="20"/>
              <w:jc w:val="center"/>
            </w:pPr>
            <w:r/>
            <w:r>
              <w:rPr>
                <w:sz w:val="16"/>
              </w:rPr>
              <w:t>9,114</w:t>
            </w:r>
          </w:p>
        </w:tc>
        <w:tc>
          <w:tcPr>
            <w:tcW w:type="dxa" w:w="907"/>
          </w:tcPr>
          <w:p>
            <w:pPr>
              <w:spacing w:after="20" w:before="20"/>
              <w:jc w:val="center"/>
            </w:pPr>
            <w:r/>
            <w:r>
              <w:rPr>
                <w:sz w:val="16"/>
              </w:rPr>
              <w:t>9,891</w:t>
            </w:r>
          </w:p>
        </w:tc>
        <w:tc>
          <w:tcPr>
            <w:tcW w:type="dxa" w:w="907"/>
          </w:tcPr>
          <w:p>
            <w:pPr>
              <w:spacing w:after="20" w:before="20"/>
              <w:jc w:val="center"/>
            </w:pPr>
            <w:r/>
            <w:r>
              <w:rPr>
                <w:sz w:val="16"/>
              </w:rPr>
              <w:t>10,918</w:t>
            </w:r>
          </w:p>
        </w:tc>
        <w:tc>
          <w:tcPr>
            <w:tcW w:type="dxa" w:w="907"/>
          </w:tcPr>
          <w:p>
            <w:pPr>
              <w:spacing w:after="20" w:before="20"/>
              <w:jc w:val="center"/>
            </w:pPr>
            <w:r/>
            <w:r>
              <w:rPr>
                <w:sz w:val="16"/>
              </w:rPr>
              <w:t>11,995</w:t>
            </w:r>
          </w:p>
        </w:tc>
        <w:tc>
          <w:tcPr>
            <w:tcW w:type="dxa" w:w="907"/>
          </w:tcPr>
          <w:p>
            <w:pPr>
              <w:spacing w:after="20" w:before="20"/>
              <w:jc w:val="center"/>
            </w:pPr>
            <w:r/>
            <w:r>
              <w:rPr>
                <w:sz w:val="16"/>
              </w:rPr>
              <w:t>13,111</w:t>
            </w:r>
          </w:p>
        </w:tc>
      </w:tr>
      <w:tr>
        <w:tc>
          <w:tcPr>
            <w:tcW w:type="dxa" w:w="2664"/>
          </w:tcPr>
          <w:p>
            <w:pPr>
              <w:spacing w:after="20" w:before="20"/>
            </w:pPr>
            <w:r/>
            <w:r>
              <w:rPr>
                <w:b/>
                <w:sz w:val="16"/>
              </w:rPr>
              <w:t>Non-funded income</w:t>
            </w:r>
          </w:p>
        </w:tc>
        <w:tc>
          <w:tcPr>
            <w:tcW w:type="dxa" w:w="907"/>
          </w:tcPr>
          <w:p>
            <w:pPr>
              <w:spacing w:after="20" w:before="20"/>
              <w:jc w:val="center"/>
            </w:pPr>
            <w:r/>
            <w:r>
              <w:rPr>
                <w:sz w:val="16"/>
              </w:rPr>
              <w:t>—</w:t>
            </w:r>
          </w:p>
        </w:tc>
        <w:tc>
          <w:tcPr>
            <w:tcW w:type="dxa" w:w="907"/>
          </w:tcPr>
          <w:p>
            <w:pPr>
              <w:spacing w:after="20" w:before="20"/>
              <w:jc w:val="center"/>
            </w:pPr>
            <w:r/>
            <w:r>
              <w:rPr>
                <w:sz w:val="16"/>
              </w:rPr>
              <w:t>3,887</w:t>
            </w:r>
          </w:p>
        </w:tc>
        <w:tc>
          <w:tcPr>
            <w:tcW w:type="dxa" w:w="907"/>
          </w:tcPr>
          <w:p>
            <w:pPr>
              <w:spacing w:after="20" w:before="20"/>
              <w:jc w:val="center"/>
            </w:pPr>
            <w:r/>
            <w:r>
              <w:rPr>
                <w:sz w:val="16"/>
              </w:rPr>
              <w:t>4,279</w:t>
            </w:r>
          </w:p>
        </w:tc>
        <w:tc>
          <w:tcPr>
            <w:tcW w:type="dxa" w:w="907"/>
          </w:tcPr>
          <w:p>
            <w:pPr>
              <w:spacing w:after="20" w:before="20"/>
              <w:jc w:val="center"/>
            </w:pPr>
            <w:r/>
            <w:r>
              <w:rPr>
                <w:sz w:val="16"/>
              </w:rPr>
              <w:t>4,707</w:t>
            </w:r>
          </w:p>
        </w:tc>
        <w:tc>
          <w:tcPr>
            <w:tcW w:type="dxa" w:w="907"/>
          </w:tcPr>
          <w:p>
            <w:pPr>
              <w:spacing w:after="20" w:before="20"/>
              <w:jc w:val="center"/>
            </w:pPr>
            <w:r/>
            <w:r>
              <w:rPr>
                <w:sz w:val="16"/>
              </w:rPr>
              <w:t>5,036</w:t>
            </w:r>
          </w:p>
        </w:tc>
        <w:tc>
          <w:tcPr>
            <w:tcW w:type="dxa" w:w="907"/>
          </w:tcPr>
          <w:p>
            <w:pPr>
              <w:spacing w:after="20" w:before="20"/>
              <w:jc w:val="center"/>
            </w:pPr>
            <w:r/>
            <w:r>
              <w:rPr>
                <w:sz w:val="16"/>
              </w:rPr>
              <w:t>5,389</w:t>
            </w:r>
          </w:p>
        </w:tc>
        <w:tc>
          <w:tcPr>
            <w:tcW w:type="dxa" w:w="907"/>
          </w:tcPr>
          <w:p>
            <w:pPr>
              <w:spacing w:after="20" w:before="20"/>
              <w:jc w:val="center"/>
            </w:pPr>
            <w:r/>
            <w:r>
              <w:rPr>
                <w:sz w:val="16"/>
              </w:rPr>
              <w:t>5,766</w:t>
            </w:r>
          </w:p>
        </w:tc>
        <w:tc>
          <w:tcPr>
            <w:tcW w:type="dxa" w:w="907"/>
          </w:tcPr>
          <w:p>
            <w:pPr>
              <w:spacing w:after="20" w:before="20"/>
              <w:jc w:val="center"/>
            </w:pPr>
            <w:r/>
            <w:r>
              <w:rPr>
                <w:sz w:val="16"/>
              </w:rPr>
              <w:t>6,170</w:t>
            </w:r>
          </w:p>
        </w:tc>
      </w:tr>
      <w:tr>
        <w:tc>
          <w:tcPr>
            <w:tcW w:type="dxa" w:w="2664"/>
          </w:tcPr>
          <w:p>
            <w:pPr>
              <w:spacing w:after="20" w:before="20"/>
            </w:pPr>
            <w:r/>
            <w:r>
              <w:rPr>
                <w:b/>
                <w:sz w:val="16"/>
              </w:rPr>
              <w:t>Operating revenue</w:t>
            </w:r>
          </w:p>
        </w:tc>
        <w:tc>
          <w:tcPr>
            <w:tcW w:type="dxa" w:w="907"/>
          </w:tcPr>
          <w:p>
            <w:pPr>
              <w:spacing w:after="20" w:before="20"/>
              <w:jc w:val="center"/>
            </w:pPr>
            <w:r/>
            <w:r>
              <w:rPr>
                <w:b/>
                <w:sz w:val="16"/>
              </w:rPr>
              <w:t>11,665</w:t>
            </w:r>
          </w:p>
        </w:tc>
        <w:tc>
          <w:tcPr>
            <w:tcW w:type="dxa" w:w="907"/>
          </w:tcPr>
          <w:p>
            <w:pPr>
              <w:spacing w:after="20" w:before="20"/>
              <w:jc w:val="center"/>
            </w:pPr>
            <w:r/>
            <w:r>
              <w:rPr>
                <w:b/>
                <w:sz w:val="16"/>
              </w:rPr>
              <w:t>12,837</w:t>
            </w:r>
          </w:p>
        </w:tc>
        <w:tc>
          <w:tcPr>
            <w:tcW w:type="dxa" w:w="907"/>
          </w:tcPr>
          <w:p>
            <w:pPr>
              <w:spacing w:after="20" w:before="20"/>
              <w:jc w:val="center"/>
            </w:pPr>
            <w:r/>
            <w:r>
              <w:rPr>
                <w:b/>
                <w:sz w:val="16"/>
              </w:rPr>
              <w:t>13,251</w:t>
            </w:r>
          </w:p>
        </w:tc>
        <w:tc>
          <w:tcPr>
            <w:tcW w:type="dxa" w:w="907"/>
          </w:tcPr>
          <w:p>
            <w:pPr>
              <w:spacing w:after="20" w:before="20"/>
              <w:jc w:val="center"/>
            </w:pPr>
            <w:r/>
            <w:r>
              <w:rPr>
                <w:b/>
                <w:sz w:val="16"/>
              </w:rPr>
              <w:t>13,821</w:t>
            </w:r>
          </w:p>
        </w:tc>
        <w:tc>
          <w:tcPr>
            <w:tcW w:type="dxa" w:w="907"/>
          </w:tcPr>
          <w:p>
            <w:pPr>
              <w:spacing w:after="20" w:before="20"/>
              <w:jc w:val="center"/>
            </w:pPr>
            <w:r/>
            <w:r>
              <w:rPr>
                <w:b/>
                <w:sz w:val="16"/>
              </w:rPr>
              <w:t>14,928</w:t>
            </w:r>
          </w:p>
        </w:tc>
        <w:tc>
          <w:tcPr>
            <w:tcW w:type="dxa" w:w="907"/>
          </w:tcPr>
          <w:p>
            <w:pPr>
              <w:spacing w:after="20" w:before="20"/>
              <w:jc w:val="center"/>
            </w:pPr>
            <w:r/>
            <w:r>
              <w:rPr>
                <w:b/>
                <w:sz w:val="16"/>
              </w:rPr>
              <w:t>16,307</w:t>
            </w:r>
          </w:p>
        </w:tc>
        <w:tc>
          <w:tcPr>
            <w:tcW w:type="dxa" w:w="907"/>
          </w:tcPr>
          <w:p>
            <w:pPr>
              <w:spacing w:after="20" w:before="20"/>
              <w:jc w:val="center"/>
            </w:pPr>
            <w:r/>
            <w:r>
              <w:rPr>
                <w:b/>
                <w:sz w:val="16"/>
              </w:rPr>
              <w:t>17,761</w:t>
            </w:r>
          </w:p>
        </w:tc>
        <w:tc>
          <w:tcPr>
            <w:tcW w:type="dxa" w:w="907"/>
          </w:tcPr>
          <w:p>
            <w:pPr>
              <w:spacing w:after="20" w:before="20"/>
              <w:jc w:val="center"/>
            </w:pPr>
            <w:r/>
            <w:r>
              <w:rPr>
                <w:b/>
                <w:sz w:val="16"/>
              </w:rPr>
              <w:t>19,281</w:t>
            </w:r>
          </w:p>
        </w:tc>
      </w:tr>
      <w:tr>
        <w:tc>
          <w:tcPr>
            <w:tcW w:type="dxa" w:w="2664"/>
          </w:tcPr>
          <w:p>
            <w:pPr>
              <w:spacing w:after="20" w:before="20"/>
            </w:pPr>
            <w:r/>
            <w:r>
              <w:rPr>
                <w:b/>
                <w:sz w:val="16"/>
              </w:rPr>
              <w:t>Operating expenses</w:t>
            </w:r>
          </w:p>
        </w:tc>
        <w:tc>
          <w:tcPr>
            <w:tcW w:type="dxa" w:w="907"/>
          </w:tcPr>
          <w:p>
            <w:pPr>
              <w:spacing w:after="20" w:before="20"/>
              <w:jc w:val="center"/>
            </w:pPr>
            <w:r/>
            <w:r>
              <w:rPr>
                <w:sz w:val="16"/>
              </w:rPr>
              <w:t>-3,161</w:t>
            </w:r>
          </w:p>
        </w:tc>
        <w:tc>
          <w:tcPr>
            <w:tcW w:type="dxa" w:w="907"/>
          </w:tcPr>
          <w:p>
            <w:pPr>
              <w:spacing w:after="20" w:before="20"/>
              <w:jc w:val="center"/>
            </w:pPr>
            <w:r/>
            <w:r>
              <w:rPr>
                <w:sz w:val="16"/>
              </w:rPr>
              <w:t>-3,425</w:t>
            </w:r>
          </w:p>
        </w:tc>
        <w:tc>
          <w:tcPr>
            <w:tcW w:type="dxa" w:w="907"/>
          </w:tcPr>
          <w:p>
            <w:pPr>
              <w:spacing w:after="20" w:before="20"/>
              <w:jc w:val="center"/>
            </w:pPr>
            <w:r/>
            <w:r>
              <w:rPr>
                <w:sz w:val="16"/>
              </w:rPr>
              <w:t>-3,763</w:t>
            </w:r>
          </w:p>
        </w:tc>
        <w:tc>
          <w:tcPr>
            <w:tcW w:type="dxa" w:w="907"/>
          </w:tcPr>
          <w:p>
            <w:pPr>
              <w:spacing w:after="20" w:before="20"/>
              <w:jc w:val="center"/>
            </w:pPr>
            <w:r/>
            <w:r>
              <w:rPr>
                <w:sz w:val="16"/>
              </w:rPr>
              <w:t>-3,870</w:t>
            </w:r>
          </w:p>
        </w:tc>
        <w:tc>
          <w:tcPr>
            <w:tcW w:type="dxa" w:w="907"/>
          </w:tcPr>
          <w:p>
            <w:pPr>
              <w:spacing w:after="20" w:before="20"/>
              <w:jc w:val="center"/>
            </w:pPr>
            <w:r/>
            <w:r>
              <w:rPr>
                <w:sz w:val="16"/>
              </w:rPr>
              <w:t>-4,150</w:t>
            </w:r>
          </w:p>
        </w:tc>
        <w:tc>
          <w:tcPr>
            <w:tcW w:type="dxa" w:w="907"/>
          </w:tcPr>
          <w:p>
            <w:pPr>
              <w:spacing w:after="20" w:before="20"/>
              <w:jc w:val="center"/>
            </w:pPr>
            <w:r/>
            <w:r>
              <w:rPr>
                <w:sz w:val="16"/>
              </w:rPr>
              <w:t>-4,484</w:t>
            </w:r>
          </w:p>
        </w:tc>
        <w:tc>
          <w:tcPr>
            <w:tcW w:type="dxa" w:w="907"/>
          </w:tcPr>
          <w:p>
            <w:pPr>
              <w:spacing w:after="20" w:before="20"/>
              <w:jc w:val="center"/>
            </w:pPr>
            <w:r/>
            <w:r>
              <w:rPr>
                <w:sz w:val="16"/>
              </w:rPr>
              <w:t>-4,849</w:t>
            </w:r>
          </w:p>
        </w:tc>
        <w:tc>
          <w:tcPr>
            <w:tcW w:type="dxa" w:w="907"/>
          </w:tcPr>
          <w:p>
            <w:pPr>
              <w:spacing w:after="20" w:before="20"/>
              <w:jc w:val="center"/>
            </w:pPr>
            <w:r/>
            <w:r>
              <w:rPr>
                <w:sz w:val="16"/>
              </w:rPr>
              <w:t>-5,206</w:t>
            </w:r>
          </w:p>
        </w:tc>
      </w:tr>
      <w:tr>
        <w:tc>
          <w:tcPr>
            <w:tcW w:type="dxa" w:w="2664"/>
          </w:tcPr>
          <w:p>
            <w:pPr>
              <w:spacing w:after="20" w:before="20"/>
            </w:pPr>
            <w:r/>
            <w:r>
              <w:rPr>
                <w:b/>
                <w:sz w:val="16"/>
              </w:rPr>
              <w:t>Pre-provision operating profit</w:t>
            </w:r>
          </w:p>
        </w:tc>
        <w:tc>
          <w:tcPr>
            <w:tcW w:type="dxa" w:w="907"/>
          </w:tcPr>
          <w:p>
            <w:pPr>
              <w:spacing w:after="20" w:before="20"/>
              <w:jc w:val="center"/>
            </w:pPr>
            <w:r/>
            <w:r>
              <w:rPr>
                <w:b/>
                <w:sz w:val="16"/>
              </w:rPr>
              <w:t>8,504</w:t>
            </w:r>
          </w:p>
        </w:tc>
        <w:tc>
          <w:tcPr>
            <w:tcW w:type="dxa" w:w="907"/>
          </w:tcPr>
          <w:p>
            <w:pPr>
              <w:spacing w:after="20" w:before="20"/>
              <w:jc w:val="center"/>
            </w:pPr>
            <w:r/>
            <w:r>
              <w:rPr>
                <w:b/>
                <w:sz w:val="16"/>
              </w:rPr>
              <w:t>9,412</w:t>
            </w:r>
          </w:p>
        </w:tc>
        <w:tc>
          <w:tcPr>
            <w:tcW w:type="dxa" w:w="907"/>
          </w:tcPr>
          <w:p>
            <w:pPr>
              <w:spacing w:after="20" w:before="20"/>
              <w:jc w:val="center"/>
            </w:pPr>
            <w:r/>
            <w:r>
              <w:rPr>
                <w:b/>
                <w:sz w:val="16"/>
              </w:rPr>
              <w:t>9,488</w:t>
            </w:r>
          </w:p>
        </w:tc>
        <w:tc>
          <w:tcPr>
            <w:tcW w:type="dxa" w:w="907"/>
          </w:tcPr>
          <w:p>
            <w:pPr>
              <w:spacing w:after="20" w:before="20"/>
              <w:jc w:val="center"/>
            </w:pPr>
            <w:r/>
            <w:r>
              <w:rPr>
                <w:b/>
                <w:sz w:val="16"/>
              </w:rPr>
              <w:t>9,951</w:t>
            </w:r>
          </w:p>
        </w:tc>
        <w:tc>
          <w:tcPr>
            <w:tcW w:type="dxa" w:w="907"/>
          </w:tcPr>
          <w:p>
            <w:pPr>
              <w:spacing w:after="20" w:before="20"/>
              <w:jc w:val="center"/>
            </w:pPr>
            <w:r/>
            <w:r>
              <w:rPr>
                <w:b/>
                <w:sz w:val="16"/>
              </w:rPr>
              <w:t>10,778</w:t>
            </w:r>
          </w:p>
        </w:tc>
        <w:tc>
          <w:tcPr>
            <w:tcW w:type="dxa" w:w="907"/>
          </w:tcPr>
          <w:p>
            <w:pPr>
              <w:spacing w:after="20" w:before="20"/>
              <w:jc w:val="center"/>
            </w:pPr>
            <w:r/>
            <w:r>
              <w:rPr>
                <w:b/>
                <w:sz w:val="16"/>
              </w:rPr>
              <w:t>11,823</w:t>
            </w:r>
          </w:p>
        </w:tc>
        <w:tc>
          <w:tcPr>
            <w:tcW w:type="dxa" w:w="907"/>
          </w:tcPr>
          <w:p>
            <w:pPr>
              <w:spacing w:after="20" w:before="20"/>
              <w:jc w:val="center"/>
            </w:pPr>
            <w:r/>
            <w:r>
              <w:rPr>
                <w:b/>
                <w:sz w:val="16"/>
              </w:rPr>
              <w:t>12,912</w:t>
            </w:r>
          </w:p>
        </w:tc>
        <w:tc>
          <w:tcPr>
            <w:tcW w:type="dxa" w:w="907"/>
          </w:tcPr>
          <w:p>
            <w:pPr>
              <w:spacing w:after="20" w:before="20"/>
              <w:jc w:val="center"/>
            </w:pPr>
            <w:r/>
            <w:r>
              <w:rPr>
                <w:b/>
                <w:sz w:val="16"/>
              </w:rPr>
              <w:t>14,075</w:t>
            </w:r>
          </w:p>
        </w:tc>
      </w:tr>
      <w:tr>
        <w:tc>
          <w:tcPr>
            <w:tcW w:type="dxa" w:w="2664"/>
          </w:tcPr>
          <w:p>
            <w:pPr>
              <w:spacing w:after="20" w:before="20"/>
            </w:pPr>
            <w:r/>
            <w:r>
              <w:rPr>
                <w:b/>
                <w:sz w:val="16"/>
              </w:rPr>
              <w:t>Impairment charge (net)</w:t>
            </w:r>
          </w:p>
        </w:tc>
        <w:tc>
          <w:tcPr>
            <w:tcW w:type="dxa" w:w="907"/>
          </w:tcPr>
          <w:p>
            <w:pPr>
              <w:spacing w:after="20" w:before="20"/>
              <w:jc w:val="center"/>
            </w:pPr>
            <w:r/>
            <w:r>
              <w:rPr>
                <w:sz w:val="16"/>
              </w:rPr>
              <w:t>-1,396</w:t>
            </w:r>
          </w:p>
        </w:tc>
        <w:tc>
          <w:tcPr>
            <w:tcW w:type="dxa" w:w="907"/>
          </w:tcPr>
          <w:p>
            <w:pPr>
              <w:spacing w:after="20" w:before="20"/>
              <w:jc w:val="center"/>
            </w:pPr>
            <w:r/>
            <w:r>
              <w:rPr>
                <w:sz w:val="16"/>
              </w:rPr>
              <w:t>-407</w:t>
            </w:r>
          </w:p>
        </w:tc>
        <w:tc>
          <w:tcPr>
            <w:tcW w:type="dxa" w:w="907"/>
          </w:tcPr>
          <w:p>
            <w:pPr>
              <w:spacing w:after="20" w:before="20"/>
              <w:jc w:val="center"/>
            </w:pPr>
            <w:r/>
            <w:r>
              <w:rPr>
                <w:sz w:val="16"/>
              </w:rPr>
              <w:t>-485</w:t>
            </w:r>
          </w:p>
        </w:tc>
        <w:tc>
          <w:tcPr>
            <w:tcW w:type="dxa" w:w="907"/>
          </w:tcPr>
          <w:p>
            <w:pPr>
              <w:spacing w:after="20" w:before="20"/>
              <w:jc w:val="center"/>
            </w:pPr>
            <w:r/>
            <w:r>
              <w:rPr>
                <w:sz w:val="16"/>
              </w:rPr>
              <w:t>-1,666</w:t>
            </w:r>
          </w:p>
        </w:tc>
        <w:tc>
          <w:tcPr>
            <w:tcW w:type="dxa" w:w="907"/>
          </w:tcPr>
          <w:p>
            <w:pPr>
              <w:spacing w:after="20" w:before="20"/>
              <w:jc w:val="center"/>
            </w:pPr>
            <w:r/>
            <w:r>
              <w:rPr>
                <w:sz w:val="16"/>
              </w:rPr>
              <w:t>-1,824</w:t>
            </w:r>
          </w:p>
        </w:tc>
        <w:tc>
          <w:tcPr>
            <w:tcW w:type="dxa" w:w="907"/>
          </w:tcPr>
          <w:p>
            <w:pPr>
              <w:spacing w:after="20" w:before="20"/>
              <w:jc w:val="center"/>
            </w:pPr>
            <w:r/>
            <w:r>
              <w:rPr>
                <w:sz w:val="16"/>
              </w:rPr>
              <w:t>-1,759</w:t>
            </w:r>
          </w:p>
        </w:tc>
        <w:tc>
          <w:tcPr>
            <w:tcW w:type="dxa" w:w="907"/>
          </w:tcPr>
          <w:p>
            <w:pPr>
              <w:spacing w:after="20" w:before="20"/>
              <w:jc w:val="center"/>
            </w:pPr>
            <w:r/>
            <w:r>
              <w:rPr>
                <w:sz w:val="16"/>
              </w:rPr>
              <w:t>-1,662</w:t>
            </w:r>
          </w:p>
        </w:tc>
        <w:tc>
          <w:tcPr>
            <w:tcW w:type="dxa" w:w="907"/>
          </w:tcPr>
          <w:p>
            <w:pPr>
              <w:spacing w:after="20" w:before="20"/>
              <w:jc w:val="center"/>
            </w:pPr>
            <w:r/>
            <w:r>
              <w:rPr>
                <w:sz w:val="16"/>
              </w:rPr>
              <w:t>-1,787</w:t>
            </w:r>
          </w:p>
        </w:tc>
      </w:tr>
      <w:tr>
        <w:tc>
          <w:tcPr>
            <w:tcW w:type="dxa" w:w="2664"/>
          </w:tcPr>
          <w:p>
            <w:pPr>
              <w:spacing w:after="20" w:before="20"/>
            </w:pPr>
            <w:r/>
            <w:r>
              <w:rPr>
                <w:b/>
                <w:sz w:val="16"/>
              </w:rPr>
              <w:t>Profit before tax</w:t>
            </w:r>
          </w:p>
        </w:tc>
        <w:tc>
          <w:tcPr>
            <w:tcW w:type="dxa" w:w="907"/>
          </w:tcPr>
          <w:p>
            <w:pPr>
              <w:spacing w:after="20" w:before="20"/>
              <w:jc w:val="center"/>
            </w:pPr>
            <w:r/>
            <w:r>
              <w:rPr>
                <w:b/>
                <w:sz w:val="16"/>
              </w:rPr>
              <w:t>7,108</w:t>
            </w:r>
          </w:p>
        </w:tc>
        <w:tc>
          <w:tcPr>
            <w:tcW w:type="dxa" w:w="907"/>
          </w:tcPr>
          <w:p>
            <w:pPr>
              <w:spacing w:after="20" w:before="20"/>
              <w:jc w:val="center"/>
            </w:pPr>
            <w:r/>
            <w:r>
              <w:rPr>
                <w:b/>
                <w:sz w:val="16"/>
              </w:rPr>
              <w:t>9,005</w:t>
            </w:r>
          </w:p>
        </w:tc>
        <w:tc>
          <w:tcPr>
            <w:tcW w:type="dxa" w:w="907"/>
          </w:tcPr>
          <w:p>
            <w:pPr>
              <w:spacing w:after="20" w:before="20"/>
              <w:jc w:val="center"/>
            </w:pPr>
            <w:r/>
            <w:r>
              <w:rPr>
                <w:b/>
                <w:sz w:val="16"/>
              </w:rPr>
              <w:t>9,003</w:t>
            </w:r>
          </w:p>
        </w:tc>
        <w:tc>
          <w:tcPr>
            <w:tcW w:type="dxa" w:w="907"/>
          </w:tcPr>
          <w:p>
            <w:pPr>
              <w:spacing w:after="20" w:before="20"/>
              <w:jc w:val="center"/>
            </w:pPr>
            <w:r/>
            <w:r>
              <w:rPr>
                <w:b/>
                <w:sz w:val="16"/>
              </w:rPr>
              <w:t>8,285</w:t>
            </w:r>
          </w:p>
        </w:tc>
        <w:tc>
          <w:tcPr>
            <w:tcW w:type="dxa" w:w="907"/>
          </w:tcPr>
          <w:p>
            <w:pPr>
              <w:spacing w:after="20" w:before="20"/>
              <w:jc w:val="center"/>
            </w:pPr>
            <w:r/>
            <w:r>
              <w:rPr>
                <w:b/>
                <w:sz w:val="16"/>
              </w:rPr>
              <w:t>8,954</w:t>
            </w:r>
          </w:p>
        </w:tc>
        <w:tc>
          <w:tcPr>
            <w:tcW w:type="dxa" w:w="907"/>
          </w:tcPr>
          <w:p>
            <w:pPr>
              <w:spacing w:after="20" w:before="20"/>
              <w:jc w:val="center"/>
            </w:pPr>
            <w:r/>
            <w:r>
              <w:rPr>
                <w:b/>
                <w:sz w:val="16"/>
              </w:rPr>
              <w:t>10,064</w:t>
            </w:r>
          </w:p>
        </w:tc>
        <w:tc>
          <w:tcPr>
            <w:tcW w:type="dxa" w:w="907"/>
          </w:tcPr>
          <w:p>
            <w:pPr>
              <w:spacing w:after="20" w:before="20"/>
              <w:jc w:val="center"/>
            </w:pPr>
            <w:r/>
            <w:r>
              <w:rPr>
                <w:b/>
                <w:sz w:val="16"/>
              </w:rPr>
              <w:t>11,250</w:t>
            </w:r>
          </w:p>
        </w:tc>
        <w:tc>
          <w:tcPr>
            <w:tcW w:type="dxa" w:w="907"/>
          </w:tcPr>
          <w:p>
            <w:pPr>
              <w:spacing w:after="20" w:before="20"/>
              <w:jc w:val="center"/>
            </w:pPr>
            <w:r/>
            <w:r>
              <w:rPr>
                <w:b/>
                <w:sz w:val="16"/>
              </w:rPr>
              <w:t>12,288</w:t>
            </w:r>
          </w:p>
        </w:tc>
      </w:tr>
      <w:tr>
        <w:tc>
          <w:tcPr>
            <w:tcW w:type="dxa" w:w="2664"/>
          </w:tcPr>
          <w:p>
            <w:pPr>
              <w:spacing w:after="20" w:before="20"/>
            </w:pPr>
            <w:r/>
            <w:r>
              <w:rPr>
                <w:b/>
                <w:sz w:val="16"/>
              </w:rPr>
              <w:t>Tax</w:t>
            </w:r>
          </w:p>
        </w:tc>
        <w:tc>
          <w:tcPr>
            <w:tcW w:type="dxa" w:w="907"/>
          </w:tcPr>
          <w:p>
            <w:pPr>
              <w:spacing w:after="20" w:before="20"/>
              <w:jc w:val="center"/>
            </w:pPr>
            <w:r/>
            <w:r>
              <w:rPr>
                <w:sz w:val="16"/>
              </w:rPr>
              <w:t>-98</w:t>
            </w:r>
          </w:p>
        </w:tc>
        <w:tc>
          <w:tcPr>
            <w:tcW w:type="dxa" w:w="907"/>
          </w:tcPr>
          <w:p>
            <w:pPr>
              <w:spacing w:after="20" w:before="20"/>
              <w:jc w:val="center"/>
            </w:pPr>
            <w:r/>
            <w:r>
              <w:rPr>
                <w:sz w:val="16"/>
              </w:rPr>
              <w:t>-840</w:t>
            </w:r>
          </w:p>
        </w:tc>
        <w:tc>
          <w:tcPr>
            <w:tcW w:type="dxa" w:w="907"/>
          </w:tcPr>
          <w:p>
            <w:pPr>
              <w:spacing w:after="20" w:before="20"/>
              <w:jc w:val="center"/>
            </w:pPr>
            <w:r/>
            <w:r>
              <w:rPr>
                <w:sz w:val="16"/>
              </w:rPr>
              <w:t>-1,195</w:t>
            </w:r>
          </w:p>
        </w:tc>
        <w:tc>
          <w:tcPr>
            <w:tcW w:type="dxa" w:w="907"/>
          </w:tcPr>
          <w:p>
            <w:pPr>
              <w:spacing w:after="20" w:before="20"/>
              <w:jc w:val="center"/>
            </w:pPr>
            <w:r/>
            <w:r>
              <w:rPr>
                <w:sz w:val="16"/>
              </w:rPr>
              <w:t>-1,243</w:t>
            </w:r>
          </w:p>
        </w:tc>
        <w:tc>
          <w:tcPr>
            <w:tcW w:type="dxa" w:w="907"/>
          </w:tcPr>
          <w:p>
            <w:pPr>
              <w:spacing w:after="20" w:before="20"/>
              <w:jc w:val="center"/>
            </w:pPr>
            <w:r/>
            <w:r>
              <w:rPr>
                <w:sz w:val="16"/>
              </w:rPr>
              <w:t>-1,343</w:t>
            </w:r>
          </w:p>
        </w:tc>
        <w:tc>
          <w:tcPr>
            <w:tcW w:type="dxa" w:w="907"/>
          </w:tcPr>
          <w:p>
            <w:pPr>
              <w:spacing w:after="20" w:before="20"/>
              <w:jc w:val="center"/>
            </w:pPr>
            <w:r/>
            <w:r>
              <w:rPr>
                <w:sz w:val="16"/>
              </w:rPr>
              <w:t>-1,510</w:t>
            </w:r>
          </w:p>
        </w:tc>
        <w:tc>
          <w:tcPr>
            <w:tcW w:type="dxa" w:w="907"/>
          </w:tcPr>
          <w:p>
            <w:pPr>
              <w:spacing w:after="20" w:before="20"/>
              <w:jc w:val="center"/>
            </w:pPr>
            <w:r/>
            <w:r>
              <w:rPr>
                <w:sz w:val="16"/>
              </w:rPr>
              <w:t>-1,688</w:t>
            </w:r>
          </w:p>
        </w:tc>
        <w:tc>
          <w:tcPr>
            <w:tcW w:type="dxa" w:w="907"/>
          </w:tcPr>
          <w:p>
            <w:pPr>
              <w:spacing w:after="20" w:before="20"/>
              <w:jc w:val="center"/>
            </w:pPr>
            <w:r/>
            <w:r>
              <w:rPr>
                <w:sz w:val="16"/>
              </w:rPr>
              <w:t>-1,843</w:t>
            </w:r>
          </w:p>
        </w:tc>
      </w:tr>
      <w:tr>
        <w:tc>
          <w:tcPr>
            <w:tcW w:type="dxa" w:w="2664"/>
          </w:tcPr>
          <w:p>
            <w:pPr>
              <w:spacing w:after="20" w:before="20"/>
            </w:pPr>
            <w:r/>
            <w:r>
              <w:rPr>
                <w:b/>
                <w:sz w:val="16"/>
              </w:rPr>
              <w:t>Net profit after tax</w:t>
            </w:r>
          </w:p>
        </w:tc>
        <w:tc>
          <w:tcPr>
            <w:tcW w:type="dxa" w:w="907"/>
          </w:tcPr>
          <w:p>
            <w:pPr>
              <w:spacing w:after="20" w:before="20"/>
              <w:jc w:val="center"/>
            </w:pPr>
            <w:r/>
            <w:r>
              <w:rPr>
                <w:b/>
                <w:sz w:val="16"/>
              </w:rPr>
              <w:t>7,010</w:t>
            </w:r>
          </w:p>
        </w:tc>
        <w:tc>
          <w:tcPr>
            <w:tcW w:type="dxa" w:w="907"/>
          </w:tcPr>
          <w:p>
            <w:pPr>
              <w:spacing w:after="20" w:before="20"/>
              <w:jc w:val="center"/>
            </w:pPr>
            <w:r/>
            <w:r>
              <w:rPr>
                <w:b/>
                <w:sz w:val="16"/>
              </w:rPr>
              <w:t>8,165</w:t>
            </w:r>
          </w:p>
        </w:tc>
        <w:tc>
          <w:tcPr>
            <w:tcW w:type="dxa" w:w="907"/>
          </w:tcPr>
          <w:p>
            <w:pPr>
              <w:spacing w:after="20" w:before="20"/>
              <w:jc w:val="center"/>
            </w:pPr>
            <w:r/>
            <w:r>
              <w:rPr>
                <w:b/>
                <w:sz w:val="16"/>
              </w:rPr>
              <w:t>7,808</w:t>
            </w:r>
          </w:p>
        </w:tc>
        <w:tc>
          <w:tcPr>
            <w:tcW w:type="dxa" w:w="907"/>
          </w:tcPr>
          <w:p>
            <w:pPr>
              <w:spacing w:after="20" w:before="20"/>
              <w:jc w:val="center"/>
            </w:pPr>
            <w:r/>
            <w:r>
              <w:rPr>
                <w:b/>
                <w:sz w:val="16"/>
              </w:rPr>
              <w:t>7,042</w:t>
            </w:r>
          </w:p>
        </w:tc>
        <w:tc>
          <w:tcPr>
            <w:tcW w:type="dxa" w:w="907"/>
          </w:tcPr>
          <w:p>
            <w:pPr>
              <w:spacing w:after="20" w:before="20"/>
              <w:jc w:val="center"/>
            </w:pPr>
            <w:r/>
            <w:r>
              <w:rPr>
                <w:b/>
                <w:sz w:val="16"/>
              </w:rPr>
              <w:t>7,611</w:t>
            </w:r>
          </w:p>
        </w:tc>
        <w:tc>
          <w:tcPr>
            <w:tcW w:type="dxa" w:w="907"/>
          </w:tcPr>
          <w:p>
            <w:pPr>
              <w:spacing w:after="20" w:before="20"/>
              <w:jc w:val="center"/>
            </w:pPr>
            <w:r/>
            <w:r>
              <w:rPr>
                <w:b/>
                <w:sz w:val="16"/>
              </w:rPr>
              <w:t>8,554</w:t>
            </w:r>
          </w:p>
        </w:tc>
        <w:tc>
          <w:tcPr>
            <w:tcW w:type="dxa" w:w="907"/>
          </w:tcPr>
          <w:p>
            <w:pPr>
              <w:spacing w:after="20" w:before="20"/>
              <w:jc w:val="center"/>
            </w:pPr>
            <w:r/>
            <w:r>
              <w:rPr>
                <w:b/>
                <w:sz w:val="16"/>
              </w:rPr>
              <w:t>9,563</w:t>
            </w:r>
          </w:p>
        </w:tc>
        <w:tc>
          <w:tcPr>
            <w:tcW w:type="dxa" w:w="907"/>
          </w:tcPr>
          <w:p>
            <w:pPr>
              <w:spacing w:after="20" w:before="20"/>
              <w:jc w:val="center"/>
            </w:pPr>
            <w:r/>
            <w:r>
              <w:rPr>
                <w:b/>
                <w:sz w:val="16"/>
              </w:rPr>
              <w:t>10,445</w:t>
            </w:r>
          </w:p>
        </w:tc>
      </w:tr>
      <w:tr>
        <w:tc>
          <w:tcPr>
            <w:tcW w:type="dxa" w:w="2664"/>
          </w:tcPr>
          <w:p>
            <w:pPr>
              <w:spacing w:after="20" w:before="20"/>
            </w:pPr>
            <w:r/>
            <w:r>
              <w:rPr>
                <w:b/>
                <w:sz w:val="16"/>
              </w:rPr>
              <w:t>less: non-controlling interests</w:t>
            </w:r>
          </w:p>
        </w:tc>
        <w:tc>
          <w:tcPr>
            <w:tcW w:type="dxa" w:w="907"/>
          </w:tcPr>
          <w:p>
            <w:pPr>
              <w:spacing w:after="20" w:before="20"/>
              <w:jc w:val="center"/>
            </w:pPr>
            <w:r/>
            <w:r>
              <w:rPr>
                <w:sz w:val="16"/>
              </w:rPr>
              <w:t>-200</w:t>
            </w:r>
          </w:p>
        </w:tc>
        <w:tc>
          <w:tcPr>
            <w:tcW w:type="dxa" w:w="907"/>
          </w:tcPr>
          <w:p>
            <w:pPr>
              <w:spacing w:after="20" w:before="20"/>
              <w:jc w:val="center"/>
            </w:pPr>
            <w:r/>
            <w:r>
              <w:rPr>
                <w:sz w:val="16"/>
              </w:rPr>
              <w:t>-231</w:t>
            </w:r>
          </w:p>
        </w:tc>
        <w:tc>
          <w:tcPr>
            <w:tcW w:type="dxa" w:w="907"/>
          </w:tcPr>
          <w:p>
            <w:pPr>
              <w:spacing w:after="20" w:before="20"/>
              <w:jc w:val="center"/>
            </w:pPr>
            <w:r/>
            <w:r>
              <w:rPr>
                <w:sz w:val="16"/>
              </w:rPr>
              <w:t>-308</w:t>
            </w:r>
          </w:p>
        </w:tc>
        <w:tc>
          <w:tcPr>
            <w:tcW w:type="dxa" w:w="907"/>
          </w:tcPr>
          <w:p>
            <w:pPr>
              <w:spacing w:after="20" w:before="20"/>
              <w:jc w:val="center"/>
            </w:pPr>
            <w:r/>
            <w:r>
              <w:rPr>
                <w:sz w:val="16"/>
              </w:rPr>
              <w:t>-278</w:t>
            </w:r>
          </w:p>
        </w:tc>
        <w:tc>
          <w:tcPr>
            <w:tcW w:type="dxa" w:w="907"/>
          </w:tcPr>
          <w:p>
            <w:pPr>
              <w:spacing w:after="20" w:before="20"/>
              <w:jc w:val="center"/>
            </w:pPr>
            <w:r/>
            <w:r>
              <w:rPr>
                <w:sz w:val="16"/>
              </w:rPr>
              <w:t>-300</w:t>
            </w:r>
          </w:p>
        </w:tc>
        <w:tc>
          <w:tcPr>
            <w:tcW w:type="dxa" w:w="907"/>
          </w:tcPr>
          <w:p>
            <w:pPr>
              <w:spacing w:after="20" w:before="20"/>
              <w:jc w:val="center"/>
            </w:pPr>
            <w:r/>
            <w:r>
              <w:rPr>
                <w:sz w:val="16"/>
              </w:rPr>
              <w:t>-337</w:t>
            </w:r>
          </w:p>
        </w:tc>
        <w:tc>
          <w:tcPr>
            <w:tcW w:type="dxa" w:w="907"/>
          </w:tcPr>
          <w:p>
            <w:pPr>
              <w:spacing w:after="20" w:before="20"/>
              <w:jc w:val="center"/>
            </w:pPr>
            <w:r/>
            <w:r>
              <w:rPr>
                <w:sz w:val="16"/>
              </w:rPr>
              <w:t>-377</w:t>
            </w:r>
          </w:p>
        </w:tc>
        <w:tc>
          <w:tcPr>
            <w:tcW w:type="dxa" w:w="907"/>
          </w:tcPr>
          <w:p>
            <w:pPr>
              <w:spacing w:after="20" w:before="20"/>
              <w:jc w:val="center"/>
            </w:pPr>
            <w:r/>
            <w:r>
              <w:rPr>
                <w:sz w:val="16"/>
              </w:rPr>
              <w:t>-412</w:t>
            </w:r>
          </w:p>
        </w:tc>
      </w:tr>
      <w:tr>
        <w:tc>
          <w:tcPr>
            <w:tcW w:type="dxa" w:w="2664"/>
          </w:tcPr>
          <w:p>
            <w:pPr>
              <w:spacing w:after="20" w:before="20"/>
            </w:pPr>
            <w:r/>
            <w:r>
              <w:rPr>
                <w:b/>
                <w:sz w:val="16"/>
              </w:rPr>
              <w:t>less: AT1 sukuk distributions</w:t>
            </w:r>
          </w:p>
        </w:tc>
        <w:tc>
          <w:tcPr>
            <w:tcW w:type="dxa" w:w="907"/>
          </w:tcPr>
          <w:p>
            <w:pPr>
              <w:spacing w:after="20" w:before="20"/>
              <w:jc w:val="center"/>
            </w:pPr>
            <w:r/>
            <w:r>
              <w:rPr>
                <w:sz w:val="16"/>
              </w:rPr>
              <w:t>-576</w:t>
            </w:r>
          </w:p>
        </w:tc>
        <w:tc>
          <w:tcPr>
            <w:tcW w:type="dxa" w:w="907"/>
          </w:tcPr>
          <w:p>
            <w:pPr>
              <w:spacing w:after="20" w:before="20"/>
              <w:jc w:val="center"/>
            </w:pPr>
            <w:r/>
            <w:r>
              <w:rPr>
                <w:sz w:val="16"/>
              </w:rPr>
              <w:t>-576</w:t>
            </w:r>
          </w:p>
        </w:tc>
        <w:tc>
          <w:tcPr>
            <w:tcW w:type="dxa" w:w="907"/>
          </w:tcPr>
          <w:p>
            <w:pPr>
              <w:spacing w:after="20" w:before="20"/>
              <w:jc w:val="center"/>
            </w:pPr>
            <w:r/>
            <w:r>
              <w:rPr>
                <w:sz w:val="16"/>
              </w:rPr>
              <w:t>-419</w:t>
            </w:r>
          </w:p>
        </w:tc>
        <w:tc>
          <w:tcPr>
            <w:tcW w:type="dxa" w:w="907"/>
          </w:tcPr>
          <w:p>
            <w:pPr>
              <w:spacing w:after="20" w:before="20"/>
              <w:jc w:val="center"/>
            </w:pPr>
            <w:r/>
            <w:r>
              <w:rPr>
                <w:sz w:val="16"/>
              </w:rPr>
              <w:t>-553</w:t>
            </w:r>
          </w:p>
        </w:tc>
        <w:tc>
          <w:tcPr>
            <w:tcW w:type="dxa" w:w="907"/>
          </w:tcPr>
          <w:p>
            <w:pPr>
              <w:spacing w:after="20" w:before="20"/>
              <w:jc w:val="center"/>
            </w:pPr>
            <w:r/>
            <w:r>
              <w:rPr>
                <w:sz w:val="16"/>
              </w:rPr>
              <w:t>-649</w:t>
            </w:r>
          </w:p>
        </w:tc>
        <w:tc>
          <w:tcPr>
            <w:tcW w:type="dxa" w:w="907"/>
          </w:tcPr>
          <w:p>
            <w:pPr>
              <w:spacing w:after="20" w:before="20"/>
              <w:jc w:val="center"/>
            </w:pPr>
            <w:r/>
            <w:r>
              <w:rPr>
                <w:sz w:val="16"/>
              </w:rPr>
              <w:t>-649</w:t>
            </w:r>
          </w:p>
        </w:tc>
        <w:tc>
          <w:tcPr>
            <w:tcW w:type="dxa" w:w="907"/>
          </w:tcPr>
          <w:p>
            <w:pPr>
              <w:spacing w:after="20" w:before="20"/>
              <w:jc w:val="center"/>
            </w:pPr>
            <w:r/>
            <w:r>
              <w:rPr>
                <w:sz w:val="16"/>
              </w:rPr>
              <w:t>-649</w:t>
            </w:r>
          </w:p>
        </w:tc>
        <w:tc>
          <w:tcPr>
            <w:tcW w:type="dxa" w:w="907"/>
          </w:tcPr>
          <w:p>
            <w:pPr>
              <w:spacing w:after="20" w:before="20"/>
              <w:jc w:val="center"/>
            </w:pPr>
            <w:r/>
            <w:r>
              <w:rPr>
                <w:sz w:val="16"/>
              </w:rPr>
              <w:t>-649</w:t>
            </w:r>
          </w:p>
        </w:tc>
      </w:tr>
      <w:tr>
        <w:tc>
          <w:tcPr>
            <w:tcW w:type="dxa" w:w="2664"/>
          </w:tcPr>
          <w:p>
            <w:pPr>
              <w:spacing w:after="20" w:before="20"/>
            </w:pPr>
            <w:r/>
            <w:r>
              <w:rPr>
                <w:b/>
                <w:sz w:val="16"/>
              </w:rPr>
              <w:t>Earnings to common</w:t>
            </w:r>
          </w:p>
        </w:tc>
        <w:tc>
          <w:tcPr>
            <w:tcW w:type="dxa" w:w="907"/>
          </w:tcPr>
          <w:p>
            <w:pPr>
              <w:spacing w:after="20" w:before="20"/>
              <w:jc w:val="center"/>
            </w:pPr>
            <w:r/>
            <w:r>
              <w:rPr>
                <w:b/>
                <w:sz w:val="16"/>
              </w:rPr>
              <w:t>6,234</w:t>
            </w:r>
          </w:p>
        </w:tc>
        <w:tc>
          <w:tcPr>
            <w:tcW w:type="dxa" w:w="907"/>
          </w:tcPr>
          <w:p>
            <w:pPr>
              <w:spacing w:after="20" w:before="20"/>
              <w:jc w:val="center"/>
            </w:pPr>
            <w:r/>
            <w:r>
              <w:rPr>
                <w:b/>
                <w:sz w:val="16"/>
              </w:rPr>
              <w:t>7,358</w:t>
            </w:r>
          </w:p>
        </w:tc>
        <w:tc>
          <w:tcPr>
            <w:tcW w:type="dxa" w:w="907"/>
          </w:tcPr>
          <w:p>
            <w:pPr>
              <w:spacing w:after="20" w:before="20"/>
              <w:jc w:val="center"/>
            </w:pPr>
            <w:r/>
            <w:r>
              <w:rPr>
                <w:b/>
                <w:sz w:val="16"/>
              </w:rPr>
              <w:t>7,081</w:t>
            </w:r>
          </w:p>
        </w:tc>
        <w:tc>
          <w:tcPr>
            <w:tcW w:type="dxa" w:w="907"/>
          </w:tcPr>
          <w:p>
            <w:pPr>
              <w:spacing w:after="20" w:before="20"/>
              <w:jc w:val="center"/>
            </w:pPr>
            <w:r/>
            <w:r>
              <w:rPr>
                <w:b/>
                <w:sz w:val="16"/>
              </w:rPr>
              <w:t>6,212</w:t>
            </w:r>
          </w:p>
        </w:tc>
        <w:tc>
          <w:tcPr>
            <w:tcW w:type="dxa" w:w="907"/>
          </w:tcPr>
          <w:p>
            <w:pPr>
              <w:spacing w:after="20" w:before="20"/>
              <w:jc w:val="center"/>
            </w:pPr>
            <w:r/>
            <w:r>
              <w:rPr>
                <w:b/>
                <w:sz w:val="16"/>
              </w:rPr>
              <w:t>6,661</w:t>
            </w:r>
          </w:p>
        </w:tc>
        <w:tc>
          <w:tcPr>
            <w:tcW w:type="dxa" w:w="907"/>
          </w:tcPr>
          <w:p>
            <w:pPr>
              <w:spacing w:after="20" w:before="20"/>
              <w:jc w:val="center"/>
            </w:pPr>
            <w:r/>
            <w:r>
              <w:rPr>
                <w:b/>
                <w:sz w:val="16"/>
              </w:rPr>
              <w:t>7,568</w:t>
            </w:r>
          </w:p>
        </w:tc>
        <w:tc>
          <w:tcPr>
            <w:tcW w:type="dxa" w:w="907"/>
          </w:tcPr>
          <w:p>
            <w:pPr>
              <w:spacing w:after="20" w:before="20"/>
              <w:jc w:val="center"/>
            </w:pPr>
            <w:r/>
            <w:r>
              <w:rPr>
                <w:b/>
                <w:sz w:val="16"/>
              </w:rPr>
              <w:t>8,536</w:t>
            </w:r>
          </w:p>
        </w:tc>
        <w:tc>
          <w:tcPr>
            <w:tcW w:type="dxa" w:w="907"/>
          </w:tcPr>
          <w:p>
            <w:pPr>
              <w:spacing w:after="20" w:before="20"/>
              <w:jc w:val="center"/>
            </w:pPr>
            <w:r/>
            <w:r>
              <w:rPr>
                <w:b/>
                <w:sz w:val="16"/>
              </w:rPr>
              <w:t>9,384</w:t>
            </w:r>
          </w:p>
        </w:tc>
      </w:tr>
      <w:tr>
        <w:tc>
          <w:tcPr>
            <w:tcW w:type="dxa" w:w="2664"/>
          </w:tcPr>
          <w:p>
            <w:pPr>
              <w:spacing w:after="20" w:before="20"/>
            </w:pPr>
            <w:r/>
            <w:r>
              <w:rPr>
                <w:b/>
                <w:sz w:val="16"/>
              </w:rPr>
              <w:t>EPS (AED)</w:t>
            </w:r>
          </w:p>
        </w:tc>
        <w:tc>
          <w:tcPr>
            <w:tcW w:type="dxa" w:w="907"/>
          </w:tcPr>
          <w:p>
            <w:pPr>
              <w:spacing w:after="20" w:before="20"/>
              <w:jc w:val="center"/>
            </w:pPr>
            <w:r/>
            <w:r>
              <w:rPr>
                <w:sz w:val="16"/>
              </w:rPr>
              <w:t>0.86</w:t>
            </w:r>
          </w:p>
        </w:tc>
        <w:tc>
          <w:tcPr>
            <w:tcW w:type="dxa" w:w="907"/>
          </w:tcPr>
          <w:p>
            <w:pPr>
              <w:spacing w:after="20" w:before="20"/>
              <w:jc w:val="center"/>
            </w:pPr>
            <w:r/>
            <w:r>
              <w:rPr>
                <w:sz w:val="16"/>
              </w:rPr>
              <w:t>1.02</w:t>
            </w:r>
          </w:p>
        </w:tc>
        <w:tc>
          <w:tcPr>
            <w:tcW w:type="dxa" w:w="907"/>
          </w:tcPr>
          <w:p>
            <w:pPr>
              <w:spacing w:after="20" w:before="20"/>
              <w:jc w:val="center"/>
            </w:pPr>
            <w:r/>
            <w:r>
              <w:rPr>
                <w:sz w:val="16"/>
              </w:rPr>
              <w:t>0.98</w:t>
            </w:r>
          </w:p>
        </w:tc>
        <w:tc>
          <w:tcPr>
            <w:tcW w:type="dxa" w:w="907"/>
          </w:tcPr>
          <w:p>
            <w:pPr>
              <w:spacing w:after="20" w:before="20"/>
              <w:jc w:val="center"/>
            </w:pPr>
            <w:r/>
            <w:r>
              <w:rPr>
                <w:sz w:val="16"/>
              </w:rPr>
              <w:t>0.86</w:t>
            </w:r>
          </w:p>
        </w:tc>
        <w:tc>
          <w:tcPr>
            <w:tcW w:type="dxa" w:w="907"/>
          </w:tcPr>
          <w:p>
            <w:pPr>
              <w:spacing w:after="20" w:before="20"/>
              <w:jc w:val="center"/>
            </w:pPr>
            <w:r/>
            <w:r>
              <w:rPr>
                <w:sz w:val="16"/>
              </w:rPr>
              <w:t>0.92</w:t>
            </w:r>
          </w:p>
        </w:tc>
        <w:tc>
          <w:tcPr>
            <w:tcW w:type="dxa" w:w="907"/>
          </w:tcPr>
          <w:p>
            <w:pPr>
              <w:spacing w:after="20" w:before="20"/>
              <w:jc w:val="center"/>
            </w:pPr>
            <w:r/>
            <w:r>
              <w:rPr>
                <w:sz w:val="16"/>
              </w:rPr>
              <w:t>1.05</w:t>
            </w:r>
          </w:p>
        </w:tc>
        <w:tc>
          <w:tcPr>
            <w:tcW w:type="dxa" w:w="907"/>
          </w:tcPr>
          <w:p>
            <w:pPr>
              <w:spacing w:after="20" w:before="20"/>
              <w:jc w:val="center"/>
            </w:pPr>
            <w:r/>
            <w:r>
              <w:rPr>
                <w:sz w:val="16"/>
              </w:rPr>
              <w:t>1.18</w:t>
            </w:r>
          </w:p>
        </w:tc>
        <w:tc>
          <w:tcPr>
            <w:tcW w:type="dxa" w:w="907"/>
          </w:tcPr>
          <w:p>
            <w:pPr>
              <w:spacing w:after="20" w:before="20"/>
              <w:jc w:val="center"/>
            </w:pPr>
            <w:r/>
            <w:r>
              <w:rPr>
                <w:sz w:val="16"/>
              </w:rPr>
              <w:t>1.30</w:t>
            </w:r>
          </w:p>
        </w:tc>
      </w:tr>
      <w:tr>
        <w:tc>
          <w:tcPr>
            <w:tcW w:type="dxa" w:w="2664"/>
          </w:tcPr>
          <w:p>
            <w:pPr>
              <w:spacing w:after="20" w:before="20"/>
            </w:pPr>
            <w:r/>
            <w:r>
              <w:rPr>
                <w:b/>
                <w:sz w:val="16"/>
              </w:rPr>
              <w:t>DPS (AED)</w:t>
            </w:r>
          </w:p>
        </w:tc>
        <w:tc>
          <w:tcPr>
            <w:tcW w:type="dxa" w:w="907"/>
          </w:tcPr>
          <w:p>
            <w:pPr>
              <w:spacing w:after="20" w:before="20"/>
              <w:jc w:val="center"/>
            </w:pPr>
            <w:r/>
            <w:r>
              <w:rPr>
                <w:sz w:val="16"/>
              </w:rPr>
              <w:t>0.45</w:t>
            </w:r>
          </w:p>
        </w:tc>
        <w:tc>
          <w:tcPr>
            <w:tcW w:type="dxa" w:w="907"/>
          </w:tcPr>
          <w:p>
            <w:pPr>
              <w:spacing w:after="20" w:before="20"/>
              <w:jc w:val="center"/>
            </w:pPr>
            <w:r/>
            <w:r>
              <w:rPr>
                <w:sz w:val="16"/>
              </w:rPr>
              <w:t>0.45</w:t>
            </w:r>
          </w:p>
        </w:tc>
        <w:tc>
          <w:tcPr>
            <w:tcW w:type="dxa" w:w="907"/>
          </w:tcPr>
          <w:p>
            <w:pPr>
              <w:spacing w:after="20" w:before="20"/>
              <w:jc w:val="center"/>
            </w:pPr>
            <w:r/>
            <w:r>
              <w:rPr>
                <w:sz w:val="16"/>
              </w:rPr>
              <w:t>0.35</w:t>
            </w:r>
          </w:p>
        </w:tc>
        <w:tc>
          <w:tcPr>
            <w:tcW w:type="dxa" w:w="907"/>
          </w:tcPr>
          <w:p>
            <w:pPr>
              <w:spacing w:after="20" w:before="20"/>
              <w:jc w:val="center"/>
            </w:pPr>
            <w:r/>
            <w:r>
              <w:rPr>
                <w:sz w:val="16"/>
              </w:rPr>
              <w:t>0.35</w:t>
            </w:r>
          </w:p>
        </w:tc>
        <w:tc>
          <w:tcPr>
            <w:tcW w:type="dxa" w:w="907"/>
          </w:tcPr>
          <w:p>
            <w:pPr>
              <w:spacing w:after="20" w:before="20"/>
              <w:jc w:val="center"/>
            </w:pPr>
            <w:r/>
            <w:r>
              <w:rPr>
                <w:sz w:val="16"/>
              </w:rPr>
              <w:t>0.39</w:t>
            </w:r>
          </w:p>
        </w:tc>
        <w:tc>
          <w:tcPr>
            <w:tcW w:type="dxa" w:w="907"/>
          </w:tcPr>
          <w:p>
            <w:pPr>
              <w:spacing w:after="20" w:before="20"/>
              <w:jc w:val="center"/>
            </w:pPr>
            <w:r/>
            <w:r>
              <w:rPr>
                <w:sz w:val="16"/>
              </w:rPr>
              <w:t>0.45</w:t>
            </w:r>
          </w:p>
        </w:tc>
        <w:tc>
          <w:tcPr>
            <w:tcW w:type="dxa" w:w="907"/>
          </w:tcPr>
          <w:p>
            <w:pPr>
              <w:spacing w:after="20" w:before="20"/>
              <w:jc w:val="center"/>
            </w:pPr>
            <w:r/>
            <w:r>
              <w:rPr>
                <w:sz w:val="16"/>
              </w:rPr>
              <w:t>0.52</w:t>
            </w:r>
          </w:p>
        </w:tc>
        <w:tc>
          <w:tcPr>
            <w:tcW w:type="dxa" w:w="907"/>
          </w:tcPr>
          <w:p>
            <w:pPr>
              <w:spacing w:after="20" w:before="20"/>
              <w:jc w:val="center"/>
            </w:pPr>
            <w:r/>
            <w:r>
              <w:rPr>
                <w:sz w:val="16"/>
              </w:rPr>
              <w:t>0.59</w:t>
            </w:r>
          </w:p>
        </w:tc>
      </w:tr>
    </w:tbl>
    <w:p>
      <w:pPr>
        <w:spacing w:after="60"/>
      </w:pPr>
    </w:p>
    <w:p>
      <w:pPr>
        <w:spacing w:after="60" w:before="160"/>
      </w:pPr>
      <w:r>
        <w:rPr>
          <w:b/>
          <w:i w:val="0"/>
          <w:color w:val="1C3A36"/>
          <w:sz w:val="21"/>
        </w:rPr>
        <w:t>The FY24 normalisation — as DIB discloses it, not as we derived it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3024"/>
            <w:shd w:val="clear" w:fill="1C3A36"/>
          </w:tcPr>
          <w:p>
            <w:pPr>
              <w:spacing w:after="20" w:before="20"/>
            </w:pPr>
            <w:r/>
            <w:r>
              <w:rPr>
                <w:b/>
                <w:color w:val="FFFFFF"/>
                <w:sz w:val="18"/>
              </w:rPr>
              <w:t>AED mn</w:t>
            </w:r>
          </w:p>
        </w:tc>
        <w:tc>
          <w:tcPr>
            <w:tcW w:type="dxa" w:w="2304"/>
            <w:shd w:val="clear" w:fill="1C3A36"/>
          </w:tcPr>
          <w:p>
            <w:pPr>
              <w:spacing w:after="20" w:before="20"/>
              <w:jc w:val="center"/>
            </w:pPr>
            <w:r/>
            <w:r>
              <w:rPr>
                <w:b/>
                <w:color w:val="FFFFFF"/>
                <w:sz w:val="18"/>
              </w:rPr>
              <w:t>FY24 reported</w:t>
            </w:r>
          </w:p>
        </w:tc>
        <w:tc>
          <w:tcPr>
            <w:tcW w:type="dxa" w:w="2304"/>
            <w:shd w:val="clear" w:fill="1C3A36"/>
          </w:tcPr>
          <w:p>
            <w:pPr>
              <w:spacing w:after="20" w:before="20"/>
              <w:jc w:val="center"/>
            </w:pPr>
            <w:r/>
            <w:r>
              <w:rPr>
                <w:b/>
                <w:color w:val="FFFFFF"/>
                <w:sz w:val="18"/>
              </w:rPr>
              <w:t>FY24 normalised</w:t>
            </w:r>
          </w:p>
        </w:tc>
        <w:tc>
          <w:tcPr>
            <w:tcW w:type="dxa" w:w="2304"/>
            <w:shd w:val="clear" w:fill="1C3A36"/>
          </w:tcPr>
          <w:p>
            <w:pPr>
              <w:spacing w:after="20" w:before="20"/>
              <w:jc w:val="center"/>
            </w:pPr>
            <w:r/>
            <w:r>
              <w:rPr>
                <w:b/>
                <w:color w:val="FFFFFF"/>
                <w:sz w:val="18"/>
              </w:rPr>
              <w:t>One-off legacy recovery</w:t>
            </w:r>
          </w:p>
        </w:tc>
      </w:tr>
      <w:tr>
        <w:tc>
          <w:tcPr>
            <w:tcW w:type="dxa" w:w="3024"/>
          </w:tcPr>
          <w:p>
            <w:pPr>
              <w:spacing w:after="20" w:before="20"/>
            </w:pPr>
            <w:r/>
            <w:r>
              <w:rPr>
                <w:b/>
                <w:sz w:val="18"/>
              </w:rPr>
              <w:t>Net funded income</w:t>
            </w:r>
          </w:p>
        </w:tc>
        <w:tc>
          <w:tcPr>
            <w:tcW w:type="dxa" w:w="2304"/>
          </w:tcPr>
          <w:p>
            <w:pPr>
              <w:spacing w:after="20" w:before="20"/>
              <w:jc w:val="center"/>
            </w:pPr>
            <w:r/>
            <w:r>
              <w:rPr>
                <w:sz w:val="18"/>
              </w:rPr>
              <w:t>8,949</w:t>
            </w:r>
          </w:p>
        </w:tc>
        <w:tc>
          <w:tcPr>
            <w:tcW w:type="dxa" w:w="2304"/>
          </w:tcPr>
          <w:p>
            <w:pPr>
              <w:spacing w:after="20" w:before="20"/>
              <w:jc w:val="center"/>
            </w:pPr>
            <w:r/>
            <w:r>
              <w:rPr>
                <w:sz w:val="18"/>
              </w:rPr>
              <w:t>8,691</w:t>
            </w:r>
          </w:p>
        </w:tc>
        <w:tc>
          <w:tcPr>
            <w:tcW w:type="dxa" w:w="2304"/>
          </w:tcPr>
          <w:p>
            <w:pPr>
              <w:spacing w:after="20" w:before="20"/>
              <w:jc w:val="center"/>
            </w:pPr>
            <w:r/>
            <w:r>
              <w:rPr>
                <w:sz w:val="18"/>
              </w:rPr>
              <w:t>258</w:t>
            </w:r>
          </w:p>
        </w:tc>
      </w:tr>
      <w:tr>
        <w:tc>
          <w:tcPr>
            <w:tcW w:type="dxa" w:w="3024"/>
          </w:tcPr>
          <w:p>
            <w:pPr>
              <w:spacing w:after="20" w:before="20"/>
            </w:pPr>
            <w:r/>
            <w:r>
              <w:rPr>
                <w:b/>
                <w:sz w:val="18"/>
              </w:rPr>
              <w:t>Non-funded income</w:t>
            </w:r>
          </w:p>
        </w:tc>
        <w:tc>
          <w:tcPr>
            <w:tcW w:type="dxa" w:w="2304"/>
          </w:tcPr>
          <w:p>
            <w:pPr>
              <w:spacing w:after="20" w:before="20"/>
              <w:jc w:val="center"/>
            </w:pPr>
            <w:r/>
            <w:r>
              <w:rPr>
                <w:sz w:val="18"/>
              </w:rPr>
              <w:t>3,887</w:t>
            </w:r>
          </w:p>
        </w:tc>
        <w:tc>
          <w:tcPr>
            <w:tcW w:type="dxa" w:w="2304"/>
          </w:tcPr>
          <w:p>
            <w:pPr>
              <w:spacing w:after="20" w:before="20"/>
              <w:jc w:val="center"/>
            </w:pPr>
            <w:r/>
            <w:r>
              <w:rPr>
                <w:sz w:val="18"/>
              </w:rPr>
              <w:t>3,887</w:t>
            </w:r>
          </w:p>
        </w:tc>
        <w:tc>
          <w:tcPr>
            <w:tcW w:type="dxa" w:w="2304"/>
          </w:tcPr>
          <w:p>
            <w:pPr>
              <w:spacing w:after="20" w:before="20"/>
              <w:jc w:val="center"/>
            </w:pPr>
            <w:r/>
            <w:r>
              <w:rPr>
                <w:sz w:val="18"/>
              </w:rPr>
              <w:t>—</w:t>
            </w:r>
          </w:p>
        </w:tc>
      </w:tr>
      <w:tr>
        <w:tc>
          <w:tcPr>
            <w:tcW w:type="dxa" w:w="3024"/>
          </w:tcPr>
          <w:p>
            <w:pPr>
              <w:spacing w:after="20" w:before="20"/>
            </w:pPr>
            <w:r/>
            <w:r>
              <w:rPr>
                <w:b/>
                <w:sz w:val="18"/>
              </w:rPr>
              <w:t>Operating revenue</w:t>
            </w:r>
          </w:p>
        </w:tc>
        <w:tc>
          <w:tcPr>
            <w:tcW w:type="dxa" w:w="2304"/>
          </w:tcPr>
          <w:p>
            <w:pPr>
              <w:spacing w:after="20" w:before="20"/>
              <w:jc w:val="center"/>
            </w:pPr>
            <w:r/>
            <w:r>
              <w:rPr>
                <w:sz w:val="18"/>
              </w:rPr>
              <w:t>12,837</w:t>
            </w:r>
          </w:p>
        </w:tc>
        <w:tc>
          <w:tcPr>
            <w:tcW w:type="dxa" w:w="2304"/>
          </w:tcPr>
          <w:p>
            <w:pPr>
              <w:spacing w:after="20" w:before="20"/>
              <w:jc w:val="center"/>
            </w:pPr>
            <w:r/>
            <w:r>
              <w:rPr>
                <w:sz w:val="18"/>
              </w:rPr>
              <w:t>12,579</w:t>
            </w:r>
          </w:p>
        </w:tc>
        <w:tc>
          <w:tcPr>
            <w:tcW w:type="dxa" w:w="2304"/>
          </w:tcPr>
          <w:p>
            <w:pPr>
              <w:spacing w:after="20" w:before="20"/>
              <w:jc w:val="center"/>
            </w:pPr>
            <w:r/>
            <w:r>
              <w:rPr>
                <w:sz w:val="18"/>
              </w:rPr>
              <w:t>258</w:t>
            </w:r>
          </w:p>
        </w:tc>
      </w:tr>
      <w:tr>
        <w:tc>
          <w:tcPr>
            <w:tcW w:type="dxa" w:w="3024"/>
          </w:tcPr>
          <w:p>
            <w:pPr>
              <w:spacing w:after="20" w:before="20"/>
            </w:pPr>
            <w:r/>
            <w:r>
              <w:rPr>
                <w:b/>
                <w:sz w:val="18"/>
              </w:rPr>
              <w:t>Operating expenses</w:t>
            </w:r>
          </w:p>
        </w:tc>
        <w:tc>
          <w:tcPr>
            <w:tcW w:type="dxa" w:w="2304"/>
          </w:tcPr>
          <w:p>
            <w:pPr>
              <w:spacing w:after="20" w:before="20"/>
              <w:jc w:val="center"/>
            </w:pPr>
            <w:r/>
            <w:r>
              <w:rPr>
                <w:sz w:val="18"/>
              </w:rPr>
              <w:t>-3,425</w:t>
            </w:r>
          </w:p>
        </w:tc>
        <w:tc>
          <w:tcPr>
            <w:tcW w:type="dxa" w:w="2304"/>
          </w:tcPr>
          <w:p>
            <w:pPr>
              <w:spacing w:after="20" w:before="20"/>
              <w:jc w:val="center"/>
            </w:pPr>
            <w:r/>
            <w:r>
              <w:rPr>
                <w:sz w:val="18"/>
              </w:rPr>
              <w:t>-3,425</w:t>
            </w:r>
          </w:p>
        </w:tc>
        <w:tc>
          <w:tcPr>
            <w:tcW w:type="dxa" w:w="2304"/>
          </w:tcPr>
          <w:p>
            <w:pPr>
              <w:spacing w:after="20" w:before="20"/>
              <w:jc w:val="center"/>
            </w:pPr>
            <w:r/>
            <w:r>
              <w:rPr>
                <w:sz w:val="18"/>
              </w:rPr>
              <w:t>—</w:t>
            </w:r>
          </w:p>
        </w:tc>
      </w:tr>
      <w:tr>
        <w:tc>
          <w:tcPr>
            <w:tcW w:type="dxa" w:w="3024"/>
          </w:tcPr>
          <w:p>
            <w:pPr>
              <w:spacing w:after="20" w:before="20"/>
            </w:pPr>
            <w:r/>
            <w:r>
              <w:rPr>
                <w:b/>
                <w:sz w:val="18"/>
              </w:rPr>
              <w:t>Pre-provision operating profit</w:t>
            </w:r>
          </w:p>
        </w:tc>
        <w:tc>
          <w:tcPr>
            <w:tcW w:type="dxa" w:w="2304"/>
          </w:tcPr>
          <w:p>
            <w:pPr>
              <w:spacing w:after="20" w:before="20"/>
              <w:jc w:val="center"/>
            </w:pPr>
            <w:r/>
            <w:r>
              <w:rPr>
                <w:sz w:val="18"/>
              </w:rPr>
              <w:t>9,412</w:t>
            </w:r>
          </w:p>
        </w:tc>
        <w:tc>
          <w:tcPr>
            <w:tcW w:type="dxa" w:w="2304"/>
          </w:tcPr>
          <w:p>
            <w:pPr>
              <w:spacing w:after="20" w:before="20"/>
              <w:jc w:val="center"/>
            </w:pPr>
            <w:r/>
            <w:r>
              <w:rPr>
                <w:sz w:val="18"/>
              </w:rPr>
              <w:t>9,154</w:t>
            </w:r>
          </w:p>
        </w:tc>
        <w:tc>
          <w:tcPr>
            <w:tcW w:type="dxa" w:w="2304"/>
          </w:tcPr>
          <w:p>
            <w:pPr>
              <w:spacing w:after="20" w:before="20"/>
              <w:jc w:val="center"/>
            </w:pPr>
            <w:r/>
            <w:r>
              <w:rPr>
                <w:sz w:val="18"/>
              </w:rPr>
              <w:t>258</w:t>
            </w:r>
          </w:p>
        </w:tc>
      </w:tr>
      <w:tr>
        <w:tc>
          <w:tcPr>
            <w:tcW w:type="dxa" w:w="3024"/>
          </w:tcPr>
          <w:p>
            <w:pPr>
              <w:spacing w:after="20" w:before="20"/>
            </w:pPr>
            <w:r/>
            <w:r>
              <w:rPr>
                <w:b/>
                <w:sz w:val="18"/>
              </w:rPr>
              <w:t>Net impairment charge</w:t>
            </w:r>
          </w:p>
        </w:tc>
        <w:tc>
          <w:tcPr>
            <w:tcW w:type="dxa" w:w="2304"/>
          </w:tcPr>
          <w:p>
            <w:pPr>
              <w:spacing w:after="20" w:before="20"/>
              <w:jc w:val="center"/>
            </w:pPr>
            <w:r/>
            <w:r>
              <w:rPr>
                <w:sz w:val="18"/>
              </w:rPr>
              <w:t>-407</w:t>
            </w:r>
          </w:p>
        </w:tc>
        <w:tc>
          <w:tcPr>
            <w:tcW w:type="dxa" w:w="2304"/>
          </w:tcPr>
          <w:p>
            <w:pPr>
              <w:spacing w:after="20" w:before="20"/>
              <w:jc w:val="center"/>
            </w:pPr>
            <w:r/>
            <w:r>
              <w:rPr>
                <w:sz w:val="18"/>
              </w:rPr>
              <w:t>-1,677</w:t>
            </w:r>
          </w:p>
        </w:tc>
        <w:tc>
          <w:tcPr>
            <w:tcW w:type="dxa" w:w="2304"/>
          </w:tcPr>
          <w:p>
            <w:pPr>
              <w:spacing w:after="20" w:before="20"/>
              <w:jc w:val="center"/>
            </w:pPr>
            <w:r/>
            <w:r>
              <w:rPr>
                <w:sz w:val="18"/>
              </w:rPr>
              <w:t>1,270</w:t>
            </w:r>
          </w:p>
        </w:tc>
      </w:tr>
      <w:tr>
        <w:tc>
          <w:tcPr>
            <w:tcW w:type="dxa" w:w="3024"/>
            <w:shd w:val="clear" w:fill="F2E9D2"/>
          </w:tcPr>
          <w:p>
            <w:pPr>
              <w:spacing w:after="20" w:before="20"/>
            </w:pPr>
            <w:r/>
            <w:r>
              <w:rPr>
                <w:b/>
                <w:sz w:val="18"/>
              </w:rPr>
              <w:t>Profit before tax</w:t>
            </w:r>
          </w:p>
        </w:tc>
        <w:tc>
          <w:tcPr>
            <w:tcW w:type="dxa" w:w="2304"/>
            <w:shd w:val="clear" w:fill="F2E9D2"/>
          </w:tcPr>
          <w:p>
            <w:pPr>
              <w:spacing w:after="20" w:before="20"/>
              <w:jc w:val="center"/>
            </w:pPr>
            <w:r/>
            <w:r>
              <w:rPr>
                <w:b/>
                <w:sz w:val="18"/>
              </w:rPr>
              <w:t>9,005</w:t>
            </w:r>
          </w:p>
        </w:tc>
        <w:tc>
          <w:tcPr>
            <w:tcW w:type="dxa" w:w="2304"/>
            <w:shd w:val="clear" w:fill="F2E9D2"/>
          </w:tcPr>
          <w:p>
            <w:pPr>
              <w:spacing w:after="20" w:before="20"/>
              <w:jc w:val="center"/>
            </w:pPr>
            <w:r/>
            <w:r>
              <w:rPr>
                <w:b/>
                <w:sz w:val="18"/>
              </w:rPr>
              <w:t>7,477</w:t>
            </w:r>
          </w:p>
        </w:tc>
        <w:tc>
          <w:tcPr>
            <w:tcW w:type="dxa" w:w="2304"/>
            <w:shd w:val="clear" w:fill="F2E9D2"/>
          </w:tcPr>
          <w:p>
            <w:pPr>
              <w:spacing w:after="20" w:before="20"/>
              <w:jc w:val="center"/>
            </w:pPr>
            <w:r/>
            <w:r>
              <w:rPr>
                <w:b/>
                <w:sz w:val="18"/>
              </w:rPr>
              <w:t>1,528</w:t>
            </w:r>
          </w:p>
        </w:tc>
      </w:tr>
      <w:tr>
        <w:tc>
          <w:tcPr>
            <w:tcW w:type="dxa" w:w="3024"/>
          </w:tcPr>
          <w:p>
            <w:pPr>
              <w:spacing w:after="20" w:before="20"/>
            </w:pPr>
            <w:r/>
            <w:r>
              <w:rPr>
                <w:b/>
                <w:sz w:val="18"/>
              </w:rPr>
              <w:t>Net profit after tax</w:t>
            </w:r>
          </w:p>
        </w:tc>
        <w:tc>
          <w:tcPr>
            <w:tcW w:type="dxa" w:w="2304"/>
          </w:tcPr>
          <w:p>
            <w:pPr>
              <w:spacing w:after="20" w:before="20"/>
              <w:jc w:val="center"/>
            </w:pPr>
            <w:r/>
            <w:r>
              <w:rPr>
                <w:sz w:val="18"/>
              </w:rPr>
              <w:t>8,165</w:t>
            </w:r>
          </w:p>
        </w:tc>
        <w:tc>
          <w:tcPr>
            <w:tcW w:type="dxa" w:w="2304"/>
          </w:tcPr>
          <w:p>
            <w:pPr>
              <w:spacing w:after="20" w:before="20"/>
              <w:jc w:val="center"/>
            </w:pPr>
            <w:r/>
            <w:r>
              <w:rPr>
                <w:sz w:val="18"/>
              </w:rPr>
              <w:t>6,637</w:t>
            </w:r>
          </w:p>
        </w:tc>
        <w:tc>
          <w:tcPr>
            <w:tcW w:type="dxa" w:w="2304"/>
          </w:tcPr>
          <w:p>
            <w:pPr>
              <w:spacing w:after="20" w:before="20"/>
              <w:jc w:val="center"/>
            </w:pPr>
            <w:r/>
            <w:r>
              <w:rPr>
                <w:sz w:val="18"/>
              </w:rPr>
              <w:t>1,528</w:t>
            </w:r>
          </w:p>
        </w:tc>
      </w:tr>
      <w:tr>
        <w:tc>
          <w:tcPr>
            <w:tcW w:type="dxa" w:w="3024"/>
          </w:tcPr>
          <w:p>
            <w:pPr>
              <w:spacing w:after="20" w:before="20"/>
            </w:pPr>
            <w:r/>
            <w:r>
              <w:rPr>
                <w:b/>
                <w:sz w:val="18"/>
              </w:rPr>
              <w:t>Implied cost of risk</w:t>
            </w:r>
          </w:p>
        </w:tc>
        <w:tc>
          <w:tcPr>
            <w:tcW w:type="dxa" w:w="2304"/>
          </w:tcPr>
          <w:p>
            <w:pPr>
              <w:spacing w:after="20" w:before="20"/>
              <w:jc w:val="center"/>
            </w:pPr>
            <w:r/>
            <w:r>
              <w:rPr>
                <w:sz w:val="18"/>
              </w:rPr>
              <w:t>14bp (reported)</w:t>
            </w:r>
          </w:p>
        </w:tc>
        <w:tc>
          <w:tcPr>
            <w:tcW w:type="dxa" w:w="2304"/>
          </w:tcPr>
          <w:p>
            <w:pPr>
              <w:spacing w:after="20" w:before="20"/>
              <w:jc w:val="center"/>
            </w:pPr>
            <w:r/>
            <w:r>
              <w:rPr>
                <w:sz w:val="18"/>
              </w:rPr>
              <w:t>58bp (normalised)</w:t>
            </w:r>
          </w:p>
        </w:tc>
        <w:tc>
          <w:tcPr>
            <w:tcW w:type="dxa" w:w="2304"/>
          </w:tcPr>
          <w:p>
            <w:pPr>
              <w:spacing w:after="20" w:before="20"/>
              <w:jc w:val="center"/>
            </w:pPr>
            <w:r/>
            <w:r>
              <w:rPr>
                <w:sz w:val="18"/>
              </w:rPr>
              <w:t>—</w:t>
            </w:r>
          </w:p>
        </w:tc>
      </w:tr>
    </w:tbl>
    <w:p>
      <w:pPr>
        <w:spacing w:after="60"/>
      </w:pPr>
    </w:p>
    <w:p>
      <w:pPr>
        <w:spacing w:after="160" w:before="40"/>
      </w:pPr>
      <w:r>
        <w:rPr>
          <w:b w:val="0"/>
          <w:i/>
          <w:color w:val="6E7B77"/>
          <w:sz w:val="16"/>
        </w:rPr>
        <w:t>Shaded gold: profit before tax — the line the +20%-versus-normalised, flat-versus-reported comparison in this study is built on.</w:t>
      </w:r>
    </w:p>
    <w:p>
      <w:pPr>
        <w:spacing w:after="120"/>
      </w:pPr>
      <w:r>
        <w:rPr>
          <w:b/>
          <w:i/>
          <w:sz w:val="17"/>
        </w:rPr>
        <w:t xml:space="preserve">Source: DIB FY2025 investor presentation, income-statement slide. </w:t>
      </w:r>
      <w:r>
        <w:rPr>
          <w:b w:val="0"/>
          <w:i/>
          <w:color w:val="6E7B77"/>
          <w:sz w:val="17"/>
        </w:rPr>
        <w:t>This table is DIB's own disclosure, not our derivation. It matters because the cost-of-risk debate in this study turns on it: the reported FY24 charge of 14 basis points is flattered by the one-off, and the bank's own normalised charge is AED 1,677mn — 58 basis points. That is the number Expert 2's bear case is built on in Appendix C, and it is the number the crux in §1.8 is measured against.</w:t>
      </w:r>
    </w:p>
    <w:p>
      <w:pPr>
        <w:spacing w:after="120"/>
      </w:pPr>
      <w:r>
        <w:rPr>
          <w:b/>
          <w:i w:val="0"/>
          <w:sz w:val="18"/>
        </w:rPr>
        <w:t xml:space="preserve">THE DUAL FRAME. </w:t>
      </w:r>
      <w:r>
        <w:rPr>
          <w:b w:val="0"/>
          <w:i w:val="0"/>
          <w:sz w:val="18"/>
        </w:rPr>
        <w:t>FY25 pre-tax profit of AED 9,003 is FLAT against the REPORTED FY24 base (9,005) and +20% against the NORMALISED one (7,477). Net profit reads −4% or +18% on the same two bases. Operating revenue is +3% reported and +5% normalised. Every one of those framings is stated wherever the figure appears in this study — none of them alone is the truth.</w:t>
      </w:r>
    </w:p>
    <w:p>
      <w:pPr>
        <w:spacing w:after="80" w:before="200"/>
      </w:pPr>
      <w:r>
        <w:rPr>
          <w:b/>
          <w:i w:val="0"/>
          <w:color w:val="1C3A36"/>
          <w:sz w:val="22"/>
        </w:rPr>
        <w:t>A.2  Balance sheet &amp; capital</w:t>
      </w:r>
    </w:p>
    <w:tbl>
      <w:tblPr>
        <w:tblStyle w:val="TableGrid"/>
        <w:tblW w:type="auto" w:w="0"/>
        <w:jc w:val="center"/>
        <w:tblLook w:firstColumn="1" w:firstRow="1" w:lastColumn="0" w:lastRow="0" w:noHBand="0" w:noVBand="1" w:val="04A0"/>
      </w:tblPr>
      <w:tblGrid>
        <w:gridCol w:w="1110"/>
        <w:gridCol w:w="1110"/>
        <w:gridCol w:w="1110"/>
        <w:gridCol w:w="1110"/>
        <w:gridCol w:w="1110"/>
        <w:gridCol w:w="1110"/>
        <w:gridCol w:w="1110"/>
        <w:gridCol w:w="1110"/>
        <w:gridCol w:w="1110"/>
      </w:tblGrid>
      <w:tr>
        <w:tc>
          <w:tcPr>
            <w:tcW w:type="dxa" w:w="2664"/>
            <w:shd w:val="clear" w:fill="1C3A36"/>
          </w:tcPr>
          <w:p>
            <w:pPr>
              <w:spacing w:after="20" w:before="20"/>
            </w:pPr>
            <w:r/>
            <w:r>
              <w:rPr>
                <w:b/>
                <w:color w:val="FFFFFF"/>
                <w:sz w:val="16"/>
              </w:rPr>
              <w:t>Balance sheet &amp; capital</w:t>
            </w:r>
          </w:p>
        </w:tc>
        <w:tc>
          <w:tcPr>
            <w:tcW w:type="dxa" w:w="907"/>
            <w:shd w:val="clear" w:fill="1C3A36"/>
          </w:tcPr>
          <w:p>
            <w:pPr>
              <w:spacing w:after="20" w:before="20"/>
              <w:jc w:val="center"/>
            </w:pPr>
            <w:r/>
            <w:r>
              <w:rPr>
                <w:b/>
                <w:color w:val="FFFFFF"/>
                <w:sz w:val="16"/>
              </w:rPr>
              <w:t>FY23</w:t>
            </w:r>
          </w:p>
        </w:tc>
        <w:tc>
          <w:tcPr>
            <w:tcW w:type="dxa" w:w="907"/>
            <w:shd w:val="clear" w:fill="1C3A36"/>
          </w:tcPr>
          <w:p>
            <w:pPr>
              <w:spacing w:after="20" w:before="20"/>
              <w:jc w:val="center"/>
            </w:pPr>
            <w:r/>
            <w:r>
              <w:rPr>
                <w:b/>
                <w:color w:val="FFFFFF"/>
                <w:sz w:val="16"/>
              </w:rPr>
              <w:t>FY24</w:t>
            </w:r>
          </w:p>
        </w:tc>
        <w:tc>
          <w:tcPr>
            <w:tcW w:type="dxa" w:w="907"/>
            <w:shd w:val="clear" w:fill="1C3A36"/>
          </w:tcPr>
          <w:p>
            <w:pPr>
              <w:spacing w:after="20" w:before="20"/>
              <w:jc w:val="center"/>
            </w:pPr>
            <w:r/>
            <w:r>
              <w:rPr>
                <w:b/>
                <w:color w:val="FFFFFF"/>
                <w:sz w:val="16"/>
              </w:rPr>
              <w:t>FY25</w:t>
            </w:r>
          </w:p>
        </w:tc>
        <w:tc>
          <w:tcPr>
            <w:tcW w:type="dxa" w:w="907"/>
            <w:shd w:val="clear" w:fill="1C3A36"/>
          </w:tcPr>
          <w:p>
            <w:pPr>
              <w:spacing w:after="20" w:before="20"/>
              <w:jc w:val="center"/>
            </w:pPr>
            <w:r/>
            <w:r>
              <w:rPr>
                <w:b/>
                <w:color w:val="FFFFFF"/>
                <w:sz w:val="16"/>
              </w:rPr>
              <w:t>FY26E</w:t>
            </w:r>
          </w:p>
        </w:tc>
        <w:tc>
          <w:tcPr>
            <w:tcW w:type="dxa" w:w="907"/>
            <w:shd w:val="clear" w:fill="1C3A36"/>
          </w:tcPr>
          <w:p>
            <w:pPr>
              <w:spacing w:after="20" w:before="20"/>
              <w:jc w:val="center"/>
            </w:pPr>
            <w:r/>
            <w:r>
              <w:rPr>
                <w:b/>
                <w:color w:val="FFFFFF"/>
                <w:sz w:val="16"/>
              </w:rPr>
              <w:t>FY27E</w:t>
            </w:r>
          </w:p>
        </w:tc>
        <w:tc>
          <w:tcPr>
            <w:tcW w:type="dxa" w:w="907"/>
            <w:shd w:val="clear" w:fill="1C3A36"/>
          </w:tcPr>
          <w:p>
            <w:pPr>
              <w:spacing w:after="20" w:before="20"/>
              <w:jc w:val="center"/>
            </w:pPr>
            <w:r/>
            <w:r>
              <w:rPr>
                <w:b/>
                <w:color w:val="FFFFFF"/>
                <w:sz w:val="16"/>
              </w:rPr>
              <w:t>FY28E</w:t>
            </w:r>
          </w:p>
        </w:tc>
        <w:tc>
          <w:tcPr>
            <w:tcW w:type="dxa" w:w="907"/>
            <w:shd w:val="clear" w:fill="1C3A36"/>
          </w:tcPr>
          <w:p>
            <w:pPr>
              <w:spacing w:after="20" w:before="20"/>
              <w:jc w:val="center"/>
            </w:pPr>
            <w:r/>
            <w:r>
              <w:rPr>
                <w:b/>
                <w:color w:val="FFFFFF"/>
                <w:sz w:val="16"/>
              </w:rPr>
              <w:t>FY29E</w:t>
            </w:r>
          </w:p>
        </w:tc>
        <w:tc>
          <w:tcPr>
            <w:tcW w:type="dxa" w:w="907"/>
            <w:shd w:val="clear" w:fill="1C3A36"/>
          </w:tcPr>
          <w:p>
            <w:pPr>
              <w:spacing w:after="20" w:before="20"/>
              <w:jc w:val="center"/>
            </w:pPr>
            <w:r/>
            <w:r>
              <w:rPr>
                <w:b/>
                <w:color w:val="FFFFFF"/>
                <w:sz w:val="16"/>
              </w:rPr>
              <w:t>FY30E</w:t>
            </w:r>
          </w:p>
        </w:tc>
      </w:tr>
      <w:tr>
        <w:tc>
          <w:tcPr>
            <w:tcW w:type="dxa" w:w="2664"/>
          </w:tcPr>
          <w:p>
            <w:pPr>
              <w:spacing w:after="20" w:before="20"/>
            </w:pPr>
            <w:r/>
            <w:r>
              <w:rPr>
                <w:b/>
                <w:sz w:val="16"/>
              </w:rPr>
              <w:t>Total assets</w:t>
            </w:r>
          </w:p>
        </w:tc>
        <w:tc>
          <w:tcPr>
            <w:tcW w:type="dxa" w:w="907"/>
          </w:tcPr>
          <w:p>
            <w:pPr>
              <w:spacing w:after="20" w:before="20"/>
              <w:jc w:val="center"/>
            </w:pPr>
            <w:r/>
            <w:r>
              <w:rPr>
                <w:sz w:val="16"/>
              </w:rPr>
              <w:t>314,000</w:t>
            </w:r>
          </w:p>
        </w:tc>
        <w:tc>
          <w:tcPr>
            <w:tcW w:type="dxa" w:w="907"/>
          </w:tcPr>
          <w:p>
            <w:pPr>
              <w:spacing w:after="20" w:before="20"/>
              <w:jc w:val="center"/>
            </w:pPr>
            <w:r/>
            <w:r>
              <w:rPr>
                <w:sz w:val="16"/>
              </w:rPr>
              <w:t>344,687</w:t>
            </w:r>
          </w:p>
        </w:tc>
        <w:tc>
          <w:tcPr>
            <w:tcW w:type="dxa" w:w="907"/>
          </w:tcPr>
          <w:p>
            <w:pPr>
              <w:spacing w:after="20" w:before="20"/>
              <w:jc w:val="center"/>
            </w:pPr>
            <w:r/>
            <w:r>
              <w:rPr>
                <w:sz w:val="16"/>
              </w:rPr>
              <w:t>415,948</w:t>
            </w:r>
          </w:p>
        </w:tc>
        <w:tc>
          <w:tcPr>
            <w:tcW w:type="dxa" w:w="907"/>
          </w:tcPr>
          <w:p>
            <w:pPr>
              <w:spacing w:after="20" w:before="20"/>
              <w:jc w:val="center"/>
            </w:pPr>
            <w:r/>
            <w:r>
              <w:rPr>
                <w:sz w:val="16"/>
              </w:rPr>
              <w:t>457,543</w:t>
            </w:r>
          </w:p>
        </w:tc>
        <w:tc>
          <w:tcPr>
            <w:tcW w:type="dxa" w:w="907"/>
          </w:tcPr>
          <w:p>
            <w:pPr>
              <w:spacing w:after="20" w:before="20"/>
              <w:jc w:val="center"/>
            </w:pPr>
            <w:r/>
            <w:r>
              <w:rPr>
                <w:sz w:val="16"/>
              </w:rPr>
              <w:t>498,722</w:t>
            </w:r>
          </w:p>
        </w:tc>
        <w:tc>
          <w:tcPr>
            <w:tcW w:type="dxa" w:w="907"/>
          </w:tcPr>
          <w:p>
            <w:pPr>
              <w:spacing w:after="20" w:before="20"/>
              <w:jc w:val="center"/>
            </w:pPr>
            <w:r/>
            <w:r>
              <w:rPr>
                <w:sz w:val="16"/>
              </w:rPr>
              <w:t>538,619</w:t>
            </w:r>
          </w:p>
        </w:tc>
        <w:tc>
          <w:tcPr>
            <w:tcW w:type="dxa" w:w="907"/>
          </w:tcPr>
          <w:p>
            <w:pPr>
              <w:spacing w:after="20" w:before="20"/>
              <w:jc w:val="center"/>
            </w:pPr>
            <w:r/>
            <w:r>
              <w:rPr>
                <w:sz w:val="16"/>
              </w:rPr>
              <w:t>581,709</w:t>
            </w:r>
          </w:p>
        </w:tc>
        <w:tc>
          <w:tcPr>
            <w:tcW w:type="dxa" w:w="907"/>
          </w:tcPr>
          <w:p>
            <w:pPr>
              <w:spacing w:after="20" w:before="20"/>
              <w:jc w:val="center"/>
            </w:pPr>
            <w:r/>
            <w:r>
              <w:rPr>
                <w:sz w:val="16"/>
              </w:rPr>
              <w:t>622,429</w:t>
            </w:r>
          </w:p>
        </w:tc>
      </w:tr>
      <w:tr>
        <w:tc>
          <w:tcPr>
            <w:tcW w:type="dxa" w:w="2664"/>
          </w:tcPr>
          <w:p>
            <w:pPr>
              <w:spacing w:after="20" w:before="20"/>
            </w:pPr>
            <w:r/>
            <w:r>
              <w:rPr>
                <w:b/>
                <w:sz w:val="16"/>
              </w:rPr>
              <w:t>Net financing + sukuk</w:t>
            </w:r>
          </w:p>
        </w:tc>
        <w:tc>
          <w:tcPr>
            <w:tcW w:type="dxa" w:w="907"/>
          </w:tcPr>
          <w:p>
            <w:pPr>
              <w:spacing w:after="20" w:before="20"/>
              <w:jc w:val="center"/>
            </w:pPr>
            <w:r/>
            <w:r>
              <w:rPr>
                <w:sz w:val="16"/>
              </w:rPr>
              <w:t>274,000</w:t>
            </w:r>
          </w:p>
        </w:tc>
        <w:tc>
          <w:tcPr>
            <w:tcW w:type="dxa" w:w="907"/>
          </w:tcPr>
          <w:p>
            <w:pPr>
              <w:spacing w:after="20" w:before="20"/>
              <w:jc w:val="center"/>
            </w:pPr>
            <w:r/>
            <w:r>
              <w:rPr>
                <w:sz w:val="16"/>
              </w:rPr>
              <w:t>294,588</w:t>
            </w:r>
          </w:p>
        </w:tc>
        <w:tc>
          <w:tcPr>
            <w:tcW w:type="dxa" w:w="907"/>
          </w:tcPr>
          <w:p>
            <w:pPr>
              <w:spacing w:after="20" w:before="20"/>
              <w:jc w:val="center"/>
            </w:pPr>
            <w:r/>
            <w:r>
              <w:rPr>
                <w:sz w:val="16"/>
              </w:rPr>
              <w:t>352,644</w:t>
            </w:r>
          </w:p>
        </w:tc>
        <w:tc>
          <w:tcPr>
            <w:tcW w:type="dxa" w:w="907"/>
          </w:tcPr>
          <w:p>
            <w:pPr>
              <w:spacing w:after="20" w:before="20"/>
              <w:jc w:val="center"/>
            </w:pPr>
            <w:r/>
            <w:r>
              <w:rPr>
                <w:sz w:val="16"/>
              </w:rPr>
              <w:t>387,908</w:t>
            </w:r>
          </w:p>
        </w:tc>
        <w:tc>
          <w:tcPr>
            <w:tcW w:type="dxa" w:w="907"/>
          </w:tcPr>
          <w:p>
            <w:pPr>
              <w:spacing w:after="20" w:before="20"/>
              <w:jc w:val="center"/>
            </w:pPr>
            <w:r/>
            <w:r>
              <w:rPr>
                <w:sz w:val="16"/>
              </w:rPr>
              <w:t>422,820</w:t>
            </w:r>
          </w:p>
        </w:tc>
        <w:tc>
          <w:tcPr>
            <w:tcW w:type="dxa" w:w="907"/>
          </w:tcPr>
          <w:p>
            <w:pPr>
              <w:spacing w:after="20" w:before="20"/>
              <w:jc w:val="center"/>
            </w:pPr>
            <w:r/>
            <w:r>
              <w:rPr>
                <w:sz w:val="16"/>
              </w:rPr>
              <w:t>456,646</w:t>
            </w:r>
          </w:p>
        </w:tc>
        <w:tc>
          <w:tcPr>
            <w:tcW w:type="dxa" w:w="907"/>
          </w:tcPr>
          <w:p>
            <w:pPr>
              <w:spacing w:after="20" w:before="20"/>
              <w:jc w:val="center"/>
            </w:pPr>
            <w:r/>
            <w:r>
              <w:rPr>
                <w:sz w:val="16"/>
              </w:rPr>
              <w:t>493,177</w:t>
            </w:r>
          </w:p>
        </w:tc>
        <w:tc>
          <w:tcPr>
            <w:tcW w:type="dxa" w:w="907"/>
          </w:tcPr>
          <w:p>
            <w:pPr>
              <w:spacing w:after="20" w:before="20"/>
              <w:jc w:val="center"/>
            </w:pPr>
            <w:r/>
            <w:r>
              <w:rPr>
                <w:sz w:val="16"/>
              </w:rPr>
              <w:t>527,700</w:t>
            </w:r>
          </w:p>
        </w:tc>
      </w:tr>
      <w:tr>
        <w:tc>
          <w:tcPr>
            <w:tcW w:type="dxa" w:w="2664"/>
          </w:tcPr>
          <w:p>
            <w:pPr>
              <w:spacing w:after="20" w:before="20"/>
            </w:pPr>
            <w:r/>
            <w:r>
              <w:rPr>
                <w:b/>
                <w:sz w:val="16"/>
              </w:rPr>
              <w:t>Customer deposits</w:t>
            </w:r>
          </w:p>
        </w:tc>
        <w:tc>
          <w:tcPr>
            <w:tcW w:type="dxa" w:w="907"/>
          </w:tcPr>
          <w:p>
            <w:pPr>
              <w:spacing w:after="20" w:before="20"/>
              <w:jc w:val="center"/>
            </w:pPr>
            <w:r/>
            <w:r>
              <w:rPr>
                <w:sz w:val="16"/>
              </w:rPr>
              <w:t>222,000</w:t>
            </w:r>
          </w:p>
        </w:tc>
        <w:tc>
          <w:tcPr>
            <w:tcW w:type="dxa" w:w="907"/>
          </w:tcPr>
          <w:p>
            <w:pPr>
              <w:spacing w:after="20" w:before="20"/>
              <w:jc w:val="center"/>
            </w:pPr>
            <w:r/>
            <w:r>
              <w:rPr>
                <w:sz w:val="16"/>
              </w:rPr>
              <w:t>248,546</w:t>
            </w:r>
          </w:p>
        </w:tc>
        <w:tc>
          <w:tcPr>
            <w:tcW w:type="dxa" w:w="907"/>
          </w:tcPr>
          <w:p>
            <w:pPr>
              <w:spacing w:after="20" w:before="20"/>
              <w:jc w:val="center"/>
            </w:pPr>
            <w:r/>
            <w:r>
              <w:rPr>
                <w:sz w:val="16"/>
              </w:rPr>
              <w:t>320,184</w:t>
            </w:r>
          </w:p>
        </w:tc>
        <w:tc>
          <w:tcPr>
            <w:tcW w:type="dxa" w:w="907"/>
          </w:tcPr>
          <w:p>
            <w:pPr>
              <w:spacing w:after="20" w:before="20"/>
              <w:jc w:val="center"/>
            </w:pPr>
            <w:r/>
            <w:r>
              <w:rPr>
                <w:sz w:val="16"/>
              </w:rPr>
              <w:t>352,202</w:t>
            </w:r>
          </w:p>
        </w:tc>
        <w:tc>
          <w:tcPr>
            <w:tcW w:type="dxa" w:w="907"/>
          </w:tcPr>
          <w:p>
            <w:pPr>
              <w:spacing w:after="20" w:before="20"/>
              <w:jc w:val="center"/>
            </w:pPr>
            <w:r/>
            <w:r>
              <w:rPr>
                <w:sz w:val="16"/>
              </w:rPr>
              <w:t>383,901</w:t>
            </w:r>
          </w:p>
        </w:tc>
        <w:tc>
          <w:tcPr>
            <w:tcW w:type="dxa" w:w="907"/>
          </w:tcPr>
          <w:p>
            <w:pPr>
              <w:spacing w:after="20" w:before="20"/>
              <w:jc w:val="center"/>
            </w:pPr>
            <w:r/>
            <w:r>
              <w:rPr>
                <w:sz w:val="16"/>
              </w:rPr>
              <w:t>414,613</w:t>
            </w:r>
          </w:p>
        </w:tc>
        <w:tc>
          <w:tcPr>
            <w:tcW w:type="dxa" w:w="907"/>
          </w:tcPr>
          <w:p>
            <w:pPr>
              <w:spacing w:after="20" w:before="20"/>
              <w:jc w:val="center"/>
            </w:pPr>
            <w:r/>
            <w:r>
              <w:rPr>
                <w:sz w:val="16"/>
              </w:rPr>
              <w:t>447,782</w:t>
            </w:r>
          </w:p>
        </w:tc>
        <w:tc>
          <w:tcPr>
            <w:tcW w:type="dxa" w:w="907"/>
          </w:tcPr>
          <w:p>
            <w:pPr>
              <w:spacing w:after="20" w:before="20"/>
              <w:jc w:val="center"/>
            </w:pPr>
            <w:r/>
            <w:r>
              <w:rPr>
                <w:sz w:val="16"/>
              </w:rPr>
              <w:t>479,126</w:t>
            </w:r>
          </w:p>
        </w:tc>
      </w:tr>
      <w:tr>
        <w:tc>
          <w:tcPr>
            <w:tcW w:type="dxa" w:w="2664"/>
          </w:tcPr>
          <w:p>
            <w:pPr>
              <w:spacing w:after="20" w:before="20"/>
            </w:pPr>
            <w:r/>
            <w:r>
              <w:rPr>
                <w:b/>
                <w:sz w:val="16"/>
              </w:rPr>
              <w:t>Common equity (ex-AT1)</w:t>
            </w:r>
          </w:p>
        </w:tc>
        <w:tc>
          <w:tcPr>
            <w:tcW w:type="dxa" w:w="907"/>
          </w:tcPr>
          <w:p>
            <w:pPr>
              <w:spacing w:after="20" w:before="20"/>
              <w:jc w:val="center"/>
            </w:pPr>
            <w:r/>
            <w:r>
              <w:rPr>
                <w:sz w:val="16"/>
              </w:rPr>
              <w:t>35,618</w:t>
            </w:r>
          </w:p>
        </w:tc>
        <w:tc>
          <w:tcPr>
            <w:tcW w:type="dxa" w:w="907"/>
          </w:tcPr>
          <w:p>
            <w:pPr>
              <w:spacing w:after="20" w:before="20"/>
              <w:jc w:val="center"/>
            </w:pPr>
            <w:r/>
            <w:r>
              <w:rPr>
                <w:sz w:val="16"/>
              </w:rPr>
              <w:t>39,724</w:t>
            </w:r>
          </w:p>
        </w:tc>
        <w:tc>
          <w:tcPr>
            <w:tcW w:type="dxa" w:w="907"/>
          </w:tcPr>
          <w:p>
            <w:pPr>
              <w:spacing w:after="20" w:before="20"/>
              <w:jc w:val="center"/>
            </w:pPr>
            <w:r/>
            <w:r>
              <w:rPr>
                <w:sz w:val="16"/>
              </w:rPr>
              <w:t>42,562</w:t>
            </w:r>
          </w:p>
        </w:tc>
        <w:tc>
          <w:tcPr>
            <w:tcW w:type="dxa" w:w="907"/>
          </w:tcPr>
          <w:p>
            <w:pPr>
              <w:spacing w:after="20" w:before="20"/>
              <w:jc w:val="center"/>
            </w:pPr>
            <w:r/>
            <w:r>
              <w:rPr>
                <w:sz w:val="16"/>
              </w:rPr>
              <w:t>46,244</w:t>
            </w:r>
          </w:p>
        </w:tc>
        <w:tc>
          <w:tcPr>
            <w:tcW w:type="dxa" w:w="907"/>
          </w:tcPr>
          <w:p>
            <w:pPr>
              <w:spacing w:after="20" w:before="20"/>
              <w:jc w:val="center"/>
            </w:pPr>
            <w:r/>
            <w:r>
              <w:rPr>
                <w:sz w:val="16"/>
              </w:rPr>
              <w:t>50,087</w:t>
            </w:r>
          </w:p>
        </w:tc>
        <w:tc>
          <w:tcPr>
            <w:tcW w:type="dxa" w:w="907"/>
          </w:tcPr>
          <w:p>
            <w:pPr>
              <w:spacing w:after="20" w:before="20"/>
              <w:jc w:val="center"/>
            </w:pPr>
            <w:r/>
            <w:r>
              <w:rPr>
                <w:sz w:val="16"/>
              </w:rPr>
              <w:t>54,402</w:t>
            </w:r>
          </w:p>
        </w:tc>
        <w:tc>
          <w:tcPr>
            <w:tcW w:type="dxa" w:w="907"/>
          </w:tcPr>
          <w:p>
            <w:pPr>
              <w:spacing w:after="20" w:before="20"/>
              <w:jc w:val="center"/>
            </w:pPr>
            <w:r/>
            <w:r>
              <w:rPr>
                <w:sz w:val="16"/>
              </w:rPr>
              <w:t>59,181</w:t>
            </w:r>
          </w:p>
        </w:tc>
        <w:tc>
          <w:tcPr>
            <w:tcW w:type="dxa" w:w="907"/>
          </w:tcPr>
          <w:p>
            <w:pPr>
              <w:spacing w:after="20" w:before="20"/>
              <w:jc w:val="center"/>
            </w:pPr>
            <w:r/>
            <w:r>
              <w:rPr>
                <w:sz w:val="16"/>
              </w:rPr>
              <w:t>64,301</w:t>
            </w:r>
          </w:p>
        </w:tc>
      </w:tr>
      <w:tr>
        <w:tc>
          <w:tcPr>
            <w:tcW w:type="dxa" w:w="2664"/>
          </w:tcPr>
          <w:p>
            <w:pPr>
              <w:spacing w:after="20" w:before="20"/>
            </w:pPr>
            <w:r/>
            <w:r>
              <w:rPr>
                <w:b/>
                <w:sz w:val="16"/>
              </w:rPr>
              <w:t>CET1 capital</w:t>
            </w:r>
          </w:p>
        </w:tc>
        <w:tc>
          <w:tcPr>
            <w:tcW w:type="dxa" w:w="907"/>
          </w:tcPr>
          <w:p>
            <w:pPr>
              <w:spacing w:after="20" w:before="20"/>
              <w:jc w:val="center"/>
            </w:pPr>
            <w:r/>
            <w:r>
              <w:rPr>
                <w:sz w:val="16"/>
              </w:rPr>
              <w:t>—</w:t>
            </w:r>
          </w:p>
        </w:tc>
        <w:tc>
          <w:tcPr>
            <w:tcW w:type="dxa" w:w="907"/>
          </w:tcPr>
          <w:p>
            <w:pPr>
              <w:spacing w:after="20" w:before="20"/>
              <w:jc w:val="center"/>
            </w:pPr>
            <w:r/>
            <w:r>
              <w:rPr>
                <w:sz w:val="16"/>
              </w:rPr>
              <w:t>34,000</w:t>
            </w:r>
          </w:p>
        </w:tc>
        <w:tc>
          <w:tcPr>
            <w:tcW w:type="dxa" w:w="907"/>
          </w:tcPr>
          <w:p>
            <w:pPr>
              <w:spacing w:after="20" w:before="20"/>
              <w:jc w:val="center"/>
            </w:pPr>
            <w:r/>
            <w:r>
              <w:rPr>
                <w:sz w:val="16"/>
              </w:rPr>
              <w:t>36,900</w:t>
            </w:r>
          </w:p>
        </w:tc>
        <w:tc>
          <w:tcPr>
            <w:tcW w:type="dxa" w:w="907"/>
          </w:tcPr>
          <w:p>
            <w:pPr>
              <w:spacing w:after="20" w:before="20"/>
              <w:jc w:val="center"/>
            </w:pPr>
            <w:r/>
            <w:r>
              <w:rPr>
                <w:sz w:val="16"/>
              </w:rPr>
              <w:t>40,582</w:t>
            </w:r>
          </w:p>
        </w:tc>
        <w:tc>
          <w:tcPr>
            <w:tcW w:type="dxa" w:w="907"/>
          </w:tcPr>
          <w:p>
            <w:pPr>
              <w:spacing w:after="20" w:before="20"/>
              <w:jc w:val="center"/>
            </w:pPr>
            <w:r/>
            <w:r>
              <w:rPr>
                <w:sz w:val="16"/>
              </w:rPr>
              <w:t>44,425</w:t>
            </w:r>
          </w:p>
        </w:tc>
        <w:tc>
          <w:tcPr>
            <w:tcW w:type="dxa" w:w="907"/>
          </w:tcPr>
          <w:p>
            <w:pPr>
              <w:spacing w:after="20" w:before="20"/>
              <w:jc w:val="center"/>
            </w:pPr>
            <w:r/>
            <w:r>
              <w:rPr>
                <w:sz w:val="16"/>
              </w:rPr>
              <w:t>48,740</w:t>
            </w:r>
          </w:p>
        </w:tc>
        <w:tc>
          <w:tcPr>
            <w:tcW w:type="dxa" w:w="907"/>
          </w:tcPr>
          <w:p>
            <w:pPr>
              <w:spacing w:after="20" w:before="20"/>
              <w:jc w:val="center"/>
            </w:pPr>
            <w:r/>
            <w:r>
              <w:rPr>
                <w:sz w:val="16"/>
              </w:rPr>
              <w:t>53,519</w:t>
            </w:r>
          </w:p>
        </w:tc>
        <w:tc>
          <w:tcPr>
            <w:tcW w:type="dxa" w:w="907"/>
          </w:tcPr>
          <w:p>
            <w:pPr>
              <w:spacing w:after="20" w:before="20"/>
              <w:jc w:val="center"/>
            </w:pPr>
            <w:r/>
            <w:r>
              <w:rPr>
                <w:sz w:val="16"/>
              </w:rPr>
              <w:t>58,639</w:t>
            </w:r>
          </w:p>
        </w:tc>
      </w:tr>
      <w:tr>
        <w:tc>
          <w:tcPr>
            <w:tcW w:type="dxa" w:w="2664"/>
          </w:tcPr>
          <w:p>
            <w:pPr>
              <w:spacing w:after="20" w:before="20"/>
            </w:pPr>
            <w:r/>
            <w:r>
              <w:rPr>
                <w:b/>
                <w:sz w:val="16"/>
              </w:rPr>
              <w:t>Risk-weighted assets</w:t>
            </w:r>
          </w:p>
        </w:tc>
        <w:tc>
          <w:tcPr>
            <w:tcW w:type="dxa" w:w="907"/>
          </w:tcPr>
          <w:p>
            <w:pPr>
              <w:spacing w:after="20" w:before="20"/>
              <w:jc w:val="center"/>
            </w:pPr>
            <w:r/>
            <w:r>
              <w:rPr>
                <w:sz w:val="16"/>
              </w:rPr>
              <w:t>—</w:t>
            </w:r>
          </w:p>
        </w:tc>
        <w:tc>
          <w:tcPr>
            <w:tcW w:type="dxa" w:w="907"/>
          </w:tcPr>
          <w:p>
            <w:pPr>
              <w:spacing w:after="20" w:before="20"/>
              <w:jc w:val="center"/>
            </w:pPr>
            <w:r/>
            <w:r>
              <w:rPr>
                <w:sz w:val="16"/>
              </w:rPr>
              <w:t>257,200</w:t>
            </w:r>
          </w:p>
        </w:tc>
        <w:tc>
          <w:tcPr>
            <w:tcW w:type="dxa" w:w="907"/>
          </w:tcPr>
          <w:p>
            <w:pPr>
              <w:spacing w:after="20" w:before="20"/>
              <w:jc w:val="center"/>
            </w:pPr>
            <w:r/>
            <w:r>
              <w:rPr>
                <w:sz w:val="16"/>
              </w:rPr>
              <w:t>298,900</w:t>
            </w:r>
          </w:p>
        </w:tc>
        <w:tc>
          <w:tcPr>
            <w:tcW w:type="dxa" w:w="907"/>
          </w:tcPr>
          <w:p>
            <w:pPr>
              <w:spacing w:after="20" w:before="20"/>
              <w:jc w:val="center"/>
            </w:pPr>
            <w:r/>
            <w:r>
              <w:rPr>
                <w:sz w:val="16"/>
              </w:rPr>
              <w:t>325,687</w:t>
            </w:r>
          </w:p>
        </w:tc>
        <w:tc>
          <w:tcPr>
            <w:tcW w:type="dxa" w:w="907"/>
          </w:tcPr>
          <w:p>
            <w:pPr>
              <w:spacing w:after="20" w:before="20"/>
              <w:jc w:val="center"/>
            </w:pPr>
            <w:r/>
            <w:r>
              <w:rPr>
                <w:sz w:val="16"/>
              </w:rPr>
              <w:t>351,616</w:t>
            </w:r>
          </w:p>
        </w:tc>
        <w:tc>
          <w:tcPr>
            <w:tcW w:type="dxa" w:w="907"/>
          </w:tcPr>
          <w:p>
            <w:pPr>
              <w:spacing w:after="20" w:before="20"/>
              <w:jc w:val="center"/>
            </w:pPr>
            <w:r/>
            <w:r>
              <w:rPr>
                <w:sz w:val="16"/>
              </w:rPr>
              <w:t>376,092</w:t>
            </w:r>
          </w:p>
        </w:tc>
        <w:tc>
          <w:tcPr>
            <w:tcW w:type="dxa" w:w="907"/>
          </w:tcPr>
          <w:p>
            <w:pPr>
              <w:spacing w:after="20" w:before="20"/>
              <w:jc w:val="center"/>
            </w:pPr>
            <w:r/>
            <w:r>
              <w:rPr>
                <w:sz w:val="16"/>
              </w:rPr>
              <w:t>402,234</w:t>
            </w:r>
          </w:p>
        </w:tc>
        <w:tc>
          <w:tcPr>
            <w:tcW w:type="dxa" w:w="907"/>
          </w:tcPr>
          <w:p>
            <w:pPr>
              <w:spacing w:after="20" w:before="20"/>
              <w:jc w:val="center"/>
            </w:pPr>
            <w:r/>
            <w:r>
              <w:rPr>
                <w:sz w:val="16"/>
              </w:rPr>
              <w:t>426,169</w:t>
            </w:r>
          </w:p>
        </w:tc>
      </w:tr>
      <w:tr>
        <w:tc>
          <w:tcPr>
            <w:tcW w:type="dxa" w:w="2664"/>
          </w:tcPr>
          <w:p>
            <w:pPr>
              <w:spacing w:after="20" w:before="20"/>
            </w:pPr>
            <w:r/>
            <w:r>
              <w:rPr>
                <w:b/>
                <w:sz w:val="16"/>
              </w:rPr>
              <w:t>CET1 %</w:t>
            </w:r>
          </w:p>
        </w:tc>
        <w:tc>
          <w:tcPr>
            <w:tcW w:type="dxa" w:w="907"/>
          </w:tcPr>
          <w:p>
            <w:pPr>
              <w:spacing w:after="20" w:before="20"/>
              <w:jc w:val="center"/>
            </w:pPr>
            <w:r/>
            <w:r>
              <w:rPr>
                <w:b/>
                <w:sz w:val="16"/>
              </w:rPr>
              <w:t>—</w:t>
            </w:r>
          </w:p>
        </w:tc>
        <w:tc>
          <w:tcPr>
            <w:tcW w:type="dxa" w:w="907"/>
          </w:tcPr>
          <w:p>
            <w:pPr>
              <w:spacing w:after="20" w:before="20"/>
              <w:jc w:val="center"/>
            </w:pPr>
            <w:r/>
            <w:r>
              <w:rPr>
                <w:b/>
                <w:sz w:val="16"/>
              </w:rPr>
              <w:t>13.20%</w:t>
            </w:r>
          </w:p>
        </w:tc>
        <w:tc>
          <w:tcPr>
            <w:tcW w:type="dxa" w:w="907"/>
          </w:tcPr>
          <w:p>
            <w:pPr>
              <w:spacing w:after="20" w:before="20"/>
              <w:jc w:val="center"/>
            </w:pPr>
            <w:r/>
            <w:r>
              <w:rPr>
                <w:b/>
                <w:sz w:val="16"/>
              </w:rPr>
              <w:t>12.35%</w:t>
            </w:r>
          </w:p>
        </w:tc>
        <w:tc>
          <w:tcPr>
            <w:tcW w:type="dxa" w:w="907"/>
          </w:tcPr>
          <w:p>
            <w:pPr>
              <w:spacing w:after="20" w:before="20"/>
              <w:jc w:val="center"/>
            </w:pPr>
            <w:r/>
            <w:r>
              <w:rPr>
                <w:b/>
                <w:sz w:val="16"/>
              </w:rPr>
              <w:t>12.46%</w:t>
            </w:r>
          </w:p>
        </w:tc>
        <w:tc>
          <w:tcPr>
            <w:tcW w:type="dxa" w:w="907"/>
          </w:tcPr>
          <w:p>
            <w:pPr>
              <w:spacing w:after="20" w:before="20"/>
              <w:jc w:val="center"/>
            </w:pPr>
            <w:r/>
            <w:r>
              <w:rPr>
                <w:b/>
                <w:sz w:val="16"/>
              </w:rPr>
              <w:t>12.63%</w:t>
            </w:r>
          </w:p>
        </w:tc>
        <w:tc>
          <w:tcPr>
            <w:tcW w:type="dxa" w:w="907"/>
          </w:tcPr>
          <w:p>
            <w:pPr>
              <w:spacing w:after="20" w:before="20"/>
              <w:jc w:val="center"/>
            </w:pPr>
            <w:r/>
            <w:r>
              <w:rPr>
                <w:b/>
                <w:sz w:val="16"/>
              </w:rPr>
              <w:t>12.96%</w:t>
            </w:r>
          </w:p>
        </w:tc>
        <w:tc>
          <w:tcPr>
            <w:tcW w:type="dxa" w:w="907"/>
          </w:tcPr>
          <w:p>
            <w:pPr>
              <w:spacing w:after="20" w:before="20"/>
              <w:jc w:val="center"/>
            </w:pPr>
            <w:r/>
            <w:r>
              <w:rPr>
                <w:b/>
                <w:sz w:val="16"/>
              </w:rPr>
              <w:t>13.31%</w:t>
            </w:r>
          </w:p>
        </w:tc>
        <w:tc>
          <w:tcPr>
            <w:tcW w:type="dxa" w:w="907"/>
          </w:tcPr>
          <w:p>
            <w:pPr>
              <w:spacing w:after="20" w:before="20"/>
              <w:jc w:val="center"/>
            </w:pPr>
            <w:r/>
            <w:r>
              <w:rPr>
                <w:b/>
                <w:sz w:val="16"/>
              </w:rPr>
              <w:t>13.76%</w:t>
            </w:r>
          </w:p>
        </w:tc>
      </w:tr>
      <w:tr>
        <w:tc>
          <w:tcPr>
            <w:tcW w:type="dxa" w:w="2664"/>
          </w:tcPr>
          <w:p>
            <w:pPr>
              <w:spacing w:after="20" w:before="20"/>
            </w:pPr>
            <w:r/>
            <w:r>
              <w:rPr>
                <w:b/>
                <w:sz w:val="16"/>
              </w:rPr>
              <w:t>NPM %</w:t>
            </w:r>
          </w:p>
        </w:tc>
        <w:tc>
          <w:tcPr>
            <w:tcW w:type="dxa" w:w="907"/>
          </w:tcPr>
          <w:p>
            <w:pPr>
              <w:spacing w:after="20" w:before="20"/>
              <w:jc w:val="center"/>
            </w:pPr>
            <w:r/>
            <w:r>
              <w:rPr>
                <w:sz w:val="16"/>
              </w:rPr>
              <w:t>3.00%</w:t>
            </w:r>
          </w:p>
        </w:tc>
        <w:tc>
          <w:tcPr>
            <w:tcW w:type="dxa" w:w="907"/>
          </w:tcPr>
          <w:p>
            <w:pPr>
              <w:spacing w:after="20" w:before="20"/>
              <w:jc w:val="center"/>
            </w:pPr>
            <w:r/>
            <w:r>
              <w:rPr>
                <w:sz w:val="16"/>
              </w:rPr>
              <w:t>3.00%</w:t>
            </w:r>
          </w:p>
        </w:tc>
        <w:tc>
          <w:tcPr>
            <w:tcW w:type="dxa" w:w="907"/>
          </w:tcPr>
          <w:p>
            <w:pPr>
              <w:spacing w:after="20" w:before="20"/>
              <w:jc w:val="center"/>
            </w:pPr>
            <w:r/>
            <w:r>
              <w:rPr>
                <w:sz w:val="16"/>
              </w:rPr>
              <w:t>2.60%</w:t>
            </w:r>
          </w:p>
        </w:tc>
        <w:tc>
          <w:tcPr>
            <w:tcW w:type="dxa" w:w="907"/>
          </w:tcPr>
          <w:p>
            <w:pPr>
              <w:spacing w:after="20" w:before="20"/>
              <w:jc w:val="center"/>
            </w:pPr>
            <w:r/>
            <w:r>
              <w:rPr>
                <w:sz w:val="16"/>
              </w:rPr>
              <w:t>2.30%</w:t>
            </w:r>
          </w:p>
        </w:tc>
        <w:tc>
          <w:tcPr>
            <w:tcW w:type="dxa" w:w="907"/>
          </w:tcPr>
          <w:p>
            <w:pPr>
              <w:spacing w:after="20" w:before="20"/>
              <w:jc w:val="center"/>
            </w:pPr>
            <w:r/>
            <w:r>
              <w:rPr>
                <w:sz w:val="16"/>
              </w:rPr>
              <w:t>2.28%</w:t>
            </w:r>
          </w:p>
        </w:tc>
        <w:tc>
          <w:tcPr>
            <w:tcW w:type="dxa" w:w="907"/>
          </w:tcPr>
          <w:p>
            <w:pPr>
              <w:spacing w:after="20" w:before="20"/>
              <w:jc w:val="center"/>
            </w:pPr>
            <w:r/>
            <w:r>
              <w:rPr>
                <w:sz w:val="16"/>
              </w:rPr>
              <w:t>2.32%</w:t>
            </w:r>
          </w:p>
        </w:tc>
        <w:tc>
          <w:tcPr>
            <w:tcW w:type="dxa" w:w="907"/>
          </w:tcPr>
          <w:p>
            <w:pPr>
              <w:spacing w:after="20" w:before="20"/>
              <w:jc w:val="center"/>
            </w:pPr>
            <w:r/>
            <w:r>
              <w:rPr>
                <w:sz w:val="16"/>
              </w:rPr>
              <w:t>2.36%</w:t>
            </w:r>
          </w:p>
        </w:tc>
        <w:tc>
          <w:tcPr>
            <w:tcW w:type="dxa" w:w="907"/>
          </w:tcPr>
          <w:p>
            <w:pPr>
              <w:spacing w:after="20" w:before="20"/>
              <w:jc w:val="center"/>
            </w:pPr>
            <w:r/>
            <w:r>
              <w:rPr>
                <w:sz w:val="16"/>
              </w:rPr>
              <w:t>2.40%</w:t>
            </w:r>
          </w:p>
        </w:tc>
      </w:tr>
      <w:tr>
        <w:tc>
          <w:tcPr>
            <w:tcW w:type="dxa" w:w="2664"/>
          </w:tcPr>
          <w:p>
            <w:pPr>
              <w:spacing w:after="20" w:before="20"/>
            </w:pPr>
            <w:r/>
            <w:r>
              <w:rPr>
                <w:b/>
                <w:sz w:val="16"/>
              </w:rPr>
              <w:t>Cost-to-income %</w:t>
            </w:r>
          </w:p>
        </w:tc>
        <w:tc>
          <w:tcPr>
            <w:tcW w:type="dxa" w:w="907"/>
          </w:tcPr>
          <w:p>
            <w:pPr>
              <w:spacing w:after="20" w:before="20"/>
              <w:jc w:val="center"/>
            </w:pPr>
            <w:r/>
            <w:r>
              <w:rPr>
                <w:sz w:val="16"/>
              </w:rPr>
              <w:t>27.1%</w:t>
            </w:r>
          </w:p>
        </w:tc>
        <w:tc>
          <w:tcPr>
            <w:tcW w:type="dxa" w:w="907"/>
          </w:tcPr>
          <w:p>
            <w:pPr>
              <w:spacing w:after="20" w:before="20"/>
              <w:jc w:val="center"/>
            </w:pPr>
            <w:r/>
            <w:r>
              <w:rPr>
                <w:sz w:val="16"/>
              </w:rPr>
              <w:t>26.7%</w:t>
            </w:r>
          </w:p>
        </w:tc>
        <w:tc>
          <w:tcPr>
            <w:tcW w:type="dxa" w:w="907"/>
          </w:tcPr>
          <w:p>
            <w:pPr>
              <w:spacing w:after="20" w:before="20"/>
              <w:jc w:val="center"/>
            </w:pPr>
            <w:r/>
            <w:r>
              <w:rPr>
                <w:sz w:val="16"/>
              </w:rPr>
              <w:t>28.4%</w:t>
            </w:r>
          </w:p>
        </w:tc>
        <w:tc>
          <w:tcPr>
            <w:tcW w:type="dxa" w:w="907"/>
          </w:tcPr>
          <w:p>
            <w:pPr>
              <w:spacing w:after="20" w:before="20"/>
              <w:jc w:val="center"/>
            </w:pPr>
            <w:r/>
            <w:r>
              <w:rPr>
                <w:sz w:val="16"/>
              </w:rPr>
              <w:t>28.0%</w:t>
            </w:r>
          </w:p>
        </w:tc>
        <w:tc>
          <w:tcPr>
            <w:tcW w:type="dxa" w:w="907"/>
          </w:tcPr>
          <w:p>
            <w:pPr>
              <w:spacing w:after="20" w:before="20"/>
              <w:jc w:val="center"/>
            </w:pPr>
            <w:r/>
            <w:r>
              <w:rPr>
                <w:sz w:val="16"/>
              </w:rPr>
              <w:t>27.8%</w:t>
            </w:r>
          </w:p>
        </w:tc>
        <w:tc>
          <w:tcPr>
            <w:tcW w:type="dxa" w:w="907"/>
          </w:tcPr>
          <w:p>
            <w:pPr>
              <w:spacing w:after="20" w:before="20"/>
              <w:jc w:val="center"/>
            </w:pPr>
            <w:r/>
            <w:r>
              <w:rPr>
                <w:sz w:val="16"/>
              </w:rPr>
              <w:t>27.5%</w:t>
            </w:r>
          </w:p>
        </w:tc>
        <w:tc>
          <w:tcPr>
            <w:tcW w:type="dxa" w:w="907"/>
          </w:tcPr>
          <w:p>
            <w:pPr>
              <w:spacing w:after="20" w:before="20"/>
              <w:jc w:val="center"/>
            </w:pPr>
            <w:r/>
            <w:r>
              <w:rPr>
                <w:sz w:val="16"/>
              </w:rPr>
              <w:t>27.3%</w:t>
            </w:r>
          </w:p>
        </w:tc>
        <w:tc>
          <w:tcPr>
            <w:tcW w:type="dxa" w:w="907"/>
          </w:tcPr>
          <w:p>
            <w:pPr>
              <w:spacing w:after="20" w:before="20"/>
              <w:jc w:val="center"/>
            </w:pPr>
            <w:r/>
            <w:r>
              <w:rPr>
                <w:sz w:val="16"/>
              </w:rPr>
              <w:t>27.0%</w:t>
            </w:r>
          </w:p>
        </w:tc>
      </w:tr>
      <w:tr>
        <w:tc>
          <w:tcPr>
            <w:tcW w:type="dxa" w:w="2664"/>
          </w:tcPr>
          <w:p>
            <w:pPr>
              <w:spacing w:after="20" w:before="20"/>
            </w:pPr>
            <w:r/>
            <w:r>
              <w:rPr>
                <w:b/>
                <w:sz w:val="16"/>
              </w:rPr>
              <w:t>Cost of risk (bp)</w:t>
            </w:r>
          </w:p>
        </w:tc>
        <w:tc>
          <w:tcPr>
            <w:tcW w:type="dxa" w:w="907"/>
          </w:tcPr>
          <w:p>
            <w:pPr>
              <w:spacing w:after="20" w:before="20"/>
              <w:jc w:val="center"/>
            </w:pPr>
            <w:r/>
            <w:r>
              <w:rPr>
                <w:sz w:val="16"/>
              </w:rPr>
              <w:t>57</w:t>
            </w:r>
          </w:p>
        </w:tc>
        <w:tc>
          <w:tcPr>
            <w:tcW w:type="dxa" w:w="907"/>
          </w:tcPr>
          <w:p>
            <w:pPr>
              <w:spacing w:after="20" w:before="20"/>
              <w:jc w:val="center"/>
            </w:pPr>
            <w:r/>
            <w:r>
              <w:rPr>
                <w:sz w:val="16"/>
              </w:rPr>
              <w:t>14</w:t>
            </w:r>
          </w:p>
        </w:tc>
        <w:tc>
          <w:tcPr>
            <w:tcW w:type="dxa" w:w="907"/>
          </w:tcPr>
          <w:p>
            <w:pPr>
              <w:spacing w:after="20" w:before="20"/>
              <w:jc w:val="center"/>
            </w:pPr>
            <w:r/>
            <w:r>
              <w:rPr>
                <w:sz w:val="16"/>
              </w:rPr>
              <w:t>14</w:t>
            </w:r>
          </w:p>
        </w:tc>
        <w:tc>
          <w:tcPr>
            <w:tcW w:type="dxa" w:w="907"/>
          </w:tcPr>
          <w:p>
            <w:pPr>
              <w:spacing w:after="20" w:before="20"/>
              <w:jc w:val="center"/>
            </w:pPr>
            <w:r/>
            <w:r>
              <w:rPr>
                <w:sz w:val="16"/>
              </w:rPr>
              <w:t>45</w:t>
            </w:r>
          </w:p>
        </w:tc>
        <w:tc>
          <w:tcPr>
            <w:tcW w:type="dxa" w:w="907"/>
          </w:tcPr>
          <w:p>
            <w:pPr>
              <w:spacing w:after="20" w:before="20"/>
              <w:jc w:val="center"/>
            </w:pPr>
            <w:r/>
            <w:r>
              <w:rPr>
                <w:sz w:val="16"/>
              </w:rPr>
              <w:t>45</w:t>
            </w:r>
          </w:p>
        </w:tc>
        <w:tc>
          <w:tcPr>
            <w:tcW w:type="dxa" w:w="907"/>
          </w:tcPr>
          <w:p>
            <w:pPr>
              <w:spacing w:after="20" w:before="20"/>
              <w:jc w:val="center"/>
            </w:pPr>
            <w:r/>
            <w:r>
              <w:rPr>
                <w:sz w:val="16"/>
              </w:rPr>
              <w:t>40</w:t>
            </w:r>
          </w:p>
        </w:tc>
        <w:tc>
          <w:tcPr>
            <w:tcW w:type="dxa" w:w="907"/>
          </w:tcPr>
          <w:p>
            <w:pPr>
              <w:spacing w:after="20" w:before="20"/>
              <w:jc w:val="center"/>
            </w:pPr>
            <w:r/>
            <w:r>
              <w:rPr>
                <w:sz w:val="16"/>
              </w:rPr>
              <w:t>35</w:t>
            </w:r>
          </w:p>
        </w:tc>
        <w:tc>
          <w:tcPr>
            <w:tcW w:type="dxa" w:w="907"/>
          </w:tcPr>
          <w:p>
            <w:pPr>
              <w:spacing w:after="20" w:before="20"/>
              <w:jc w:val="center"/>
            </w:pPr>
            <w:r/>
            <w:r>
              <w:rPr>
                <w:sz w:val="16"/>
              </w:rPr>
              <w:t>35</w:t>
            </w:r>
          </w:p>
        </w:tc>
      </w:tr>
      <w:tr>
        <w:tc>
          <w:tcPr>
            <w:tcW w:type="dxa" w:w="2664"/>
          </w:tcPr>
          <w:p>
            <w:pPr>
              <w:spacing w:after="20" w:before="20"/>
            </w:pPr>
            <w:r/>
            <w:r>
              <w:rPr>
                <w:b/>
                <w:sz w:val="16"/>
              </w:rPr>
              <w:t>Effective tax rate %</w:t>
            </w:r>
          </w:p>
        </w:tc>
        <w:tc>
          <w:tcPr>
            <w:tcW w:type="dxa" w:w="907"/>
          </w:tcPr>
          <w:p>
            <w:pPr>
              <w:spacing w:after="20" w:before="20"/>
              <w:jc w:val="center"/>
            </w:pPr>
            <w:r/>
            <w:r>
              <w:rPr>
                <w:sz w:val="16"/>
              </w:rPr>
              <w:t>1.4%</w:t>
            </w:r>
          </w:p>
        </w:tc>
        <w:tc>
          <w:tcPr>
            <w:tcW w:type="dxa" w:w="907"/>
          </w:tcPr>
          <w:p>
            <w:pPr>
              <w:spacing w:after="20" w:before="20"/>
              <w:jc w:val="center"/>
            </w:pPr>
            <w:r/>
            <w:r>
              <w:rPr>
                <w:sz w:val="16"/>
              </w:rPr>
              <w:t>9.3%</w:t>
            </w:r>
          </w:p>
        </w:tc>
        <w:tc>
          <w:tcPr>
            <w:tcW w:type="dxa" w:w="907"/>
          </w:tcPr>
          <w:p>
            <w:pPr>
              <w:spacing w:after="20" w:before="20"/>
              <w:jc w:val="center"/>
            </w:pPr>
            <w:r/>
            <w:r>
              <w:rPr>
                <w:sz w:val="16"/>
              </w:rPr>
              <w:t>13.3%</w:t>
            </w:r>
          </w:p>
        </w:tc>
        <w:tc>
          <w:tcPr>
            <w:tcW w:type="dxa" w:w="907"/>
          </w:tcPr>
          <w:p>
            <w:pPr>
              <w:spacing w:after="20" w:before="20"/>
              <w:jc w:val="center"/>
            </w:pPr>
            <w:r/>
            <w:r>
              <w:rPr>
                <w:sz w:val="16"/>
              </w:rPr>
              <w:t>15.0%</w:t>
            </w:r>
          </w:p>
        </w:tc>
        <w:tc>
          <w:tcPr>
            <w:tcW w:type="dxa" w:w="907"/>
          </w:tcPr>
          <w:p>
            <w:pPr>
              <w:spacing w:after="20" w:before="20"/>
              <w:jc w:val="center"/>
            </w:pPr>
            <w:r/>
            <w:r>
              <w:rPr>
                <w:sz w:val="16"/>
              </w:rPr>
              <w:t>15.0%</w:t>
            </w:r>
          </w:p>
        </w:tc>
        <w:tc>
          <w:tcPr>
            <w:tcW w:type="dxa" w:w="907"/>
          </w:tcPr>
          <w:p>
            <w:pPr>
              <w:spacing w:after="20" w:before="20"/>
              <w:jc w:val="center"/>
            </w:pPr>
            <w:r/>
            <w:r>
              <w:rPr>
                <w:sz w:val="16"/>
              </w:rPr>
              <w:t>15.0%</w:t>
            </w:r>
          </w:p>
        </w:tc>
        <w:tc>
          <w:tcPr>
            <w:tcW w:type="dxa" w:w="907"/>
          </w:tcPr>
          <w:p>
            <w:pPr>
              <w:spacing w:after="20" w:before="20"/>
              <w:jc w:val="center"/>
            </w:pPr>
            <w:r/>
            <w:r>
              <w:rPr>
                <w:sz w:val="16"/>
              </w:rPr>
              <w:t>15.0%</w:t>
            </w:r>
          </w:p>
        </w:tc>
        <w:tc>
          <w:tcPr>
            <w:tcW w:type="dxa" w:w="907"/>
          </w:tcPr>
          <w:p>
            <w:pPr>
              <w:spacing w:after="20" w:before="20"/>
              <w:jc w:val="center"/>
            </w:pPr>
            <w:r/>
            <w:r>
              <w:rPr>
                <w:sz w:val="16"/>
              </w:rPr>
              <w:t>15.0%</w:t>
            </w:r>
          </w:p>
        </w:tc>
      </w:tr>
    </w:tbl>
    <w:p>
      <w:pPr>
        <w:spacing w:after="60"/>
      </w:pPr>
    </w:p>
    <w:p>
      <w:pPr>
        <w:spacing w:after="120"/>
      </w:pPr>
      <w:r>
        <w:rPr>
          <w:b/>
          <w:i/>
          <w:sz w:val="17"/>
        </w:rPr>
        <w:t xml:space="preserve">Risk-weighted assets and CET1 capital are both published, and this study uses the published figures. </w:t>
      </w:r>
      <w:r>
        <w:rPr>
          <w:b w:val="0"/>
          <w:i/>
          <w:color w:val="6E7B77"/>
          <w:sz w:val="17"/>
        </w:rPr>
        <w:t>They appear on the regulatory-capital slide of DIB's FY2025 and Q1-2026 investor presentations, which carry an explicit risk-weighted-asset movement bridge and a CET1 capital bridge. Risk-weighted assets: AED 257,200mn at December 2024, 298,900mn at December 2025, 305,000mn at the first quarter of 2026. CET1 capital: 34,000mn, 36,900mn and 38,500mn. The check ties: 36,900 ÷ 298,900 = 12.35%, against the 12.3% CET1 ratio the bank reports. That matters, because the capital crux in §1.8 is the load-bearing argument of this study and it rests on these two numbers. Only the forward density fade (−0.8 of a point a year) is our own assumption.</w:t>
      </w:r>
    </w:p>
    <w:p>
      <w:pPr>
        <w:spacing w:after="120" w:before="0"/>
      </w:pPr>
      <w:r>
        <w:rPr>
          <w:b w:val="0"/>
          <w:i/>
          <w:color w:val="6E7B77"/>
          <w:sz w:val="17"/>
        </w:rPr>
        <w:t>Q1-2026 anchors (official): total assets 419,916 · financing + sukuk 363,860 · deposits 322,000 · CET1 12.6% · CAR 15.8% · NPF 2.5% · total coverage 160% · cash coverage 122% · LCR 121% · NSFR 106%.</w:t>
      </w:r>
    </w:p>
    <w:p>
      <w:pPr>
        <w:spacing w:after="80" w:before="200"/>
      </w:pPr>
      <w:r>
        <w:rPr>
          <w:b/>
          <w:i w:val="0"/>
          <w:color w:val="1C3A36"/>
          <w:sz w:val="22"/>
        </w:rPr>
        <w:t>A.3  Cash flow — the capital walk</w:t>
      </w:r>
    </w:p>
    <w:p>
      <w:pPr>
        <w:spacing w:after="120" w:before="0"/>
      </w:pPr>
      <w:r>
        <w:rPr>
          <w:b w:val="0"/>
          <w:i w:val="0"/>
          <w:sz w:val="21"/>
        </w:rPr>
        <w:t>A bank has no capex line and no working-capital line. The item it cannot avoid is the fresh equity it must retain to hold its capital ratio as the balance sheet grows — the analogue of capex — and that is the line that decides whether the dividend is affordable. The gap between free cash flow to equity and the declared dividend is the capital DIB is accumulating.</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3240"/>
            <w:shd w:val="clear" w:fill="1C3A36"/>
          </w:tcPr>
          <w:p>
            <w:pPr>
              <w:spacing w:after="20" w:before="20"/>
            </w:pPr>
            <w:r/>
            <w:r>
              <w:rPr>
                <w:b/>
                <w:color w:val="FFFFFF"/>
                <w:sz w:val="18"/>
              </w:rPr>
              <w:t>AED mn</w:t>
            </w:r>
          </w:p>
        </w:tc>
        <w:tc>
          <w:tcPr>
            <w:tcW w:type="dxa" w:w="1339"/>
            <w:shd w:val="clear" w:fill="1C3A36"/>
          </w:tcPr>
          <w:p>
            <w:pPr>
              <w:spacing w:after="20" w:before="20"/>
              <w:jc w:val="center"/>
            </w:pPr>
            <w:r/>
            <w:r>
              <w:rPr>
                <w:b/>
                <w:color w:val="FFFFFF"/>
                <w:sz w:val="18"/>
              </w:rPr>
              <w:t>FY26E</w:t>
            </w:r>
          </w:p>
        </w:tc>
        <w:tc>
          <w:tcPr>
            <w:tcW w:type="dxa" w:w="1339"/>
            <w:shd w:val="clear" w:fill="1C3A36"/>
          </w:tcPr>
          <w:p>
            <w:pPr>
              <w:spacing w:after="20" w:before="20"/>
              <w:jc w:val="center"/>
            </w:pPr>
            <w:r/>
            <w:r>
              <w:rPr>
                <w:b/>
                <w:color w:val="FFFFFF"/>
                <w:sz w:val="18"/>
              </w:rPr>
              <w:t>FY27E</w:t>
            </w:r>
          </w:p>
        </w:tc>
        <w:tc>
          <w:tcPr>
            <w:tcW w:type="dxa" w:w="1339"/>
            <w:shd w:val="clear" w:fill="1C3A36"/>
          </w:tcPr>
          <w:p>
            <w:pPr>
              <w:spacing w:after="20" w:before="20"/>
              <w:jc w:val="center"/>
            </w:pPr>
            <w:r/>
            <w:r>
              <w:rPr>
                <w:b/>
                <w:color w:val="FFFFFF"/>
                <w:sz w:val="18"/>
              </w:rPr>
              <w:t>FY28E</w:t>
            </w:r>
          </w:p>
        </w:tc>
        <w:tc>
          <w:tcPr>
            <w:tcW w:type="dxa" w:w="1339"/>
            <w:shd w:val="clear" w:fill="1C3A36"/>
          </w:tcPr>
          <w:p>
            <w:pPr>
              <w:spacing w:after="20" w:before="20"/>
              <w:jc w:val="center"/>
            </w:pPr>
            <w:r/>
            <w:r>
              <w:rPr>
                <w:b/>
                <w:color w:val="FFFFFF"/>
                <w:sz w:val="18"/>
              </w:rPr>
              <w:t>FY29E</w:t>
            </w:r>
          </w:p>
        </w:tc>
        <w:tc>
          <w:tcPr>
            <w:tcW w:type="dxa" w:w="1339"/>
            <w:shd w:val="clear" w:fill="1C3A36"/>
          </w:tcPr>
          <w:p>
            <w:pPr>
              <w:spacing w:after="20" w:before="20"/>
              <w:jc w:val="center"/>
            </w:pPr>
            <w:r/>
            <w:r>
              <w:rPr>
                <w:b/>
                <w:color w:val="FFFFFF"/>
                <w:sz w:val="18"/>
              </w:rPr>
              <w:t>FY30E</w:t>
            </w:r>
          </w:p>
        </w:tc>
      </w:tr>
      <w:tr>
        <w:tc>
          <w:tcPr>
            <w:tcW w:type="dxa" w:w="3240"/>
          </w:tcPr>
          <w:p>
            <w:pPr>
              <w:spacing w:after="20" w:before="20"/>
            </w:pPr>
            <w:r/>
            <w:r>
              <w:rPr>
                <w:b/>
                <w:sz w:val="18"/>
              </w:rPr>
              <w:t>Earnings to common</w:t>
            </w:r>
          </w:p>
        </w:tc>
        <w:tc>
          <w:tcPr>
            <w:tcW w:type="dxa" w:w="1339"/>
          </w:tcPr>
          <w:p>
            <w:pPr>
              <w:spacing w:after="20" w:before="20"/>
              <w:jc w:val="center"/>
            </w:pPr>
            <w:r/>
            <w:r>
              <w:rPr>
                <w:sz w:val="18"/>
              </w:rPr>
              <w:t>6,212</w:t>
            </w:r>
          </w:p>
        </w:tc>
        <w:tc>
          <w:tcPr>
            <w:tcW w:type="dxa" w:w="1339"/>
          </w:tcPr>
          <w:p>
            <w:pPr>
              <w:spacing w:after="20" w:before="20"/>
              <w:jc w:val="center"/>
            </w:pPr>
            <w:r/>
            <w:r>
              <w:rPr>
                <w:sz w:val="18"/>
              </w:rPr>
              <w:t>6,661</w:t>
            </w:r>
          </w:p>
        </w:tc>
        <w:tc>
          <w:tcPr>
            <w:tcW w:type="dxa" w:w="1339"/>
          </w:tcPr>
          <w:p>
            <w:pPr>
              <w:spacing w:after="20" w:before="20"/>
              <w:jc w:val="center"/>
            </w:pPr>
            <w:r/>
            <w:r>
              <w:rPr>
                <w:sz w:val="18"/>
              </w:rPr>
              <w:t>7,568</w:t>
            </w:r>
          </w:p>
        </w:tc>
        <w:tc>
          <w:tcPr>
            <w:tcW w:type="dxa" w:w="1339"/>
          </w:tcPr>
          <w:p>
            <w:pPr>
              <w:spacing w:after="20" w:before="20"/>
              <w:jc w:val="center"/>
            </w:pPr>
            <w:r/>
            <w:r>
              <w:rPr>
                <w:sz w:val="18"/>
              </w:rPr>
              <w:t>8,536</w:t>
            </w:r>
          </w:p>
        </w:tc>
        <w:tc>
          <w:tcPr>
            <w:tcW w:type="dxa" w:w="1339"/>
          </w:tcPr>
          <w:p>
            <w:pPr>
              <w:spacing w:after="20" w:before="20"/>
              <w:jc w:val="center"/>
            </w:pPr>
            <w:r/>
            <w:r>
              <w:rPr>
                <w:sz w:val="18"/>
              </w:rPr>
              <w:t>9,384</w:t>
            </w:r>
          </w:p>
        </w:tc>
      </w:tr>
      <w:tr>
        <w:tc>
          <w:tcPr>
            <w:tcW w:type="dxa" w:w="3240"/>
          </w:tcPr>
          <w:p>
            <w:pPr>
              <w:spacing w:after="20" w:before="20"/>
            </w:pPr>
            <w:r/>
            <w:r>
              <w:rPr>
                <w:b/>
                <w:sz w:val="18"/>
              </w:rPr>
              <w:t>less: dividends paid (board policy)</w:t>
            </w:r>
          </w:p>
        </w:tc>
        <w:tc>
          <w:tcPr>
            <w:tcW w:type="dxa" w:w="1339"/>
          </w:tcPr>
          <w:p>
            <w:pPr>
              <w:spacing w:after="20" w:before="20"/>
              <w:jc w:val="center"/>
            </w:pPr>
            <w:r/>
            <w:r>
              <w:rPr>
                <w:sz w:val="18"/>
              </w:rPr>
              <w:t>-2,529</w:t>
            </w:r>
          </w:p>
        </w:tc>
        <w:tc>
          <w:tcPr>
            <w:tcW w:type="dxa" w:w="1339"/>
          </w:tcPr>
          <w:p>
            <w:pPr>
              <w:spacing w:after="20" w:before="20"/>
              <w:jc w:val="center"/>
            </w:pPr>
            <w:r/>
            <w:r>
              <w:rPr>
                <w:sz w:val="18"/>
              </w:rPr>
              <w:t>-2,819</w:t>
            </w:r>
          </w:p>
        </w:tc>
        <w:tc>
          <w:tcPr>
            <w:tcW w:type="dxa" w:w="1339"/>
          </w:tcPr>
          <w:p>
            <w:pPr>
              <w:spacing w:after="20" w:before="20"/>
              <w:jc w:val="center"/>
            </w:pPr>
            <w:r/>
            <w:r>
              <w:rPr>
                <w:sz w:val="18"/>
              </w:rPr>
              <w:t>-3,252</w:t>
            </w:r>
          </w:p>
        </w:tc>
        <w:tc>
          <w:tcPr>
            <w:tcW w:type="dxa" w:w="1339"/>
          </w:tcPr>
          <w:p>
            <w:pPr>
              <w:spacing w:after="20" w:before="20"/>
              <w:jc w:val="center"/>
            </w:pPr>
            <w:r/>
            <w:r>
              <w:rPr>
                <w:sz w:val="18"/>
              </w:rPr>
              <w:t>-3,758</w:t>
            </w:r>
          </w:p>
        </w:tc>
        <w:tc>
          <w:tcPr>
            <w:tcW w:type="dxa" w:w="1339"/>
          </w:tcPr>
          <w:p>
            <w:pPr>
              <w:spacing w:after="20" w:before="20"/>
              <w:jc w:val="center"/>
            </w:pPr>
            <w:r/>
            <w:r>
              <w:rPr>
                <w:sz w:val="18"/>
              </w:rPr>
              <w:t>-4,264</w:t>
            </w:r>
          </w:p>
        </w:tc>
      </w:tr>
      <w:tr>
        <w:tc>
          <w:tcPr>
            <w:tcW w:type="dxa" w:w="3240"/>
          </w:tcPr>
          <w:p>
            <w:pPr>
              <w:spacing w:after="20" w:before="20"/>
            </w:pPr>
            <w:r/>
            <w:r>
              <w:rPr>
                <w:b/>
                <w:sz w:val="18"/>
              </w:rPr>
              <w:t>Retained earnings → CET1</w:t>
            </w:r>
          </w:p>
        </w:tc>
        <w:tc>
          <w:tcPr>
            <w:tcW w:type="dxa" w:w="1339"/>
          </w:tcPr>
          <w:p>
            <w:pPr>
              <w:spacing w:after="20" w:before="20"/>
              <w:jc w:val="center"/>
            </w:pPr>
            <w:r/>
            <w:r>
              <w:rPr>
                <w:sz w:val="18"/>
              </w:rPr>
              <w:t>3,682</w:t>
            </w:r>
          </w:p>
        </w:tc>
        <w:tc>
          <w:tcPr>
            <w:tcW w:type="dxa" w:w="1339"/>
          </w:tcPr>
          <w:p>
            <w:pPr>
              <w:spacing w:after="20" w:before="20"/>
              <w:jc w:val="center"/>
            </w:pPr>
            <w:r/>
            <w:r>
              <w:rPr>
                <w:sz w:val="18"/>
              </w:rPr>
              <w:t>3,843</w:t>
            </w:r>
          </w:p>
        </w:tc>
        <w:tc>
          <w:tcPr>
            <w:tcW w:type="dxa" w:w="1339"/>
          </w:tcPr>
          <w:p>
            <w:pPr>
              <w:spacing w:after="20" w:before="20"/>
              <w:jc w:val="center"/>
            </w:pPr>
            <w:r/>
            <w:r>
              <w:rPr>
                <w:sz w:val="18"/>
              </w:rPr>
              <w:t>4,316</w:t>
            </w:r>
          </w:p>
        </w:tc>
        <w:tc>
          <w:tcPr>
            <w:tcW w:type="dxa" w:w="1339"/>
          </w:tcPr>
          <w:p>
            <w:pPr>
              <w:spacing w:after="20" w:before="20"/>
              <w:jc w:val="center"/>
            </w:pPr>
            <w:r/>
            <w:r>
              <w:rPr>
                <w:sz w:val="18"/>
              </w:rPr>
              <w:t>4,778</w:t>
            </w:r>
          </w:p>
        </w:tc>
        <w:tc>
          <w:tcPr>
            <w:tcW w:type="dxa" w:w="1339"/>
          </w:tcPr>
          <w:p>
            <w:pPr>
              <w:spacing w:after="20" w:before="20"/>
              <w:jc w:val="center"/>
            </w:pPr>
            <w:r/>
            <w:r>
              <w:rPr>
                <w:sz w:val="18"/>
              </w:rPr>
              <w:t>5,120</w:t>
            </w:r>
          </w:p>
        </w:tc>
      </w:tr>
      <w:tr>
        <w:tc>
          <w:tcPr>
            <w:tcW w:type="dxa" w:w="3240"/>
          </w:tcPr>
          <w:p>
            <w:pPr>
              <w:spacing w:after="20" w:before="20"/>
            </w:pPr>
            <w:r/>
            <w:r>
              <w:rPr>
                <w:b/>
                <w:sz w:val="18"/>
              </w:rPr>
              <w:t>Capital absorbed by RWA growth (at target CET1)</w:t>
            </w:r>
          </w:p>
        </w:tc>
        <w:tc>
          <w:tcPr>
            <w:tcW w:type="dxa" w:w="1339"/>
          </w:tcPr>
          <w:p>
            <w:pPr>
              <w:spacing w:after="20" w:before="20"/>
              <w:jc w:val="center"/>
            </w:pPr>
            <w:r/>
            <w:r>
              <w:rPr>
                <w:sz w:val="18"/>
              </w:rPr>
              <w:t>-4,625</w:t>
            </w:r>
          </w:p>
        </w:tc>
        <w:tc>
          <w:tcPr>
            <w:tcW w:type="dxa" w:w="1339"/>
          </w:tcPr>
          <w:p>
            <w:pPr>
              <w:spacing w:after="20" w:before="20"/>
              <w:jc w:val="center"/>
            </w:pPr>
            <w:r/>
            <w:r>
              <w:rPr>
                <w:sz w:val="18"/>
              </w:rPr>
              <w:t>-3,306</w:t>
            </w:r>
          </w:p>
        </w:tc>
        <w:tc>
          <w:tcPr>
            <w:tcW w:type="dxa" w:w="1339"/>
          </w:tcPr>
          <w:p>
            <w:pPr>
              <w:spacing w:after="20" w:before="20"/>
              <w:jc w:val="center"/>
            </w:pPr>
            <w:r/>
            <w:r>
              <w:rPr>
                <w:sz w:val="18"/>
              </w:rPr>
              <w:t>-3,121</w:t>
            </w:r>
          </w:p>
        </w:tc>
        <w:tc>
          <w:tcPr>
            <w:tcW w:type="dxa" w:w="1339"/>
          </w:tcPr>
          <w:p>
            <w:pPr>
              <w:spacing w:after="20" w:before="20"/>
              <w:jc w:val="center"/>
            </w:pPr>
            <w:r/>
            <w:r>
              <w:rPr>
                <w:sz w:val="18"/>
              </w:rPr>
              <w:t>-3,333</w:t>
            </w:r>
          </w:p>
        </w:tc>
        <w:tc>
          <w:tcPr>
            <w:tcW w:type="dxa" w:w="1339"/>
          </w:tcPr>
          <w:p>
            <w:pPr>
              <w:spacing w:after="20" w:before="20"/>
              <w:jc w:val="center"/>
            </w:pPr>
            <w:r/>
            <w:r>
              <w:rPr>
                <w:sz w:val="18"/>
              </w:rPr>
              <w:t>-3,052</w:t>
            </w:r>
          </w:p>
        </w:tc>
      </w:tr>
      <w:tr>
        <w:tc>
          <w:tcPr>
            <w:tcW w:type="dxa" w:w="3240"/>
          </w:tcPr>
          <w:p>
            <w:pPr>
              <w:spacing w:after="20" w:before="20"/>
            </w:pPr>
            <w:r/>
            <w:r>
              <w:rPr>
                <w:b/>
                <w:sz w:val="18"/>
              </w:rPr>
              <w:t>Free cash flow to equity</w:t>
            </w:r>
          </w:p>
        </w:tc>
        <w:tc>
          <w:tcPr>
            <w:tcW w:type="dxa" w:w="1339"/>
          </w:tcPr>
          <w:p>
            <w:pPr>
              <w:spacing w:after="20" w:before="20"/>
              <w:jc w:val="center"/>
            </w:pPr>
            <w:r/>
            <w:r>
              <w:rPr>
                <w:b/>
                <w:sz w:val="18"/>
              </w:rPr>
              <w:t>1,586</w:t>
            </w:r>
          </w:p>
        </w:tc>
        <w:tc>
          <w:tcPr>
            <w:tcW w:type="dxa" w:w="1339"/>
          </w:tcPr>
          <w:p>
            <w:pPr>
              <w:spacing w:after="20" w:before="20"/>
              <w:jc w:val="center"/>
            </w:pPr>
            <w:r/>
            <w:r>
              <w:rPr>
                <w:b/>
                <w:sz w:val="18"/>
              </w:rPr>
              <w:t>3,355</w:t>
            </w:r>
          </w:p>
        </w:tc>
        <w:tc>
          <w:tcPr>
            <w:tcW w:type="dxa" w:w="1339"/>
          </w:tcPr>
          <w:p>
            <w:pPr>
              <w:spacing w:after="20" w:before="20"/>
              <w:jc w:val="center"/>
            </w:pPr>
            <w:r/>
            <w:r>
              <w:rPr>
                <w:b/>
                <w:sz w:val="18"/>
              </w:rPr>
              <w:t>4,447</w:t>
            </w:r>
          </w:p>
        </w:tc>
        <w:tc>
          <w:tcPr>
            <w:tcW w:type="dxa" w:w="1339"/>
          </w:tcPr>
          <w:p>
            <w:pPr>
              <w:spacing w:after="20" w:before="20"/>
              <w:jc w:val="center"/>
            </w:pPr>
            <w:r/>
            <w:r>
              <w:rPr>
                <w:b/>
                <w:sz w:val="18"/>
              </w:rPr>
              <w:t>5,203</w:t>
            </w:r>
          </w:p>
        </w:tc>
        <w:tc>
          <w:tcPr>
            <w:tcW w:type="dxa" w:w="1339"/>
          </w:tcPr>
          <w:p>
            <w:pPr>
              <w:spacing w:after="20" w:before="20"/>
              <w:jc w:val="center"/>
            </w:pPr>
            <w:r/>
            <w:r>
              <w:rPr>
                <w:b/>
                <w:sz w:val="18"/>
              </w:rPr>
              <w:t>6,332</w:t>
            </w:r>
          </w:p>
        </w:tc>
      </w:tr>
      <w:tr>
        <w:tc>
          <w:tcPr>
            <w:tcW w:type="dxa" w:w="3240"/>
          </w:tcPr>
          <w:p>
            <w:pPr>
              <w:spacing w:after="20" w:before="20"/>
            </w:pPr>
            <w:r/>
            <w:r>
              <w:rPr>
                <w:b/>
                <w:sz w:val="18"/>
              </w:rPr>
              <w:t>Dividend cover (FCFE / dividends)</w:t>
            </w:r>
          </w:p>
        </w:tc>
        <w:tc>
          <w:tcPr>
            <w:tcW w:type="dxa" w:w="1339"/>
          </w:tcPr>
          <w:p>
            <w:pPr>
              <w:spacing w:after="20" w:before="20"/>
              <w:jc w:val="center"/>
            </w:pPr>
            <w:r/>
            <w:r>
              <w:rPr>
                <w:b/>
                <w:sz w:val="18"/>
              </w:rPr>
              <w:t>0.63x</w:t>
            </w:r>
          </w:p>
        </w:tc>
        <w:tc>
          <w:tcPr>
            <w:tcW w:type="dxa" w:w="1339"/>
          </w:tcPr>
          <w:p>
            <w:pPr>
              <w:spacing w:after="20" w:before="20"/>
              <w:jc w:val="center"/>
            </w:pPr>
            <w:r/>
            <w:r>
              <w:rPr>
                <w:b/>
                <w:sz w:val="18"/>
              </w:rPr>
              <w:t>1.19x</w:t>
            </w:r>
          </w:p>
        </w:tc>
        <w:tc>
          <w:tcPr>
            <w:tcW w:type="dxa" w:w="1339"/>
          </w:tcPr>
          <w:p>
            <w:pPr>
              <w:spacing w:after="20" w:before="20"/>
              <w:jc w:val="center"/>
            </w:pPr>
            <w:r/>
            <w:r>
              <w:rPr>
                <w:b/>
                <w:sz w:val="18"/>
              </w:rPr>
              <w:t>1.37x</w:t>
            </w:r>
          </w:p>
        </w:tc>
        <w:tc>
          <w:tcPr>
            <w:tcW w:type="dxa" w:w="1339"/>
          </w:tcPr>
          <w:p>
            <w:pPr>
              <w:spacing w:after="20" w:before="20"/>
              <w:jc w:val="center"/>
            </w:pPr>
            <w:r/>
            <w:r>
              <w:rPr>
                <w:b/>
                <w:sz w:val="18"/>
              </w:rPr>
              <w:t>1.38x</w:t>
            </w:r>
          </w:p>
        </w:tc>
        <w:tc>
          <w:tcPr>
            <w:tcW w:type="dxa" w:w="1339"/>
          </w:tcPr>
          <w:p>
            <w:pPr>
              <w:spacing w:after="20" w:before="20"/>
              <w:jc w:val="center"/>
            </w:pPr>
            <w:r/>
            <w:r>
              <w:rPr>
                <w:b/>
                <w:sz w:val="18"/>
              </w:rPr>
              <w:t>1.49x</w:t>
            </w:r>
          </w:p>
        </w:tc>
      </w:tr>
    </w:tbl>
    <w:p>
      <w:pPr>
        <w:spacing w:after="60"/>
      </w:pPr>
    </w:p>
    <w:p>
      <w:pPr>
        <w:jc w:val="center"/>
      </w:pPr>
      <w:r>
        <w:drawing>
          <wp:inline xmlns:a="http://schemas.openxmlformats.org/drawingml/2006/main" xmlns:pic="http://schemas.openxmlformats.org/drawingml/2006/picture">
            <wp:extent cx="6309360" cy="2908755"/>
            <wp:docPr id="10" name="Picture 10"/>
            <wp:cNvGraphicFramePr>
              <a:graphicFrameLocks noChangeAspect="1"/>
            </wp:cNvGraphicFramePr>
            <a:graphic>
              <a:graphicData uri="http://schemas.openxmlformats.org/drawingml/2006/picture">
                <pic:pic>
                  <pic:nvPicPr>
                    <pic:cNvPr id="0" name="fig10.png"/>
                    <pic:cNvPicPr/>
                  </pic:nvPicPr>
                  <pic:blipFill>
                    <a:blip r:embed="rId18"/>
                    <a:stretch>
                      <a:fillRect/>
                    </a:stretch>
                  </pic:blipFill>
                  <pic:spPr>
                    <a:xfrm>
                      <a:off x="0" y="0"/>
                      <a:ext cx="6309360" cy="2908755"/>
                    </a:xfrm>
                    <a:prstGeom prst="rect"/>
                  </pic:spPr>
                </pic:pic>
              </a:graphicData>
            </a:graphic>
          </wp:inline>
        </w:drawing>
      </w:r>
    </w:p>
    <w:p>
      <w:pPr>
        <w:spacing w:after="180" w:before="0"/>
        <w:jc w:val="center"/>
      </w:pPr>
      <w:r>
        <w:rPr>
          <w:b w:val="0"/>
          <w:i/>
          <w:color w:val="6E7B77"/>
          <w:sz w:val="17"/>
        </w:rPr>
        <w:t>Figure 10 — The dividend: cut once to buy capital, then progressive as growth halves. The red bar is what the market sold.</w:t>
      </w:r>
    </w:p>
    <w:p>
      <w:r>
        <w:br w:type="page"/>
      </w:r>
    </w:p>
    <w:p>
      <w:pPr>
        <w:spacing w:after="100" w:before="260"/>
      </w:pPr>
      <w:r>
        <w:rPr>
          <w:b/>
          <w:i w:val="0"/>
          <w:color w:val="1C3A36"/>
          <w:sz w:val="26"/>
        </w:rPr>
        <w:t>Appendix B — Peers, sector, risks, and the research register</w:t>
      </w:r>
    </w:p>
    <w:p>
      <w:pPr>
        <w:spacing w:after="80" w:before="200"/>
      </w:pPr>
      <w:r>
        <w:rPr>
          <w:b/>
          <w:i w:val="0"/>
          <w:color w:val="1C3A36"/>
          <w:sz w:val="22"/>
        </w:rPr>
        <w:t>B.1  Peer set and sector</w:t>
      </w:r>
    </w:p>
    <w:tbl>
      <w:tblPr>
        <w:tblStyle w:val="TableGrid"/>
        <w:tblW w:type="auto" w:w="0"/>
        <w:jc w:val="center"/>
        <w:tblLook w:firstColumn="1" w:firstRow="1" w:lastColumn="0" w:lastRow="0" w:noHBand="0" w:noVBand="1" w:val="04A0"/>
      </w:tblPr>
      <w:tblGrid>
        <w:gridCol w:w="3331"/>
        <w:gridCol w:w="3331"/>
        <w:gridCol w:w="3331"/>
      </w:tblGrid>
      <w:tr>
        <w:tc>
          <w:tcPr>
            <w:tcW w:type="dxa" w:w="2304"/>
            <w:shd w:val="clear" w:fill="1C3A36"/>
          </w:tcPr>
          <w:p>
            <w:pPr>
              <w:spacing w:after="20" w:before="20"/>
            </w:pPr>
            <w:r/>
            <w:r>
              <w:rPr>
                <w:b/>
                <w:color w:val="FFFFFF"/>
                <w:sz w:val="17"/>
              </w:rPr>
              <w:t>Bank</w:t>
            </w:r>
          </w:p>
        </w:tc>
        <w:tc>
          <w:tcPr>
            <w:tcW w:type="dxa" w:w="3600"/>
            <w:shd w:val="clear" w:fill="1C3A36"/>
          </w:tcPr>
          <w:p>
            <w:pPr>
              <w:spacing w:after="20" w:before="20"/>
              <w:jc w:val="center"/>
            </w:pPr>
            <w:r/>
            <w:r>
              <w:rPr>
                <w:b/>
                <w:color w:val="FFFFFF"/>
                <w:sz w:val="17"/>
              </w:rPr>
              <w:t>Latest sourced print</w:t>
            </w:r>
          </w:p>
        </w:tc>
        <w:tc>
          <w:tcPr>
            <w:tcW w:type="dxa" w:w="4032"/>
            <w:shd w:val="clear" w:fill="1C3A36"/>
          </w:tcPr>
          <w:p>
            <w:pPr>
              <w:spacing w:after="20" w:before="20"/>
              <w:jc w:val="center"/>
            </w:pPr>
            <w:r/>
            <w:r>
              <w:rPr>
                <w:b/>
                <w:color w:val="FFFFFF"/>
                <w:sz w:val="17"/>
              </w:rPr>
              <w:t>Read vs DIB</w:t>
            </w:r>
          </w:p>
        </w:tc>
      </w:tr>
      <w:tr>
        <w:tc>
          <w:tcPr>
            <w:tcW w:type="dxa" w:w="2304"/>
          </w:tcPr>
          <w:p>
            <w:pPr>
              <w:spacing w:after="20" w:before="20"/>
            </w:pPr>
            <w:r/>
            <w:r>
              <w:rPr>
                <w:b/>
                <w:sz w:val="17"/>
              </w:rPr>
              <w:t>Abu Dhabi Islamic Bank</w:t>
            </w:r>
          </w:p>
        </w:tc>
        <w:tc>
          <w:tcPr>
            <w:tcW w:type="dxa" w:w="3600"/>
          </w:tcPr>
          <w:p>
            <w:pPr>
              <w:spacing w:after="20" w:before="20"/>
              <w:jc w:val="center"/>
            </w:pPr>
            <w:r/>
            <w:r>
              <w:rPr>
                <w:sz w:val="17"/>
              </w:rPr>
              <w:t>FY25 RoTE 25.8%; P/B ~3.5x</w:t>
            </w:r>
          </w:p>
        </w:tc>
        <w:tc>
          <w:tcPr>
            <w:tcW w:type="dxa" w:w="4032"/>
          </w:tcPr>
          <w:p>
            <w:pPr>
              <w:spacing w:after="20" w:before="20"/>
              <w:jc w:val="center"/>
            </w:pPr>
            <w:r/>
            <w:r>
              <w:rPr>
                <w:sz w:val="17"/>
              </w:rPr>
              <w:t>The premium Islamic peer. A 2.7x P/B gap on a 7pt RoTE gap.</w:t>
            </w:r>
          </w:p>
        </w:tc>
      </w:tr>
      <w:tr>
        <w:tc>
          <w:tcPr>
            <w:tcW w:type="dxa" w:w="2304"/>
          </w:tcPr>
          <w:p>
            <w:pPr>
              <w:spacing w:after="20" w:before="20"/>
            </w:pPr>
            <w:r/>
            <w:r>
              <w:rPr>
                <w:b/>
                <w:sz w:val="17"/>
              </w:rPr>
              <w:t>First Abu Dhabi Bank</w:t>
            </w:r>
          </w:p>
        </w:tc>
        <w:tc>
          <w:tcPr>
            <w:tcW w:type="dxa" w:w="3600"/>
          </w:tcPr>
          <w:p>
            <w:pPr>
              <w:spacing w:after="20" w:before="20"/>
              <w:jc w:val="center"/>
            </w:pPr>
            <w:r/>
            <w:r>
              <w:rPr>
                <w:sz w:val="17"/>
              </w:rPr>
              <w:t>Q1-26 net income AED 4.75bn; P/B ~1.9x</w:t>
            </w:r>
          </w:p>
        </w:tc>
        <w:tc>
          <w:tcPr>
            <w:tcW w:type="dxa" w:w="4032"/>
          </w:tcPr>
          <w:p>
            <w:pPr>
              <w:spacing w:after="20" w:before="20"/>
              <w:jc w:val="center"/>
            </w:pPr>
            <w:r/>
            <w:r>
              <w:rPr>
                <w:sz w:val="17"/>
              </w:rPr>
              <w:t>Sector ceiling by size — on a LOWER RoTE than DIB.</w:t>
            </w:r>
          </w:p>
        </w:tc>
      </w:tr>
      <w:tr>
        <w:tc>
          <w:tcPr>
            <w:tcW w:type="dxa" w:w="2304"/>
          </w:tcPr>
          <w:p>
            <w:pPr>
              <w:spacing w:after="20" w:before="20"/>
            </w:pPr>
            <w:r/>
            <w:r>
              <w:rPr>
                <w:b/>
                <w:sz w:val="17"/>
              </w:rPr>
              <w:t>Emirates NBD</w:t>
            </w:r>
          </w:p>
        </w:tc>
        <w:tc>
          <w:tcPr>
            <w:tcW w:type="dxa" w:w="3600"/>
          </w:tcPr>
          <w:p>
            <w:pPr>
              <w:spacing w:after="20" w:before="20"/>
              <w:jc w:val="center"/>
            </w:pPr>
            <w:r/>
            <w:r>
              <w:rPr>
                <w:sz w:val="17"/>
              </w:rPr>
              <w:t>RoTE 20.4%; P/B ~1.65x</w:t>
            </w:r>
          </w:p>
        </w:tc>
        <w:tc>
          <w:tcPr>
            <w:tcW w:type="dxa" w:w="4032"/>
          </w:tcPr>
          <w:p>
            <w:pPr>
              <w:spacing w:after="20" w:before="20"/>
              <w:jc w:val="center"/>
            </w:pPr>
            <w:r/>
            <w:r>
              <w:rPr>
                <w:sz w:val="17"/>
              </w:rPr>
              <w:t>Dubai flagship and DIB's closest home comparator.</w:t>
            </w:r>
          </w:p>
        </w:tc>
      </w:tr>
      <w:tr>
        <w:tc>
          <w:tcPr>
            <w:tcW w:type="dxa" w:w="2304"/>
          </w:tcPr>
          <w:p>
            <w:pPr>
              <w:spacing w:after="20" w:before="20"/>
            </w:pPr>
            <w:r/>
            <w:r>
              <w:rPr>
                <w:b/>
                <w:sz w:val="17"/>
              </w:rPr>
              <w:t>Abu Dhabi Commercial Bank</w:t>
            </w:r>
          </w:p>
        </w:tc>
        <w:tc>
          <w:tcPr>
            <w:tcW w:type="dxa" w:w="3600"/>
          </w:tcPr>
          <w:p>
            <w:pPr>
              <w:spacing w:after="20" w:before="20"/>
              <w:jc w:val="center"/>
            </w:pPr>
            <w:r/>
            <w:r>
              <w:rPr>
                <w:sz w:val="17"/>
              </w:rPr>
              <w:t>Q1-26 NPAT AED 3.36bn; RoAE 16.3%; P/B 1.52x (03-Jul)</w:t>
            </w:r>
          </w:p>
        </w:tc>
        <w:tc>
          <w:tcPr>
            <w:tcW w:type="dxa" w:w="4032"/>
          </w:tcPr>
          <w:p>
            <w:pPr>
              <w:spacing w:after="20" w:before="20"/>
              <w:jc w:val="center"/>
            </w:pPr>
            <w:r/>
            <w:r>
              <w:rPr>
                <w:sz w:val="17"/>
              </w:rPr>
              <w:t>Testahil coverage, 10-Jul-2026 study. Same-day P/B comparison.</w:t>
            </w:r>
          </w:p>
        </w:tc>
      </w:tr>
      <w:tr>
        <w:tc>
          <w:tcPr>
            <w:tcW w:type="dxa" w:w="2304"/>
            <w:shd w:val="clear" w:fill="F2E9D2"/>
          </w:tcPr>
          <w:p>
            <w:pPr>
              <w:spacing w:after="20" w:before="20"/>
            </w:pPr>
            <w:r/>
            <w:r>
              <w:rPr>
                <w:b/>
                <w:sz w:val="17"/>
              </w:rPr>
              <w:t>Dubai Islamic Bank (this study)</w:t>
            </w:r>
          </w:p>
        </w:tc>
        <w:tc>
          <w:tcPr>
            <w:tcW w:type="dxa" w:w="3600"/>
            <w:shd w:val="clear" w:fill="F2E9D2"/>
          </w:tcPr>
          <w:p>
            <w:pPr>
              <w:spacing w:after="20" w:before="20"/>
              <w:jc w:val="center"/>
            </w:pPr>
            <w:r/>
            <w:r>
              <w:rPr>
                <w:b/>
                <w:sz w:val="17"/>
              </w:rPr>
              <w:t>FY25 NPAT AED 7.81bn; RoTE 18-19%; P/B 1.31x (03-Jul)</w:t>
            </w:r>
          </w:p>
        </w:tc>
        <w:tc>
          <w:tcPr>
            <w:tcW w:type="dxa" w:w="4032"/>
            <w:shd w:val="clear" w:fill="F2E9D2"/>
          </w:tcPr>
          <w:p>
            <w:pPr>
              <w:spacing w:after="20" w:before="20"/>
              <w:jc w:val="center"/>
            </w:pPr>
            <w:r/>
            <w:r>
              <w:rPr>
                <w:b/>
                <w:sz w:val="17"/>
              </w:rPr>
              <w:t>Cheapest in the set on the second-best return.</w:t>
            </w:r>
          </w:p>
        </w:tc>
      </w:tr>
    </w:tbl>
    <w:p>
      <w:pPr>
        <w:spacing w:after="60"/>
      </w:pPr>
    </w:p>
    <w:p>
      <w:pPr>
        <w:spacing w:after="160" w:before="40"/>
      </w:pPr>
      <w:r>
        <w:rPr>
          <w:b w:val="0"/>
          <w:i/>
          <w:color w:val="6E7B77"/>
          <w:sz w:val="16"/>
        </w:rPr>
        <w:t>Shaded gold: Dubai Islamic Bank — the subject of this study, shown against the peers it is being read alongside.</w:t>
      </w:r>
    </w:p>
    <w:p>
      <w:pPr>
        <w:spacing w:after="120" w:before="0"/>
      </w:pPr>
      <w:r>
        <w:rPr>
          <w:b w:val="0"/>
          <w:i w:val="0"/>
          <w:sz w:val="18"/>
        </w:rPr>
        <w:t>Sector: UAE bank assets AED 5.56tn (Q1-2026, +17.7% YoY); loans +20.3%; deposits +17.4%; sector CAR 16.8%; net NPL 1.5%. CBUAE base rate 3.65%, held. A 0.5% counter-cyclical buffer on UAE private-sector credit applies from 2026. DIB ratings: Moody's A3 (stable, with five notches of government-support uplift over a ba2 standalone assessment) and Fitch A. Fitch's downgrade triggers are impaired financing at 7% or CET1 sustainably below 12% — the second of which is the floor the §1.8 crux is measured against.</w:t>
      </w:r>
    </w:p>
    <w:p>
      <w:pPr>
        <w:spacing w:after="80" w:before="200"/>
      </w:pPr>
      <w:r>
        <w:rPr>
          <w:b/>
          <w:i w:val="0"/>
          <w:color w:val="1C3A36"/>
          <w:sz w:val="22"/>
        </w:rPr>
        <w:t>B.2  Risk table</w:t>
      </w:r>
    </w:p>
    <w:tbl>
      <w:tblPr>
        <w:tblStyle w:val="TableGrid"/>
        <w:tblW w:type="auto" w:w="0"/>
        <w:jc w:val="center"/>
        <w:tblLook w:firstColumn="1" w:firstRow="1" w:lastColumn="0" w:lastRow="0" w:noHBand="0" w:noVBand="1" w:val="04A0"/>
      </w:tblPr>
      <w:tblGrid>
        <w:gridCol w:w="3331"/>
        <w:gridCol w:w="3331"/>
        <w:gridCol w:w="3331"/>
      </w:tblGrid>
      <w:tr>
        <w:tc>
          <w:tcPr>
            <w:tcW w:type="dxa" w:w="2664"/>
            <w:shd w:val="clear" w:fill="1C3A36"/>
          </w:tcPr>
          <w:p>
            <w:pPr>
              <w:spacing w:after="20" w:before="20"/>
            </w:pPr>
            <w:r/>
            <w:r>
              <w:rPr>
                <w:b/>
                <w:color w:val="FFFFFF"/>
                <w:sz w:val="17"/>
              </w:rPr>
              <w:t>Risk</w:t>
            </w:r>
          </w:p>
        </w:tc>
        <w:tc>
          <w:tcPr>
            <w:tcW w:type="dxa" w:w="2232"/>
            <w:shd w:val="clear" w:fill="1C3A36"/>
          </w:tcPr>
          <w:p>
            <w:pPr>
              <w:spacing w:after="20" w:before="20"/>
              <w:jc w:val="center"/>
            </w:pPr>
            <w:r/>
            <w:r>
              <w:rPr>
                <w:b/>
                <w:color w:val="FFFFFF"/>
                <w:sz w:val="17"/>
              </w:rPr>
              <w:t>Channel</w:t>
            </w:r>
          </w:p>
        </w:tc>
        <w:tc>
          <w:tcPr>
            <w:tcW w:type="dxa" w:w="5040"/>
            <w:shd w:val="clear" w:fill="1C3A36"/>
          </w:tcPr>
          <w:p>
            <w:pPr>
              <w:spacing w:after="20" w:before="20"/>
              <w:jc w:val="center"/>
            </w:pPr>
            <w:r/>
            <w:r>
              <w:rPr>
                <w:b/>
                <w:color w:val="FFFFFF"/>
                <w:sz w:val="17"/>
              </w:rPr>
              <w:t>Model treatment</w:t>
            </w:r>
          </w:p>
        </w:tc>
      </w:tr>
      <w:tr>
        <w:tc>
          <w:tcPr>
            <w:tcW w:type="dxa" w:w="2664"/>
          </w:tcPr>
          <w:p>
            <w:pPr>
              <w:spacing w:after="20" w:before="20"/>
            </w:pPr>
            <w:r/>
            <w:r>
              <w:rPr>
                <w:b/>
                <w:sz w:val="17"/>
              </w:rPr>
              <w:t>A second dividend cut</w:t>
            </w:r>
          </w:p>
        </w:tc>
        <w:tc>
          <w:tcPr>
            <w:tcW w:type="dxa" w:w="2232"/>
          </w:tcPr>
          <w:p>
            <w:pPr>
              <w:spacing w:after="20" w:before="20"/>
              <w:jc w:val="center"/>
            </w:pPr>
            <w:r/>
            <w:r>
              <w:rPr>
                <w:sz w:val="17"/>
              </w:rPr>
              <w:t>DDM (30% of the weight)</w:t>
            </w:r>
          </w:p>
        </w:tc>
        <w:tc>
          <w:tcPr>
            <w:tcW w:type="dxa" w:w="5040"/>
          </w:tcPr>
          <w:p>
            <w:pPr>
              <w:spacing w:after="20" w:before="20"/>
              <w:jc w:val="center"/>
            </w:pPr>
            <w:r/>
            <w:r>
              <w:rPr>
                <w:sz w:val="17"/>
              </w:rPr>
              <w:t>35 fils assumed to be the floor and held through the FY26 dip. Falsifier 2.</w:t>
            </w:r>
          </w:p>
        </w:tc>
      </w:tr>
      <w:tr>
        <w:tc>
          <w:tcPr>
            <w:tcW w:type="dxa" w:w="2664"/>
          </w:tcPr>
          <w:p>
            <w:pPr>
              <w:spacing w:after="20" w:before="20"/>
            </w:pPr>
            <w:r/>
            <w:r>
              <w:rPr>
                <w:b/>
                <w:sz w:val="17"/>
              </w:rPr>
              <w:t>Margin compression beyond guidance</w:t>
            </w:r>
          </w:p>
        </w:tc>
        <w:tc>
          <w:tcPr>
            <w:tcW w:type="dxa" w:w="2232"/>
          </w:tcPr>
          <w:p>
            <w:pPr>
              <w:spacing w:after="20" w:before="20"/>
              <w:jc w:val="center"/>
            </w:pPr>
            <w:r/>
            <w:r>
              <w:rPr>
                <w:sz w:val="17"/>
              </w:rPr>
              <w:t>NPM → revenue</w:t>
            </w:r>
          </w:p>
        </w:tc>
        <w:tc>
          <w:tcPr>
            <w:tcW w:type="dxa" w:w="5040"/>
          </w:tcPr>
          <w:p>
            <w:pPr>
              <w:spacing w:after="20" w:before="20"/>
              <w:jc w:val="center"/>
            </w:pPr>
            <w:r/>
            <w:r>
              <w:rPr>
                <w:sz w:val="17"/>
              </w:rPr>
              <w:t>Base takes the 2.3% guide; ±10bp ≈ ∓AED 0.34/sh. The Fed's hawkish turn is upside.</w:t>
            </w:r>
          </w:p>
        </w:tc>
      </w:tr>
      <w:tr>
        <w:tc>
          <w:tcPr>
            <w:tcW w:type="dxa" w:w="2664"/>
          </w:tcPr>
          <w:p>
            <w:pPr>
              <w:spacing w:after="20" w:before="20"/>
            </w:pPr>
            <w:r/>
            <w:r>
              <w:rPr>
                <w:b/>
                <w:sz w:val="17"/>
              </w:rPr>
              <w:t>Cost of risk normalising further</w:t>
            </w:r>
          </w:p>
        </w:tc>
        <w:tc>
          <w:tcPr>
            <w:tcW w:type="dxa" w:w="2232"/>
          </w:tcPr>
          <w:p>
            <w:pPr>
              <w:spacing w:after="20" w:before="20"/>
              <w:jc w:val="center"/>
            </w:pPr>
            <w:r/>
            <w:r>
              <w:rPr>
                <w:sz w:val="17"/>
              </w:rPr>
              <w:t>Impairment</w:t>
            </w:r>
          </w:p>
        </w:tc>
        <w:tc>
          <w:tcPr>
            <w:tcW w:type="dxa" w:w="5040"/>
          </w:tcPr>
          <w:p>
            <w:pPr>
              <w:spacing w:after="20" w:before="20"/>
              <w:jc w:val="center"/>
            </w:pPr>
            <w:r/>
            <w:r>
              <w:rPr>
                <w:sz w:val="17"/>
              </w:rPr>
              <w:t>FY26 set AT the Q1 print (45bp) vs FY25's 14bp. ±10bp ≈ ∓AED 0.42/sh.</w:t>
            </w:r>
          </w:p>
        </w:tc>
      </w:tr>
      <w:tr>
        <w:tc>
          <w:tcPr>
            <w:tcW w:type="dxa" w:w="2664"/>
          </w:tcPr>
          <w:p>
            <w:pPr>
              <w:spacing w:after="20" w:before="20"/>
            </w:pPr>
            <w:r/>
            <w:r>
              <w:rPr>
                <w:b/>
                <w:sz w:val="17"/>
              </w:rPr>
              <w:t>Capital: the effective 12.5% floor</w:t>
            </w:r>
          </w:p>
        </w:tc>
        <w:tc>
          <w:tcPr>
            <w:tcW w:type="dxa" w:w="2232"/>
          </w:tcPr>
          <w:p>
            <w:pPr>
              <w:spacing w:after="20" w:before="20"/>
              <w:jc w:val="center"/>
            </w:pPr>
            <w:r/>
            <w:r>
              <w:rPr>
                <w:sz w:val="17"/>
              </w:rPr>
              <w:t>CET1, payout, growth</w:t>
            </w:r>
          </w:p>
        </w:tc>
        <w:tc>
          <w:tcPr>
            <w:tcW w:type="dxa" w:w="5040"/>
          </w:tcPr>
          <w:p>
            <w:pPr>
              <w:spacing w:after="20" w:before="20"/>
              <w:jc w:val="center"/>
            </w:pPr>
            <w:r/>
            <w:r>
              <w:rPr>
                <w:sz w:val="17"/>
              </w:rPr>
              <w:t>Explicit CET1 glide as an OUTPUT. Double-stress pins it at 12.25%. The crux, §1.8.</w:t>
            </w:r>
          </w:p>
        </w:tc>
      </w:tr>
      <w:tr>
        <w:tc>
          <w:tcPr>
            <w:tcW w:type="dxa" w:w="2664"/>
          </w:tcPr>
          <w:p>
            <w:pPr>
              <w:spacing w:after="20" w:before="20"/>
            </w:pPr>
            <w:r/>
            <w:r>
              <w:rPr>
                <w:b/>
                <w:sz w:val="17"/>
              </w:rPr>
              <w:t>Hormuz re-escalation (live, 7–9 July)</w:t>
            </w:r>
          </w:p>
        </w:tc>
        <w:tc>
          <w:tcPr>
            <w:tcW w:type="dxa" w:w="2232"/>
          </w:tcPr>
          <w:p>
            <w:pPr>
              <w:spacing w:after="20" w:before="20"/>
              <w:jc w:val="center"/>
            </w:pPr>
            <w:r/>
            <w:r>
              <w:rPr>
                <w:sz w:val="17"/>
              </w:rPr>
              <w:t>Ke, sentiment, sector</w:t>
            </w:r>
          </w:p>
        </w:tc>
        <w:tc>
          <w:tcPr>
            <w:tcW w:type="dxa" w:w="5040"/>
          </w:tcPr>
          <w:p>
            <w:pPr>
              <w:spacing w:after="20" w:before="20"/>
              <w:jc w:val="center"/>
            </w:pPr>
            <w:r/>
            <w:r>
              <w:rPr>
                <w:sz w:val="17"/>
              </w:rPr>
              <w:t>1.0pt adder; §1.8 maps 0 ↔ 2.5pt = AED 12.34 ↔ 8.80. Falsifier 4.</w:t>
            </w:r>
          </w:p>
        </w:tc>
      </w:tr>
      <w:tr>
        <w:tc>
          <w:tcPr>
            <w:tcW w:type="dxa" w:w="2664"/>
          </w:tcPr>
          <w:p>
            <w:pPr>
              <w:spacing w:after="20" w:before="20"/>
            </w:pPr>
            <w:r/>
            <w:r>
              <w:rPr>
                <w:b/>
                <w:sz w:val="17"/>
              </w:rPr>
              <w:t>DMTT tax drag</w:t>
            </w:r>
          </w:p>
        </w:tc>
        <w:tc>
          <w:tcPr>
            <w:tcW w:type="dxa" w:w="2232"/>
          </w:tcPr>
          <w:p>
            <w:pPr>
              <w:spacing w:after="20" w:before="20"/>
              <w:jc w:val="center"/>
            </w:pPr>
            <w:r/>
            <w:r>
              <w:rPr>
                <w:sz w:val="17"/>
              </w:rPr>
              <w:t>Net profit −6%</w:t>
            </w:r>
          </w:p>
        </w:tc>
        <w:tc>
          <w:tcPr>
            <w:tcW w:type="dxa" w:w="5040"/>
          </w:tcPr>
          <w:p>
            <w:pPr>
              <w:spacing w:after="20" w:before="20"/>
              <w:jc w:val="center"/>
            </w:pPr>
            <w:r/>
            <w:r>
              <w:rPr>
                <w:sz w:val="17"/>
              </w:rPr>
              <w:t>Held at 15%. Management's 9% aim is modelled as upside only (+AED 0.72/sh).</w:t>
            </w:r>
          </w:p>
        </w:tc>
      </w:tr>
      <w:tr>
        <w:tc>
          <w:tcPr>
            <w:tcW w:type="dxa" w:w="2664"/>
          </w:tcPr>
          <w:p>
            <w:pPr>
              <w:spacing w:after="20" w:before="20"/>
            </w:pPr>
            <w:r/>
            <w:r>
              <w:rPr>
                <w:b/>
                <w:sz w:val="17"/>
              </w:rPr>
              <w:t>Overseas concentration</w:t>
            </w:r>
          </w:p>
        </w:tc>
        <w:tc>
          <w:tcPr>
            <w:tcW w:type="dxa" w:w="2232"/>
          </w:tcPr>
          <w:p>
            <w:pPr>
              <w:spacing w:after="20" w:before="20"/>
              <w:jc w:val="center"/>
            </w:pPr>
            <w:r/>
            <w:r>
              <w:rPr>
                <w:sz w:val="17"/>
              </w:rPr>
              <w:t>Asset quality</w:t>
            </w:r>
          </w:p>
        </w:tc>
        <w:tc>
          <w:tcPr>
            <w:tcW w:type="dxa" w:w="5040"/>
          </w:tcPr>
          <w:p>
            <w:pPr>
              <w:spacing w:after="20" w:before="20"/>
              <w:jc w:val="center"/>
            </w:pPr>
            <w:r/>
            <w:r>
              <w:rPr>
                <w:sz w:val="17"/>
              </w:rPr>
              <w:t>Fitch notes ~40% of 2025 growth was overseas-driven. Qualitative; not separately provisioned.</w:t>
            </w:r>
          </w:p>
        </w:tc>
      </w:tr>
      <w:tr>
        <w:tc>
          <w:tcPr>
            <w:tcW w:type="dxa" w:w="2664"/>
          </w:tcPr>
          <w:p>
            <w:pPr>
              <w:spacing w:after="20" w:before="20"/>
            </w:pPr>
            <w:r/>
            <w:r>
              <w:rPr>
                <w:b/>
                <w:sz w:val="17"/>
              </w:rPr>
              <w:t>Derived RWA and goodwill</w:t>
            </w:r>
          </w:p>
        </w:tc>
        <w:tc>
          <w:tcPr>
            <w:tcW w:type="dxa" w:w="2232"/>
          </w:tcPr>
          <w:p>
            <w:pPr>
              <w:spacing w:after="20" w:before="20"/>
              <w:jc w:val="center"/>
            </w:pPr>
            <w:r/>
            <w:r>
              <w:rPr>
                <w:sz w:val="17"/>
              </w:rPr>
              <w:t>The whole capital block</w:t>
            </w:r>
          </w:p>
        </w:tc>
        <w:tc>
          <w:tcPr>
            <w:tcW w:type="dxa" w:w="5040"/>
          </w:tcPr>
          <w:p>
            <w:pPr>
              <w:spacing w:after="20" w:before="20"/>
              <w:jc w:val="center"/>
            </w:pPr>
            <w:r/>
            <w:r>
              <w:rPr>
                <w:sz w:val="17"/>
              </w:rPr>
              <w:t>Both DERIVED from the disclosed CET1 ratio. Flagged; Ledger rows. Stated, not hidden.</w:t>
            </w:r>
          </w:p>
        </w:tc>
      </w:tr>
    </w:tbl>
    <w:p>
      <w:pPr>
        <w:spacing w:after="60"/>
      </w:pPr>
    </w:p>
    <w:p>
      <w:pPr>
        <w:spacing w:after="80" w:before="200"/>
      </w:pPr>
      <w:r>
        <w:rPr>
          <w:b/>
          <w:i w:val="0"/>
          <w:color w:val="1C3A36"/>
          <w:sz w:val="22"/>
        </w:rPr>
        <w:t>B.3  Research register — everything we checked before setting a single forecast driver</w:t>
      </w:r>
    </w:p>
    <w:p>
      <w:pPr>
        <w:spacing w:after="120" w:before="0"/>
      </w:pPr>
      <w:r>
        <w:rPr>
          <w:b w:val="0"/>
          <w:i w:val="0"/>
          <w:sz w:val="21"/>
        </w:rPr>
        <w:t>This register is a transparency device. Before setting a single forward assumption we work outward from the world to the company — the global rate cycle and the war, the UAE macro and tax regime, the competitive landscape, and finally DIB's own disclosures — and we record what we found, with a date and a source against every line. It is the reason the FY24 legacy recovery and the 7–9 July escalation are in this study at all.</w:t>
      </w:r>
    </w:p>
    <w:p>
      <w:pPr>
        <w:spacing w:after="120" w:before="0"/>
      </w:pPr>
      <w:r>
        <w:rPr>
          <w:b w:val="0"/>
          <w:i w:val="0"/>
          <w:sz w:val="18"/>
        </w:rPr>
        <w:t>Crucially, it also records what we looked for and did not find. A line marked as a negative search means we went hunting for something — a published rate-sensitivity table, a usable index price series — confirmed it was not there, and then said so, rather than quietly inventing a number to fill the hole. The purpose is to let you audit the inputs and not just the outputs: you can see the full set of factors considered, judge for yourself whether anything material was missed, and see exactly which public source each fact came from. Every financial-statement figure below comes from DIB's own disclosures. Market data (prices, index levels) is labelled as such. A full source list is published in the companion bibliography.</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576"/>
            <w:shd w:val="clear" w:fill="1C3A36"/>
          </w:tcPr>
          <w:p>
            <w:pPr>
              <w:spacing w:after="20" w:before="20"/>
            </w:pPr>
            <w:r/>
            <w:r>
              <w:rPr>
                <w:b/>
                <w:color w:val="FFFFFF"/>
                <w:sz w:val="15"/>
              </w:rPr>
              <w:t>#</w:t>
            </w:r>
          </w:p>
        </w:tc>
        <w:tc>
          <w:tcPr>
            <w:tcW w:type="dxa" w:w="1037"/>
            <w:shd w:val="clear" w:fill="1C3A36"/>
          </w:tcPr>
          <w:p>
            <w:pPr>
              <w:spacing w:after="20" w:before="20"/>
              <w:jc w:val="center"/>
            </w:pPr>
            <w:r/>
            <w:r>
              <w:rPr>
                <w:b/>
                <w:color w:val="FFFFFF"/>
                <w:sz w:val="15"/>
              </w:rPr>
              <w:t>Area</w:t>
            </w:r>
          </w:p>
        </w:tc>
        <w:tc>
          <w:tcPr>
            <w:tcW w:type="dxa" w:w="1512"/>
            <w:shd w:val="clear" w:fill="1C3A36"/>
          </w:tcPr>
          <w:p>
            <w:pPr>
              <w:spacing w:after="20" w:before="20"/>
              <w:jc w:val="center"/>
            </w:pPr>
            <w:r/>
            <w:r>
              <w:rPr>
                <w:b/>
                <w:color w:val="FFFFFF"/>
                <w:sz w:val="15"/>
              </w:rPr>
              <w:t>Type</w:t>
            </w:r>
          </w:p>
        </w:tc>
        <w:tc>
          <w:tcPr>
            <w:tcW w:type="dxa" w:w="6840"/>
            <w:shd w:val="clear" w:fill="1C3A36"/>
          </w:tcPr>
          <w:p>
            <w:pPr>
              <w:spacing w:after="20" w:before="20"/>
              <w:jc w:val="center"/>
            </w:pPr>
            <w:r/>
            <w:r>
              <w:rPr>
                <w:b/>
                <w:color w:val="FFFFFF"/>
                <w:sz w:val="15"/>
              </w:rPr>
              <w:t>Finding (with source and date)</w:t>
            </w:r>
          </w:p>
        </w:tc>
      </w:tr>
      <w:tr>
        <w:tc>
          <w:tcPr>
            <w:tcW w:type="dxa" w:w="576"/>
          </w:tcPr>
          <w:p>
            <w:pPr>
              <w:spacing w:after="20" w:before="20"/>
            </w:pPr>
            <w:r/>
            <w:r>
              <w:rPr>
                <w:b/>
                <w:sz w:val="15"/>
              </w:rPr>
              <w:t>F01</w:t>
            </w:r>
          </w:p>
        </w:tc>
        <w:tc>
          <w:tcPr>
            <w:tcW w:type="dxa" w:w="1037"/>
          </w:tcPr>
          <w:p>
            <w:pPr>
              <w:spacing w:after="20" w:before="20"/>
              <w:jc w:val="center"/>
            </w:pPr>
            <w:r/>
            <w:r>
              <w:rPr>
                <w:sz w:val="15"/>
              </w:rPr>
              <w:t>Global</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Fed held 3.50-3.75% through mid-2026 after three 2025 cuts; new chair Warsh struck a HAWKISH tone with nine policymakers backing higher rates in 2026. The AED is pegged, so CBUAE tracks the Fed: base rate cut to 3.65% in Dec-2025 and HELD Jan/Mar/Jun-2026. EIBOR o/n 3.45%.  — CBUAE press releases; CBUAE Quarterly Economic Review Jun-2026; Federal Reserve rate decisions, 2026-07-06</w:t>
            </w:r>
          </w:p>
        </w:tc>
      </w:tr>
      <w:tr>
        <w:tc>
          <w:tcPr>
            <w:tcW w:type="dxa" w:w="576"/>
          </w:tcPr>
          <w:p>
            <w:pPr>
              <w:spacing w:after="20" w:before="20"/>
            </w:pPr>
            <w:r/>
            <w:r>
              <w:rPr>
                <w:b/>
                <w:sz w:val="15"/>
              </w:rPr>
              <w:t>F02</w:t>
            </w:r>
          </w:p>
        </w:tc>
        <w:tc>
          <w:tcPr>
            <w:tcW w:type="dxa" w:w="1037"/>
          </w:tcPr>
          <w:p>
            <w:pPr>
              <w:spacing w:after="20" w:before="20"/>
              <w:jc w:val="center"/>
            </w:pPr>
            <w:r/>
            <w:r>
              <w:rPr>
                <w:sz w:val="15"/>
              </w:rPr>
              <w:t>Global</w:t>
            </w:r>
          </w:p>
        </w:tc>
        <w:tc>
          <w:tcPr>
            <w:tcW w:type="dxa" w:w="1512"/>
          </w:tcPr>
          <w:p>
            <w:pPr>
              <w:spacing w:after="20" w:before="20"/>
              <w:jc w:val="center"/>
            </w:pPr>
            <w:r/>
            <w:r>
              <w:rPr>
                <w:sz w:val="15"/>
              </w:rPr>
              <w:t>Base-changer</w:t>
            </w:r>
          </w:p>
        </w:tc>
        <w:tc>
          <w:tcPr>
            <w:tcW w:type="dxa" w:w="6840"/>
          </w:tcPr>
          <w:p>
            <w:pPr>
              <w:spacing w:after="20" w:before="20"/>
              <w:jc w:val="center"/>
            </w:pPr>
            <w:r/>
            <w:r>
              <w:rPr>
                <w:sz w:val="15"/>
              </w:rPr>
              <w:t>2026 Iran war: US/Israel struck Iran 28-Feb-2026. Strait of Hormuz effectively CLOSED; IEA calls it the largest supply disruption in the history of the oil market (14mb/d lost at peak). Ceasefire 07-Apr; a 60-day MoU agreed mid-June to ~18-Aug. Brent spiked &gt;$100, settled ~$73-89.  — IMF Regional Economic Outlook Apr-2026; IEA; UNCTAD Hormuz brief; Dallas Fed 20-Mar-2026, 2026-07-10</w:t>
            </w:r>
          </w:p>
        </w:tc>
      </w:tr>
      <w:tr>
        <w:tc>
          <w:tcPr>
            <w:tcW w:type="dxa" w:w="576"/>
          </w:tcPr>
          <w:p>
            <w:pPr>
              <w:spacing w:after="20" w:before="20"/>
            </w:pPr>
            <w:r/>
            <w:r>
              <w:rPr>
                <w:b/>
                <w:sz w:val="15"/>
              </w:rPr>
              <w:t>F03</w:t>
            </w:r>
          </w:p>
        </w:tc>
        <w:tc>
          <w:tcPr>
            <w:tcW w:type="dxa" w:w="1037"/>
          </w:tcPr>
          <w:p>
            <w:pPr>
              <w:spacing w:after="20" w:before="20"/>
              <w:jc w:val="center"/>
            </w:pPr>
            <w:r/>
            <w:r>
              <w:rPr>
                <w:sz w:val="15"/>
              </w:rPr>
              <w:t>Global</w:t>
            </w:r>
          </w:p>
        </w:tc>
        <w:tc>
          <w:tcPr>
            <w:tcW w:type="dxa" w:w="1512"/>
          </w:tcPr>
          <w:p>
            <w:pPr>
              <w:spacing w:after="20" w:before="20"/>
              <w:jc w:val="center"/>
            </w:pPr>
            <w:r/>
            <w:r>
              <w:rPr>
                <w:sz w:val="15"/>
              </w:rPr>
              <w:t>Base-changer</w:t>
            </w:r>
          </w:p>
        </w:tc>
        <w:tc>
          <w:tcPr>
            <w:tcW w:type="dxa" w:w="6840"/>
          </w:tcPr>
          <w:p>
            <w:pPr>
              <w:spacing w:after="20" w:before="20"/>
              <w:jc w:val="center"/>
            </w:pPr>
            <w:r/>
            <w:r>
              <w:rPr>
                <w:sz w:val="15"/>
              </w:rPr>
              <w:t>RE-ESCALATION 07-09 JULY 2026 — AFTER this study's price cut. Iran attacked three commercial vessels in Hormuz (07-Jul); US revoked the oil-sanctions waiver and struck ~90 Iranian targets; Trump declared the ceasefire 'OVER' at the NATO summit (08-Jul); Iran hit US bases in Bahrain/Kuwait. Talks resumed in Oman 11-Jul. Oil +4-6%.  — CNBC / CNN / Washington Post / Al Jazeera / CBS live coverage, 07-11 Jul 2026, 2026-07-11</w:t>
            </w:r>
          </w:p>
        </w:tc>
      </w:tr>
      <w:tr>
        <w:tc>
          <w:tcPr>
            <w:tcW w:type="dxa" w:w="576"/>
          </w:tcPr>
          <w:p>
            <w:pPr>
              <w:spacing w:after="20" w:before="20"/>
            </w:pPr>
            <w:r/>
            <w:r>
              <w:rPr>
                <w:b/>
                <w:sz w:val="15"/>
              </w:rPr>
              <w:t>F04</w:t>
            </w:r>
          </w:p>
        </w:tc>
        <w:tc>
          <w:tcPr>
            <w:tcW w:type="dxa" w:w="1037"/>
          </w:tcPr>
          <w:p>
            <w:pPr>
              <w:spacing w:after="20" w:before="20"/>
              <w:jc w:val="center"/>
            </w:pPr>
            <w:r/>
            <w:r>
              <w:rPr>
                <w:sz w:val="15"/>
              </w:rPr>
              <w:t>Global</w:t>
            </w:r>
          </w:p>
        </w:tc>
        <w:tc>
          <w:tcPr>
            <w:tcW w:type="dxa" w:w="1512"/>
          </w:tcPr>
          <w:p>
            <w:pPr>
              <w:spacing w:after="20" w:before="20"/>
              <w:jc w:val="center"/>
            </w:pPr>
            <w:r/>
            <w:r>
              <w:rPr>
                <w:sz w:val="15"/>
              </w:rPr>
              <w:t>Context</w:t>
            </w:r>
          </w:p>
        </w:tc>
        <w:tc>
          <w:tcPr>
            <w:tcW w:type="dxa" w:w="6840"/>
          </w:tcPr>
          <w:p>
            <w:pPr>
              <w:spacing w:after="20" w:before="20"/>
              <w:jc w:val="center"/>
            </w:pPr>
            <w:r/>
            <w:r>
              <w:rPr>
                <w:sz w:val="15"/>
              </w:rPr>
              <w:t>IMF cut 2026 Middle East growth to 0.7% (-1.2pt); global growth ~3.0%. Global bank NIMs compressing as easing cycles mature. Basel III finalization filtering into UAE capital rules.  — IMF WEO update via The National, 08-Jul-2026; CBUAE QER Jun-2026, 2026-07-08</w:t>
            </w:r>
          </w:p>
        </w:tc>
      </w:tr>
      <w:tr>
        <w:tc>
          <w:tcPr>
            <w:tcW w:type="dxa" w:w="576"/>
          </w:tcPr>
          <w:p>
            <w:pPr>
              <w:spacing w:after="20" w:before="20"/>
            </w:pPr>
            <w:r/>
            <w:r>
              <w:rPr>
                <w:b/>
                <w:sz w:val="15"/>
              </w:rPr>
              <w:t>F05</w:t>
            </w:r>
          </w:p>
        </w:tc>
        <w:tc>
          <w:tcPr>
            <w:tcW w:type="dxa" w:w="1037"/>
          </w:tcPr>
          <w:p>
            <w:pPr>
              <w:spacing w:after="20" w:before="20"/>
              <w:jc w:val="center"/>
            </w:pPr>
            <w:r/>
            <w:r>
              <w:rPr>
                <w:sz w:val="15"/>
              </w:rPr>
              <w:t>Country</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CBUAE CUT its 2026 UAE real-GDP forecast to 1.7% from 5.6% (June-2026 QER, released ~02-Jul) - hydrocarbon +0.8%, non-hydrocarbon +1.9%; inflation 2.3%; rebound to 9.8% in 2027. UAE grew 5.6% in 2025. World Bank has UAE 2026 at 2.4%. UAE oil exports back to ~85% of pre-war via Habshan-Fujairah.  — CBUAE Quarterly Economic Review June-2026; World Bank Global Economic Prospects, 2026-07-02</w:t>
            </w:r>
          </w:p>
        </w:tc>
      </w:tr>
      <w:tr>
        <w:tc>
          <w:tcPr>
            <w:tcW w:type="dxa" w:w="576"/>
          </w:tcPr>
          <w:p>
            <w:pPr>
              <w:spacing w:after="20" w:before="20"/>
            </w:pPr>
            <w:r/>
            <w:r>
              <w:rPr>
                <w:b/>
                <w:sz w:val="15"/>
              </w:rPr>
              <w:t>F06</w:t>
            </w:r>
          </w:p>
        </w:tc>
        <w:tc>
          <w:tcPr>
            <w:tcW w:type="dxa" w:w="1037"/>
          </w:tcPr>
          <w:p>
            <w:pPr>
              <w:spacing w:after="20" w:before="20"/>
              <w:jc w:val="center"/>
            </w:pPr>
            <w:r/>
            <w:r>
              <w:rPr>
                <w:sz w:val="15"/>
              </w:rPr>
              <w:t>Country</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UAE 9% federal corporate tax (financial years from 1-Jun-2023) PLUS the 15% Domestic Minimum Top-up Tax effective 01-Jan-2025 for groups with EUR750mn+ global revenue. DIB IS IN SCOPE. This is why the FY25 ETR printed 13.3% and Q1-26 ran 15.4% against a 9% headline. Management states it is working to restore 9% in 2026.  — UAE Ministry of Finance DMTT rules; DIB Q4-25 earnings call; DIB Q1-2026 results, 2026-04-28</w:t>
            </w:r>
          </w:p>
        </w:tc>
      </w:tr>
      <w:tr>
        <w:tc>
          <w:tcPr>
            <w:tcW w:type="dxa" w:w="576"/>
          </w:tcPr>
          <w:p>
            <w:pPr>
              <w:spacing w:after="20" w:before="20"/>
            </w:pPr>
            <w:r/>
            <w:r>
              <w:rPr>
                <w:b/>
                <w:sz w:val="15"/>
              </w:rPr>
              <w:t>F07</w:t>
            </w:r>
          </w:p>
        </w:tc>
        <w:tc>
          <w:tcPr>
            <w:tcW w:type="dxa" w:w="1037"/>
          </w:tcPr>
          <w:p>
            <w:pPr>
              <w:spacing w:after="20" w:before="20"/>
              <w:jc w:val="center"/>
            </w:pPr>
            <w:r/>
            <w:r>
              <w:rPr>
                <w:sz w:val="15"/>
              </w:rPr>
              <w:t>Country</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CBUAE imposes a 0.5% counter-cyclical capital buffer on UAE private-sector credit exposures from 2026. CBUAE also rolled out a Financial Resilience Package during the war. DIB is a D-SIB.  — DIB Q4-2025 earnings call; CBUAE, 2026-02-10</w:t>
            </w:r>
          </w:p>
        </w:tc>
      </w:tr>
      <w:tr>
        <w:tc>
          <w:tcPr>
            <w:tcW w:type="dxa" w:w="576"/>
          </w:tcPr>
          <w:p>
            <w:pPr>
              <w:spacing w:after="20" w:before="20"/>
            </w:pPr>
            <w:r/>
            <w:r>
              <w:rPr>
                <w:b/>
                <w:sz w:val="15"/>
              </w:rPr>
              <w:t>F08</w:t>
            </w:r>
          </w:p>
        </w:tc>
        <w:tc>
          <w:tcPr>
            <w:tcW w:type="dxa" w:w="1037"/>
          </w:tcPr>
          <w:p>
            <w:pPr>
              <w:spacing w:after="20" w:before="20"/>
              <w:jc w:val="center"/>
            </w:pPr>
            <w:r/>
            <w:r>
              <w:rPr>
                <w:sz w:val="15"/>
              </w:rPr>
              <w:t>Country</w:t>
            </w:r>
          </w:p>
        </w:tc>
        <w:tc>
          <w:tcPr>
            <w:tcW w:type="dxa" w:w="1512"/>
          </w:tcPr>
          <w:p>
            <w:pPr>
              <w:spacing w:after="20" w:before="20"/>
              <w:jc w:val="center"/>
            </w:pPr>
            <w:r/>
            <w:r>
              <w:rPr>
                <w:sz w:val="15"/>
              </w:rPr>
              <w:t>Context</w:t>
            </w:r>
          </w:p>
        </w:tc>
        <w:tc>
          <w:tcPr>
            <w:tcW w:type="dxa" w:w="6840"/>
          </w:tcPr>
          <w:p>
            <w:pPr>
              <w:spacing w:after="20" w:before="20"/>
              <w:jc w:val="center"/>
            </w:pPr>
            <w:r/>
            <w:r>
              <w:rPr>
                <w:sz w:val="15"/>
              </w:rPr>
              <w:t>Dubai residential real estate remained solid through 2025-26 on population growth and investor demand. DIB holds a 44.9% stake in Deyaar Development and carries material real-estate financing exposure.  — CBUAE QER Mar-2026; DIB FY25 investor presentation, 2026-03-24</w:t>
            </w:r>
          </w:p>
        </w:tc>
      </w:tr>
      <w:tr>
        <w:tc>
          <w:tcPr>
            <w:tcW w:type="dxa" w:w="576"/>
          </w:tcPr>
          <w:p>
            <w:pPr>
              <w:spacing w:after="20" w:before="20"/>
            </w:pPr>
            <w:r/>
            <w:r>
              <w:rPr>
                <w:b/>
                <w:sz w:val="15"/>
              </w:rPr>
              <w:t>F09</w:t>
            </w:r>
          </w:p>
        </w:tc>
        <w:tc>
          <w:tcPr>
            <w:tcW w:type="dxa" w:w="1037"/>
          </w:tcPr>
          <w:p>
            <w:pPr>
              <w:spacing w:after="20" w:before="20"/>
              <w:jc w:val="center"/>
            </w:pPr>
            <w:r/>
            <w:r>
              <w:rPr>
                <w:sz w:val="15"/>
              </w:rPr>
              <w:t>Industry</w:t>
            </w:r>
          </w:p>
        </w:tc>
        <w:tc>
          <w:tcPr>
            <w:tcW w:type="dxa" w:w="1512"/>
          </w:tcPr>
          <w:p>
            <w:pPr>
              <w:spacing w:after="20" w:before="20"/>
              <w:jc w:val="center"/>
            </w:pPr>
            <w:r/>
            <w:r>
              <w:rPr>
                <w:sz w:val="15"/>
              </w:rPr>
              <w:t>New disclosure</w:t>
            </w:r>
          </w:p>
        </w:tc>
        <w:tc>
          <w:tcPr>
            <w:tcW w:type="dxa" w:w="6840"/>
          </w:tcPr>
          <w:p>
            <w:pPr>
              <w:spacing w:after="20" w:before="20"/>
              <w:jc w:val="center"/>
            </w:pPr>
            <w:r/>
            <w:r>
              <w:rPr>
                <w:sz w:val="15"/>
              </w:rPr>
              <w:t>NEGATIVE SEARCH, DATED. DIB does NOT publish a quantified NPM sensitivity to a 25bp or 100bp rate move. Searched: the FY25 earnings presentation, the FY25 results press release, the FY25 audited consolidated financial statements (market-risk note) and Pillar 3. Not found.  — DIB FY25 audited FS; FY25 earnings presentation; FY25 results release - searched, NOT FOUND, 2026-07-11</w:t>
            </w:r>
          </w:p>
        </w:tc>
      </w:tr>
      <w:tr>
        <w:tc>
          <w:tcPr>
            <w:tcW w:type="dxa" w:w="576"/>
          </w:tcPr>
          <w:p>
            <w:pPr>
              <w:spacing w:after="20" w:before="20"/>
            </w:pPr>
            <w:r/>
            <w:r>
              <w:rPr>
                <w:b/>
                <w:sz w:val="15"/>
              </w:rPr>
              <w:t>F10</w:t>
            </w:r>
          </w:p>
        </w:tc>
        <w:tc>
          <w:tcPr>
            <w:tcW w:type="dxa" w:w="1037"/>
          </w:tcPr>
          <w:p>
            <w:pPr>
              <w:spacing w:after="20" w:before="20"/>
              <w:jc w:val="center"/>
            </w:pPr>
            <w:r/>
            <w:r>
              <w:rPr>
                <w:sz w:val="15"/>
              </w:rPr>
              <w:t>Industry</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UAE peers on P/B, ROTE, yield (KAMCO Invest, prices 12-Feb-2026): ADIB 3.3-3.8x / 25.8% / 3.8%; FAB ~1.9x / 15.3% / 4.3%; ENBD ~1.65x / 20.4% / 3.2%; ADCB ~1.6x / 11.4% / 4.3%; RAKBANK ~1.5x / 21.2% / 5.4%. DIB at spot trades 1.31x book on an 18.4% ROTE.  — KAMCO Invest GCC banking research (market data - aggregator, labelled), 2026-02-12</w:t>
            </w:r>
          </w:p>
        </w:tc>
      </w:tr>
      <w:tr>
        <w:tc>
          <w:tcPr>
            <w:tcW w:type="dxa" w:w="576"/>
          </w:tcPr>
          <w:p>
            <w:pPr>
              <w:spacing w:after="20" w:before="20"/>
            </w:pPr>
            <w:r/>
            <w:r>
              <w:rPr>
                <w:b/>
                <w:sz w:val="15"/>
              </w:rPr>
              <w:t>F11</w:t>
            </w:r>
          </w:p>
        </w:tc>
        <w:tc>
          <w:tcPr>
            <w:tcW w:type="dxa" w:w="1037"/>
          </w:tcPr>
          <w:p>
            <w:pPr>
              <w:spacing w:after="20" w:before="20"/>
              <w:jc w:val="center"/>
            </w:pPr>
            <w:r/>
            <w:r>
              <w:rPr>
                <w:sz w:val="15"/>
              </w:rPr>
              <w:t>Industry</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UAE banking sector: total assets AED 5.56tn (+17.7% YoY), loans +20.3%, deposits +17.4%, sector CAR 16.8%, net NPL 1.5% (Q1-2026). Credit demand held up through the war.  — CBUAE Quarterly Economic Review June-2026, 2026-06-30</w:t>
            </w:r>
          </w:p>
        </w:tc>
      </w:tr>
      <w:tr>
        <w:tc>
          <w:tcPr>
            <w:tcW w:type="dxa" w:w="576"/>
          </w:tcPr>
          <w:p>
            <w:pPr>
              <w:spacing w:after="20" w:before="20"/>
            </w:pPr>
            <w:r/>
            <w:r>
              <w:rPr>
                <w:b/>
                <w:sz w:val="15"/>
              </w:rPr>
              <w:t>F12</w:t>
            </w:r>
          </w:p>
        </w:tc>
        <w:tc>
          <w:tcPr>
            <w:tcW w:type="dxa" w:w="1037"/>
          </w:tcPr>
          <w:p>
            <w:pPr>
              <w:spacing w:after="20" w:before="20"/>
              <w:jc w:val="center"/>
            </w:pPr>
            <w:r/>
            <w:r>
              <w:rPr>
                <w:sz w:val="15"/>
              </w:rPr>
              <w:t>Company</w:t>
            </w:r>
          </w:p>
        </w:tc>
        <w:tc>
          <w:tcPr>
            <w:tcW w:type="dxa" w:w="1512"/>
          </w:tcPr>
          <w:p>
            <w:pPr>
              <w:spacing w:after="20" w:before="20"/>
              <w:jc w:val="center"/>
            </w:pPr>
            <w:r/>
            <w:r>
              <w:rPr>
                <w:sz w:val="15"/>
              </w:rPr>
              <w:t>Base-changer</w:t>
            </w:r>
          </w:p>
        </w:tc>
        <w:tc>
          <w:tcPr>
            <w:tcW w:type="dxa" w:w="6840"/>
          </w:tcPr>
          <w:p>
            <w:pPr>
              <w:spacing w:after="20" w:before="20"/>
              <w:jc w:val="center"/>
            </w:pPr>
            <w:r/>
            <w:r>
              <w:rPr>
                <w:sz w:val="15"/>
              </w:rPr>
              <w:t>FY25 (audited): operating revenue AED 13,251mn (+3%); pre-tax profit 9,003mn; net profit 7,807mn; attributable to owners 7,500mn; EPS 0.98; total assets 416bn (+21%); financing+sukuk 353bn; deposits 320bn (+29%); CASA 110bn; NPM 2.6%; C/I 28.4%; CoR 14bp; NPF 2.65%; coverage 160%; CET1 12.3%; CAR 15.5%; equity attributable 49,900mn; Tier-1 sukuk 7,350mn.  — DIB FY2025 audited consolidated financial statements + results release, 10-Feb-2026 (COMPANY-OFFICIAL), 2026-02-10</w:t>
            </w:r>
          </w:p>
        </w:tc>
      </w:tr>
      <w:tr>
        <w:tc>
          <w:tcPr>
            <w:tcW w:type="dxa" w:w="576"/>
          </w:tcPr>
          <w:p>
            <w:pPr>
              <w:spacing w:after="20" w:before="20"/>
            </w:pPr>
            <w:r/>
            <w:r>
              <w:rPr>
                <w:b/>
                <w:sz w:val="15"/>
              </w:rPr>
              <w:t>F13</w:t>
            </w:r>
          </w:p>
        </w:tc>
        <w:tc>
          <w:tcPr>
            <w:tcW w:type="dxa" w:w="1037"/>
          </w:tcPr>
          <w:p>
            <w:pPr>
              <w:spacing w:after="20" w:before="20"/>
              <w:jc w:val="center"/>
            </w:pPr>
            <w:r/>
            <w:r>
              <w:rPr>
                <w:sz w:val="15"/>
              </w:rPr>
              <w:t>Company</w:t>
            </w:r>
          </w:p>
        </w:tc>
        <w:tc>
          <w:tcPr>
            <w:tcW w:type="dxa" w:w="1512"/>
          </w:tcPr>
          <w:p>
            <w:pPr>
              <w:spacing w:after="20" w:before="20"/>
              <w:jc w:val="center"/>
            </w:pPr>
            <w:r/>
            <w:r>
              <w:rPr>
                <w:sz w:val="15"/>
              </w:rPr>
              <w:t>Base-changer</w:t>
            </w:r>
          </w:p>
        </w:tc>
        <w:tc>
          <w:tcPr>
            <w:tcW w:type="dxa" w:w="6840"/>
          </w:tcPr>
          <w:p>
            <w:pPr>
              <w:spacing w:after="20" w:before="20"/>
              <w:jc w:val="center"/>
            </w:pPr>
            <w:r/>
            <w:r>
              <w:rPr>
                <w:sz w:val="15"/>
              </w:rPr>
              <w:t>BASE-CHANGER, DISCLOSED LINE BY LINE. DIB's FY25 investor presentation (slide 10) prints a full normalised FY24 income statement. The one-off legacy recovery is AED 1,528mn, SPLIT: AED 258mn inflated NET FUNDED INCOME (8,949 reported vs 8,691 normalised) and AED 1,270mn suppressed NET IMPAIRMENT (407 reported vs 1,677 normalised). Normalised FY24: revenue 12,579, PBT 7,477, NPAT 6,637. So FY25 revenue is +5% on the normalised base (DIB's own words), and FY25 PBT +20%.  — DIB FY2025 investor presentation, slide 10 - normalised FY24 income statement (COMPANY-OFFICIAL), 2026-02-10</w:t>
            </w:r>
          </w:p>
        </w:tc>
      </w:tr>
      <w:tr>
        <w:tc>
          <w:tcPr>
            <w:tcW w:type="dxa" w:w="576"/>
          </w:tcPr>
          <w:p>
            <w:pPr>
              <w:spacing w:after="20" w:before="20"/>
            </w:pPr>
            <w:r/>
            <w:r>
              <w:rPr>
                <w:b/>
                <w:sz w:val="15"/>
              </w:rPr>
              <w:t>F14</w:t>
            </w:r>
          </w:p>
        </w:tc>
        <w:tc>
          <w:tcPr>
            <w:tcW w:type="dxa" w:w="1037"/>
          </w:tcPr>
          <w:p>
            <w:pPr>
              <w:spacing w:after="20" w:before="20"/>
              <w:jc w:val="center"/>
            </w:pPr>
            <w:r/>
            <w:r>
              <w:rPr>
                <w:sz w:val="15"/>
              </w:rPr>
              <w:t>Company</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FY26 guidance (Q4-25 call): financing+sukuk growth ~10% (down from FY25's 20%+); NPM ~2.3%; NPF &lt;3.5%; pre-tax RoTE ~21%; ETR target back to 9%.  — DIB Q4-2025 earnings call (COMPANY-OFFICIAL), 2026-02-10</w:t>
            </w:r>
          </w:p>
        </w:tc>
      </w:tr>
      <w:tr>
        <w:tc>
          <w:tcPr>
            <w:tcW w:type="dxa" w:w="576"/>
          </w:tcPr>
          <w:p>
            <w:pPr>
              <w:spacing w:after="20" w:before="20"/>
            </w:pPr>
            <w:r/>
            <w:r>
              <w:rPr>
                <w:b/>
                <w:sz w:val="15"/>
              </w:rPr>
              <w:t>F15</w:t>
            </w:r>
          </w:p>
        </w:tc>
        <w:tc>
          <w:tcPr>
            <w:tcW w:type="dxa" w:w="1037"/>
          </w:tcPr>
          <w:p>
            <w:pPr>
              <w:spacing w:after="20" w:before="20"/>
              <w:jc w:val="center"/>
            </w:pPr>
            <w:r/>
            <w:r>
              <w:rPr>
                <w:sz w:val="15"/>
              </w:rPr>
              <w:t>Company</w:t>
            </w:r>
          </w:p>
        </w:tc>
        <w:tc>
          <w:tcPr>
            <w:tcW w:type="dxa" w:w="1512"/>
          </w:tcPr>
          <w:p>
            <w:pPr>
              <w:spacing w:after="20" w:before="20"/>
              <w:jc w:val="center"/>
            </w:pPr>
            <w:r/>
            <w:r>
              <w:rPr>
                <w:sz w:val="15"/>
              </w:rPr>
              <w:t>Base-changer</w:t>
            </w:r>
          </w:p>
        </w:tc>
        <w:tc>
          <w:tcPr>
            <w:tcW w:type="dxa" w:w="6840"/>
          </w:tcPr>
          <w:p>
            <w:pPr>
              <w:spacing w:after="20" w:before="20"/>
              <w:jc w:val="center"/>
            </w:pPr>
            <w:r/>
            <w:r>
              <w:rPr>
                <w:sz w:val="15"/>
              </w:rPr>
              <w:t>Q1-2026: operating revenue 3,548mn (+13% YoY); pre-tax 2,126mn; net profit 1,799mn (FLAT vs 1,798mn); NPM 2.5% (-40bp YoY); non-funded income 1,249mn (+30%); CoR 45bp (up from 14bp on management overlays); ETR 15.4%; CET1 12.6%; CAR 15.8%; NPF 2.5%; assets 420bn. DIB itself attributes the flat profit to 'a contraction in net profit margin, driven by a declining rate environment'.  — DIB Q1-2026 results release, 28-Apr-2026 (COMPANY-OFFICIAL), 2026-04-28</w:t>
            </w:r>
          </w:p>
        </w:tc>
      </w:tr>
      <w:tr>
        <w:tc>
          <w:tcPr>
            <w:tcW w:type="dxa" w:w="576"/>
          </w:tcPr>
          <w:p>
            <w:pPr>
              <w:spacing w:after="20" w:before="20"/>
            </w:pPr>
            <w:r/>
            <w:r>
              <w:rPr>
                <w:b/>
                <w:sz w:val="15"/>
              </w:rPr>
              <w:t>F16</w:t>
            </w:r>
          </w:p>
        </w:tc>
        <w:tc>
          <w:tcPr>
            <w:tcW w:type="dxa" w:w="1037"/>
          </w:tcPr>
          <w:p>
            <w:pPr>
              <w:spacing w:after="20" w:before="20"/>
              <w:jc w:val="center"/>
            </w:pPr>
            <w:r/>
            <w:r>
              <w:rPr>
                <w:sz w:val="15"/>
              </w:rPr>
              <w:t>Company</w:t>
            </w:r>
          </w:p>
        </w:tc>
        <w:tc>
          <w:tcPr>
            <w:tcW w:type="dxa" w:w="1512"/>
          </w:tcPr>
          <w:p>
            <w:pPr>
              <w:spacing w:after="20" w:before="20"/>
              <w:jc w:val="center"/>
            </w:pPr>
            <w:r/>
            <w:r>
              <w:rPr>
                <w:sz w:val="15"/>
              </w:rPr>
              <w:t>Base-changer</w:t>
            </w:r>
          </w:p>
        </w:tc>
        <w:tc>
          <w:tcPr>
            <w:tcW w:type="dxa" w:w="6840"/>
          </w:tcPr>
          <w:p>
            <w:pPr>
              <w:spacing w:after="20" w:before="20"/>
              <w:jc w:val="center"/>
            </w:pPr>
            <w:r/>
            <w:r>
              <w:rPr>
                <w:sz w:val="15"/>
              </w:rPr>
              <w:t>10-Jun-2026: DIB priced a USD 1bn Additional Tier 1 Perpetual Non-Call 6-Year sukuk at a 6.250% profit rate (reset spread 191.1bp over interpolated UST); orderbook peaked &gt;USD 2.3bn (2.3x covered). In 2025 DIB REDEEMED AED 2.75bn of Tier 1 with no new issuance, taking Tier 1 to AED 7,350mn - which is why CAR fell from 18.3% to 15.5%.  — DIB press release, 10-Jun-2026 (COMPANY-OFFICIAL), 2026-06-10</w:t>
            </w:r>
          </w:p>
        </w:tc>
      </w:tr>
      <w:tr>
        <w:tc>
          <w:tcPr>
            <w:tcW w:type="dxa" w:w="576"/>
          </w:tcPr>
          <w:p>
            <w:pPr>
              <w:spacing w:after="20" w:before="20"/>
            </w:pPr>
            <w:r/>
            <w:r>
              <w:rPr>
                <w:b/>
                <w:sz w:val="15"/>
              </w:rPr>
              <w:t>F17</w:t>
            </w:r>
          </w:p>
        </w:tc>
        <w:tc>
          <w:tcPr>
            <w:tcW w:type="dxa" w:w="1037"/>
          </w:tcPr>
          <w:p>
            <w:pPr>
              <w:spacing w:after="20" w:before="20"/>
              <w:jc w:val="center"/>
            </w:pPr>
            <w:r/>
            <w:r>
              <w:rPr>
                <w:sz w:val="15"/>
              </w:rPr>
              <w:t>Company</w:t>
            </w:r>
          </w:p>
        </w:tc>
        <w:tc>
          <w:tcPr>
            <w:tcW w:type="dxa" w:w="1512"/>
          </w:tcPr>
          <w:p>
            <w:pPr>
              <w:spacing w:after="20" w:before="20"/>
              <w:jc w:val="center"/>
            </w:pPr>
            <w:r/>
            <w:r>
              <w:rPr>
                <w:sz w:val="15"/>
              </w:rPr>
              <w:t>Base-changer</w:t>
            </w:r>
          </w:p>
        </w:tc>
        <w:tc>
          <w:tcPr>
            <w:tcW w:type="dxa" w:w="6840"/>
          </w:tcPr>
          <w:p>
            <w:pPr>
              <w:spacing w:after="20" w:before="20"/>
              <w:jc w:val="center"/>
            </w:pPr>
            <w:r/>
            <w:r>
              <w:rPr>
                <w:sz w:val="15"/>
              </w:rPr>
              <w:t>BASE-CHANGER. FY25 dividend CUT to 35 fils from 45 fils (FY23 and FY24 both 45). AGM approved AED 2.53bn on 02-Apr-2026. Payout fell 48% -&gt; 41% -&gt; 34% of profit attributable over three years as the balance sheet grew 21%.  — DIB FY25 results release; AGM outcome 02-Apr-2026 (COMPANY-OFFICIAL), 2026-04-02</w:t>
            </w:r>
          </w:p>
        </w:tc>
      </w:tr>
      <w:tr>
        <w:tc>
          <w:tcPr>
            <w:tcW w:type="dxa" w:w="576"/>
          </w:tcPr>
          <w:p>
            <w:pPr>
              <w:spacing w:after="20" w:before="20"/>
            </w:pPr>
            <w:r/>
            <w:r>
              <w:rPr>
                <w:b/>
                <w:sz w:val="15"/>
              </w:rPr>
              <w:t>F18</w:t>
            </w:r>
          </w:p>
        </w:tc>
        <w:tc>
          <w:tcPr>
            <w:tcW w:type="dxa" w:w="1037"/>
          </w:tcPr>
          <w:p>
            <w:pPr>
              <w:spacing w:after="20" w:before="20"/>
              <w:jc w:val="center"/>
            </w:pPr>
            <w:r/>
            <w:r>
              <w:rPr>
                <w:sz w:val="15"/>
              </w:rPr>
              <w:t>Company</w:t>
            </w:r>
          </w:p>
        </w:tc>
        <w:tc>
          <w:tcPr>
            <w:tcW w:type="dxa" w:w="1512"/>
          </w:tcPr>
          <w:p>
            <w:pPr>
              <w:spacing w:after="20" w:before="20"/>
              <w:jc w:val="center"/>
            </w:pPr>
            <w:r/>
            <w:r>
              <w:rPr>
                <w:sz w:val="15"/>
              </w:rPr>
              <w:t>Context</w:t>
            </w:r>
          </w:p>
        </w:tc>
        <w:tc>
          <w:tcPr>
            <w:tcW w:type="dxa" w:w="6840"/>
          </w:tcPr>
          <w:p>
            <w:pPr>
              <w:spacing w:after="20" w:before="20"/>
              <w:jc w:val="center"/>
            </w:pPr>
            <w:r/>
            <w:r>
              <w:rPr>
                <w:sz w:val="15"/>
              </w:rPr>
              <w:t>Investment Corporation of Dubai holds 27.9661% (indirect). No named transaction found changing the register in 2025-26. Group stakes: Deyaar 44.9%; DIB Pakistan 100%; Bank of Khartoum 29.5%; Bosna Bank International 27.3%; Panin Dubai Syariah 25.1% (DIB's subsidiaries page says 38.3% - CONFLICT, unresolved); DIB Kenya 100%; T.O.M. Group 25%.  — DIB FY25 investor presentation; DIB corporate website (COMPANY-OFFICIAL), 2026-07-11</w:t>
            </w:r>
          </w:p>
        </w:tc>
      </w:tr>
      <w:tr>
        <w:tc>
          <w:tcPr>
            <w:tcW w:type="dxa" w:w="576"/>
          </w:tcPr>
          <w:p>
            <w:pPr>
              <w:spacing w:after="20" w:before="20"/>
            </w:pPr>
            <w:r/>
            <w:r>
              <w:rPr>
                <w:b/>
                <w:sz w:val="15"/>
              </w:rPr>
              <w:t>F19</w:t>
            </w:r>
          </w:p>
        </w:tc>
        <w:tc>
          <w:tcPr>
            <w:tcW w:type="dxa" w:w="1037"/>
          </w:tcPr>
          <w:p>
            <w:pPr>
              <w:spacing w:after="20" w:before="20"/>
              <w:jc w:val="center"/>
            </w:pPr>
            <w:r/>
            <w:r>
              <w:rPr>
                <w:sz w:val="15"/>
              </w:rPr>
              <w:t>Company</w:t>
            </w:r>
          </w:p>
        </w:tc>
        <w:tc>
          <w:tcPr>
            <w:tcW w:type="dxa" w:w="1512"/>
          </w:tcPr>
          <w:p>
            <w:pPr>
              <w:spacing w:after="20" w:before="20"/>
              <w:jc w:val="center"/>
            </w:pPr>
            <w:r/>
            <w:r>
              <w:rPr>
                <w:sz w:val="15"/>
              </w:rPr>
              <w:t>New disclosure</w:t>
            </w:r>
          </w:p>
        </w:tc>
        <w:tc>
          <w:tcPr>
            <w:tcW w:type="dxa" w:w="6840"/>
          </w:tcPr>
          <w:p>
            <w:pPr>
              <w:spacing w:after="20" w:before="20"/>
              <w:jc w:val="center"/>
            </w:pPr>
            <w:r/>
            <w:r>
              <w:rPr>
                <w:sz w:val="15"/>
              </w:rPr>
              <w:t>RWA AND CET1 CAPITAL ARE DISCLOSED. Both the FY25 and Q1-26 investor presentations carry a Regulatory Capital slide (18) with an explicit RWA movement bridge and a CET1 capital bridge. RWA: 257.2bn (Dec-24) -&gt; 298.9bn (Dec-25) -&gt; 305.0bn (Q1-26). CET1 capital: 34.0bn -&gt; 36.9bn -&gt; 38.5bn. Cross-check: 36.9/298.9 = 12.35%, matching the disclosed 12.3% CET1 ratio.  — DIB FY2025 and Q1-2026 investor presentations, slide 18 (COMPANY-OFFICIAL), 2026-04-28</w:t>
            </w:r>
          </w:p>
        </w:tc>
      </w:tr>
      <w:tr>
        <w:tc>
          <w:tcPr>
            <w:tcW w:type="dxa" w:w="576"/>
          </w:tcPr>
          <w:p>
            <w:pPr>
              <w:spacing w:after="20" w:before="20"/>
            </w:pPr>
            <w:r/>
            <w:r>
              <w:rPr>
                <w:b/>
                <w:sz w:val="15"/>
              </w:rPr>
              <w:t>F20</w:t>
            </w:r>
          </w:p>
        </w:tc>
        <w:tc>
          <w:tcPr>
            <w:tcW w:type="dxa" w:w="1037"/>
          </w:tcPr>
          <w:p>
            <w:pPr>
              <w:spacing w:after="20" w:before="20"/>
              <w:jc w:val="center"/>
            </w:pPr>
            <w:r/>
            <w:r>
              <w:rPr>
                <w:sz w:val="15"/>
              </w:rPr>
              <w:t>Company</w:t>
            </w:r>
          </w:p>
        </w:tc>
        <w:tc>
          <w:tcPr>
            <w:tcW w:type="dxa" w:w="1512"/>
          </w:tcPr>
          <w:p>
            <w:pPr>
              <w:spacing w:after="20" w:before="20"/>
              <w:jc w:val="center"/>
            </w:pPr>
            <w:r/>
            <w:r>
              <w:rPr>
                <w:sz w:val="15"/>
              </w:rPr>
              <w:t>New disclosure</w:t>
            </w:r>
          </w:p>
        </w:tc>
        <w:tc>
          <w:tcPr>
            <w:tcW w:type="dxa" w:w="6840"/>
          </w:tcPr>
          <w:p>
            <w:pPr>
              <w:spacing w:after="20" w:before="20"/>
              <w:jc w:val="center"/>
            </w:pPr>
            <w:r/>
            <w:r>
              <w:rPr>
                <w:sz w:val="15"/>
              </w:rPr>
              <w:t>NEGATIVE SEARCH, DATED. A usable DFM General Index daily series is NOT programmatically obtainable. investing.com serves a fixed 20-row server-rendered table (date-range query params are ignored); dfm.ae's official historical-data page renders client-side with no data in the HTML.  — investing.com DFMGI historical table; dfm.ae historical-data page - both attempted, 2026-07-11</w:t>
            </w:r>
          </w:p>
        </w:tc>
      </w:tr>
      <w:tr>
        <w:tc>
          <w:tcPr>
            <w:tcW w:type="dxa" w:w="576"/>
          </w:tcPr>
          <w:p>
            <w:pPr>
              <w:spacing w:after="20" w:before="20"/>
            </w:pPr>
            <w:r/>
            <w:r>
              <w:rPr>
                <w:b/>
                <w:sz w:val="15"/>
              </w:rPr>
              <w:t>F24</w:t>
            </w:r>
          </w:p>
        </w:tc>
        <w:tc>
          <w:tcPr>
            <w:tcW w:type="dxa" w:w="1037"/>
          </w:tcPr>
          <w:p>
            <w:pPr>
              <w:spacing w:after="20" w:before="20"/>
              <w:jc w:val="center"/>
            </w:pPr>
            <w:r/>
            <w:r>
              <w:rPr>
                <w:sz w:val="15"/>
              </w:rPr>
              <w:t>Company</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Q1-26's headline +30% YoY non-funded income growth is ALMOST ENTIRELY ONE LINE. Composition (AED mn, Q1-25 -&gt; Q1-26): Fees, Commission &amp; FX 505 -&gt; 427 (FELL 15%); Income from properties 274 -&gt; 162 (FELL 41%); Share of associates &amp; JVs 77 -&gt; 73 (FELL 5%); OTHER INCOME 105 -&gt; 587 (+459%). Other Income alone is 47% of Q1-26 non-funded income. FY25 Other Income was 1,004mn for the whole year; Q1-26 alone booked 587mn.  — DIB Q1-2026 investor presentation, slide 11 + consolidated income statement (COMPANY-OFFICIAL), 2026-04-28</w:t>
            </w:r>
          </w:p>
        </w:tc>
      </w:tr>
      <w:tr>
        <w:tc>
          <w:tcPr>
            <w:tcW w:type="dxa" w:w="576"/>
          </w:tcPr>
          <w:p>
            <w:pPr>
              <w:spacing w:after="20" w:before="20"/>
            </w:pPr>
            <w:r/>
            <w:r>
              <w:rPr>
                <w:b/>
                <w:sz w:val="15"/>
              </w:rPr>
              <w:t>F25</w:t>
            </w:r>
          </w:p>
        </w:tc>
        <w:tc>
          <w:tcPr>
            <w:tcW w:type="dxa" w:w="1037"/>
          </w:tcPr>
          <w:p>
            <w:pPr>
              <w:spacing w:after="20" w:before="20"/>
              <w:jc w:val="center"/>
            </w:pPr>
            <w:r/>
            <w:r>
              <w:rPr>
                <w:sz w:val="15"/>
              </w:rPr>
              <w:t>Company</w:t>
            </w:r>
          </w:p>
        </w:tc>
        <w:tc>
          <w:tcPr>
            <w:tcW w:type="dxa" w:w="1512"/>
          </w:tcPr>
          <w:p>
            <w:pPr>
              <w:spacing w:after="20" w:before="20"/>
              <w:jc w:val="center"/>
            </w:pPr>
            <w:r/>
            <w:r>
              <w:rPr>
                <w:sz w:val="15"/>
              </w:rPr>
              <w:t>Structural</w:t>
            </w:r>
          </w:p>
        </w:tc>
        <w:tc>
          <w:tcPr>
            <w:tcW w:type="dxa" w:w="6840"/>
          </w:tcPr>
          <w:p>
            <w:pPr>
              <w:spacing w:after="20" w:before="20"/>
              <w:jc w:val="center"/>
            </w:pPr>
            <w:r/>
            <w:r>
              <w:rPr>
                <w:sz w:val="15"/>
              </w:rPr>
              <w:t>FY26 GUIDANCE, all seven metrics (FY25 deck slide 27, reaffirmed Q1-26 deck slide 26): net financing + sukuk growth 10%; net profit margin 2.3%; cost-to-income 28%; RoTE (pre-tax) 21%; RoA (pre-tax) 2.2%; NPF ratio 2.5%; total coverage 160%. Q1-26 actuals were ON or AHEAD of every one of them.  — DIB FY2025 investor presentation slide 27; Q1-2026 slide 26 (COMPANY-OFFICIAL), 2026-04-28</w:t>
            </w:r>
          </w:p>
        </w:tc>
      </w:tr>
      <w:tr>
        <w:tc>
          <w:tcPr>
            <w:tcW w:type="dxa" w:w="576"/>
          </w:tcPr>
          <w:p>
            <w:pPr>
              <w:spacing w:after="20" w:before="20"/>
            </w:pPr>
            <w:r/>
            <w:r>
              <w:rPr>
                <w:b/>
                <w:sz w:val="15"/>
              </w:rPr>
              <w:t>F26</w:t>
            </w:r>
          </w:p>
        </w:tc>
        <w:tc>
          <w:tcPr>
            <w:tcW w:type="dxa" w:w="1037"/>
          </w:tcPr>
          <w:p>
            <w:pPr>
              <w:spacing w:after="20" w:before="20"/>
              <w:jc w:val="center"/>
            </w:pPr>
            <w:r/>
            <w:r>
              <w:rPr>
                <w:sz w:val="15"/>
              </w:rPr>
              <w:t>Company</w:t>
            </w:r>
          </w:p>
        </w:tc>
        <w:tc>
          <w:tcPr>
            <w:tcW w:type="dxa" w:w="1512"/>
          </w:tcPr>
          <w:p>
            <w:pPr>
              <w:spacing w:after="20" w:before="20"/>
              <w:jc w:val="center"/>
            </w:pPr>
            <w:r/>
            <w:r>
              <w:rPr>
                <w:sz w:val="15"/>
              </w:rPr>
              <w:t>Context</w:t>
            </w:r>
          </w:p>
        </w:tc>
        <w:tc>
          <w:tcPr>
            <w:tcW w:type="dxa" w:w="6840"/>
          </w:tcPr>
          <w:p>
            <w:pPr>
              <w:spacing w:after="20" w:before="20"/>
              <w:jc w:val="center"/>
            </w:pPr>
            <w:r/>
            <w:r>
              <w:rPr>
                <w:sz w:val="15"/>
              </w:rPr>
              <w:t>Q1-26 asset quality IMPROVED on every metric. NPF ratio 2.65% -&gt; 2.5% (a decade low); TOTAL coverage 160% -&gt; 160% (flat); CASH coverage 120% -&gt; 122% (improved). Stage 2 exposure fell 10bn -&gt; 9bn; Stage 3 7bn -&gt; 7bn. DIB's own slide is titled 'Asset Quality strengthened further by low NPF and higher coverage'.  — DIB Q1-2026 investor presentation, slide 15 (COMPANY-OFFICIAL), 2026-04-28</w:t>
            </w:r>
          </w:p>
        </w:tc>
      </w:tr>
      <w:tr>
        <w:tc>
          <w:tcPr>
            <w:tcW w:type="dxa" w:w="576"/>
          </w:tcPr>
          <w:p>
            <w:pPr>
              <w:spacing w:after="20" w:before="20"/>
            </w:pPr>
            <w:r/>
            <w:r>
              <w:rPr>
                <w:b/>
                <w:sz w:val="15"/>
              </w:rPr>
              <w:t>F21</w:t>
            </w:r>
          </w:p>
        </w:tc>
        <w:tc>
          <w:tcPr>
            <w:tcW w:type="dxa" w:w="1037"/>
          </w:tcPr>
          <w:p>
            <w:pPr>
              <w:spacing w:after="20" w:before="20"/>
              <w:jc w:val="center"/>
            </w:pPr>
            <w:r/>
            <w:r>
              <w:rPr>
                <w:sz w:val="15"/>
              </w:rPr>
              <w:t>Company</w:t>
            </w:r>
          </w:p>
        </w:tc>
        <w:tc>
          <w:tcPr>
            <w:tcW w:type="dxa" w:w="1512"/>
          </w:tcPr>
          <w:p>
            <w:pPr>
              <w:spacing w:after="20" w:before="20"/>
              <w:jc w:val="center"/>
            </w:pPr>
            <w:r/>
            <w:r>
              <w:rPr>
                <w:sz w:val="15"/>
              </w:rPr>
              <w:t>Context</w:t>
            </w:r>
          </w:p>
        </w:tc>
        <w:tc>
          <w:tcPr>
            <w:tcW w:type="dxa" w:w="6840"/>
          </w:tcPr>
          <w:p>
            <w:pPr>
              <w:spacing w:after="20" w:before="20"/>
              <w:jc w:val="center"/>
            </w:pPr>
            <w:r/>
            <w:r>
              <w:rPr>
                <w:sz w:val="15"/>
              </w:rPr>
              <w:t>Moody's A3 (issuer, stable) - five notches of government-support uplift over a ba2 BCA. Fitch A. Fitch flags 22% financing growth in 2025 (above the sector's 18%, ~40% overseas-driven) and expects further margin moderation in 2026. Fitch downgrade triggers: impaired financing to 7%, or CET1 SUSTAINABLY BELOW 12%.  — Moody's; Fitch Ratings, 2026-07-11</w:t>
            </w:r>
          </w:p>
        </w:tc>
      </w:tr>
      <w:tr>
        <w:tc>
          <w:tcPr>
            <w:tcW w:type="dxa" w:w="576"/>
          </w:tcPr>
          <w:p>
            <w:pPr>
              <w:spacing w:after="20" w:before="20"/>
            </w:pPr>
            <w:r/>
            <w:r>
              <w:rPr>
                <w:b/>
                <w:sz w:val="15"/>
              </w:rPr>
              <w:t>F22</w:t>
            </w:r>
          </w:p>
        </w:tc>
        <w:tc>
          <w:tcPr>
            <w:tcW w:type="dxa" w:w="1037"/>
          </w:tcPr>
          <w:p>
            <w:pPr>
              <w:spacing w:after="20" w:before="20"/>
              <w:jc w:val="center"/>
            </w:pPr>
            <w:r/>
            <w:r>
              <w:rPr>
                <w:sz w:val="15"/>
              </w:rPr>
              <w:t>Company</w:t>
            </w:r>
          </w:p>
        </w:tc>
        <w:tc>
          <w:tcPr>
            <w:tcW w:type="dxa" w:w="1512"/>
          </w:tcPr>
          <w:p>
            <w:pPr>
              <w:spacing w:after="20" w:before="20"/>
              <w:jc w:val="center"/>
            </w:pPr>
            <w:r/>
            <w:r>
              <w:rPr>
                <w:sz w:val="15"/>
              </w:rPr>
              <w:t>Context</w:t>
            </w:r>
          </w:p>
        </w:tc>
        <w:tc>
          <w:tcPr>
            <w:tcW w:type="dxa" w:w="6840"/>
          </w:tcPr>
          <w:p>
            <w:pPr>
              <w:spacing w:after="20" w:before="20"/>
              <w:jc w:val="center"/>
            </w:pPr>
            <w:r/>
            <w:r>
              <w:rPr>
                <w:sz w:val="15"/>
              </w:rPr>
              <w:t>Group CEO Dr. Adnan Chilwan; Chairman H.E. Mohammed Ibrahim Al Shaibani (also MD of ICD). No management change found. Debut sustainability-linked sukuk Nov-2025; sustainable assets doubled to AED 19.5bn. 97% of transactions digital; digital users +33% YoY.  — DIB FY25 results release; DIB IR (COMPANY-OFFICIAL), 2026-07-11</w:t>
            </w:r>
          </w:p>
        </w:tc>
      </w:tr>
      <w:tr>
        <w:tc>
          <w:tcPr>
            <w:tcW w:type="dxa" w:w="576"/>
          </w:tcPr>
          <w:p>
            <w:pPr>
              <w:spacing w:after="20" w:before="20"/>
            </w:pPr>
            <w:r/>
            <w:r>
              <w:rPr>
                <w:b/>
                <w:sz w:val="15"/>
              </w:rPr>
              <w:t>F23</w:t>
            </w:r>
          </w:p>
        </w:tc>
        <w:tc>
          <w:tcPr>
            <w:tcW w:type="dxa" w:w="1037"/>
          </w:tcPr>
          <w:p>
            <w:pPr>
              <w:spacing w:after="20" w:before="20"/>
              <w:jc w:val="center"/>
            </w:pPr>
            <w:r/>
            <w:r>
              <w:rPr>
                <w:sz w:val="15"/>
              </w:rPr>
              <w:t>Company</w:t>
            </w:r>
          </w:p>
        </w:tc>
        <w:tc>
          <w:tcPr>
            <w:tcW w:type="dxa" w:w="1512"/>
          </w:tcPr>
          <w:p>
            <w:pPr>
              <w:spacing w:after="20" w:before="20"/>
              <w:jc w:val="center"/>
            </w:pPr>
            <w:r/>
            <w:r>
              <w:rPr>
                <w:sz w:val="15"/>
              </w:rPr>
              <w:t>Context</w:t>
            </w:r>
          </w:p>
        </w:tc>
        <w:tc>
          <w:tcPr>
            <w:tcW w:type="dxa" w:w="6840"/>
          </w:tcPr>
          <w:p>
            <w:pPr>
              <w:spacing w:after="20" w:before="20"/>
              <w:jc w:val="center"/>
            </w:pPr>
            <w:r/>
            <w:r>
              <w:rPr>
                <w:sz w:val="15"/>
              </w:rPr>
              <w:t>H1-2026 results due late July 2026 (Q1-2026 landed 28-Apr; H1-2025 landed 22-Jul-2025).  — DIB IR calendar, 2026-07-11</w:t>
            </w:r>
          </w:p>
        </w:tc>
      </w:tr>
    </w:tbl>
    <w:p>
      <w:pPr>
        <w:spacing w:after="60"/>
      </w:pPr>
    </w:p>
    <w:p>
      <w:pPr>
        <w:spacing w:after="120" w:before="0"/>
      </w:pPr>
      <w:r>
        <w:rPr>
          <w:b w:val="0"/>
          <w:i/>
          <w:color w:val="6E7B77"/>
          <w:sz w:val="17"/>
        </w:rPr>
        <w:t>A base-changer resets the starting point of the forecast and is modelled as an explicit, dated event rather than smoothed into a growth rate — the FY24 legacy recovery (F13) and the dividend cut (F17) are the two that shaped this study most. A structural finding breaks a forward assumption and forces the affected driver to be re-set or shown as a range. Context is logged and changes no number.</w:t>
      </w:r>
    </w:p>
    <w:p>
      <w:r>
        <w:br w:type="page"/>
      </w:r>
    </w:p>
    <w:p>
      <w:pPr>
        <w:spacing w:after="100" w:before="260"/>
      </w:pPr>
      <w:r>
        <w:rPr>
          <w:b/>
          <w:i w:val="0"/>
          <w:color w:val="1C3A36"/>
          <w:sz w:val="26"/>
        </w:rPr>
        <w:t>Appendix C — Expert panel (three independent workings)</w:t>
      </w:r>
    </w:p>
    <w:p>
      <w:pPr>
        <w:spacing w:after="120" w:before="0"/>
      </w:pPr>
      <w:r>
        <w:rPr>
          <w:b w:val="0"/>
          <w:i/>
          <w:sz w:val="18"/>
        </w:rPr>
        <w:t>Cast from the Testahil Expert Persona Library by instrument class. For a bank the standing trio is the capital-and-returns analyst, the credit-cycle analyst and the macro-policy analyst. Each runs a genuinely different method, shows their workings, and states a falsification condition. They are labelled Expert 1/2/3 only.</w:t>
      </w:r>
    </w:p>
    <w:p>
      <w:pPr>
        <w:spacing w:after="80" w:before="200"/>
      </w:pPr>
      <w:r>
        <w:rPr>
          <w:b/>
          <w:i w:val="0"/>
          <w:color w:val="1C3A36"/>
          <w:sz w:val="22"/>
        </w:rPr>
        <w:t>Expert 1 — the capital-and-returns analyst</w:t>
      </w:r>
    </w:p>
    <w:p>
      <w:pPr>
        <w:spacing w:after="120" w:before="0"/>
      </w:pPr>
      <w:r>
        <w:rPr>
          <w:b w:val="0"/>
          <w:i w:val="0"/>
          <w:sz w:val="21"/>
        </w:rPr>
        <w:t>Worldview. A bank is a machine for turning equity into a spread, and its value is entirely determined by three numbers: the return it earns on that equity, the cost of that equity, and how fast it can grow without needing more. Everything else is commentary. The method works when returns are stable and the capital position is honest; it fails badly when the reported equity is not the real equity — when goodwill is stale, when the loan book is under-provisioned, or when a regulator is about to move the goalposts.</w:t>
      </w:r>
    </w:p>
    <w:p>
      <w:pPr>
        <w:spacing w:after="120" w:before="0"/>
      </w:pPr>
      <w:r>
        <w:rPr>
          <w:b w:val="0"/>
          <w:i w:val="0"/>
          <w:sz w:val="21"/>
        </w:rPr>
        <w:t>Workings. The justified price-to-book is (ROE − g) ÷ (Ke − g). I use the normalised FY23–25 average ROE of 17.9%, not the flattered reported one, and I do not believe the run-rate holds: I take 15.5% through the cycle. With g at 4.0% and Ke at 10.57%, that is (15.5 − 4.0) ÷ (10.57 − 4.0) = 1.75×. On book value per share of AED 5.89 that gives AED 10.31.</w:t>
      </w:r>
    </w:p>
    <w:tbl>
      <w:tblPr>
        <w:tblStyle w:val="TableGrid"/>
        <w:tblW w:type="auto" w:w="0"/>
        <w:jc w:val="center"/>
        <w:tblLook w:firstColumn="1" w:firstRow="1" w:lastColumn="0" w:lastRow="0" w:noHBand="0" w:noVBand="1" w:val="04A0"/>
      </w:tblPr>
      <w:tblGrid>
        <w:gridCol w:w="4997"/>
        <w:gridCol w:w="4997"/>
      </w:tblGrid>
      <w:tr>
        <w:tc>
          <w:tcPr>
            <w:tcW w:type="dxa" w:w="6336"/>
            <w:shd w:val="clear" w:fill="1C3A36"/>
          </w:tcPr>
          <w:p>
            <w:pPr>
              <w:spacing w:after="20" w:before="20"/>
            </w:pPr>
            <w:r/>
            <w:r>
              <w:rPr>
                <w:b/>
                <w:color w:val="FFFFFF"/>
                <w:sz w:val="18"/>
              </w:rPr>
              <w:t>Expert 1 — sensitivity on the swing input (through-cycle ROE)</w:t>
            </w:r>
          </w:p>
        </w:tc>
        <w:tc>
          <w:tcPr>
            <w:tcW w:type="dxa" w:w="3600"/>
            <w:shd w:val="clear" w:fill="1C3A36"/>
          </w:tcPr>
          <w:p>
            <w:pPr>
              <w:spacing w:after="20" w:before="20"/>
              <w:jc w:val="center"/>
            </w:pPr>
            <w:r/>
            <w:r>
              <w:rPr>
                <w:b/>
                <w:color w:val="FFFFFF"/>
                <w:sz w:val="18"/>
              </w:rPr>
            </w:r>
          </w:p>
        </w:tc>
      </w:tr>
      <w:tr>
        <w:tc>
          <w:tcPr>
            <w:tcW w:type="dxa" w:w="6336"/>
          </w:tcPr>
          <w:p>
            <w:pPr>
              <w:spacing w:after="20" w:before="20"/>
            </w:pPr>
            <w:r/>
            <w:r>
              <w:rPr>
                <w:b/>
                <w:sz w:val="18"/>
              </w:rPr>
              <w:t>ROE 13.0% → justified P/B 1.37x</w:t>
            </w:r>
          </w:p>
        </w:tc>
        <w:tc>
          <w:tcPr>
            <w:tcW w:type="dxa" w:w="3600"/>
          </w:tcPr>
          <w:p>
            <w:pPr>
              <w:spacing w:after="20" w:before="20"/>
              <w:jc w:val="center"/>
            </w:pPr>
            <w:r/>
            <w:r>
              <w:rPr>
                <w:sz w:val="18"/>
              </w:rPr>
              <w:t>AED 8.07</w:t>
            </w:r>
          </w:p>
        </w:tc>
      </w:tr>
      <w:tr>
        <w:tc>
          <w:tcPr>
            <w:tcW w:type="dxa" w:w="6336"/>
          </w:tcPr>
          <w:p>
            <w:pPr>
              <w:spacing w:after="20" w:before="20"/>
            </w:pPr>
            <w:r/>
            <w:r>
              <w:rPr>
                <w:b/>
                <w:sz w:val="18"/>
              </w:rPr>
              <w:t>ROE 14.0% → justified P/B 1.52x</w:t>
            </w:r>
          </w:p>
        </w:tc>
        <w:tc>
          <w:tcPr>
            <w:tcW w:type="dxa" w:w="3600"/>
          </w:tcPr>
          <w:p>
            <w:pPr>
              <w:spacing w:after="20" w:before="20"/>
              <w:jc w:val="center"/>
            </w:pPr>
            <w:r/>
            <w:r>
              <w:rPr>
                <w:sz w:val="18"/>
              </w:rPr>
              <w:t>AED 8.96</w:t>
            </w:r>
          </w:p>
        </w:tc>
      </w:tr>
      <w:tr>
        <w:tc>
          <w:tcPr>
            <w:tcW w:type="dxa" w:w="6336"/>
            <w:shd w:val="clear" w:fill="F2E9D2"/>
          </w:tcPr>
          <w:p>
            <w:pPr>
              <w:spacing w:after="20" w:before="20"/>
            </w:pPr>
            <w:r/>
            <w:r>
              <w:rPr>
                <w:b/>
                <w:sz w:val="18"/>
              </w:rPr>
              <w:t>ROE 15.5% → justified P/B 1.75x  (base)</w:t>
            </w:r>
          </w:p>
        </w:tc>
        <w:tc>
          <w:tcPr>
            <w:tcW w:type="dxa" w:w="3600"/>
            <w:shd w:val="clear" w:fill="F2E9D2"/>
          </w:tcPr>
          <w:p>
            <w:pPr>
              <w:spacing w:after="20" w:before="20"/>
              <w:jc w:val="center"/>
            </w:pPr>
            <w:r/>
            <w:r>
              <w:rPr>
                <w:b/>
                <w:sz w:val="18"/>
              </w:rPr>
              <w:t>AED 10.31</w:t>
            </w:r>
          </w:p>
        </w:tc>
      </w:tr>
      <w:tr>
        <w:tc>
          <w:tcPr>
            <w:tcW w:type="dxa" w:w="6336"/>
          </w:tcPr>
          <w:p>
            <w:pPr>
              <w:spacing w:after="20" w:before="20"/>
            </w:pPr>
            <w:r/>
            <w:r>
              <w:rPr>
                <w:b/>
                <w:sz w:val="18"/>
              </w:rPr>
              <w:t>ROE 17.0% → justified P/B 1.98x</w:t>
            </w:r>
          </w:p>
        </w:tc>
        <w:tc>
          <w:tcPr>
            <w:tcW w:type="dxa" w:w="3600"/>
          </w:tcPr>
          <w:p>
            <w:pPr>
              <w:spacing w:after="20" w:before="20"/>
              <w:jc w:val="center"/>
            </w:pPr>
            <w:r/>
            <w:r>
              <w:rPr>
                <w:sz w:val="18"/>
              </w:rPr>
              <w:t>AED 11.65</w:t>
            </w:r>
          </w:p>
        </w:tc>
      </w:tr>
      <w:tr>
        <w:tc>
          <w:tcPr>
            <w:tcW w:type="dxa" w:w="6336"/>
          </w:tcPr>
          <w:p>
            <w:pPr>
              <w:spacing w:after="20" w:before="20"/>
            </w:pPr>
            <w:r/>
            <w:r>
              <w:rPr>
                <w:b/>
                <w:sz w:val="18"/>
              </w:rPr>
              <w:t>ROE 17.9% (the normalised history) → 2.12x</w:t>
            </w:r>
          </w:p>
        </w:tc>
        <w:tc>
          <w:tcPr>
            <w:tcW w:type="dxa" w:w="3600"/>
          </w:tcPr>
          <w:p>
            <w:pPr>
              <w:spacing w:after="20" w:before="20"/>
              <w:jc w:val="center"/>
            </w:pPr>
            <w:r/>
            <w:r>
              <w:rPr>
                <w:sz w:val="18"/>
              </w:rPr>
              <w:t>AED 12.46</w:t>
            </w:r>
          </w:p>
        </w:tc>
      </w:tr>
    </w:tbl>
    <w:p>
      <w:pPr>
        <w:spacing w:after="60"/>
      </w:pPr>
    </w:p>
    <w:p>
      <w:pPr>
        <w:spacing w:after="160" w:before="40"/>
      </w:pPr>
      <w:r>
        <w:rPr>
          <w:b w:val="0"/>
          <w:i/>
          <w:color w:val="6E7B77"/>
          <w:sz w:val="16"/>
        </w:rPr>
        <w:t>Shaded gold: the assumption Expert 1 actually uses; the other rows are shown only as sensitivities around it.</w:t>
      </w:r>
    </w:p>
    <w:p>
      <w:pPr>
        <w:spacing w:after="120" w:before="0"/>
      </w:pPr>
      <w:r>
        <w:rPr>
          <w:b w:val="0"/>
          <w:i w:val="0"/>
          <w:sz w:val="21"/>
        </w:rPr>
        <w:t>Cross-examination. I say to Expert 2 that he is double-counting: he wants a higher cost of risk AND a lower multiple, but the multiple already embeds the return, and the return already embeds the provisions. Pick one. To Expert 3 I say that a cost-of-equity adder is the laziest instrument in finance — it lets you express a worry without ever specifying what goes wrong on the income statement.</w:t>
      </w:r>
    </w:p>
    <w:p>
      <w:pPr>
        <w:spacing w:after="120" w:before="0"/>
      </w:pPr>
      <w:r>
        <w:rPr>
          <w:b w:val="0"/>
          <w:i w:val="0"/>
          <w:sz w:val="21"/>
        </w:rPr>
        <w:t>Verdict AED 10.31. Falsification: if through-cycle ROE settles below 12.6%, the justified multiple falls to today's 1.31× and I am simply wrong — the market has priced it correctly and I have mistaken a structural decline for a cyclical one.</w:t>
      </w:r>
    </w:p>
    <w:p>
      <w:pPr>
        <w:spacing w:after="80" w:before="200"/>
      </w:pPr>
      <w:r>
        <w:rPr>
          <w:b/>
          <w:i w:val="0"/>
          <w:color w:val="1C3A36"/>
          <w:sz w:val="22"/>
        </w:rPr>
        <w:t>Expert 2 — the credit-cycle analyst</w:t>
      </w:r>
    </w:p>
    <w:p>
      <w:pPr>
        <w:spacing w:after="120" w:before="0"/>
      </w:pPr>
      <w:r>
        <w:rPr>
          <w:b w:val="0"/>
          <w:i w:val="0"/>
          <w:sz w:val="21"/>
        </w:rPr>
        <w:t>Worldview. Banks do not die of low margins; they die of credit. Every number on the income statement is a rounding error next to the provisions line, and the provisions line always looks best immediately before it looks worst. My method is to normalise the cost of risk to the cycle and re-earn the bank on that basis. It works at cyclical turns, which is where most bank valuations fail. It fails in long benign expansions, where I am early and wrong for years at a time.</w:t>
      </w:r>
    </w:p>
    <w:p>
      <w:pPr>
        <w:spacing w:after="120" w:before="0"/>
      </w:pPr>
      <w:r>
        <w:rPr>
          <w:b w:val="0"/>
          <w:i w:val="0"/>
          <w:sz w:val="21"/>
        </w:rPr>
        <w:t>Workings. DIB's reported cost of risk was 14bp in both FY24 and FY25. I accept neither, and I do not have to guess at why: DIB itself publishes a normalised FY24 income statement, and its normalised impairment charge is AED 1,677mn — a through-cycle-looking 58 basis points, against the 14bp the headline showed. That is the number I build on. FY25's 14bp is a genuinely clean print, but it is the bottom of a cycle; DIB's own history through 2022–23 ran 57–80bp; and Q1-2026 has already tripled it to 45bp. I take 60bp as the through-cycle charge — which, note, is barely above what this bank actually earned through FY24 once its own one-off is stripped out. I am not stressing this bank. I am simply refusing to use its best year as the base.</w:t>
      </w:r>
    </w:p>
    <w:tbl>
      <w:tblPr>
        <w:tblStyle w:val="TableGrid"/>
        <w:tblW w:type="auto" w:w="0"/>
        <w:jc w:val="center"/>
        <w:tblLook w:firstColumn="1" w:firstRow="1" w:lastColumn="0" w:lastRow="0" w:noHBand="0" w:noVBand="1" w:val="04A0"/>
      </w:tblPr>
      <w:tblGrid>
        <w:gridCol w:w="4997"/>
        <w:gridCol w:w="4997"/>
      </w:tblGrid>
      <w:tr>
        <w:tc>
          <w:tcPr>
            <w:tcW w:type="dxa" w:w="6768"/>
            <w:shd w:val="clear" w:fill="1C3A36"/>
          </w:tcPr>
          <w:p>
            <w:pPr>
              <w:spacing w:after="20" w:before="20"/>
            </w:pPr>
            <w:r/>
            <w:r>
              <w:rPr>
                <w:b/>
                <w:color w:val="FFFFFF"/>
                <w:sz w:val="18"/>
              </w:rPr>
              <w:t>Expert 2 — normalised earnings at a through-cycle 60bp cost of risk</w:t>
            </w:r>
          </w:p>
        </w:tc>
        <w:tc>
          <w:tcPr>
            <w:tcW w:type="dxa" w:w="3168"/>
            <w:shd w:val="clear" w:fill="1C3A36"/>
          </w:tcPr>
          <w:p>
            <w:pPr>
              <w:spacing w:after="20" w:before="20"/>
              <w:jc w:val="center"/>
            </w:pPr>
            <w:r/>
            <w:r>
              <w:rPr>
                <w:b/>
                <w:color w:val="FFFFFF"/>
                <w:sz w:val="18"/>
              </w:rPr>
              <w:t>AED mn</w:t>
            </w:r>
          </w:p>
        </w:tc>
      </w:tr>
      <w:tr>
        <w:tc>
          <w:tcPr>
            <w:tcW w:type="dxa" w:w="6768"/>
          </w:tcPr>
          <w:p>
            <w:pPr>
              <w:spacing w:after="20" w:before="20"/>
            </w:pPr>
            <w:r/>
            <w:r>
              <w:rPr>
                <w:b/>
                <w:sz w:val="18"/>
              </w:rPr>
              <w:t>FY27E pre-provision operating profit (from the model)</w:t>
            </w:r>
          </w:p>
        </w:tc>
        <w:tc>
          <w:tcPr>
            <w:tcW w:type="dxa" w:w="3168"/>
          </w:tcPr>
          <w:p>
            <w:pPr>
              <w:spacing w:after="20" w:before="20"/>
              <w:jc w:val="center"/>
            </w:pPr>
            <w:r/>
            <w:r>
              <w:rPr>
                <w:sz w:val="18"/>
              </w:rPr>
              <w:t>10,778</w:t>
            </w:r>
          </w:p>
        </w:tc>
      </w:tr>
      <w:tr>
        <w:tc>
          <w:tcPr>
            <w:tcW w:type="dxa" w:w="6768"/>
          </w:tcPr>
          <w:p>
            <w:pPr>
              <w:spacing w:after="20" w:before="20"/>
            </w:pPr>
            <w:r/>
            <w:r>
              <w:rPr>
                <w:b/>
                <w:sz w:val="18"/>
              </w:rPr>
              <w:t>less: impairment at 60bp on avg financing + sukuk of 405,364</w:t>
            </w:r>
          </w:p>
        </w:tc>
        <w:tc>
          <w:tcPr>
            <w:tcW w:type="dxa" w:w="3168"/>
          </w:tcPr>
          <w:p>
            <w:pPr>
              <w:spacing w:after="20" w:before="20"/>
              <w:jc w:val="center"/>
            </w:pPr>
            <w:r/>
            <w:r>
              <w:rPr>
                <w:sz w:val="18"/>
              </w:rPr>
              <w:t>−2,432</w:t>
            </w:r>
          </w:p>
        </w:tc>
      </w:tr>
      <w:tr>
        <w:tc>
          <w:tcPr>
            <w:tcW w:type="dxa" w:w="6768"/>
          </w:tcPr>
          <w:p>
            <w:pPr>
              <w:spacing w:after="20" w:before="20"/>
            </w:pPr>
            <w:r/>
            <w:r>
              <w:rPr>
                <w:b/>
                <w:sz w:val="18"/>
              </w:rPr>
              <w:t>Profit before tax</w:t>
            </w:r>
          </w:p>
        </w:tc>
        <w:tc>
          <w:tcPr>
            <w:tcW w:type="dxa" w:w="3168"/>
          </w:tcPr>
          <w:p>
            <w:pPr>
              <w:spacing w:after="20" w:before="20"/>
              <w:jc w:val="center"/>
            </w:pPr>
            <w:r/>
            <w:r>
              <w:rPr>
                <w:sz w:val="18"/>
              </w:rPr>
              <w:t>8,346</w:t>
            </w:r>
          </w:p>
        </w:tc>
      </w:tr>
      <w:tr>
        <w:tc>
          <w:tcPr>
            <w:tcW w:type="dxa" w:w="6768"/>
          </w:tcPr>
          <w:p>
            <w:pPr>
              <w:spacing w:after="20" w:before="20"/>
            </w:pPr>
            <w:r/>
            <w:r>
              <w:rPr>
                <w:b/>
                <w:sz w:val="18"/>
              </w:rPr>
              <w:t>less: tax at 15%, minorities at 3.94%, AT1 distributions</w:t>
            </w:r>
          </w:p>
        </w:tc>
        <w:tc>
          <w:tcPr>
            <w:tcW w:type="dxa" w:w="3168"/>
          </w:tcPr>
          <w:p>
            <w:pPr>
              <w:spacing w:after="20" w:before="20"/>
              <w:jc w:val="center"/>
            </w:pPr>
            <w:r/>
            <w:r>
              <w:rPr>
                <w:sz w:val="18"/>
              </w:rPr>
              <w:t>−2,180</w:t>
            </w:r>
          </w:p>
        </w:tc>
      </w:tr>
      <w:tr>
        <w:tc>
          <w:tcPr>
            <w:tcW w:type="dxa" w:w="6768"/>
          </w:tcPr>
          <w:p>
            <w:pPr>
              <w:spacing w:after="20" w:before="20"/>
            </w:pPr>
            <w:r/>
            <w:r>
              <w:rPr>
                <w:b/>
                <w:sz w:val="18"/>
              </w:rPr>
              <w:t>Normalised earnings to common</w:t>
            </w:r>
          </w:p>
        </w:tc>
        <w:tc>
          <w:tcPr>
            <w:tcW w:type="dxa" w:w="3168"/>
          </w:tcPr>
          <w:p>
            <w:pPr>
              <w:spacing w:after="20" w:before="20"/>
              <w:jc w:val="center"/>
            </w:pPr>
            <w:r/>
            <w:r>
              <w:rPr>
                <w:sz w:val="18"/>
              </w:rPr>
              <w:t>6,165</w:t>
            </w:r>
          </w:p>
        </w:tc>
      </w:tr>
      <w:tr>
        <w:tc>
          <w:tcPr>
            <w:tcW w:type="dxa" w:w="6768"/>
          </w:tcPr>
          <w:p>
            <w:pPr>
              <w:spacing w:after="20" w:before="20"/>
            </w:pPr>
            <w:r/>
            <w:r>
              <w:rPr>
                <w:b/>
                <w:sz w:val="18"/>
              </w:rPr>
              <w:t>÷ 7,227mn shares → normalised EPS</w:t>
            </w:r>
          </w:p>
        </w:tc>
        <w:tc>
          <w:tcPr>
            <w:tcW w:type="dxa" w:w="3168"/>
          </w:tcPr>
          <w:p>
            <w:pPr>
              <w:spacing w:after="20" w:before="20"/>
              <w:jc w:val="center"/>
            </w:pPr>
            <w:r/>
            <w:r>
              <w:rPr>
                <w:sz w:val="18"/>
              </w:rPr>
              <w:t>AED 0.85</w:t>
            </w:r>
          </w:p>
        </w:tc>
      </w:tr>
      <w:tr>
        <w:tc>
          <w:tcPr>
            <w:tcW w:type="dxa" w:w="6768"/>
          </w:tcPr>
          <w:p>
            <w:pPr>
              <w:spacing w:after="20" w:before="20"/>
            </w:pPr>
            <w:r/>
            <w:r>
              <w:rPr>
                <w:b/>
                <w:sz w:val="18"/>
              </w:rPr>
              <w:t>Normalised ROE 14.5% → justified P/B 1.60× → justified P/E 11.0× (self-consistent)</w:t>
            </w:r>
          </w:p>
        </w:tc>
        <w:tc>
          <w:tcPr>
            <w:tcW w:type="dxa" w:w="3168"/>
          </w:tcPr>
          <w:p>
            <w:pPr>
              <w:spacing w:after="20" w:before="20"/>
              <w:jc w:val="center"/>
            </w:pPr>
            <w:r/>
            <w:r>
              <w:rPr>
                <w:sz w:val="18"/>
              </w:rPr>
              <w:t>AED 9.40</w:t>
            </w:r>
          </w:p>
        </w:tc>
      </w:tr>
      <w:tr>
        <w:tc>
          <w:tcPr>
            <w:tcW w:type="dxa" w:w="6768"/>
          </w:tcPr>
          <w:p>
            <w:pPr>
              <w:spacing w:after="20" w:before="20"/>
            </w:pPr>
            <w:r/>
            <w:r>
              <w:rPr>
                <w:b/>
                <w:sz w:val="18"/>
              </w:rPr>
              <w:t>less: my own under-provisioning charge (see below)</w:t>
            </w:r>
          </w:p>
        </w:tc>
        <w:tc>
          <w:tcPr>
            <w:tcW w:type="dxa" w:w="3168"/>
          </w:tcPr>
          <w:p>
            <w:pPr>
              <w:spacing w:after="20" w:before="20"/>
              <w:jc w:val="center"/>
            </w:pPr>
            <w:r/>
            <w:r>
              <w:rPr>
                <w:sz w:val="18"/>
              </w:rPr>
              <w:t>−AED 0.51</w:t>
            </w:r>
          </w:p>
        </w:tc>
      </w:tr>
      <w:tr>
        <w:tc>
          <w:tcPr>
            <w:tcW w:type="dxa" w:w="6768"/>
            <w:shd w:val="clear" w:fill="F2E9D2"/>
          </w:tcPr>
          <w:p>
            <w:pPr>
              <w:spacing w:after="20" w:before="20"/>
            </w:pPr>
            <w:r/>
            <w:r>
              <w:rPr>
                <w:b/>
                <w:sz w:val="18"/>
              </w:rPr>
              <w:t>Expert 2 fair value</w:t>
            </w:r>
          </w:p>
        </w:tc>
        <w:tc>
          <w:tcPr>
            <w:tcW w:type="dxa" w:w="3168"/>
            <w:shd w:val="clear" w:fill="F2E9D2"/>
          </w:tcPr>
          <w:p>
            <w:pPr>
              <w:spacing w:after="20" w:before="20"/>
              <w:jc w:val="center"/>
            </w:pPr>
            <w:r/>
            <w:r>
              <w:rPr>
                <w:b/>
                <w:sz w:val="18"/>
              </w:rPr>
              <w:t>AED 8.89</w:t>
            </w:r>
          </w:p>
        </w:tc>
      </w:tr>
    </w:tbl>
    <w:p>
      <w:pPr>
        <w:spacing w:after="60"/>
      </w:pPr>
    </w:p>
    <w:p>
      <w:pPr>
        <w:spacing w:after="160" w:before="40"/>
      </w:pPr>
      <w:r>
        <w:rPr>
          <w:b w:val="0"/>
          <w:i/>
          <w:color w:val="6E7B77"/>
          <w:sz w:val="16"/>
        </w:rPr>
        <w:t>Shaded gold: Expert 2's final fair-value verdict — the number this working builds toward.</w:t>
      </w:r>
    </w:p>
    <w:p>
      <w:pPr>
        <w:spacing w:after="120"/>
      </w:pPr>
      <w:r>
        <w:rPr>
          <w:b/>
          <w:i w:val="0"/>
          <w:sz w:val="21"/>
        </w:rPr>
        <w:t xml:space="preserve">On that last line, I want to be honest about what it is. </w:t>
      </w:r>
      <w:r>
        <w:rPr>
          <w:b w:val="0"/>
          <w:i w:val="0"/>
          <w:sz w:val="21"/>
        </w:rPr>
        <w:t>Management guides FY26 non-performing financing to 2.5% and total coverage to 160% — i.e. stable — and Q1 delivered exactly that. So when I run NPF up to 3.5%, I am not applying their guidance ceiling. I am disagreeing with their guidance, which is my job. AED 3,526mn of additional impaired financing at DIB's own 122% cash coverage needs AED 4,302mn of fresh provisions — AED 0.51 a share after tax, straight off book. If management is right and I am wrong, my number goes to AED 9.40 and I am the least useful person in this appendix.</w:t>
      </w:r>
    </w:p>
    <w:p>
      <w:pPr>
        <w:spacing w:after="120" w:before="0"/>
      </w:pPr>
      <w:r>
        <w:rPr>
          <w:b w:val="0"/>
          <w:i w:val="0"/>
          <w:sz w:val="21"/>
        </w:rPr>
        <w:t>Cross-examination. To Expert 1: your justified-price-to-book formula is a perpetuity that assumes the return you plug into it survives a downturn. It does not. To Expert 3: the war is not my problem — a one-point cost-of-equity adder is worth about AED 1.7 a share, whereas a genuine Dubai property correction feeding DIB's real-estate book would be worth several times that.</w:t>
      </w:r>
    </w:p>
    <w:p>
      <w:pPr>
        <w:spacing w:after="120" w:before="0"/>
      </w:pPr>
      <w:r>
        <w:rPr>
          <w:b w:val="0"/>
          <w:i w:val="0"/>
          <w:sz w:val="21"/>
        </w:rPr>
        <w:t>Verdict AED 8.89. Falsification: if the cost of risk is still at or below 30bp at the end of FY27 with NPF under 3%, then the 14bp base was not a cyclical low but a structurally better book than I credited, and my method has mis-fired. Note that even my bear case sits 15% above the current price — which remains the most uncomfortable fact in this appendix, because I am the bear.</w:t>
      </w:r>
    </w:p>
    <w:p>
      <w:pPr>
        <w:spacing w:after="80" w:before="200"/>
      </w:pPr>
      <w:r>
        <w:rPr>
          <w:b/>
          <w:i w:val="0"/>
          <w:color w:val="1C3A36"/>
          <w:sz w:val="22"/>
        </w:rPr>
        <w:t>Expert 3 — the macro-policy analyst</w:t>
      </w:r>
    </w:p>
    <w:p>
      <w:pPr>
        <w:spacing w:after="120" w:before="0"/>
      </w:pPr>
      <w:r>
        <w:rPr>
          <w:b w:val="0"/>
          <w:i w:val="0"/>
          <w:sz w:val="21"/>
        </w:rPr>
        <w:t>Worldview. A pegged-currency bank is a leveraged bet on someone else's central bank. DIB does not set its own margin — the Federal Reserve does, via the peg — and it does not set its own risk premium either, because that is set in the Strait of Hormuz. My method is to model the two exogenous variables that actually move the answer, and to treat the bank's own management as largely a spectator. It works in regime shifts. It fails in quiet years, when the idiosyncratic stuff I ignore is all that matters.</w:t>
      </w:r>
    </w:p>
    <w:p>
      <w:pPr>
        <w:spacing w:after="120" w:before="0"/>
      </w:pPr>
      <w:r>
        <w:rPr>
          <w:b w:val="0"/>
          <w:i w:val="0"/>
          <w:sz w:val="21"/>
        </w:rPr>
        <w:t>Workings. Two variables, four states. The rate path: the Fed held at 3.50–3.75% with a hawkish new chair and nine policymakers backing higher rates — so the 2.3% NPM guide, set in February when cuts were priced, is more likely to be beaten than missed. The conflict: the 7 April ceasefire was declared over on 8 July, and talks resumed on 11 July. I weight the states and value each on the model's own machinery.</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3600"/>
            <w:shd w:val="clear" w:fill="1C3A36"/>
          </w:tcPr>
          <w:p>
            <w:pPr>
              <w:spacing w:after="20" w:before="20"/>
            </w:pPr>
            <w:r/>
            <w:r>
              <w:rPr>
                <w:b/>
                <w:color w:val="FFFFFF"/>
                <w:sz w:val="18"/>
              </w:rPr>
              <w:t>State</w:t>
            </w:r>
          </w:p>
        </w:tc>
        <w:tc>
          <w:tcPr>
            <w:tcW w:type="dxa" w:w="1080"/>
            <w:shd w:val="clear" w:fill="1C3A36"/>
          </w:tcPr>
          <w:p>
            <w:pPr>
              <w:spacing w:after="20" w:before="20"/>
              <w:jc w:val="center"/>
            </w:pPr>
            <w:r/>
            <w:r>
              <w:rPr>
                <w:b/>
                <w:color w:val="FFFFFF"/>
                <w:sz w:val="18"/>
              </w:rPr>
              <w:t>Prob.</w:t>
            </w:r>
          </w:p>
        </w:tc>
        <w:tc>
          <w:tcPr>
            <w:tcW w:type="dxa" w:w="1152"/>
            <w:shd w:val="clear" w:fill="1C3A36"/>
          </w:tcPr>
          <w:p>
            <w:pPr>
              <w:spacing w:after="20" w:before="20"/>
              <w:jc w:val="center"/>
            </w:pPr>
            <w:r/>
            <w:r>
              <w:rPr>
                <w:b/>
                <w:color w:val="FFFFFF"/>
                <w:sz w:val="18"/>
              </w:rPr>
              <w:t>NPM</w:t>
            </w:r>
          </w:p>
        </w:tc>
        <w:tc>
          <w:tcPr>
            <w:tcW w:type="dxa" w:w="1368"/>
            <w:shd w:val="clear" w:fill="1C3A36"/>
          </w:tcPr>
          <w:p>
            <w:pPr>
              <w:spacing w:after="20" w:before="20"/>
              <w:jc w:val="center"/>
            </w:pPr>
            <w:r/>
            <w:r>
              <w:rPr>
                <w:b/>
                <w:color w:val="FFFFFF"/>
                <w:sz w:val="18"/>
              </w:rPr>
              <w:t>Ke adder</w:t>
            </w:r>
          </w:p>
        </w:tc>
        <w:tc>
          <w:tcPr>
            <w:tcW w:type="dxa" w:w="2736"/>
            <w:shd w:val="clear" w:fill="1C3A36"/>
          </w:tcPr>
          <w:p>
            <w:pPr>
              <w:spacing w:after="20" w:before="20"/>
              <w:jc w:val="center"/>
            </w:pPr>
            <w:r/>
            <w:r>
              <w:rPr>
                <w:b/>
                <w:color w:val="FFFFFF"/>
                <w:sz w:val="18"/>
              </w:rPr>
              <w:t>Value (AED)</w:t>
            </w:r>
          </w:p>
        </w:tc>
      </w:tr>
      <w:tr>
        <w:tc>
          <w:tcPr>
            <w:tcW w:type="dxa" w:w="3600"/>
          </w:tcPr>
          <w:p>
            <w:pPr>
              <w:spacing w:after="20" w:before="20"/>
            </w:pPr>
            <w:r/>
            <w:r>
              <w:rPr>
                <w:b/>
                <w:sz w:val="18"/>
              </w:rPr>
              <w:t>Rates hold + de-escalation</w:t>
            </w:r>
          </w:p>
        </w:tc>
        <w:tc>
          <w:tcPr>
            <w:tcW w:type="dxa" w:w="1080"/>
          </w:tcPr>
          <w:p>
            <w:pPr>
              <w:spacing w:after="20" w:before="20"/>
              <w:jc w:val="center"/>
            </w:pPr>
            <w:r/>
            <w:r>
              <w:rPr>
                <w:sz w:val="18"/>
              </w:rPr>
              <w:t>30%</w:t>
            </w:r>
          </w:p>
        </w:tc>
        <w:tc>
          <w:tcPr>
            <w:tcW w:type="dxa" w:w="1152"/>
          </w:tcPr>
          <w:p>
            <w:pPr>
              <w:spacing w:after="20" w:before="20"/>
              <w:jc w:val="center"/>
            </w:pPr>
            <w:r/>
            <w:r>
              <w:rPr>
                <w:sz w:val="18"/>
              </w:rPr>
              <w:t>2.40%</w:t>
            </w:r>
          </w:p>
        </w:tc>
        <w:tc>
          <w:tcPr>
            <w:tcW w:type="dxa" w:w="1368"/>
          </w:tcPr>
          <w:p>
            <w:pPr>
              <w:spacing w:after="20" w:before="20"/>
              <w:jc w:val="center"/>
            </w:pPr>
            <w:r/>
            <w:r>
              <w:rPr>
                <w:sz w:val="18"/>
              </w:rPr>
              <w:t>0.0pt</w:t>
            </w:r>
          </w:p>
        </w:tc>
        <w:tc>
          <w:tcPr>
            <w:tcW w:type="dxa" w:w="2736"/>
          </w:tcPr>
          <w:p>
            <w:pPr>
              <w:spacing w:after="20" w:before="20"/>
              <w:jc w:val="center"/>
            </w:pPr>
            <w:r/>
            <w:r>
              <w:rPr>
                <w:sz w:val="18"/>
              </w:rPr>
              <w:t>12.19</w:t>
            </w:r>
          </w:p>
        </w:tc>
      </w:tr>
      <w:tr>
        <w:tc>
          <w:tcPr>
            <w:tcW w:type="dxa" w:w="3600"/>
          </w:tcPr>
          <w:p>
            <w:pPr>
              <w:spacing w:after="20" w:before="20"/>
            </w:pPr>
            <w:r/>
            <w:r>
              <w:rPr>
                <w:b/>
                <w:sz w:val="18"/>
              </w:rPr>
              <w:t>Rates hold + war grinds on</w:t>
            </w:r>
          </w:p>
        </w:tc>
        <w:tc>
          <w:tcPr>
            <w:tcW w:type="dxa" w:w="1080"/>
          </w:tcPr>
          <w:p>
            <w:pPr>
              <w:spacing w:after="20" w:before="20"/>
              <w:jc w:val="center"/>
            </w:pPr>
            <w:r/>
            <w:r>
              <w:rPr>
                <w:sz w:val="18"/>
              </w:rPr>
              <w:t>30%</w:t>
            </w:r>
          </w:p>
        </w:tc>
        <w:tc>
          <w:tcPr>
            <w:tcW w:type="dxa" w:w="1152"/>
          </w:tcPr>
          <w:p>
            <w:pPr>
              <w:spacing w:after="20" w:before="20"/>
              <w:jc w:val="center"/>
            </w:pPr>
            <w:r/>
            <w:r>
              <w:rPr>
                <w:sz w:val="18"/>
              </w:rPr>
              <w:t>2.40%</w:t>
            </w:r>
          </w:p>
        </w:tc>
        <w:tc>
          <w:tcPr>
            <w:tcW w:type="dxa" w:w="1368"/>
          </w:tcPr>
          <w:p>
            <w:pPr>
              <w:spacing w:after="20" w:before="20"/>
              <w:jc w:val="center"/>
            </w:pPr>
            <w:r/>
            <w:r>
              <w:rPr>
                <w:sz w:val="18"/>
              </w:rPr>
              <w:t>1.0pt</w:t>
            </w:r>
          </w:p>
        </w:tc>
        <w:tc>
          <w:tcPr>
            <w:tcW w:type="dxa" w:w="2736"/>
          </w:tcPr>
          <w:p>
            <w:pPr>
              <w:spacing w:after="20" w:before="20"/>
              <w:jc w:val="center"/>
            </w:pPr>
            <w:r/>
            <w:r>
              <w:rPr>
                <w:sz w:val="18"/>
              </w:rPr>
              <w:t>10.51</w:t>
            </w:r>
          </w:p>
        </w:tc>
      </w:tr>
      <w:tr>
        <w:tc>
          <w:tcPr>
            <w:tcW w:type="dxa" w:w="3600"/>
          </w:tcPr>
          <w:p>
            <w:pPr>
              <w:spacing w:after="20" w:before="20"/>
            </w:pPr>
            <w:r/>
            <w:r>
              <w:rPr>
                <w:b/>
                <w:sz w:val="18"/>
              </w:rPr>
              <w:t>Rates cut + war grinds on (the base)</w:t>
            </w:r>
          </w:p>
        </w:tc>
        <w:tc>
          <w:tcPr>
            <w:tcW w:type="dxa" w:w="1080"/>
          </w:tcPr>
          <w:p>
            <w:pPr>
              <w:spacing w:after="20" w:before="20"/>
              <w:jc w:val="center"/>
            </w:pPr>
            <w:r/>
            <w:r>
              <w:rPr>
                <w:sz w:val="18"/>
              </w:rPr>
              <w:t>25%</w:t>
            </w:r>
          </w:p>
        </w:tc>
        <w:tc>
          <w:tcPr>
            <w:tcW w:type="dxa" w:w="1152"/>
          </w:tcPr>
          <w:p>
            <w:pPr>
              <w:spacing w:after="20" w:before="20"/>
              <w:jc w:val="center"/>
            </w:pPr>
            <w:r/>
            <w:r>
              <w:rPr>
                <w:sz w:val="18"/>
              </w:rPr>
              <w:t>2.30%</w:t>
            </w:r>
          </w:p>
        </w:tc>
        <w:tc>
          <w:tcPr>
            <w:tcW w:type="dxa" w:w="1368"/>
          </w:tcPr>
          <w:p>
            <w:pPr>
              <w:spacing w:after="20" w:before="20"/>
              <w:jc w:val="center"/>
            </w:pPr>
            <w:r/>
            <w:r>
              <w:rPr>
                <w:sz w:val="18"/>
              </w:rPr>
              <w:t>1.0pt</w:t>
            </w:r>
          </w:p>
        </w:tc>
        <w:tc>
          <w:tcPr>
            <w:tcW w:type="dxa" w:w="2736"/>
          </w:tcPr>
          <w:p>
            <w:pPr>
              <w:spacing w:after="20" w:before="20"/>
              <w:jc w:val="center"/>
            </w:pPr>
            <w:r/>
            <w:r>
              <w:rPr>
                <w:sz w:val="18"/>
              </w:rPr>
              <w:t>10.18</w:t>
            </w:r>
          </w:p>
        </w:tc>
      </w:tr>
      <w:tr>
        <w:tc>
          <w:tcPr>
            <w:tcW w:type="dxa" w:w="3600"/>
          </w:tcPr>
          <w:p>
            <w:pPr>
              <w:spacing w:after="20" w:before="20"/>
            </w:pPr>
            <w:r/>
            <w:r>
              <w:rPr>
                <w:b/>
                <w:sz w:val="18"/>
              </w:rPr>
              <w:t>Rates cut + Hormuz closes again</w:t>
            </w:r>
          </w:p>
        </w:tc>
        <w:tc>
          <w:tcPr>
            <w:tcW w:type="dxa" w:w="1080"/>
          </w:tcPr>
          <w:p>
            <w:pPr>
              <w:spacing w:after="20" w:before="20"/>
              <w:jc w:val="center"/>
            </w:pPr>
            <w:r/>
            <w:r>
              <w:rPr>
                <w:sz w:val="18"/>
              </w:rPr>
              <w:t>15%</w:t>
            </w:r>
          </w:p>
        </w:tc>
        <w:tc>
          <w:tcPr>
            <w:tcW w:type="dxa" w:w="1152"/>
          </w:tcPr>
          <w:p>
            <w:pPr>
              <w:spacing w:after="20" w:before="20"/>
              <w:jc w:val="center"/>
            </w:pPr>
            <w:r/>
            <w:r>
              <w:rPr>
                <w:sz w:val="18"/>
              </w:rPr>
              <w:t>2.10%</w:t>
            </w:r>
          </w:p>
        </w:tc>
        <w:tc>
          <w:tcPr>
            <w:tcW w:type="dxa" w:w="1368"/>
          </w:tcPr>
          <w:p>
            <w:pPr>
              <w:spacing w:after="20" w:before="20"/>
              <w:jc w:val="center"/>
            </w:pPr>
            <w:r/>
            <w:r>
              <w:rPr>
                <w:sz w:val="18"/>
              </w:rPr>
              <w:t>2.5pt</w:t>
            </w:r>
          </w:p>
        </w:tc>
        <w:tc>
          <w:tcPr>
            <w:tcW w:type="dxa" w:w="2736"/>
          </w:tcPr>
          <w:p>
            <w:pPr>
              <w:spacing w:after="20" w:before="20"/>
              <w:jc w:val="center"/>
            </w:pPr>
            <w:r/>
            <w:r>
              <w:rPr>
                <w:sz w:val="18"/>
              </w:rPr>
              <w:t>7.80</w:t>
            </w:r>
          </w:p>
        </w:tc>
      </w:tr>
      <w:tr>
        <w:tc>
          <w:tcPr>
            <w:tcW w:type="dxa" w:w="3600"/>
            <w:shd w:val="clear" w:fill="F2E9D2"/>
          </w:tcPr>
          <w:p>
            <w:pPr>
              <w:spacing w:after="20" w:before="20"/>
            </w:pPr>
            <w:r/>
            <w:r>
              <w:rPr>
                <w:b/>
                <w:sz w:val="18"/>
              </w:rPr>
              <w:t>Probability-weighted</w:t>
            </w:r>
          </w:p>
        </w:tc>
        <w:tc>
          <w:tcPr>
            <w:tcW w:type="dxa" w:w="1080"/>
            <w:shd w:val="clear" w:fill="F2E9D2"/>
          </w:tcPr>
          <w:p>
            <w:pPr>
              <w:spacing w:after="20" w:before="20"/>
              <w:jc w:val="center"/>
            </w:pPr>
            <w:r/>
            <w:r>
              <w:rPr>
                <w:b/>
                <w:sz w:val="18"/>
              </w:rPr>
            </w:r>
          </w:p>
        </w:tc>
        <w:tc>
          <w:tcPr>
            <w:tcW w:type="dxa" w:w="1152"/>
            <w:shd w:val="clear" w:fill="F2E9D2"/>
          </w:tcPr>
          <w:p>
            <w:pPr>
              <w:spacing w:after="20" w:before="20"/>
              <w:jc w:val="center"/>
            </w:pPr>
            <w:r/>
            <w:r>
              <w:rPr>
                <w:b/>
                <w:sz w:val="18"/>
              </w:rPr>
            </w:r>
          </w:p>
        </w:tc>
        <w:tc>
          <w:tcPr>
            <w:tcW w:type="dxa" w:w="1368"/>
            <w:shd w:val="clear" w:fill="F2E9D2"/>
          </w:tcPr>
          <w:p>
            <w:pPr>
              <w:spacing w:after="20" w:before="20"/>
              <w:jc w:val="center"/>
            </w:pPr>
            <w:r/>
            <w:r>
              <w:rPr>
                <w:b/>
                <w:sz w:val="18"/>
              </w:rPr>
            </w:r>
          </w:p>
        </w:tc>
        <w:tc>
          <w:tcPr>
            <w:tcW w:type="dxa" w:w="2736"/>
            <w:shd w:val="clear" w:fill="F2E9D2"/>
          </w:tcPr>
          <w:p>
            <w:pPr>
              <w:spacing w:after="20" w:before="20"/>
              <w:jc w:val="center"/>
            </w:pPr>
            <w:r/>
            <w:r>
              <w:rPr>
                <w:b/>
                <w:sz w:val="18"/>
              </w:rPr>
              <w:t>10.52</w:t>
            </w:r>
          </w:p>
        </w:tc>
      </w:tr>
    </w:tbl>
    <w:p>
      <w:pPr>
        <w:spacing w:after="60"/>
      </w:pPr>
    </w:p>
    <w:p>
      <w:pPr>
        <w:spacing w:after="160" w:before="40"/>
      </w:pPr>
      <w:r>
        <w:rPr>
          <w:b w:val="0"/>
          <w:i/>
          <w:color w:val="6E7B77"/>
          <w:sz w:val="16"/>
        </w:rPr>
        <w:t>Shaded gold: the probability-weighted verdict across all four states — Expert 3's final number.</w:t>
      </w:r>
    </w:p>
    <w:p>
      <w:pPr>
        <w:spacing w:after="120" w:before="0"/>
      </w:pPr>
      <w:r>
        <w:rPr>
          <w:b w:val="0"/>
          <w:i w:val="0"/>
          <w:sz w:val="21"/>
        </w:rPr>
        <w:t>Note what the fourth row says. Even in my genuinely bad state — deeper Fed cuts AND a re-closed strait — the model gives AED 7.80, which is still 1% ABOVE today's price of AED 7.72. I cannot construct a state of the world, out of the two variables that actually drive this bank, in which AED 7.72 is the right answer. That does not make me right. It does mean the market is pricing something my framework does not contain — and the honest candidates are a second dividend cut (Expert 2's territory) or a permanent Islamic-bank de-rating that none of us has modelled.</w:t>
      </w:r>
    </w:p>
    <w:p>
      <w:pPr>
        <w:spacing w:after="120" w:before="0"/>
      </w:pPr>
      <w:r>
        <w:rPr>
          <w:b w:val="0"/>
          <w:i w:val="0"/>
          <w:sz w:val="21"/>
        </w:rPr>
        <w:t>Cross-examination. To Expert 1: your single ROE number is an average across regimes that will never occur simultaneously; the variance is the point. To Expert 2: your through-cycle cost of risk is a UAE-property call dressed up as a methodology, and Dubai property is currently strong — you are borrowing a 2009 memory and charging DIB for it.</w:t>
      </w:r>
    </w:p>
    <w:p>
      <w:pPr>
        <w:spacing w:after="120" w:before="0"/>
      </w:pPr>
      <w:r>
        <w:rPr>
          <w:b w:val="0"/>
          <w:i w:val="0"/>
          <w:sz w:val="21"/>
        </w:rPr>
        <w:t>Verdict AED 10.52. Falsification: if the Fed cuts twice more in 2026 AND the strait closes again, my base states collapse into the tail and I converge on the market at AED 7.72 — at which point I have added nothing.</w:t>
      </w:r>
    </w:p>
    <w:p>
      <w:pPr>
        <w:spacing w:after="80" w:before="200"/>
      </w:pPr>
      <w:r>
        <w:rPr>
          <w:b/>
          <w:i w:val="0"/>
          <w:color w:val="1C3A36"/>
          <w:sz w:val="22"/>
        </w:rPr>
        <w:t>The three in one room</w:t>
      </w:r>
    </w:p>
    <w:p>
      <w:pPr>
        <w:spacing w:after="120" w:before="0"/>
      </w:pPr>
      <w:r>
        <w:rPr>
          <w:b w:val="0"/>
          <w:i w:val="0"/>
          <w:sz w:val="21"/>
        </w:rPr>
        <w:t>Put them together and they disagree about exactly one thing: what the cost of risk does next. Expert 1 embeds it inside a return on equity and never looks at it directly. Expert 2 says it is the only thing that matters and takes it to 60bp. Expert 3 says it is downstream of the Fed and the strait, and that the war premium is doing the work everyone is attributing to credit. The margin, strikingly, they broadly agree on — all three now think February's 2.3% guide is more likely to be beaten than missed, because the Fed turned. And all three, including the most bearish, put fair value above the current price.</w:t>
      </w:r>
    </w:p>
    <w:p>
      <w:pPr>
        <w:spacing w:after="120" w:before="0"/>
      </w:pPr>
      <w:r>
        <w:rPr>
          <w:b w:val="0"/>
          <w:i w:val="0"/>
          <w:sz w:val="21"/>
        </w:rPr>
        <w:t>Reading the divergence. The spread — AED 8.89 to AED 10.52, around a study central of AED 10.18 — is AED 1.63 wide. That is narrow for this panel, and it is narrow for a specific reason: the three are not arguing about the bank, they are arguing about the provisions line. And that line is now bounded by disclosure rather than by guesswork — below by what DIB actually printed (14bp, with non-performing financing at a decade low of 2.5% and cash coverage rising to 122%), and above by its own normalised FY24 charge of 58bp. What the spread measures is therefore not uncertainty about DIB at all. It is uncertainty about the UAE credit cycle, and it is worth about AED 1.6 a share.</w:t>
      </w:r>
    </w:p>
    <w:p>
      <w:pPr>
        <w:spacing w:after="120" w:before="0"/>
      </w:pPr>
      <w:r>
        <w:rPr>
          <w:b w:val="0"/>
          <w:i w:val="0"/>
          <w:sz w:val="21"/>
        </w:rPr>
        <w:t>Which leaves the uncomfortable observation that all three experts, running three genuinely different methods, and including the one whose entire job is to be pessimistic about credit, land between AED 8.89 and AED 10.52 — every one of them above the AED 7.72 the market is paying. When a panel converges like that, one of two things is true: the market is wrong, or all three experts share a blind spot. The candidate blind spot is named in Expert 3's falsifier and in §1.8 — a second dividend cut, which none of the three models, and which is precisely what a bank with 12.3% CET1, a falling margin and a rising cost of risk does next if the squeeze arrives together.</w:t>
      </w:r>
    </w:p>
    <w:tbl>
      <w:tblPr>
        <w:tblStyle w:val="TableGrid"/>
        <w:tblW w:type="auto" w:w="0"/>
        <w:jc w:val="center"/>
        <w:tblLook w:firstColumn="1" w:firstRow="1" w:lastColumn="0" w:lastRow="0" w:noHBand="0" w:noVBand="1" w:val="04A0"/>
      </w:tblPr>
      <w:tblGrid>
        <w:gridCol w:w="3331"/>
        <w:gridCol w:w="3331"/>
        <w:gridCol w:w="3331"/>
      </w:tblGrid>
      <w:tr>
        <w:tc>
          <w:tcPr>
            <w:tcW w:type="dxa" w:w="2736"/>
            <w:shd w:val="clear" w:fill="1C3A36"/>
          </w:tcPr>
          <w:p>
            <w:pPr>
              <w:spacing w:after="20" w:before="20"/>
            </w:pPr>
            <w:r/>
            <w:r>
              <w:rPr>
                <w:b/>
                <w:color w:val="FFFFFF"/>
                <w:sz w:val="18"/>
              </w:rPr>
              <w:t>Expert</w:t>
            </w:r>
          </w:p>
        </w:tc>
        <w:tc>
          <w:tcPr>
            <w:tcW w:type="dxa" w:w="4896"/>
            <w:shd w:val="clear" w:fill="1C3A36"/>
          </w:tcPr>
          <w:p>
            <w:pPr>
              <w:spacing w:after="20" w:before="20"/>
              <w:jc w:val="center"/>
            </w:pPr>
            <w:r/>
            <w:r>
              <w:rPr>
                <w:b/>
                <w:color w:val="FFFFFF"/>
                <w:sz w:val="18"/>
              </w:rPr>
              <w:t>The one assumption driving the answer</w:t>
            </w:r>
          </w:p>
        </w:tc>
        <w:tc>
          <w:tcPr>
            <w:tcW w:type="dxa" w:w="2304"/>
            <w:shd w:val="clear" w:fill="1C3A36"/>
          </w:tcPr>
          <w:p>
            <w:pPr>
              <w:spacing w:after="20" w:before="20"/>
              <w:jc w:val="center"/>
            </w:pPr>
            <w:r/>
            <w:r>
              <w:rPr>
                <w:b/>
                <w:color w:val="FFFFFF"/>
                <w:sz w:val="18"/>
              </w:rPr>
              <w:t>Fair value (AED)</w:t>
            </w:r>
          </w:p>
        </w:tc>
      </w:tr>
      <w:tr>
        <w:tc>
          <w:tcPr>
            <w:tcW w:type="dxa" w:w="2736"/>
          </w:tcPr>
          <w:p>
            <w:pPr>
              <w:spacing w:after="20" w:before="20"/>
            </w:pPr>
            <w:r/>
            <w:r>
              <w:rPr>
                <w:b/>
                <w:sz w:val="18"/>
              </w:rPr>
              <w:t>Expert 1 — capital &amp; returns</w:t>
            </w:r>
          </w:p>
        </w:tc>
        <w:tc>
          <w:tcPr>
            <w:tcW w:type="dxa" w:w="4896"/>
          </w:tcPr>
          <w:p>
            <w:pPr>
              <w:spacing w:after="20" w:before="20"/>
              <w:jc w:val="center"/>
            </w:pPr>
            <w:r/>
            <w:r>
              <w:rPr>
                <w:sz w:val="18"/>
              </w:rPr>
              <w:t>Through-cycle ROE of 15.5%</w:t>
            </w:r>
          </w:p>
        </w:tc>
        <w:tc>
          <w:tcPr>
            <w:tcW w:type="dxa" w:w="2304"/>
          </w:tcPr>
          <w:p>
            <w:pPr>
              <w:spacing w:after="20" w:before="20"/>
              <w:jc w:val="center"/>
            </w:pPr>
            <w:r/>
            <w:r>
              <w:rPr>
                <w:sz w:val="18"/>
              </w:rPr>
              <w:t>10.31</w:t>
            </w:r>
          </w:p>
        </w:tc>
      </w:tr>
      <w:tr>
        <w:tc>
          <w:tcPr>
            <w:tcW w:type="dxa" w:w="2736"/>
          </w:tcPr>
          <w:p>
            <w:pPr>
              <w:spacing w:after="20" w:before="20"/>
            </w:pPr>
            <w:r/>
            <w:r>
              <w:rPr>
                <w:b/>
                <w:sz w:val="18"/>
              </w:rPr>
              <w:t>Expert 2 — credit cycle</w:t>
            </w:r>
          </w:p>
        </w:tc>
        <w:tc>
          <w:tcPr>
            <w:tcW w:type="dxa" w:w="4896"/>
          </w:tcPr>
          <w:p>
            <w:pPr>
              <w:spacing w:after="20" w:before="20"/>
              <w:jc w:val="center"/>
            </w:pPr>
            <w:r/>
            <w:r>
              <w:rPr>
                <w:sz w:val="18"/>
              </w:rPr>
              <w:t>Cost of risk to 60bp (vs a normalised FY24 charge of 58bp), plus NPF to 3.5% AGAINST guidance</w:t>
            </w:r>
          </w:p>
        </w:tc>
        <w:tc>
          <w:tcPr>
            <w:tcW w:type="dxa" w:w="2304"/>
          </w:tcPr>
          <w:p>
            <w:pPr>
              <w:spacing w:after="20" w:before="20"/>
              <w:jc w:val="center"/>
            </w:pPr>
            <w:r/>
            <w:r>
              <w:rPr>
                <w:sz w:val="18"/>
              </w:rPr>
              <w:t>8.89</w:t>
            </w:r>
          </w:p>
        </w:tc>
      </w:tr>
      <w:tr>
        <w:tc>
          <w:tcPr>
            <w:tcW w:type="dxa" w:w="2736"/>
          </w:tcPr>
          <w:p>
            <w:pPr>
              <w:spacing w:after="20" w:before="20"/>
            </w:pPr>
            <w:r/>
            <w:r>
              <w:rPr>
                <w:b/>
                <w:sz w:val="18"/>
              </w:rPr>
              <w:t>Expert 3 — macro &amp; policy</w:t>
            </w:r>
          </w:p>
        </w:tc>
        <w:tc>
          <w:tcPr>
            <w:tcW w:type="dxa" w:w="4896"/>
          </w:tcPr>
          <w:p>
            <w:pPr>
              <w:spacing w:after="20" w:before="20"/>
              <w:jc w:val="center"/>
            </w:pPr>
            <w:r/>
            <w:r>
              <w:rPr>
                <w:sz w:val="18"/>
              </w:rPr>
              <w:t>Fed holds; the war grinds on but the strait stays open</w:t>
            </w:r>
          </w:p>
        </w:tc>
        <w:tc>
          <w:tcPr>
            <w:tcW w:type="dxa" w:w="2304"/>
          </w:tcPr>
          <w:p>
            <w:pPr>
              <w:spacing w:after="20" w:before="20"/>
              <w:jc w:val="center"/>
            </w:pPr>
            <w:r/>
            <w:r>
              <w:rPr>
                <w:sz w:val="18"/>
              </w:rPr>
              <w:t>10.52</w:t>
            </w:r>
          </w:p>
        </w:tc>
      </w:tr>
      <w:tr>
        <w:tc>
          <w:tcPr>
            <w:tcW w:type="dxa" w:w="2736"/>
            <w:shd w:val="clear" w:fill="F2E9D2"/>
          </w:tcPr>
          <w:p>
            <w:pPr>
              <w:spacing w:after="20" w:before="20"/>
            </w:pPr>
            <w:r/>
            <w:r>
              <w:rPr>
                <w:b/>
                <w:sz w:val="18"/>
              </w:rPr>
              <w:t>This study (five lenses, weighted)</w:t>
            </w:r>
          </w:p>
        </w:tc>
        <w:tc>
          <w:tcPr>
            <w:tcW w:type="dxa" w:w="4896"/>
            <w:shd w:val="clear" w:fill="F2E9D2"/>
          </w:tcPr>
          <w:p>
            <w:pPr>
              <w:spacing w:after="20" w:before="20"/>
              <w:jc w:val="center"/>
            </w:pPr>
            <w:r/>
            <w:r>
              <w:rPr>
                <w:b/>
                <w:sz w:val="18"/>
              </w:rPr>
              <w:t>All of the above, weighted</w:t>
            </w:r>
          </w:p>
        </w:tc>
        <w:tc>
          <w:tcPr>
            <w:tcW w:type="dxa" w:w="2304"/>
            <w:shd w:val="clear" w:fill="F2E9D2"/>
          </w:tcPr>
          <w:p>
            <w:pPr>
              <w:spacing w:after="20" w:before="20"/>
              <w:jc w:val="center"/>
            </w:pPr>
            <w:r/>
            <w:r>
              <w:rPr>
                <w:b/>
                <w:sz w:val="18"/>
              </w:rPr>
              <w:t>10.18</w:t>
            </w:r>
          </w:p>
        </w:tc>
      </w:tr>
      <w:tr>
        <w:tc>
          <w:tcPr>
            <w:tcW w:type="dxa" w:w="2736"/>
            <w:shd w:val="clear" w:fill="F6DDDA"/>
          </w:tcPr>
          <w:p>
            <w:pPr>
              <w:spacing w:after="20" w:before="20"/>
            </w:pPr>
            <w:r/>
            <w:r>
              <w:rPr>
                <w:b/>
                <w:sz w:val="18"/>
              </w:rPr>
              <w:t>The market (03-Jul close)</w:t>
            </w:r>
          </w:p>
        </w:tc>
        <w:tc>
          <w:tcPr>
            <w:tcW w:type="dxa" w:w="4896"/>
            <w:shd w:val="clear" w:fill="F6DDDA"/>
          </w:tcPr>
          <w:p>
            <w:pPr>
              <w:spacing w:after="20" w:before="20"/>
              <w:jc w:val="center"/>
            </w:pPr>
            <w:r/>
            <w:r>
              <w:rPr>
                <w:b/>
                <w:sz w:val="18"/>
              </w:rPr>
              <w:t>Something none of the three has modelled</w:t>
            </w:r>
          </w:p>
        </w:tc>
        <w:tc>
          <w:tcPr>
            <w:tcW w:type="dxa" w:w="2304"/>
            <w:shd w:val="clear" w:fill="F6DDDA"/>
          </w:tcPr>
          <w:p>
            <w:pPr>
              <w:spacing w:after="20" w:before="20"/>
              <w:jc w:val="center"/>
            </w:pPr>
            <w:r/>
            <w:r>
              <w:rPr>
                <w:b/>
                <w:sz w:val="18"/>
              </w:rPr>
              <w:t>7.72</w:t>
            </w:r>
          </w:p>
        </w:tc>
      </w:tr>
    </w:tbl>
    <w:p>
      <w:pPr>
        <w:spacing w:after="60"/>
      </w:pPr>
    </w:p>
    <w:p>
      <w:pPr>
        <w:spacing w:after="160" w:before="40"/>
      </w:pPr>
      <w:r>
        <w:rPr>
          <w:b w:val="0"/>
          <w:i/>
          <w:color w:val="6E7B77"/>
          <w:sz w:val="16"/>
        </w:rPr>
        <w:t>Shaded gold: this study's own weighted verdict. Shaded pink: the actual market price, shown for contrast — not a risk or a failed test.</w:t>
      </w:r>
    </w:p>
    <w:p>
      <w:r>
        <w:br w:type="page"/>
      </w:r>
    </w:p>
    <w:p>
      <w:pPr>
        <w:spacing w:after="100" w:before="260"/>
      </w:pPr>
      <w:r>
        <w:rPr>
          <w:b/>
          <w:i w:val="0"/>
          <w:color w:val="1C3A36"/>
          <w:sz w:val="26"/>
        </w:rPr>
        <w:t>About this series</w:t>
      </w:r>
    </w:p>
    <w:p>
      <w:pPr>
        <w:spacing w:after="120" w:before="0"/>
      </w:pPr>
      <w:r>
        <w:rPr>
          <w:b w:val="0"/>
          <w:i w:val="0"/>
          <w:sz w:val="21"/>
        </w:rPr>
        <w:t>Testahil publishes independent, educational equity-research studies in English and Arabic. Every study states its assumptions, logs every unsourced driver on a public ledger, and — where a forecast distribution is published — grades it after the fact on a public, append-only Calibration Ledger. We publish fair-value ranges and probability distributions, never ratings, never price targets, never tips. When our forecast engine cannot demonstrate an edge on a name, as here, we say so on the front page and publish no forecast at all. The graded record, not the prose, is the product.</w:t>
      </w:r>
    </w:p>
    <w:p>
      <w:pPr>
        <w:spacing w:after="100" w:before="260"/>
      </w:pPr>
      <w:r>
        <w:rPr>
          <w:b/>
          <w:i w:val="0"/>
          <w:color w:val="1C3A36"/>
          <w:sz w:val="26"/>
        </w:rPr>
        <w:t>Disclosure &amp; Disclaimer</w:t>
      </w:r>
    </w:p>
    <w:p>
      <w:pPr>
        <w:spacing w:after="80" w:before="0"/>
      </w:pPr>
      <w:r>
        <w:rPr>
          <w:b w:val="0"/>
          <w:i w:val="0"/>
          <w:sz w:val="18"/>
        </w:rPr>
        <w:t>•  This document is an independent, educational valuation study. It is NOT investment advice, NOT a recommendation, and NOT an offer or solicitation to buy or sell any security. It contains no rating and no price target.</w:t>
      </w:r>
    </w:p>
    <w:p>
      <w:pPr>
        <w:spacing w:after="80" w:before="0"/>
      </w:pPr>
      <w:r>
        <w:rPr>
          <w:b w:val="0"/>
          <w:i w:val="0"/>
          <w:sz w:val="18"/>
        </w:rPr>
        <w:t>•  The preparer is NOT licensed by the Financial Regulatory Authority (Egypt), the Securities and Commodities Authority (UAE), or any other securities regulator; holds no CFA charter; and this document has not been reviewed or approved by any regulatory authority, exchange, or the subject company.</w:t>
      </w:r>
    </w:p>
    <w:p>
      <w:pPr>
        <w:spacing w:after="80" w:before="0"/>
      </w:pPr>
      <w:r>
        <w:rPr>
          <w:b w:val="0"/>
          <w:i w:val="0"/>
          <w:sz w:val="18"/>
        </w:rPr>
        <w:t>•  All figures are model outputs under stated assumptions. Assumptions may be wrong. Models may be wrong. Every unsourced driver is disclosed and logged in a public ledger precisely so that it can be checked, and later graded, by the reader.</w:t>
      </w:r>
    </w:p>
    <w:p>
      <w:pPr>
        <w:spacing w:after="80" w:before="0"/>
      </w:pPr>
      <w:r>
        <w:rPr>
          <w:b w:val="0"/>
          <w:i w:val="0"/>
          <w:sz w:val="18"/>
        </w:rPr>
        <w:t>•  The Monte Carlo section of this study contains NO forecast. The engine failed its calibration test on this name and the forecast was withheld. Nothing in §3 should be read as a prediction of DIB's price at any horizon.</w:t>
      </w:r>
    </w:p>
    <w:p>
      <w:pPr>
        <w:spacing w:after="80" w:before="0"/>
      </w:pPr>
      <w:r>
        <w:rPr>
          <w:b w:val="0"/>
          <w:i w:val="0"/>
          <w:sz w:val="18"/>
        </w:rPr>
        <w:t>•  Past performance and past calibration are not indicative of future results. Distributions are base rates, not promises.</w:t>
      </w:r>
    </w:p>
    <w:p>
      <w:pPr>
        <w:spacing w:after="80" w:before="0"/>
      </w:pPr>
      <w:r>
        <w:rPr>
          <w:b w:val="0"/>
          <w:i w:val="0"/>
          <w:sz w:val="18"/>
        </w:rPr>
        <w:t>•  The preparer may hold, and may in the future take or dispose of, a position in the security discussed in this report.</w:t>
      </w:r>
    </w:p>
    <w:p>
      <w:pPr>
        <w:spacing w:after="120" w:before="0"/>
      </w:pPr>
    </w:p>
    <w:p>
      <w:pPr>
        <w:spacing w:after="120" w:before="0"/>
        <w:jc w:val="center"/>
      </w:pPr>
      <w:r>
        <w:rPr>
          <w:b w:val="0"/>
          <w:i/>
          <w:color w:val="6E7B77"/>
          <w:sz w:val="16"/>
        </w:rPr>
        <w:t>Testahil · Independent Valuation Study · Dubai Islamic Bank PJSC (DFM: DIB) · 11 July 2026 · spot AED 7.72 (03-Jul-2026 close) · calibration tier: FAILED — no forecast published · Edition 1.0</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