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36"/>
      </w:tblGrid>
      <w:tr>
        <w:tc>
          <w:tcPr>
            <w:tcW w:type="dxa" w:w="9936"/>
            <w:shd w:val="clear" w:fill="1C3A36"/>
          </w:tcPr>
          <w:p>
            <w:pPr>
              <w:spacing w:line="264" w:lineRule="auto"/>
            </w:pPr>
            <w:r>
              <w:rPr>
                <w:b/>
                <w:i w:val="0"/>
                <w:color w:val="FFFFFF"/>
                <w:sz w:val="21"/>
              </w:rPr>
              <w:t>Testahil  ·  Independent Valuation Study - Educational Analysis            Not investment advice</w:t>
            </w:r>
          </w:p>
        </w:tc>
      </w:tr>
    </w:tbl>
    <w:p>
      <w:pPr>
        <w:spacing w:line="264" w:lineRule="auto" w:before="160"/>
      </w:pPr>
      <w:r>
        <w:rPr>
          <w:b/>
          <w:i w:val="0"/>
          <w:color w:val="1C3A36"/>
          <w:sz w:val="26"/>
        </w:rPr>
        <w:t>Independent Valuation Study - Educational Analysis</w:t>
      </w:r>
    </w:p>
    <w:p>
      <w:pPr>
        <w:spacing w:line="264" w:lineRule="auto" w:before="160"/>
      </w:pPr>
      <w:r>
        <w:rPr>
          <w:b/>
          <w:i w:val="0"/>
          <w:color w:val="1C3A36"/>
          <w:sz w:val="30"/>
        </w:rPr>
        <w:t>Fawry for Banking Technology and Electronic Payments (S.A.E.)  (EGX: FWRY)</w:t>
      </w:r>
    </w:p>
    <w:p>
      <w:pPr>
        <w:spacing w:line="264" w:lineRule="auto"/>
      </w:pPr>
      <w:r>
        <w:rPr>
          <w:b w:val="0"/>
          <w:i/>
          <w:color w:val="666666"/>
          <w:sz w:val="21"/>
        </w:rPr>
        <w:t>Fundamental analysis · Technical analysis · Monte Carlo simulation - one integrated read</w:t>
      </w:r>
    </w:p>
    <w:p>
      <w:pPr>
        <w:spacing w:line="264" w:lineRule="auto"/>
      </w:pPr>
      <w:r>
        <w:rPr>
          <w:b/>
          <w:i w:val="0"/>
          <w:color w:val="1C3A36"/>
          <w:sz w:val="21"/>
        </w:rPr>
        <w:t xml:space="preserve">Anchor: </w:t>
      </w:r>
      <w:r>
        <w:rPr>
          <w:b w:val="0"/>
          <w:i w:val="0"/>
          <w:sz w:val="21"/>
        </w:rPr>
        <w:t>EGP 18.40 (1 Jul 2026 close) · ~3,905 mn shares · mkt cap ~EGP 71.8 bn · Egypt's largest digital-payments and consumer-fintech platform (54.8 mn monthly users, 377k agents, EGP 943.6 bn FY25 throughput) · prices and probabilities computed 1 Jul 2026 from the attached daily history · primary lens: five-year FCFF (DCF) on the operating business, with a segment SOTP and growth-multiple cross-checks · swing factors: the CBE rate cycle (the multiple vs the float income) and the durability of 57% EBITDA margins.</w:t>
      </w:r>
    </w:p>
    <w:tbl>
      <w:tblPr>
        <w:tblStyle w:val="TableGrid"/>
        <w:tblW w:type="auto" w:w="0"/>
        <w:tblLook w:firstColumn="1" w:firstRow="1" w:lastColumn="0" w:lastRow="0" w:noHBand="0" w:noVBand="1" w:val="04A0"/>
      </w:tblPr>
      <w:tblGrid>
        <w:gridCol w:w="9936"/>
      </w:tblGrid>
      <w:tr>
        <w:tc>
          <w:tcPr>
            <w:tcW w:type="dxa" w:w="9936"/>
            <w:shd w:val="clear" w:fill="F6F1E6"/>
          </w:tcPr>
          <w:p>
            <w:pPr>
              <w:spacing w:line="264" w:lineRule="auto"/>
            </w:pPr>
            <w:r>
              <w:rPr>
                <w:b/>
                <w:i w:val="0"/>
                <w:color w:val="1C3A36"/>
                <w:sz w:val="19"/>
              </w:rPr>
              <w:t xml:space="preserve">READ FIRST - what this document is, and is not. </w:t>
            </w:r>
            <w:r>
              <w:rPr>
                <w:b w:val="0"/>
                <w:i w:val="0"/>
                <w:sz w:val="18"/>
              </w:rPr>
              <w:t>This study is a valuation exercise and an expression of personal analytical opinion, published free of charge for educational purposes. It is NOT investment advice, NOT a recommendation or solicitation to buy, sell or hold any security, and NOT directed at the circumstances of any reader. The preparer is not licensed by any securities regulator, manages no money, and accepts no fees, funds or clients. All values are model outputs presented as ranges and distributions because no single number should be relied on. Reported financials are the company's own disclosure (FY2025 earnings release, 5 Mar 2026; FY2024 release, 2 Mar 2025); FY23 net income is derived from the company's disclosed +124.6% FY24 growth; the D&amp;A/ESOP/provisions wedge, non-operating interest income and most balance-sheet lines are the preparer's estimates pending the EAS financial statements, and are flagged. Forward-looking inputs - the growth fade, margins, multiples, the DCF and the Monte-Carlo factor probabilities - are the preparer's judgments. See the Disclosure &amp; Disclaimer at the end.</w:t>
            </w:r>
          </w:p>
        </w:tc>
      </w:tr>
    </w:tbl>
    <w:p>
      <w:pPr>
        <w:spacing w:before="160" w:after="120" w:line="264" w:lineRule="auto"/>
      </w:pPr>
      <w:r>
        <w:rPr>
          <w:b/>
          <w:i w:val="0"/>
          <w:color w:val="1C3A36"/>
          <w:sz w:val="30"/>
        </w:rPr>
        <w:t>Headline</w:t>
      </w:r>
    </w:p>
    <w:p>
      <w:pPr>
        <w:spacing w:after="120" w:line="264" w:lineRule="auto"/>
      </w:pPr>
      <w:r>
        <w:rPr>
          <w:b w:val="0"/>
          <w:i w:val="0"/>
          <w:sz w:val="21"/>
        </w:rPr>
        <w:t>At EGP 18.40 the market pays about 25% above the weighted fundamental centre of ~EGP 14.7. The cash-flow lenses cluster below spot - a 24%-WACC DCF says 11.5, normalized growth ~15, the segment SOTP ~16.4 - and only the relative-multiple lens (20x FY26E earnings) reaches the price. FY2025 was outstanding: revenue +57% to EGP 8.65 bn, company-defined EBITDA margin 57.4%, net profit +80% to EGP 2.89 bn. The premium in the price is therefore not a bet on FY25 - it is a bet that 30% growth and record margins persist while the CBE cuts rates, and that is exactly where the risk sits: cuts re-rate the multiple but compress the treasury income earned on the float. The three-month probability map leans mildly higher: a 25-75% band of EGP 17.0-22.1 around a 19.4 median.</w:t>
      </w:r>
    </w:p>
    <w:p>
      <w:pPr>
        <w:spacing w:before="160" w:after="120" w:line="264" w:lineRule="auto"/>
      </w:pPr>
      <w:r>
        <w:rPr>
          <w:b/>
          <w:i w:val="0"/>
          <w:color w:val="1C3A36"/>
          <w:sz w:val="26"/>
        </w:rPr>
        <w:t>Valuation summary - every read at a glance</w:t>
      </w:r>
    </w:p>
    <w:p>
      <w:pPr>
        <w:spacing w:after="120" w:line="264" w:lineRule="auto"/>
      </w:pPr>
      <w:r>
        <w:rPr>
          <w:b w:val="0"/>
          <w:i w:val="0"/>
          <w:sz w:val="21"/>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Style w:val="TableGrid"/>
        <w:tblW w:type="auto" w:w="0"/>
        <w:tblLook w:firstColumn="1" w:firstRow="1" w:lastColumn="0" w:lastRow="0" w:noHBand="0" w:noVBand="1" w:val="04A0"/>
      </w:tblPr>
      <w:tblGrid>
        <w:gridCol w:w="2484"/>
        <w:gridCol w:w="2484"/>
        <w:gridCol w:w="2484"/>
        <w:gridCol w:w="2484"/>
      </w:tblGrid>
      <w:tr>
        <w:tc>
          <w:tcPr>
            <w:tcW w:type="dxa" w:w="2736"/>
            <w:shd w:val="clear" w:fill="1C3A36"/>
          </w:tcPr>
          <w:p>
            <w:pPr>
              <w:spacing w:line="264" w:lineRule="auto"/>
            </w:pPr>
            <w:r>
              <w:rPr>
                <w:b/>
                <w:i w:val="0"/>
                <w:color w:val="FFFFFF"/>
                <w:sz w:val="18"/>
              </w:rPr>
              <w:t>Lens / read</w:t>
            </w:r>
          </w:p>
        </w:tc>
        <w:tc>
          <w:tcPr>
            <w:tcW w:type="dxa" w:w="3744"/>
            <w:shd w:val="clear" w:fill="1C3A36"/>
          </w:tcPr>
          <w:p>
            <w:pPr>
              <w:spacing w:line="264" w:lineRule="auto"/>
              <w:jc w:val="right"/>
            </w:pPr>
            <w:r>
              <w:rPr>
                <w:b/>
                <w:i w:val="0"/>
                <w:color w:val="FFFFFF"/>
                <w:sz w:val="18"/>
              </w:rPr>
              <w:t>What it measures</w:t>
            </w:r>
          </w:p>
        </w:tc>
        <w:tc>
          <w:tcPr>
            <w:tcW w:type="dxa" w:w="1728"/>
            <w:shd w:val="clear" w:fill="1C3A36"/>
          </w:tcPr>
          <w:p>
            <w:pPr>
              <w:spacing w:line="264" w:lineRule="auto"/>
              <w:jc w:val="right"/>
            </w:pPr>
            <w:r>
              <w:rPr>
                <w:b/>
                <w:i w:val="0"/>
                <w:color w:val="FFFFFF"/>
                <w:sz w:val="18"/>
              </w:rPr>
              <w:t>Output</w:t>
            </w:r>
          </w:p>
        </w:tc>
        <w:tc>
          <w:tcPr>
            <w:tcW w:type="dxa" w:w="2304"/>
            <w:shd w:val="clear" w:fill="1C3A36"/>
          </w:tcPr>
          <w:p>
            <w:pPr>
              <w:spacing w:line="264" w:lineRule="auto"/>
              <w:jc w:val="right"/>
            </w:pPr>
            <w:r>
              <w:rPr>
                <w:b/>
                <w:i w:val="0"/>
                <w:color w:val="FFFFFF"/>
                <w:sz w:val="18"/>
              </w:rPr>
              <w:t>Takeaway</w:t>
            </w:r>
          </w:p>
        </w:tc>
      </w:tr>
      <w:tr>
        <w:tc>
          <w:tcPr>
            <w:tcW w:type="dxa" w:w="2304"/>
            <w:gridSpan w:val="4"/>
            <w:shd w:val="clear" w:fill="1C3A36"/>
          </w:tcPr>
          <w:p>
            <w:pPr>
              <w:spacing w:line="264" w:lineRule="auto"/>
            </w:pPr>
            <w:r>
              <w:rPr>
                <w:b/>
                <w:i w:val="0"/>
                <w:color w:val="FFFFFF"/>
                <w:sz w:val="19"/>
              </w:rPr>
              <w:t>FUNDAMENTAL - what the business is worth (the anchor)</w:t>
            </w:r>
          </w:p>
        </w:tc>
      </w:tr>
      <w:tr>
        <w:tc>
          <w:tcPr>
            <w:tcW w:type="dxa" w:w="2736"/>
            <w:shd w:val="clear" w:fill="EFF3F1"/>
          </w:tcPr>
          <w:p>
            <w:pPr>
              <w:spacing w:line="264" w:lineRule="auto"/>
            </w:pPr>
            <w:r>
              <w:rPr>
                <w:b w:val="0"/>
                <w:i w:val="0"/>
                <w:color w:val="1C3A36"/>
                <w:sz w:val="18"/>
              </w:rPr>
              <w:t>Consolidated DCF (primary)</w:t>
            </w:r>
          </w:p>
        </w:tc>
        <w:tc>
          <w:tcPr>
            <w:tcW w:type="dxa" w:w="3744"/>
            <w:shd w:val="clear" w:fill="EFF3F1"/>
          </w:tcPr>
          <w:p>
            <w:pPr>
              <w:spacing w:line="264" w:lineRule="auto"/>
              <w:jc w:val="right"/>
            </w:pPr>
            <w:r>
              <w:rPr>
                <w:b w:val="0"/>
                <w:i w:val="0"/>
                <w:sz w:val="18"/>
              </w:rPr>
              <w:t>5-yr operating FCFF at 24% WACC</w:t>
            </w:r>
          </w:p>
        </w:tc>
        <w:tc>
          <w:tcPr>
            <w:tcW w:type="dxa" w:w="1728"/>
            <w:shd w:val="clear" w:fill="EFF3F1"/>
          </w:tcPr>
          <w:p>
            <w:pPr>
              <w:spacing w:line="264" w:lineRule="auto"/>
              <w:jc w:val="right"/>
            </w:pPr>
            <w:r>
              <w:rPr>
                <w:b w:val="0"/>
                <w:i w:val="0"/>
                <w:sz w:val="18"/>
              </w:rPr>
              <w:t>EGP 11.5</w:t>
            </w:r>
          </w:p>
        </w:tc>
        <w:tc>
          <w:tcPr>
            <w:tcW w:type="dxa" w:w="2304"/>
            <w:shd w:val="clear" w:fill="EFF3F1"/>
          </w:tcPr>
          <w:p>
            <w:pPr>
              <w:spacing w:line="264" w:lineRule="auto"/>
              <w:jc w:val="right"/>
            </w:pPr>
            <w:r>
              <w:rPr>
                <w:b w:val="0"/>
                <w:i w:val="0"/>
                <w:sz w:val="18"/>
              </w:rPr>
              <w:t>-38% vs spot</w:t>
            </w:r>
          </w:p>
        </w:tc>
      </w:tr>
      <w:tr>
        <w:tc>
          <w:tcPr>
            <w:tcW w:type="dxa" w:w="2736"/>
          </w:tcPr>
          <w:p>
            <w:pPr>
              <w:spacing w:line="264" w:lineRule="auto"/>
            </w:pPr>
            <w:r>
              <w:rPr>
                <w:b w:val="0"/>
                <w:i w:val="0"/>
                <w:color w:val="1C3A36"/>
                <w:sz w:val="18"/>
              </w:rPr>
              <w:t>SOTP (segments)</w:t>
            </w:r>
          </w:p>
        </w:tc>
        <w:tc>
          <w:tcPr>
            <w:tcW w:type="dxa" w:w="3744"/>
          </w:tcPr>
          <w:p>
            <w:pPr>
              <w:spacing w:line="264" w:lineRule="auto"/>
              <w:jc w:val="right"/>
            </w:pPr>
            <w:r>
              <w:rPr>
                <w:b w:val="0"/>
                <w:i w:val="0"/>
                <w:sz w:val="18"/>
              </w:rPr>
              <w:t>Marked segment EVs + net cash</w:t>
            </w:r>
          </w:p>
        </w:tc>
        <w:tc>
          <w:tcPr>
            <w:tcW w:type="dxa" w:w="1728"/>
          </w:tcPr>
          <w:p>
            <w:pPr>
              <w:spacing w:line="264" w:lineRule="auto"/>
              <w:jc w:val="right"/>
            </w:pPr>
            <w:r>
              <w:rPr>
                <w:b w:val="0"/>
                <w:i w:val="0"/>
                <w:sz w:val="18"/>
              </w:rPr>
              <w:t>EGP 16.4</w:t>
            </w:r>
          </w:p>
        </w:tc>
        <w:tc>
          <w:tcPr>
            <w:tcW w:type="dxa" w:w="2304"/>
          </w:tcPr>
          <w:p>
            <w:pPr>
              <w:spacing w:line="264" w:lineRule="auto"/>
              <w:jc w:val="right"/>
            </w:pPr>
            <w:r>
              <w:rPr>
                <w:b w:val="0"/>
                <w:i w:val="0"/>
                <w:sz w:val="18"/>
              </w:rPr>
              <w:t>-11%</w:t>
            </w:r>
          </w:p>
        </w:tc>
      </w:tr>
      <w:tr>
        <w:tc>
          <w:tcPr>
            <w:tcW w:type="dxa" w:w="2736"/>
            <w:shd w:val="clear" w:fill="EFF3F1"/>
          </w:tcPr>
          <w:p>
            <w:pPr>
              <w:spacing w:line="264" w:lineRule="auto"/>
            </w:pPr>
            <w:r>
              <w:rPr>
                <w:b w:val="0"/>
                <w:i w:val="0"/>
                <w:color w:val="1C3A36"/>
                <w:sz w:val="18"/>
              </w:rPr>
              <w:t>Relative multiples</w:t>
            </w:r>
          </w:p>
        </w:tc>
        <w:tc>
          <w:tcPr>
            <w:tcW w:type="dxa" w:w="3744"/>
            <w:shd w:val="clear" w:fill="EFF3F1"/>
          </w:tcPr>
          <w:p>
            <w:pPr>
              <w:spacing w:line="264" w:lineRule="auto"/>
              <w:jc w:val="right"/>
            </w:pPr>
            <w:r>
              <w:rPr>
                <w:b w:val="0"/>
                <w:i w:val="0"/>
                <w:sz w:val="18"/>
              </w:rPr>
              <w:t>20x FY26E EPS vs peers</w:t>
            </w:r>
          </w:p>
        </w:tc>
        <w:tc>
          <w:tcPr>
            <w:tcW w:type="dxa" w:w="1728"/>
            <w:shd w:val="clear" w:fill="EFF3F1"/>
          </w:tcPr>
          <w:p>
            <w:pPr>
              <w:spacing w:line="264" w:lineRule="auto"/>
              <w:jc w:val="right"/>
            </w:pPr>
            <w:r>
              <w:rPr>
                <w:b w:val="0"/>
                <w:i w:val="0"/>
                <w:sz w:val="18"/>
              </w:rPr>
              <w:t>EGP 20.3</w:t>
            </w:r>
          </w:p>
        </w:tc>
        <w:tc>
          <w:tcPr>
            <w:tcW w:type="dxa" w:w="2304"/>
            <w:shd w:val="clear" w:fill="EFF3F1"/>
          </w:tcPr>
          <w:p>
            <w:pPr>
              <w:spacing w:line="264" w:lineRule="auto"/>
              <w:jc w:val="right"/>
            </w:pPr>
            <w:r>
              <w:rPr>
                <w:b w:val="0"/>
                <w:i w:val="0"/>
                <w:sz w:val="18"/>
              </w:rPr>
              <w:t>+10% · the ceiling</w:t>
            </w:r>
          </w:p>
        </w:tc>
      </w:tr>
      <w:tr>
        <w:tc>
          <w:tcPr>
            <w:tcW w:type="dxa" w:w="2736"/>
          </w:tcPr>
          <w:p>
            <w:pPr>
              <w:spacing w:line="264" w:lineRule="auto"/>
            </w:pPr>
            <w:r>
              <w:rPr>
                <w:b w:val="0"/>
                <w:i w:val="0"/>
                <w:color w:val="1C3A36"/>
                <w:sz w:val="18"/>
              </w:rPr>
              <w:t>Normalized growth</w:t>
            </w:r>
          </w:p>
        </w:tc>
        <w:tc>
          <w:tcPr>
            <w:tcW w:type="dxa" w:w="3744"/>
          </w:tcPr>
          <w:p>
            <w:pPr>
              <w:spacing w:line="264" w:lineRule="auto"/>
              <w:jc w:val="right"/>
            </w:pPr>
            <w:r>
              <w:rPr>
                <w:b w:val="0"/>
                <w:i w:val="0"/>
                <w:sz w:val="18"/>
              </w:rPr>
              <w:t>Two-stage EPS x fair P/E</w:t>
            </w:r>
          </w:p>
        </w:tc>
        <w:tc>
          <w:tcPr>
            <w:tcW w:type="dxa" w:w="1728"/>
          </w:tcPr>
          <w:p>
            <w:pPr>
              <w:spacing w:line="264" w:lineRule="auto"/>
              <w:jc w:val="right"/>
            </w:pPr>
            <w:r>
              <w:rPr>
                <w:b w:val="0"/>
                <w:i w:val="0"/>
                <w:sz w:val="18"/>
              </w:rPr>
              <w:t>EGP 15.0</w:t>
            </w:r>
          </w:p>
        </w:tc>
        <w:tc>
          <w:tcPr>
            <w:tcW w:type="dxa" w:w="2304"/>
          </w:tcPr>
          <w:p>
            <w:pPr>
              <w:spacing w:line="264" w:lineRule="auto"/>
              <w:jc w:val="right"/>
            </w:pPr>
            <w:r>
              <w:rPr>
                <w:b w:val="0"/>
                <w:i w:val="0"/>
                <w:sz w:val="18"/>
              </w:rPr>
              <w:t>-18%</w:t>
            </w:r>
          </w:p>
        </w:tc>
      </w:tr>
      <w:tr>
        <w:tc>
          <w:tcPr>
            <w:tcW w:type="dxa" w:w="2736"/>
            <w:shd w:val="clear" w:fill="EFF3F1"/>
          </w:tcPr>
          <w:p>
            <w:pPr>
              <w:spacing w:line="264" w:lineRule="auto"/>
            </w:pPr>
            <w:r>
              <w:rPr>
                <w:b/>
                <w:i w:val="0"/>
                <w:color w:val="1C3A36"/>
                <w:sz w:val="18"/>
              </w:rPr>
              <w:t>Weighted central</w:t>
            </w:r>
          </w:p>
        </w:tc>
        <w:tc>
          <w:tcPr>
            <w:tcW w:type="dxa" w:w="3744"/>
            <w:shd w:val="clear" w:fill="EFF3F1"/>
          </w:tcPr>
          <w:p>
            <w:pPr>
              <w:spacing w:line="264" w:lineRule="auto"/>
              <w:jc w:val="right"/>
            </w:pPr>
            <w:r>
              <w:rPr>
                <w:b/>
                <w:i w:val="0"/>
                <w:sz w:val="18"/>
              </w:rPr>
              <w:t>Blend 40 / 20 / 15 / 25</w:t>
            </w:r>
          </w:p>
        </w:tc>
        <w:tc>
          <w:tcPr>
            <w:tcW w:type="dxa" w:w="1728"/>
            <w:shd w:val="clear" w:fill="EFF3F1"/>
          </w:tcPr>
          <w:p>
            <w:pPr>
              <w:spacing w:line="264" w:lineRule="auto"/>
              <w:jc w:val="right"/>
            </w:pPr>
            <w:r>
              <w:rPr>
                <w:b/>
                <w:i w:val="0"/>
                <w:sz w:val="18"/>
              </w:rPr>
              <w:t>EGP 14.7</w:t>
            </w:r>
          </w:p>
        </w:tc>
        <w:tc>
          <w:tcPr>
            <w:tcW w:type="dxa" w:w="2304"/>
            <w:shd w:val="clear" w:fill="EFF3F1"/>
          </w:tcPr>
          <w:p>
            <w:pPr>
              <w:spacing w:line="264" w:lineRule="auto"/>
              <w:jc w:val="right"/>
            </w:pPr>
            <w:r>
              <w:rPr>
                <w:b/>
                <w:i w:val="0"/>
                <w:sz w:val="18"/>
              </w:rPr>
              <w:t>-20% vs 18.40</w:t>
            </w:r>
          </w:p>
        </w:tc>
      </w:tr>
      <w:tr>
        <w:tc>
          <w:tcPr>
            <w:tcW w:type="dxa" w:w="2304"/>
            <w:gridSpan w:val="4"/>
            <w:shd w:val="clear" w:fill="1C3A36"/>
          </w:tcPr>
          <w:p>
            <w:pPr>
              <w:spacing w:line="264" w:lineRule="auto"/>
            </w:pPr>
            <w:r>
              <w:rPr>
                <w:b/>
                <w:i w:val="0"/>
                <w:color w:val="FFFFFF"/>
                <w:sz w:val="19"/>
              </w:rPr>
              <w:t>TECHNICAL - what the tape is doing (timing, not value)</w:t>
            </w:r>
          </w:p>
        </w:tc>
      </w:tr>
      <w:tr>
        <w:tc>
          <w:tcPr>
            <w:tcW w:type="dxa" w:w="2736"/>
            <w:shd w:val="clear" w:fill="EFF3F1"/>
          </w:tcPr>
          <w:p>
            <w:pPr>
              <w:spacing w:line="264" w:lineRule="auto"/>
            </w:pPr>
            <w:r>
              <w:rPr>
                <w:b w:val="0"/>
                <w:i w:val="0"/>
                <w:color w:val="1C3A36"/>
                <w:sz w:val="18"/>
              </w:rPr>
              <w:t>Trend &amp; momentum</w:t>
            </w:r>
          </w:p>
        </w:tc>
        <w:tc>
          <w:tcPr>
            <w:tcW w:type="dxa" w:w="3744"/>
            <w:shd w:val="clear" w:fill="EFF3F1"/>
          </w:tcPr>
          <w:p>
            <w:pPr>
              <w:spacing w:line="264" w:lineRule="auto"/>
              <w:jc w:val="right"/>
            </w:pPr>
            <w:r>
              <w:rPr>
                <w:b w:val="0"/>
                <w:i w:val="0"/>
                <w:sz w:val="18"/>
              </w:rPr>
              <w:t>Price vs 20/50/100/200-day</w:t>
            </w:r>
          </w:p>
        </w:tc>
        <w:tc>
          <w:tcPr>
            <w:tcW w:type="dxa" w:w="1728"/>
            <w:shd w:val="clear" w:fill="EFF3F1"/>
          </w:tcPr>
          <w:p>
            <w:pPr>
              <w:spacing w:line="264" w:lineRule="auto"/>
              <w:jc w:val="right"/>
            </w:pPr>
            <w:r>
              <w:rPr>
                <w:b w:val="0"/>
                <w:i w:val="0"/>
                <w:sz w:val="18"/>
              </w:rPr>
              <w:t>Below 20/50, above rising 200</w:t>
            </w:r>
          </w:p>
        </w:tc>
        <w:tc>
          <w:tcPr>
            <w:tcW w:type="dxa" w:w="2304"/>
            <w:shd w:val="clear" w:fill="EFF3F1"/>
          </w:tcPr>
          <w:p>
            <w:pPr>
              <w:spacing w:line="264" w:lineRule="auto"/>
              <w:jc w:val="right"/>
            </w:pPr>
            <w:r>
              <w:rPr>
                <w:b w:val="0"/>
                <w:i w:val="0"/>
                <w:sz w:val="18"/>
              </w:rPr>
              <w:t>Consolidating uptrend</w:t>
            </w:r>
          </w:p>
        </w:tc>
      </w:tr>
      <w:tr>
        <w:tc>
          <w:tcPr>
            <w:tcW w:type="dxa" w:w="2304"/>
            <w:gridSpan w:val="4"/>
            <w:shd w:val="clear" w:fill="1C3A36"/>
          </w:tcPr>
          <w:p>
            <w:pPr>
              <w:spacing w:line="264" w:lineRule="auto"/>
            </w:pPr>
            <w:r>
              <w:rPr>
                <w:b/>
                <w:i w:val="0"/>
                <w:color w:val="FFFFFF"/>
                <w:sz w:val="19"/>
              </w:rPr>
              <w:t>MONTE CARLO - where price could travel (3 months)</w:t>
            </w:r>
          </w:p>
        </w:tc>
      </w:tr>
      <w:tr>
        <w:tc>
          <w:tcPr>
            <w:tcW w:type="dxa" w:w="2736"/>
            <w:shd w:val="clear" w:fill="EFF3F1"/>
          </w:tcPr>
          <w:p>
            <w:pPr>
              <w:spacing w:line="264" w:lineRule="auto"/>
            </w:pPr>
            <w:r>
              <w:rPr>
                <w:b w:val="0"/>
                <w:i w:val="0"/>
                <w:color w:val="1C3A36"/>
                <w:sz w:val="18"/>
              </w:rPr>
              <w:t>T+60 distribution</w:t>
            </w:r>
          </w:p>
        </w:tc>
        <w:tc>
          <w:tcPr>
            <w:tcW w:type="dxa" w:w="3744"/>
            <w:shd w:val="clear" w:fill="EFF3F1"/>
          </w:tcPr>
          <w:p>
            <w:pPr>
              <w:spacing w:line="264" w:lineRule="auto"/>
              <w:jc w:val="right"/>
            </w:pPr>
            <w:r>
              <w:rPr>
                <w:b w:val="0"/>
                <w:i w:val="0"/>
                <w:sz w:val="18"/>
              </w:rPr>
              <w:t>16-factor, 50k paths, seed 42</w:t>
            </w:r>
          </w:p>
        </w:tc>
        <w:tc>
          <w:tcPr>
            <w:tcW w:type="dxa" w:w="1728"/>
            <w:shd w:val="clear" w:fill="EFF3F1"/>
          </w:tcPr>
          <w:p>
            <w:pPr>
              <w:spacing w:line="264" w:lineRule="auto"/>
              <w:jc w:val="right"/>
            </w:pPr>
            <w:r>
              <w:rPr>
                <w:b w:val="0"/>
                <w:i w:val="0"/>
                <w:sz w:val="18"/>
              </w:rPr>
              <w:t>P25-P75 EGP 17.0-22.1</w:t>
            </w:r>
          </w:p>
        </w:tc>
        <w:tc>
          <w:tcPr>
            <w:tcW w:type="dxa" w:w="2304"/>
            <w:shd w:val="clear" w:fill="EFF3F1"/>
          </w:tcPr>
          <w:p>
            <w:pPr>
              <w:spacing w:line="264" w:lineRule="auto"/>
              <w:jc w:val="right"/>
            </w:pPr>
            <w:r>
              <w:rPr>
                <w:b w:val="0"/>
                <w:i w:val="0"/>
                <w:sz w:val="18"/>
              </w:rPr>
              <w:t>Mild upward drift</w:t>
            </w:r>
          </w:p>
        </w:tc>
      </w:tr>
      <w:tr>
        <w:tc>
          <w:tcPr>
            <w:tcW w:type="dxa" w:w="2304"/>
            <w:gridSpan w:val="4"/>
            <w:shd w:val="clear" w:fill="1C3A36"/>
          </w:tcPr>
          <w:p>
            <w:pPr>
              <w:spacing w:line="264" w:lineRule="auto"/>
            </w:pPr>
            <w:r>
              <w:rPr>
                <w:b/>
                <w:i w:val="0"/>
                <w:color w:val="FFFFFF"/>
                <w:sz w:val="19"/>
              </w:rPr>
              <w:t>EXPERT PANEL - three independent methods</w:t>
            </w:r>
          </w:p>
        </w:tc>
      </w:tr>
      <w:tr>
        <w:tc>
          <w:tcPr>
            <w:tcW w:type="dxa" w:w="2736"/>
            <w:shd w:val="clear" w:fill="EFF3F1"/>
          </w:tcPr>
          <w:p>
            <w:pPr>
              <w:spacing w:line="264" w:lineRule="auto"/>
            </w:pPr>
            <w:r>
              <w:rPr>
                <w:b w:val="0"/>
                <w:i w:val="0"/>
                <w:color w:val="1C3A36"/>
                <w:sz w:val="18"/>
              </w:rPr>
              <w:t>Expert 1 / 2 / 3</w:t>
            </w:r>
          </w:p>
        </w:tc>
        <w:tc>
          <w:tcPr>
            <w:tcW w:type="dxa" w:w="3744"/>
            <w:shd w:val="clear" w:fill="EFF3F1"/>
          </w:tcPr>
          <w:p>
            <w:pPr>
              <w:spacing w:line="264" w:lineRule="auto"/>
              <w:jc w:val="right"/>
            </w:pPr>
            <w:r>
              <w:rPr>
                <w:b w:val="0"/>
                <w:i w:val="0"/>
                <w:sz w:val="18"/>
              </w:rPr>
              <w:t>Growth EPS · Quality-of-earnings · Rate cycle</w:t>
            </w:r>
          </w:p>
        </w:tc>
        <w:tc>
          <w:tcPr>
            <w:tcW w:type="dxa" w:w="1728"/>
            <w:shd w:val="clear" w:fill="EFF3F1"/>
          </w:tcPr>
          <w:p>
            <w:pPr>
              <w:spacing w:line="264" w:lineRule="auto"/>
              <w:jc w:val="right"/>
            </w:pPr>
            <w:r>
              <w:rPr>
                <w:b w:val="0"/>
                <w:i w:val="0"/>
                <w:sz w:val="18"/>
              </w:rPr>
              <w:t>EGP 15.0 / 10.5 / 15.5</w:t>
            </w:r>
          </w:p>
        </w:tc>
        <w:tc>
          <w:tcPr>
            <w:tcW w:type="dxa" w:w="2304"/>
            <w:shd w:val="clear" w:fill="EFF3F1"/>
          </w:tcPr>
          <w:p>
            <w:pPr>
              <w:spacing w:line="264" w:lineRule="auto"/>
              <w:jc w:val="right"/>
            </w:pPr>
            <w:r>
              <w:rPr>
                <w:b w:val="0"/>
                <w:i w:val="0"/>
                <w:sz w:val="18"/>
              </w:rPr>
              <w:t>Cluster below spot</w:t>
            </w:r>
          </w:p>
        </w:tc>
      </w:tr>
    </w:tbl>
    <w:p>
      <w:pPr>
        <w:spacing w:after="40"/>
      </w:pPr>
    </w:p>
    <w:p>
      <w:pPr>
        <w:spacing w:before="160" w:after="120" w:line="264" w:lineRule="auto"/>
      </w:pPr>
      <w:r>
        <w:rPr>
          <w:b/>
          <w:i w:val="0"/>
          <w:color w:val="1C3A36"/>
          <w:sz w:val="26"/>
        </w:rPr>
        <w:t>Company overview - Fawry for Banking Technology and Electronic Payments at a glance</w:t>
      </w:r>
    </w:p>
    <w:tbl>
      <w:tblPr>
        <w:tblStyle w:val="TableGrid"/>
        <w:tblW w:type="auto" w:w="0"/>
        <w:tblLook w:firstColumn="1" w:firstRow="1" w:lastColumn="0" w:lastRow="0" w:noHBand="0" w:noVBand="1" w:val="04A0"/>
      </w:tblPr>
      <w:tblGrid>
        <w:gridCol w:w="4968"/>
        <w:gridCol w:w="4968"/>
      </w:tblGrid>
      <w:tr>
        <w:tc>
          <w:tcPr>
            <w:tcW w:type="dxa" w:w="3456"/>
            <w:shd w:val="clear" w:fill="1C3A36"/>
          </w:tcPr>
          <w:p>
            <w:pPr>
              <w:spacing w:line="264" w:lineRule="auto"/>
            </w:pPr>
            <w:r>
              <w:rPr>
                <w:b/>
                <w:i w:val="0"/>
                <w:color w:val="FFFFFF"/>
                <w:sz w:val="18"/>
              </w:rPr>
              <w:t>Item</w:t>
            </w:r>
          </w:p>
        </w:tc>
        <w:tc>
          <w:tcPr>
            <w:tcW w:type="dxa" w:w="6336"/>
            <w:shd w:val="clear" w:fill="1C3A36"/>
          </w:tcPr>
          <w:p>
            <w:pPr>
              <w:spacing w:line="264" w:lineRule="auto"/>
              <w:jc w:val="right"/>
            </w:pPr>
            <w:r>
              <w:rPr>
                <w:b/>
                <w:i w:val="0"/>
                <w:color w:val="FFFFFF"/>
                <w:sz w:val="18"/>
              </w:rPr>
              <w:t>Value</w:t>
            </w:r>
          </w:p>
        </w:tc>
      </w:tr>
      <w:tr>
        <w:tc>
          <w:tcPr>
            <w:tcW w:type="dxa" w:w="3456"/>
          </w:tcPr>
          <w:p>
            <w:pPr>
              <w:spacing w:line="264" w:lineRule="auto"/>
            </w:pPr>
            <w:r>
              <w:rPr>
                <w:b w:val="0"/>
                <w:i w:val="0"/>
                <w:color w:val="1C3A36"/>
                <w:sz w:val="18"/>
              </w:rPr>
              <w:t>Exchange / ticker</w:t>
            </w:r>
          </w:p>
        </w:tc>
        <w:tc>
          <w:tcPr>
            <w:tcW w:type="dxa" w:w="6336"/>
          </w:tcPr>
          <w:p>
            <w:pPr>
              <w:spacing w:line="264" w:lineRule="auto"/>
              <w:jc w:val="right"/>
            </w:pPr>
            <w:r>
              <w:rPr>
                <w:b w:val="0"/>
                <w:i w:val="0"/>
                <w:sz w:val="18"/>
              </w:rPr>
              <w:t>EGX: FWRY</w:t>
            </w:r>
          </w:p>
        </w:tc>
      </w:tr>
      <w:tr>
        <w:tc>
          <w:tcPr>
            <w:tcW w:type="dxa" w:w="3456"/>
            <w:shd w:val="clear" w:fill="EFF3F1"/>
          </w:tcPr>
          <w:p>
            <w:pPr>
              <w:spacing w:line="264" w:lineRule="auto"/>
            </w:pPr>
            <w:r>
              <w:rPr>
                <w:b w:val="0"/>
                <w:i w:val="0"/>
                <w:color w:val="1C3A36"/>
                <w:sz w:val="18"/>
              </w:rPr>
              <w:t>Sector</w:t>
            </w:r>
          </w:p>
        </w:tc>
        <w:tc>
          <w:tcPr>
            <w:tcW w:type="dxa" w:w="6336"/>
            <w:shd w:val="clear" w:fill="EFF3F1"/>
          </w:tcPr>
          <w:p>
            <w:pPr>
              <w:spacing w:line="264" w:lineRule="auto"/>
              <w:jc w:val="right"/>
            </w:pPr>
            <w:r>
              <w:rPr>
                <w:b w:val="0"/>
                <w:i w:val="0"/>
                <w:sz w:val="18"/>
              </w:rPr>
              <w:t>Digital payments &amp; consumer fintech</w:t>
            </w:r>
          </w:p>
        </w:tc>
      </w:tr>
      <w:tr>
        <w:tc>
          <w:tcPr>
            <w:tcW w:type="dxa" w:w="3456"/>
          </w:tcPr>
          <w:p>
            <w:pPr>
              <w:spacing w:line="264" w:lineRule="auto"/>
            </w:pPr>
            <w:r>
              <w:rPr>
                <w:b w:val="0"/>
                <w:i w:val="0"/>
                <w:color w:val="1C3A36"/>
                <w:sz w:val="18"/>
              </w:rPr>
              <w:t>Fiscal year-end</w:t>
            </w:r>
          </w:p>
        </w:tc>
        <w:tc>
          <w:tcPr>
            <w:tcW w:type="dxa" w:w="6336"/>
          </w:tcPr>
          <w:p>
            <w:pPr>
              <w:spacing w:line="264" w:lineRule="auto"/>
              <w:jc w:val="right"/>
            </w:pPr>
            <w:r>
              <w:rPr>
                <w:b w:val="0"/>
                <w:i w:val="0"/>
                <w:sz w:val="18"/>
              </w:rPr>
              <w:t>31 December</w:t>
            </w:r>
          </w:p>
        </w:tc>
      </w:tr>
      <w:tr>
        <w:tc>
          <w:tcPr>
            <w:tcW w:type="dxa" w:w="3456"/>
            <w:shd w:val="clear" w:fill="EFF3F1"/>
          </w:tcPr>
          <w:p>
            <w:pPr>
              <w:spacing w:line="264" w:lineRule="auto"/>
            </w:pPr>
            <w:r>
              <w:rPr>
                <w:b w:val="0"/>
                <w:i w:val="0"/>
                <w:color w:val="1C3A36"/>
                <w:sz w:val="18"/>
              </w:rPr>
              <w:t>Shares outstanding</w:t>
            </w:r>
          </w:p>
        </w:tc>
        <w:tc>
          <w:tcPr>
            <w:tcW w:type="dxa" w:w="6336"/>
            <w:shd w:val="clear" w:fill="EFF3F1"/>
          </w:tcPr>
          <w:p>
            <w:pPr>
              <w:spacing w:line="264" w:lineRule="auto"/>
              <w:jc w:val="right"/>
            </w:pPr>
            <w:r>
              <w:rPr>
                <w:b w:val="0"/>
                <w:i w:val="0"/>
                <w:sz w:val="18"/>
              </w:rPr>
              <w:t>~3,905 mn</w:t>
            </w:r>
          </w:p>
        </w:tc>
      </w:tr>
      <w:tr>
        <w:tc>
          <w:tcPr>
            <w:tcW w:type="dxa" w:w="3456"/>
          </w:tcPr>
          <w:p>
            <w:pPr>
              <w:spacing w:line="264" w:lineRule="auto"/>
            </w:pPr>
            <w:r>
              <w:rPr>
                <w:b w:val="0"/>
                <w:i w:val="0"/>
                <w:color w:val="1C3A36"/>
                <w:sz w:val="18"/>
              </w:rPr>
              <w:t>Spot / market cap</w:t>
            </w:r>
          </w:p>
        </w:tc>
        <w:tc>
          <w:tcPr>
            <w:tcW w:type="dxa" w:w="6336"/>
          </w:tcPr>
          <w:p>
            <w:pPr>
              <w:spacing w:line="264" w:lineRule="auto"/>
              <w:jc w:val="right"/>
            </w:pPr>
            <w:r>
              <w:rPr>
                <w:b w:val="0"/>
                <w:i w:val="0"/>
                <w:sz w:val="18"/>
              </w:rPr>
              <w:t>EGP 18.40 / ~EGP 71.8 bn</w:t>
            </w:r>
          </w:p>
        </w:tc>
      </w:tr>
      <w:tr>
        <w:tc>
          <w:tcPr>
            <w:tcW w:type="dxa" w:w="3456"/>
            <w:shd w:val="clear" w:fill="EFF3F1"/>
          </w:tcPr>
          <w:p>
            <w:pPr>
              <w:spacing w:line="264" w:lineRule="auto"/>
            </w:pPr>
            <w:r>
              <w:rPr>
                <w:b w:val="0"/>
                <w:i w:val="0"/>
                <w:color w:val="1C3A36"/>
                <w:sz w:val="18"/>
              </w:rPr>
              <w:t>FY25 revenue / net profit</w:t>
            </w:r>
          </w:p>
        </w:tc>
        <w:tc>
          <w:tcPr>
            <w:tcW w:type="dxa" w:w="6336"/>
            <w:shd w:val="clear" w:fill="EFF3F1"/>
          </w:tcPr>
          <w:p>
            <w:pPr>
              <w:spacing w:line="264" w:lineRule="auto"/>
              <w:jc w:val="right"/>
            </w:pPr>
            <w:r>
              <w:rPr>
                <w:b w:val="0"/>
                <w:i w:val="0"/>
                <w:sz w:val="18"/>
              </w:rPr>
              <w:t>EGP 8,651 mn (+57%) / EGP 2,889 mn (+80%)</w:t>
            </w:r>
          </w:p>
        </w:tc>
      </w:tr>
      <w:tr>
        <w:tc>
          <w:tcPr>
            <w:tcW w:type="dxa" w:w="3456"/>
          </w:tcPr>
          <w:p>
            <w:pPr>
              <w:spacing w:line="264" w:lineRule="auto"/>
            </w:pPr>
            <w:r>
              <w:rPr>
                <w:b w:val="0"/>
                <w:i w:val="0"/>
                <w:color w:val="1C3A36"/>
                <w:sz w:val="18"/>
              </w:rPr>
              <w:t>EBITDA margin (co-def.)</w:t>
            </w:r>
          </w:p>
        </w:tc>
        <w:tc>
          <w:tcPr>
            <w:tcW w:type="dxa" w:w="6336"/>
          </w:tcPr>
          <w:p>
            <w:pPr>
              <w:spacing w:line="264" w:lineRule="auto"/>
              <w:jc w:val="right"/>
            </w:pPr>
            <w:r>
              <w:rPr>
                <w:b w:val="0"/>
                <w:i w:val="0"/>
                <w:sz w:val="18"/>
              </w:rPr>
              <w:t>57.4% (+7.6 pts)</w:t>
            </w:r>
          </w:p>
        </w:tc>
      </w:tr>
      <w:tr>
        <w:tc>
          <w:tcPr>
            <w:tcW w:type="dxa" w:w="3456"/>
            <w:shd w:val="clear" w:fill="EFF3F1"/>
          </w:tcPr>
          <w:p>
            <w:pPr>
              <w:spacing w:line="264" w:lineRule="auto"/>
            </w:pPr>
            <w:r>
              <w:rPr>
                <w:b w:val="0"/>
                <w:i w:val="0"/>
                <w:color w:val="1C3A36"/>
                <w:sz w:val="18"/>
              </w:rPr>
              <w:t>Scale</w:t>
            </w:r>
          </w:p>
        </w:tc>
        <w:tc>
          <w:tcPr>
            <w:tcW w:type="dxa" w:w="6336"/>
            <w:shd w:val="clear" w:fill="EFF3F1"/>
          </w:tcPr>
          <w:p>
            <w:pPr>
              <w:spacing w:line="264" w:lineRule="auto"/>
              <w:jc w:val="right"/>
            </w:pPr>
            <w:r>
              <w:rPr>
                <w:b w:val="0"/>
                <w:i w:val="0"/>
                <w:sz w:val="18"/>
              </w:rPr>
              <w:t>54.8 mn monthly users · 377k agents · EGP 943.6 bn throughput</w:t>
            </w:r>
          </w:p>
        </w:tc>
      </w:tr>
      <w:tr>
        <w:tc>
          <w:tcPr>
            <w:tcW w:type="dxa" w:w="3456"/>
          </w:tcPr>
          <w:p>
            <w:pPr>
              <w:spacing w:line="264" w:lineRule="auto"/>
            </w:pPr>
            <w:r>
              <w:rPr>
                <w:b w:val="0"/>
                <w:i w:val="0"/>
                <w:color w:val="1C3A36"/>
                <w:sz w:val="18"/>
              </w:rPr>
              <w:t>Gross loan book</w:t>
            </w:r>
          </w:p>
        </w:tc>
        <w:tc>
          <w:tcPr>
            <w:tcW w:type="dxa" w:w="6336"/>
          </w:tcPr>
          <w:p>
            <w:pPr>
              <w:spacing w:line="264" w:lineRule="auto"/>
              <w:jc w:val="right"/>
            </w:pPr>
            <w:r>
              <w:rPr>
                <w:b w:val="0"/>
                <w:i w:val="0"/>
                <w:sz w:val="18"/>
              </w:rPr>
              <w:t>EGP 5.7 bn (MSME + consumer)</w:t>
            </w:r>
          </w:p>
        </w:tc>
      </w:tr>
      <w:tr>
        <w:tc>
          <w:tcPr>
            <w:tcW w:type="dxa" w:w="3456"/>
            <w:shd w:val="clear" w:fill="EFF3F1"/>
          </w:tcPr>
          <w:p>
            <w:pPr>
              <w:spacing w:line="264" w:lineRule="auto"/>
            </w:pPr>
            <w:r>
              <w:rPr>
                <w:b w:val="0"/>
                <w:i w:val="0"/>
                <w:color w:val="1C3A36"/>
                <w:sz w:val="18"/>
              </w:rPr>
              <w:t>Dividend</w:t>
            </w:r>
          </w:p>
        </w:tc>
        <w:tc>
          <w:tcPr>
            <w:tcW w:type="dxa" w:w="6336"/>
            <w:shd w:val="clear" w:fill="EFF3F1"/>
          </w:tcPr>
          <w:p>
            <w:pPr>
              <w:spacing w:line="264" w:lineRule="auto"/>
              <w:jc w:val="right"/>
            </w:pPr>
            <w:r>
              <w:rPr>
                <w:b w:val="0"/>
                <w:i w:val="0"/>
                <w:sz w:val="18"/>
              </w:rPr>
              <w:t>None - earnings reinvested</w:t>
            </w:r>
          </w:p>
        </w:tc>
      </w:tr>
      <w:tr>
        <w:tc>
          <w:tcPr>
            <w:tcW w:type="dxa" w:w="3456"/>
          </w:tcPr>
          <w:p>
            <w:pPr>
              <w:spacing w:line="264" w:lineRule="auto"/>
            </w:pPr>
            <w:r>
              <w:rPr>
                <w:b w:val="0"/>
                <w:i w:val="0"/>
                <w:color w:val="1C3A36"/>
                <w:sz w:val="18"/>
              </w:rPr>
              <w:t>52-week range</w:t>
            </w:r>
          </w:p>
        </w:tc>
        <w:tc>
          <w:tcPr>
            <w:tcW w:type="dxa" w:w="6336"/>
          </w:tcPr>
          <w:p>
            <w:pPr>
              <w:spacing w:line="264" w:lineRule="auto"/>
              <w:jc w:val="right"/>
            </w:pPr>
            <w:r>
              <w:rPr>
                <w:b w:val="0"/>
                <w:i w:val="0"/>
                <w:sz w:val="18"/>
              </w:rPr>
              <w:t>EGP 11.06 - 21.25</w:t>
            </w:r>
          </w:p>
        </w:tc>
      </w:tr>
    </w:tbl>
    <w:p>
      <w:pPr>
        <w:spacing w:after="40"/>
      </w:pPr>
    </w:p>
    <w:p>
      <w:pPr>
        <w:spacing w:after="120" w:line="264" w:lineRule="auto"/>
      </w:pPr>
      <w:r>
        <w:rPr>
          <w:b w:val="0"/>
          <w:i/>
          <w:color w:val="666666"/>
          <w:sz w:val="16"/>
        </w:rPr>
        <w:t>Source: Fawry FY2025 earnings release (5 Mar 2026) and FY2024 release (2 Mar 2025), fawry.com / EGX disclosure; Investing.com for EPS; prices from the attached daily history.</w:t>
      </w:r>
    </w:p>
    <w:p>
      <w:pPr>
        <w:spacing w:before="160" w:after="120" w:line="264" w:lineRule="auto"/>
      </w:pPr>
      <w:r>
        <w:rPr>
          <w:b/>
          <w:i w:val="0"/>
          <w:color w:val="1C3A36"/>
          <w:sz w:val="30"/>
        </w:rPr>
        <w:t>1  Fundamental valuation</w:t>
      </w:r>
    </w:p>
    <w:p>
      <w:pPr>
        <w:spacing w:before="160" w:after="120" w:line="264" w:lineRule="auto"/>
      </w:pPr>
      <w:r>
        <w:rPr>
          <w:b/>
          <w:i w:val="0"/>
          <w:color w:val="1C3A36"/>
          <w:sz w:val="24"/>
        </w:rPr>
        <w:t>1.1  Consolidated DCF - the primary lens</w:t>
      </w:r>
    </w:p>
    <w:p>
      <w:pPr>
        <w:spacing w:after="120" w:line="264" w:lineRule="auto"/>
      </w:pPr>
      <w:r>
        <w:rPr>
          <w:b w:val="0"/>
          <w:i w:val="0"/>
          <w:sz w:val="21"/>
        </w:rPr>
        <w:t>The primary lens is a five-year FCFF on the operating business: EBIT (company-defined EBITDA less the full D&amp;A/ESOP/provisions wedge), taxed at 26%, plus the non-cash wedge back, less capex (~8-9% of revenue) and working capital, discounted at a 24% nominal EGP WACC with 12% terminal growth. Non-operating interest income is deliberately excluded from the DCF and carried only as net cash, so the operating franchise is valued clean.</w:t>
      </w:r>
    </w:p>
    <w:p>
      <w:pPr>
        <w:spacing w:after="120" w:line="264" w:lineRule="auto"/>
      </w:pPr>
      <w:r>
        <w:rPr>
          <w:b w:val="0"/>
          <w:i w:val="0"/>
          <w:sz w:val="21"/>
        </w:rPr>
        <w:t>Result: operating EV ~EGP 42.8 bn, plus ~EGP 2.0 bn attributable net cash = equity ~EGP 44.8 bn, or EGP 11.5/share. The 24% WACC is built for an EGP holder - ~20-21% risk-free plus a moderate premium for a capital-light, founder-led platform - and the 12% terminal deliberately sits below nominal GDP so perpetuity growth is never doing the work. At Egyptian discount rates, five years of superb growth still only carries so far - the terminal assumption dominates, which is the honest weakness of any DCF at these rates.</w:t>
      </w:r>
    </w:p>
    <w:p>
      <w:pPr>
        <w:spacing w:after="120" w:line="264" w:lineRule="auto"/>
      </w:pPr>
      <w:r>
        <w:rPr>
          <w:b w:val="0"/>
          <w:sz w:val="21"/>
        </w:rPr>
        <w:t>One design choice deserves emphasis: excluding the float interest from the DCF is not conservatism for its own sake - it keeps the operating franchise and the rate bet in separate rooms, so a CBE decision changes the net-cash line and the discount rate, never the modelled franchise itself. The lens synthesis then reassembles the pieces with the weights declared.</w:t>
      </w:r>
    </w:p>
    <w:p>
      <w:pPr>
        <w:spacing w:before="160" w:after="120" w:line="264" w:lineRule="auto"/>
      </w:pPr>
      <w:r>
        <w:rPr>
          <w:b/>
          <w:i w:val="0"/>
          <w:color w:val="1C3A36"/>
          <w:sz w:val="24"/>
        </w:rPr>
        <w:t>1.2  Reverse-DCF cross-check</w:t>
      </w:r>
    </w:p>
    <w:p>
      <w:pPr>
        <w:spacing w:after="120" w:line="264" w:lineRule="auto"/>
      </w:pPr>
      <w:r>
        <w:rPr>
          <w:b w:val="0"/>
          <w:i w:val="0"/>
          <w:sz w:val="21"/>
        </w:rPr>
        <w:t>Reverse-engineering the price: EGP 18.40 is equity of ~EGP 71.8 bn, implying an operating EV near EGP 70 bn. The table translates that into the assumption you must hold to pay spot; none is impossible, all three are the bull case.</w:t>
      </w:r>
    </w:p>
    <w:p>
      <w:pPr>
        <w:spacing w:after="120" w:line="264" w:lineRule="auto"/>
      </w:pPr>
      <w:r>
        <w:rPr>
          <w:b w:val="0"/>
          <w:i w:val="0"/>
          <w:sz w:val="21"/>
        </w:rPr>
        <w:t>What would change the implication is watchable: each MPC meeting moves the implied-WACC row directly, and each quarterly margin print tests the implied-persistence row - the reverse-DCF is a scoreboard, not a verdict.</w:t>
      </w:r>
    </w:p>
    <w:tbl>
      <w:tblPr>
        <w:tblStyle w:val="TableGrid"/>
        <w:tblW w:type="auto" w:w="0"/>
        <w:tblLook w:firstColumn="1" w:firstRow="1" w:lastColumn="0" w:lastRow="0" w:noHBand="0" w:noVBand="1" w:val="04A0"/>
      </w:tblPr>
      <w:tblGrid>
        <w:gridCol w:w="3312"/>
        <w:gridCol w:w="3312"/>
        <w:gridCol w:w="3312"/>
      </w:tblGrid>
      <w:tr>
        <w:tc>
          <w:tcPr>
            <w:tcW w:type="dxa" w:w="3168"/>
            <w:shd w:val="clear" w:fill="1C3A36"/>
          </w:tcPr>
          <w:p>
            <w:pPr>
              <w:spacing w:line="264" w:lineRule="auto"/>
            </w:pPr>
            <w:r>
              <w:rPr>
                <w:b/>
                <w:i w:val="0"/>
                <w:color w:val="FFFFFF"/>
                <w:sz w:val="18"/>
              </w:rPr>
              <w:t>What spot implies</w:t>
            </w:r>
          </w:p>
        </w:tc>
        <w:tc>
          <w:tcPr>
            <w:tcW w:type="dxa" w:w="3744"/>
            <w:shd w:val="clear" w:fill="1C3A36"/>
          </w:tcPr>
          <w:p>
            <w:pPr>
              <w:spacing w:line="264" w:lineRule="auto"/>
              <w:jc w:val="right"/>
            </w:pPr>
            <w:r>
              <w:rPr>
                <w:b/>
                <w:i w:val="0"/>
                <w:color w:val="FFFFFF"/>
                <w:sz w:val="18"/>
              </w:rPr>
              <w:t>Implied level</w:t>
            </w:r>
          </w:p>
        </w:tc>
        <w:tc>
          <w:tcPr>
            <w:tcW w:type="dxa" w:w="3600"/>
            <w:shd w:val="clear" w:fill="1C3A36"/>
          </w:tcPr>
          <w:p>
            <w:pPr>
              <w:spacing w:line="264" w:lineRule="auto"/>
              <w:jc w:val="right"/>
            </w:pPr>
            <w:r>
              <w:rPr>
                <w:b/>
                <w:i w:val="0"/>
                <w:color w:val="FFFFFF"/>
                <w:sz w:val="18"/>
              </w:rPr>
              <w:t>Base case</w:t>
            </w:r>
          </w:p>
        </w:tc>
      </w:tr>
      <w:tr>
        <w:tc>
          <w:tcPr>
            <w:tcW w:type="dxa" w:w="3168"/>
          </w:tcPr>
          <w:p>
            <w:pPr>
              <w:spacing w:line="264" w:lineRule="auto"/>
            </w:pPr>
            <w:r>
              <w:rPr>
                <w:b w:val="0"/>
                <w:i w:val="0"/>
                <w:color w:val="1C3A36"/>
                <w:sz w:val="18"/>
              </w:rPr>
              <w:t>Operating EV backed out of 18.40</w:t>
            </w:r>
          </w:p>
        </w:tc>
        <w:tc>
          <w:tcPr>
            <w:tcW w:type="dxa" w:w="3744"/>
          </w:tcPr>
          <w:p>
            <w:pPr>
              <w:spacing w:line="264" w:lineRule="auto"/>
              <w:jc w:val="right"/>
            </w:pPr>
            <w:r>
              <w:rPr>
                <w:b w:val="0"/>
                <w:i w:val="0"/>
                <w:sz w:val="18"/>
              </w:rPr>
              <w:t>~EGP 70 bn</w:t>
            </w:r>
          </w:p>
        </w:tc>
        <w:tc>
          <w:tcPr>
            <w:tcW w:type="dxa" w:w="3600"/>
          </w:tcPr>
          <w:p>
            <w:pPr>
              <w:spacing w:line="264" w:lineRule="auto"/>
              <w:jc w:val="right"/>
            </w:pPr>
            <w:r>
              <w:rPr>
                <w:b w:val="0"/>
                <w:i w:val="0"/>
                <w:sz w:val="18"/>
              </w:rPr>
              <w:t>EGP 42.8 bn</w:t>
            </w:r>
          </w:p>
        </w:tc>
      </w:tr>
      <w:tr>
        <w:tc>
          <w:tcPr>
            <w:tcW w:type="dxa" w:w="3168"/>
            <w:shd w:val="clear" w:fill="EFF3F1"/>
          </w:tcPr>
          <w:p>
            <w:pPr>
              <w:spacing w:line="264" w:lineRule="auto"/>
            </w:pPr>
            <w:r>
              <w:rPr>
                <w:b w:val="0"/>
                <w:i w:val="0"/>
                <w:color w:val="1C3A36"/>
                <w:sz w:val="18"/>
              </w:rPr>
              <w:t>or nominal WACC</w:t>
            </w:r>
          </w:p>
        </w:tc>
        <w:tc>
          <w:tcPr>
            <w:tcW w:type="dxa" w:w="3744"/>
            <w:shd w:val="clear" w:fill="EFF3F1"/>
          </w:tcPr>
          <w:p>
            <w:pPr>
              <w:spacing w:line="264" w:lineRule="auto"/>
              <w:jc w:val="right"/>
            </w:pPr>
            <w:r>
              <w:rPr>
                <w:b w:val="0"/>
                <w:i w:val="0"/>
                <w:sz w:val="18"/>
              </w:rPr>
              <w:t>~19-20%</w:t>
            </w:r>
          </w:p>
        </w:tc>
        <w:tc>
          <w:tcPr>
            <w:tcW w:type="dxa" w:w="3600"/>
            <w:shd w:val="clear" w:fill="EFF3F1"/>
          </w:tcPr>
          <w:p>
            <w:pPr>
              <w:spacing w:line="264" w:lineRule="auto"/>
              <w:jc w:val="right"/>
            </w:pPr>
            <w:r>
              <w:rPr>
                <w:b w:val="0"/>
                <w:i w:val="0"/>
                <w:sz w:val="18"/>
              </w:rPr>
              <w:t>24%</w:t>
            </w:r>
          </w:p>
        </w:tc>
      </w:tr>
      <w:tr>
        <w:tc>
          <w:tcPr>
            <w:tcW w:type="dxa" w:w="3168"/>
          </w:tcPr>
          <w:p>
            <w:pPr>
              <w:spacing w:line="264" w:lineRule="auto"/>
            </w:pPr>
            <w:r>
              <w:rPr>
                <w:b w:val="0"/>
                <w:i w:val="0"/>
                <w:color w:val="1C3A36"/>
                <w:sz w:val="18"/>
              </w:rPr>
              <w:t>or terminal growth</w:t>
            </w:r>
          </w:p>
        </w:tc>
        <w:tc>
          <w:tcPr>
            <w:tcW w:type="dxa" w:w="3744"/>
          </w:tcPr>
          <w:p>
            <w:pPr>
              <w:spacing w:line="264" w:lineRule="auto"/>
              <w:jc w:val="right"/>
            </w:pPr>
            <w:r>
              <w:rPr>
                <w:b w:val="0"/>
                <w:i w:val="0"/>
                <w:sz w:val="18"/>
              </w:rPr>
              <w:t>~15-16%</w:t>
            </w:r>
          </w:p>
        </w:tc>
        <w:tc>
          <w:tcPr>
            <w:tcW w:type="dxa" w:w="3600"/>
          </w:tcPr>
          <w:p>
            <w:pPr>
              <w:spacing w:line="264" w:lineRule="auto"/>
              <w:jc w:val="right"/>
            </w:pPr>
            <w:r>
              <w:rPr>
                <w:b w:val="0"/>
                <w:i w:val="0"/>
                <w:sz w:val="18"/>
              </w:rPr>
              <w:t>12%</w:t>
            </w:r>
          </w:p>
        </w:tc>
      </w:tr>
      <w:tr>
        <w:tc>
          <w:tcPr>
            <w:tcW w:type="dxa" w:w="3168"/>
            <w:shd w:val="clear" w:fill="EFF3F1"/>
          </w:tcPr>
          <w:p>
            <w:pPr>
              <w:spacing w:line="264" w:lineRule="auto"/>
            </w:pPr>
            <w:r>
              <w:rPr>
                <w:b w:val="0"/>
                <w:i w:val="0"/>
                <w:color w:val="1C3A36"/>
                <w:sz w:val="18"/>
              </w:rPr>
              <w:t>or growth/margin persistence</w:t>
            </w:r>
          </w:p>
        </w:tc>
        <w:tc>
          <w:tcPr>
            <w:tcW w:type="dxa" w:w="3744"/>
            <w:shd w:val="clear" w:fill="EFF3F1"/>
          </w:tcPr>
          <w:p>
            <w:pPr>
              <w:spacing w:line="264" w:lineRule="auto"/>
              <w:jc w:val="right"/>
            </w:pPr>
            <w:r>
              <w:rPr>
                <w:b w:val="0"/>
                <w:i w:val="0"/>
                <w:sz w:val="18"/>
              </w:rPr>
              <w:t>20%+ at 55%+ for a decade</w:t>
            </w:r>
          </w:p>
        </w:tc>
        <w:tc>
          <w:tcPr>
            <w:tcW w:type="dxa" w:w="3600"/>
            <w:shd w:val="clear" w:fill="EFF3F1"/>
          </w:tcPr>
          <w:p>
            <w:pPr>
              <w:spacing w:line="264" w:lineRule="auto"/>
              <w:jc w:val="right"/>
            </w:pPr>
            <w:r>
              <w:rPr>
                <w:b w:val="0"/>
                <w:i w:val="0"/>
                <w:sz w:val="18"/>
              </w:rPr>
              <w:t>fading to 12% / 52%</w:t>
            </w:r>
          </w:p>
        </w:tc>
      </w:tr>
    </w:tbl>
    <w:p>
      <w:pPr>
        <w:spacing w:after="40"/>
      </w:pPr>
    </w:p>
    <w:p>
      <w:pPr>
        <w:spacing w:after="120" w:line="264" w:lineRule="auto"/>
      </w:pPr>
      <w:r>
        <w:rPr>
          <w:b w:val="0"/>
          <w:sz w:val="21"/>
        </w:rPr>
        <w:t>The fourth row is the quiet one: a decade at 20%+ growth and 55%+ margins has been achieved by almost no payments company at scale anywhere - Adyen came closest and repriced violently the one half-year it slipped. Spot embeds that base rate without naming it.</w:t>
      </w:r>
    </w:p>
    <w:p>
      <w:pPr>
        <w:spacing w:before="160" w:after="120" w:line="264" w:lineRule="auto"/>
      </w:pPr>
      <w:r>
        <w:rPr>
          <w:b/>
          <w:i w:val="0"/>
          <w:color w:val="1C3A36"/>
          <w:sz w:val="24"/>
        </w:rPr>
        <w:t>1.3  Relative multiples</w:t>
      </w:r>
    </w:p>
    <w:p>
      <w:pPr>
        <w:spacing w:after="120" w:line="264" w:lineRule="auto"/>
      </w:pPr>
      <w:r>
        <w:rPr>
          <w:b w:val="0"/>
          <w:i w:val="0"/>
          <w:sz w:val="21"/>
        </w:rPr>
        <w:t>On FY26E earnings the stock trades at 20.0x (EPS ~EGP 0.92), and 24.9x trailing. EV/EBITDA on FY26E is ~11x. Global payment platforms span roughly 18-28x forward earnings; the domestic comp, e-finance (EFIH), trades in the same growth-scarcity zone. A 22x fair forward multiple - crediting the scarcity of profitable 30% growth on the EGX - supports ~EGP 20.3, the most generous lens on the field.</w:t>
      </w:r>
    </w:p>
    <w:p>
      <w:pPr>
        <w:spacing w:after="120" w:line="264" w:lineRule="auto"/>
      </w:pPr>
      <w:r>
        <w:rPr>
          <w:b w:val="0"/>
          <w:i w:val="0"/>
          <w:sz w:val="21"/>
        </w:rPr>
        <w:t>The frame worth keeping: dLocal and Adyen earn their premium multiples with USD cash flows; Fawry's are EGP - the peer band should be entered from the bottom, not the middle, which is why this lens carries the smallest weight.</w:t>
      </w:r>
    </w:p>
    <w:p>
      <w:pPr>
        <w:spacing w:after="120" w:line="264" w:lineRule="auto"/>
      </w:pPr>
      <w:r>
        <w:rPr>
          <w:b w:val="0"/>
          <w:sz w:val="21"/>
        </w:rPr>
        <w:t>EV/EBITDA cross-frame: at ~11x FY26E company-defined EBITDA, the market already awards Fawry a developed-market processor multiple on an emerging-market cost of capital - the mismatch every lens in this study keeps re-finding from a different angle.</w:t>
      </w:r>
    </w:p>
    <w:p>
      <w:pPr>
        <w:spacing w:before="160" w:after="120" w:line="264" w:lineRule="auto"/>
      </w:pPr>
      <w:r>
        <w:rPr>
          <w:b/>
          <w:i w:val="0"/>
          <w:color w:val="1C3A36"/>
          <w:sz w:val="24"/>
        </w:rPr>
        <w:t>1.4  Normalized earnings power</w:t>
      </w:r>
    </w:p>
    <w:p>
      <w:pPr>
        <w:spacing w:after="120" w:line="264" w:lineRule="auto"/>
      </w:pPr>
      <w:r>
        <w:rPr>
          <w:b w:val="0"/>
          <w:i w:val="0"/>
          <w:sz w:val="21"/>
        </w:rPr>
        <w:t>Two-stage normalized growth: FY26E EPS EGP 0.92, growth fading 20% to 12% over five years, capitalised at a ~24% cost of equity, supports a fair multiple near 16x and ~EGP 15.0/share. This is the lens that pays for the compounding without paying for the rate cuts.</w:t>
      </w:r>
    </w:p>
    <w:p>
      <w:pPr>
        <w:spacing w:after="120" w:line="264" w:lineRule="auto"/>
      </w:pPr>
      <w:r>
        <w:rPr>
          <w:b w:val="0"/>
          <w:i w:val="0"/>
          <w:sz w:val="21"/>
        </w:rPr>
        <w:t>Its distance from the DCF (~EGP 3.5) is pure duration arithmetic - the same fade capitalised as a multiple versus discounted year-by-year - and its distance from spot (~EGP 3.4) is the market's rate-cut premium, made visible.</w:t>
      </w:r>
    </w:p>
    <w:p>
      <w:pPr>
        <w:spacing w:after="120" w:line="264" w:lineRule="auto"/>
      </w:pPr>
      <w:r>
        <w:rPr>
          <w:b w:val="0"/>
          <w:sz w:val="21"/>
        </w:rPr>
        <w:t>A useful bridge: capitalizing the same fade at a 19% cost of equity - the deep-easing world - lifts the fair multiple toward 20x and this lens to ~EGP 18.4, i.e. spot. Normalized growth at today's rates says 15; at tomorrow's hoped-for rates it says the market price. That is the whole argument in one sentence.</w:t>
      </w:r>
    </w:p>
    <w:p>
      <w:pPr>
        <w:spacing w:before="160" w:after="120" w:line="264" w:lineRule="auto"/>
      </w:pPr>
      <w:r>
        <w:rPr>
          <w:b/>
          <w:i w:val="0"/>
          <w:color w:val="1C3A36"/>
          <w:sz w:val="24"/>
        </w:rPr>
        <w:t>1.5  Synthesis - five lenses</w:t>
      </w:r>
    </w:p>
    <w:p>
      <w:pPr>
        <w:spacing w:after="120" w:line="264" w:lineRule="auto"/>
      </w:pPr>
      <w:r>
        <w:rPr>
          <w:b w:val="0"/>
          <w:i w:val="0"/>
          <w:sz w:val="21"/>
        </w:rPr>
        <w:t>Five lenses, one field: the DCF anchors low (11.5) because EGP discount rates are brutal to long-duration cash flows; the SOTP (16.4) and normalized growth (15.0) sit mid-field; relative multiples (20.3) alone reach above spot. Weighting 40/20/15/25 puts the central fair value at ~EGP 14.7 - about 20% below the price.</w:t>
      </w:r>
    </w:p>
    <w:p>
      <w:pPr>
        <w:spacing w:after="120" w:line="264" w:lineRule="auto"/>
      </w:pPr>
      <w:r>
        <w:rPr>
          <w:b w:val="0"/>
          <w:i w:val="0"/>
          <w:sz w:val="21"/>
        </w:rPr>
        <w:t>The weights are declared, not fitted: the DCF leads because payments is a cash-flow business; the SOTP carries the segment reality; the multiple lens is deliberately lightest because it imports the market's own optimism as evidence.</w:t>
      </w:r>
    </w:p>
    <w:tbl>
      <w:tblPr>
        <w:tblStyle w:val="TableGrid"/>
        <w:tblW w:type="auto" w:w="0"/>
        <w:tblLook w:firstColumn="1" w:firstRow="1" w:lastColumn="0" w:lastRow="0" w:noHBand="0" w:noVBand="1" w:val="04A0"/>
      </w:tblPr>
      <w:tblGrid>
        <w:gridCol w:w="3312"/>
        <w:gridCol w:w="3312"/>
        <w:gridCol w:w="3312"/>
      </w:tblGrid>
      <w:tr>
        <w:tc>
          <w:tcPr>
            <w:tcW w:type="dxa" w:w="4320"/>
            <w:shd w:val="clear" w:fill="1C3A36"/>
          </w:tcPr>
          <w:p>
            <w:pPr>
              <w:spacing w:line="264" w:lineRule="auto"/>
            </w:pPr>
            <w:r>
              <w:rPr>
                <w:b/>
                <w:i w:val="0"/>
                <w:color w:val="FFFFFF"/>
                <w:sz w:val="18"/>
              </w:rPr>
              <w:t>Lens</w:t>
            </w:r>
          </w:p>
        </w:tc>
        <w:tc>
          <w:tcPr>
            <w:tcW w:type="dxa" w:w="2880"/>
            <w:shd w:val="clear" w:fill="1C3A36"/>
          </w:tcPr>
          <w:p>
            <w:pPr>
              <w:spacing w:line="264" w:lineRule="auto"/>
              <w:jc w:val="right"/>
            </w:pPr>
            <w:r>
              <w:rPr>
                <w:b/>
                <w:i w:val="0"/>
                <w:color w:val="FFFFFF"/>
                <w:sz w:val="18"/>
              </w:rPr>
              <w:t>Fair value (EGP)</w:t>
            </w:r>
          </w:p>
        </w:tc>
        <w:tc>
          <w:tcPr>
            <w:tcW w:type="dxa" w:w="2592"/>
            <w:shd w:val="clear" w:fill="1C3A36"/>
          </w:tcPr>
          <w:p>
            <w:pPr>
              <w:spacing w:line="264" w:lineRule="auto"/>
              <w:jc w:val="right"/>
            </w:pPr>
            <w:r>
              <w:rPr>
                <w:b/>
                <w:i w:val="0"/>
                <w:color w:val="FFFFFF"/>
                <w:sz w:val="18"/>
              </w:rPr>
              <w:t>Weight</w:t>
            </w:r>
          </w:p>
        </w:tc>
      </w:tr>
      <w:tr>
        <w:tc>
          <w:tcPr>
            <w:tcW w:type="dxa" w:w="4320"/>
          </w:tcPr>
          <w:p>
            <w:pPr>
              <w:spacing w:line="264" w:lineRule="auto"/>
            </w:pPr>
            <w:r>
              <w:rPr>
                <w:b w:val="0"/>
                <w:i w:val="0"/>
                <w:color w:val="1C3A36"/>
                <w:sz w:val="18"/>
              </w:rPr>
              <w:t>Consolidated DCF (primary)</w:t>
            </w:r>
          </w:p>
        </w:tc>
        <w:tc>
          <w:tcPr>
            <w:tcW w:type="dxa" w:w="2880"/>
          </w:tcPr>
          <w:p>
            <w:pPr>
              <w:spacing w:line="264" w:lineRule="auto"/>
              <w:jc w:val="right"/>
            </w:pPr>
            <w:r>
              <w:rPr>
                <w:b w:val="0"/>
                <w:i w:val="0"/>
                <w:sz w:val="18"/>
              </w:rPr>
              <w:t>11.5</w:t>
            </w:r>
          </w:p>
        </w:tc>
        <w:tc>
          <w:tcPr>
            <w:tcW w:type="dxa" w:w="2592"/>
          </w:tcPr>
          <w:p>
            <w:pPr>
              <w:spacing w:line="264" w:lineRule="auto"/>
              <w:jc w:val="right"/>
            </w:pPr>
            <w:r>
              <w:rPr>
                <w:b w:val="0"/>
                <w:i w:val="0"/>
                <w:sz w:val="18"/>
              </w:rPr>
              <w:t>40%</w:t>
            </w:r>
          </w:p>
        </w:tc>
      </w:tr>
      <w:tr>
        <w:tc>
          <w:tcPr>
            <w:tcW w:type="dxa" w:w="4320"/>
            <w:shd w:val="clear" w:fill="EFF3F1"/>
          </w:tcPr>
          <w:p>
            <w:pPr>
              <w:spacing w:line="264" w:lineRule="auto"/>
            </w:pPr>
            <w:r>
              <w:rPr>
                <w:b w:val="0"/>
                <w:i w:val="0"/>
                <w:color w:val="1C3A36"/>
                <w:sz w:val="18"/>
              </w:rPr>
              <w:t>SOTP (segments)</w:t>
            </w:r>
          </w:p>
        </w:tc>
        <w:tc>
          <w:tcPr>
            <w:tcW w:type="dxa" w:w="2880"/>
            <w:shd w:val="clear" w:fill="EFF3F1"/>
          </w:tcPr>
          <w:p>
            <w:pPr>
              <w:spacing w:line="264" w:lineRule="auto"/>
              <w:jc w:val="right"/>
            </w:pPr>
            <w:r>
              <w:rPr>
                <w:b w:val="0"/>
                <w:i w:val="0"/>
                <w:sz w:val="18"/>
              </w:rPr>
              <w:t>16.4</w:t>
            </w:r>
          </w:p>
        </w:tc>
        <w:tc>
          <w:tcPr>
            <w:tcW w:type="dxa" w:w="2592"/>
            <w:shd w:val="clear" w:fill="EFF3F1"/>
          </w:tcPr>
          <w:p>
            <w:pPr>
              <w:spacing w:line="264" w:lineRule="auto"/>
              <w:jc w:val="right"/>
            </w:pPr>
            <w:r>
              <w:rPr>
                <w:b w:val="0"/>
                <w:i w:val="0"/>
                <w:sz w:val="18"/>
              </w:rPr>
              <w:t>20%</w:t>
            </w:r>
          </w:p>
        </w:tc>
      </w:tr>
      <w:tr>
        <w:tc>
          <w:tcPr>
            <w:tcW w:type="dxa" w:w="4320"/>
          </w:tcPr>
          <w:p>
            <w:pPr>
              <w:spacing w:line="264" w:lineRule="auto"/>
            </w:pPr>
            <w:r>
              <w:rPr>
                <w:b w:val="0"/>
                <w:i w:val="0"/>
                <w:color w:val="1C3A36"/>
                <w:sz w:val="18"/>
              </w:rPr>
              <w:t>Relative multiples</w:t>
            </w:r>
          </w:p>
        </w:tc>
        <w:tc>
          <w:tcPr>
            <w:tcW w:type="dxa" w:w="2880"/>
          </w:tcPr>
          <w:p>
            <w:pPr>
              <w:spacing w:line="264" w:lineRule="auto"/>
              <w:jc w:val="right"/>
            </w:pPr>
            <w:r>
              <w:rPr>
                <w:b w:val="0"/>
                <w:i w:val="0"/>
                <w:sz w:val="18"/>
              </w:rPr>
              <w:t>20.3</w:t>
            </w:r>
          </w:p>
        </w:tc>
        <w:tc>
          <w:tcPr>
            <w:tcW w:type="dxa" w:w="2592"/>
          </w:tcPr>
          <w:p>
            <w:pPr>
              <w:spacing w:line="264" w:lineRule="auto"/>
              <w:jc w:val="right"/>
            </w:pPr>
            <w:r>
              <w:rPr>
                <w:b w:val="0"/>
                <w:i w:val="0"/>
                <w:sz w:val="18"/>
              </w:rPr>
              <w:t>15%</w:t>
            </w:r>
          </w:p>
        </w:tc>
      </w:tr>
      <w:tr>
        <w:tc>
          <w:tcPr>
            <w:tcW w:type="dxa" w:w="4320"/>
            <w:shd w:val="clear" w:fill="EFF3F1"/>
          </w:tcPr>
          <w:p>
            <w:pPr>
              <w:spacing w:line="264" w:lineRule="auto"/>
            </w:pPr>
            <w:r>
              <w:rPr>
                <w:b w:val="0"/>
                <w:i w:val="0"/>
                <w:color w:val="1C3A36"/>
                <w:sz w:val="18"/>
              </w:rPr>
              <w:t>Normalized growth</w:t>
            </w:r>
          </w:p>
        </w:tc>
        <w:tc>
          <w:tcPr>
            <w:tcW w:type="dxa" w:w="2880"/>
            <w:shd w:val="clear" w:fill="EFF3F1"/>
          </w:tcPr>
          <w:p>
            <w:pPr>
              <w:spacing w:line="264" w:lineRule="auto"/>
              <w:jc w:val="right"/>
            </w:pPr>
            <w:r>
              <w:rPr>
                <w:b w:val="0"/>
                <w:i w:val="0"/>
                <w:sz w:val="18"/>
              </w:rPr>
              <w:t>15.0</w:t>
            </w:r>
          </w:p>
        </w:tc>
        <w:tc>
          <w:tcPr>
            <w:tcW w:type="dxa" w:w="2592"/>
            <w:shd w:val="clear" w:fill="EFF3F1"/>
          </w:tcPr>
          <w:p>
            <w:pPr>
              <w:spacing w:line="264" w:lineRule="auto"/>
              <w:jc w:val="right"/>
            </w:pPr>
            <w:r>
              <w:rPr>
                <w:b w:val="0"/>
                <w:i w:val="0"/>
                <w:sz w:val="18"/>
              </w:rPr>
              <w:t>25%</w:t>
            </w:r>
          </w:p>
        </w:tc>
      </w:tr>
      <w:tr>
        <w:tc>
          <w:tcPr>
            <w:tcW w:type="dxa" w:w="4320"/>
          </w:tcPr>
          <w:p>
            <w:pPr>
              <w:spacing w:line="264" w:lineRule="auto"/>
            </w:pPr>
            <w:r>
              <w:rPr>
                <w:b/>
                <w:i w:val="0"/>
                <w:color w:val="1C3A36"/>
                <w:sz w:val="18"/>
              </w:rPr>
              <w:t>Weighted central</w:t>
            </w:r>
          </w:p>
        </w:tc>
        <w:tc>
          <w:tcPr>
            <w:tcW w:type="dxa" w:w="2880"/>
          </w:tcPr>
          <w:p>
            <w:pPr>
              <w:spacing w:line="264" w:lineRule="auto"/>
              <w:jc w:val="right"/>
            </w:pPr>
            <w:r>
              <w:rPr>
                <w:b/>
                <w:i w:val="0"/>
                <w:sz w:val="18"/>
              </w:rPr>
              <w:t>14.7</w:t>
            </w:r>
          </w:p>
        </w:tc>
        <w:tc>
          <w:tcPr>
            <w:tcW w:type="dxa" w:w="2592"/>
          </w:tcPr>
          <w:p>
            <w:pPr>
              <w:spacing w:line="264" w:lineRule="auto"/>
              <w:jc w:val="right"/>
            </w:pPr>
            <w:r>
              <w:rPr>
                <w:b/>
                <w:i w:val="0"/>
                <w:sz w:val="18"/>
              </w:rPr>
              <w:t>100%</w:t>
            </w:r>
          </w:p>
        </w:tc>
      </w:tr>
    </w:tbl>
    <w:p>
      <w:pPr>
        <w:spacing w:after="40"/>
      </w:pPr>
    </w:p>
    <w:p>
      <w:pPr>
        <w:jc w:val="center"/>
      </w:pPr>
      <w:r>
        <w:drawing>
          <wp:inline xmlns:a="http://schemas.openxmlformats.org/drawingml/2006/main" xmlns:pic="http://schemas.openxmlformats.org/drawingml/2006/picture">
            <wp:extent cx="5943600" cy="2624262"/>
            <wp:docPr id="1" name="Picture 1"/>
            <wp:cNvGraphicFramePr>
              <a:graphicFrameLocks noChangeAspect="1"/>
            </wp:cNvGraphicFramePr>
            <a:graphic>
              <a:graphicData uri="http://schemas.openxmlformats.org/drawingml/2006/picture">
                <pic:pic>
                  <pic:nvPicPr>
                    <pic:cNvPr id="0" name="FWRY_football.png"/>
                    <pic:cNvPicPr/>
                  </pic:nvPicPr>
                  <pic:blipFill>
                    <a:blip r:embed="rId9"/>
                    <a:stretch>
                      <a:fillRect/>
                    </a:stretch>
                  </pic:blipFill>
                  <pic:spPr>
                    <a:xfrm>
                      <a:off x="0" y="0"/>
                      <a:ext cx="5943600" cy="2624262"/>
                    </a:xfrm>
                    <a:prstGeom prst="rect"/>
                  </pic:spPr>
                </pic:pic>
              </a:graphicData>
            </a:graphic>
          </wp:inline>
        </w:drawing>
      </w:r>
    </w:p>
    <w:p>
      <w:pPr>
        <w:spacing w:line="264" w:lineRule="auto"/>
        <w:jc w:val="center"/>
      </w:pPr>
      <w:r>
        <w:rPr>
          <w:b w:val="0"/>
          <w:i/>
          <w:color w:val="666666"/>
          <w:sz w:val="16"/>
        </w:rPr>
        <w:t>Valuation football field - lens ranges vs spot</w:t>
      </w:r>
    </w:p>
    <w:p>
      <w:pPr>
        <w:spacing w:before="160" w:after="120" w:line="264" w:lineRule="auto"/>
      </w:pPr>
      <w:r>
        <w:rPr>
          <w:b/>
          <w:i w:val="0"/>
          <w:color w:val="1C3A36"/>
          <w:sz w:val="24"/>
        </w:rPr>
        <w:t>1.6  The segments - where the growth lives</w:t>
      </w:r>
    </w:p>
    <w:p>
      <w:pPr>
        <w:spacing w:after="120" w:line="264" w:lineRule="auto"/>
      </w:pPr>
      <w:r>
        <w:rPr>
          <w:b w:val="0"/>
          <w:i w:val="0"/>
          <w:sz w:val="21"/>
        </w:rPr>
        <w:t>FY25 revenue by segment, per the earnings release - the scorecard shows where the growth now lives. The engine has visibly rotated from payments to financial services: higher-margin, but credit-carrying, with the gross loan book at EGP 5.7 bn and compounding at ~80%.</w:t>
      </w:r>
    </w:p>
    <w:p>
      <w:pPr>
        <w:spacing w:after="120" w:line="264" w:lineRule="auto"/>
      </w:pPr>
      <w:r>
        <w:rPr>
          <w:b w:val="0"/>
          <w:i w:val="0"/>
          <w:sz w:val="21"/>
        </w:rPr>
        <w:t>That rotation is the strategic fact of the year: the acceptance/agent network is becoming the distribution layer for a consumer-finance business, which changes both the margin structure and the risk book.</w:t>
      </w:r>
    </w:p>
    <w:tbl>
      <w:tblPr>
        <w:tblStyle w:val="TableGrid"/>
        <w:tblW w:type="auto" w:w="0"/>
        <w:tblLook w:firstColumn="1" w:firstRow="1" w:lastColumn="0" w:lastRow="0" w:noHBand="0" w:noVBand="1" w:val="04A0"/>
      </w:tblPr>
      <w:tblGrid>
        <w:gridCol w:w="2484"/>
        <w:gridCol w:w="2484"/>
        <w:gridCol w:w="2484"/>
        <w:gridCol w:w="2484"/>
      </w:tblGrid>
      <w:tr>
        <w:tc>
          <w:tcPr>
            <w:tcW w:type="dxa" w:w="2304"/>
            <w:shd w:val="clear" w:fill="1C3A36"/>
          </w:tcPr>
          <w:p>
            <w:pPr>
              <w:spacing w:line="264" w:lineRule="auto"/>
            </w:pPr>
            <w:r>
              <w:rPr>
                <w:b/>
                <w:i w:val="0"/>
                <w:color w:val="FFFFFF"/>
                <w:sz w:val="18"/>
              </w:rPr>
              <w:t>Segment</w:t>
            </w:r>
          </w:p>
        </w:tc>
        <w:tc>
          <w:tcPr>
            <w:tcW w:type="dxa" w:w="1872"/>
            <w:shd w:val="clear" w:fill="1C3A36"/>
          </w:tcPr>
          <w:p>
            <w:pPr>
              <w:spacing w:line="264" w:lineRule="auto"/>
              <w:jc w:val="right"/>
            </w:pPr>
            <w:r>
              <w:rPr>
                <w:b/>
                <w:i w:val="0"/>
                <w:color w:val="FFFFFF"/>
                <w:sz w:val="18"/>
              </w:rPr>
              <w:t>FY25 revenue</w:t>
            </w:r>
          </w:p>
        </w:tc>
        <w:tc>
          <w:tcPr>
            <w:tcW w:type="dxa" w:w="2736"/>
            <w:shd w:val="clear" w:fill="1C3A36"/>
          </w:tcPr>
          <w:p>
            <w:pPr>
              <w:spacing w:line="264" w:lineRule="auto"/>
              <w:jc w:val="right"/>
            </w:pPr>
            <w:r>
              <w:rPr>
                <w:b/>
                <w:i w:val="0"/>
                <w:color w:val="FFFFFF"/>
                <w:sz w:val="18"/>
              </w:rPr>
              <w:t>Growth</w:t>
            </w:r>
          </w:p>
        </w:tc>
        <w:tc>
          <w:tcPr>
            <w:tcW w:type="dxa" w:w="3600"/>
            <w:shd w:val="clear" w:fill="1C3A36"/>
          </w:tcPr>
          <w:p>
            <w:pPr>
              <w:spacing w:line="264" w:lineRule="auto"/>
              <w:jc w:val="right"/>
            </w:pPr>
            <w:r>
              <w:rPr>
                <w:b/>
                <w:i w:val="0"/>
                <w:color w:val="FFFFFF"/>
                <w:sz w:val="18"/>
              </w:rPr>
              <w:t>Read</w:t>
            </w:r>
          </w:p>
        </w:tc>
      </w:tr>
      <w:tr>
        <w:tc>
          <w:tcPr>
            <w:tcW w:type="dxa" w:w="2304"/>
          </w:tcPr>
          <w:p>
            <w:pPr>
              <w:spacing w:line="264" w:lineRule="auto"/>
            </w:pPr>
            <w:r>
              <w:rPr>
                <w:b w:val="0"/>
                <w:i w:val="0"/>
                <w:color w:val="1C3A36"/>
                <w:sz w:val="18"/>
              </w:rPr>
              <w:t>Banking services</w:t>
            </w:r>
          </w:p>
        </w:tc>
        <w:tc>
          <w:tcPr>
            <w:tcW w:type="dxa" w:w="1872"/>
          </w:tcPr>
          <w:p>
            <w:pPr>
              <w:spacing w:line="264" w:lineRule="auto"/>
              <w:jc w:val="right"/>
            </w:pPr>
            <w:r>
              <w:rPr>
                <w:b w:val="0"/>
                <w:i w:val="0"/>
                <w:sz w:val="18"/>
              </w:rPr>
              <w:t>EGP 3.51 bn</w:t>
            </w:r>
          </w:p>
        </w:tc>
        <w:tc>
          <w:tcPr>
            <w:tcW w:type="dxa" w:w="2736"/>
          </w:tcPr>
          <w:p>
            <w:pPr>
              <w:spacing w:line="264" w:lineRule="auto"/>
              <w:jc w:val="right"/>
            </w:pPr>
            <w:r>
              <w:rPr>
                <w:b w:val="0"/>
                <w:i w:val="0"/>
                <w:sz w:val="18"/>
              </w:rPr>
              <w:t>+52%</w:t>
            </w:r>
          </w:p>
        </w:tc>
        <w:tc>
          <w:tcPr>
            <w:tcW w:type="dxa" w:w="3600"/>
          </w:tcPr>
          <w:p>
            <w:pPr>
              <w:spacing w:line="264" w:lineRule="auto"/>
              <w:jc w:val="right"/>
            </w:pPr>
            <w:r>
              <w:rPr>
                <w:b w:val="0"/>
                <w:i w:val="0"/>
                <w:sz w:val="18"/>
              </w:rPr>
              <w:t>Agent banking + acceptance; EGP 643 bn throughput</w:t>
            </w:r>
          </w:p>
        </w:tc>
      </w:tr>
      <w:tr>
        <w:tc>
          <w:tcPr>
            <w:tcW w:type="dxa" w:w="2304"/>
            <w:shd w:val="clear" w:fill="EFF3F1"/>
          </w:tcPr>
          <w:p>
            <w:pPr>
              <w:spacing w:line="264" w:lineRule="auto"/>
            </w:pPr>
            <w:r>
              <w:rPr>
                <w:b w:val="0"/>
                <w:i w:val="0"/>
                <w:color w:val="1C3A36"/>
                <w:sz w:val="18"/>
              </w:rPr>
              <w:t>Financial services</w:t>
            </w:r>
          </w:p>
        </w:tc>
        <w:tc>
          <w:tcPr>
            <w:tcW w:type="dxa" w:w="1872"/>
            <w:shd w:val="clear" w:fill="EFF3F1"/>
          </w:tcPr>
          <w:p>
            <w:pPr>
              <w:spacing w:line="264" w:lineRule="auto"/>
              <w:jc w:val="right"/>
            </w:pPr>
            <w:r>
              <w:rPr>
                <w:b w:val="0"/>
                <w:i w:val="0"/>
                <w:sz w:val="18"/>
              </w:rPr>
              <w:t>EGP 2.38 bn</w:t>
            </w:r>
          </w:p>
        </w:tc>
        <w:tc>
          <w:tcPr>
            <w:tcW w:type="dxa" w:w="2736"/>
            <w:shd w:val="clear" w:fill="EFF3F1"/>
          </w:tcPr>
          <w:p>
            <w:pPr>
              <w:spacing w:line="264" w:lineRule="auto"/>
              <w:jc w:val="right"/>
            </w:pPr>
            <w:r>
              <w:rPr>
                <w:b w:val="0"/>
                <w:i w:val="0"/>
                <w:sz w:val="18"/>
              </w:rPr>
              <w:t>+135%</w:t>
            </w:r>
          </w:p>
        </w:tc>
        <w:tc>
          <w:tcPr>
            <w:tcW w:type="dxa" w:w="3600"/>
            <w:shd w:val="clear" w:fill="EFF3F1"/>
          </w:tcPr>
          <w:p>
            <w:pPr>
              <w:spacing w:line="264" w:lineRule="auto"/>
              <w:jc w:val="right"/>
            </w:pPr>
            <w:r>
              <w:rPr>
                <w:b w:val="0"/>
                <w:i w:val="0"/>
                <w:sz w:val="18"/>
              </w:rPr>
              <w:t>Lending/BNPL/insurance; the loan book lives here</w:t>
            </w:r>
          </w:p>
        </w:tc>
      </w:tr>
      <w:tr>
        <w:tc>
          <w:tcPr>
            <w:tcW w:type="dxa" w:w="2304"/>
          </w:tcPr>
          <w:p>
            <w:pPr>
              <w:spacing w:line="264" w:lineRule="auto"/>
            </w:pPr>
            <w:r>
              <w:rPr>
                <w:b w:val="0"/>
                <w:i w:val="0"/>
                <w:color w:val="1C3A36"/>
                <w:sz w:val="18"/>
              </w:rPr>
              <w:t>ADP (bill payments)</w:t>
            </w:r>
          </w:p>
        </w:tc>
        <w:tc>
          <w:tcPr>
            <w:tcW w:type="dxa" w:w="1872"/>
          </w:tcPr>
          <w:p>
            <w:pPr>
              <w:spacing w:line="264" w:lineRule="auto"/>
              <w:jc w:val="right"/>
            </w:pPr>
            <w:r>
              <w:rPr>
                <w:b w:val="0"/>
                <w:i w:val="0"/>
                <w:sz w:val="18"/>
              </w:rPr>
              <w:t>EGP 2.01 bn</w:t>
            </w:r>
          </w:p>
        </w:tc>
        <w:tc>
          <w:tcPr>
            <w:tcW w:type="dxa" w:w="2736"/>
          </w:tcPr>
          <w:p>
            <w:pPr>
              <w:spacing w:line="264" w:lineRule="auto"/>
              <w:jc w:val="right"/>
            </w:pPr>
            <w:r>
              <w:rPr>
                <w:b w:val="0"/>
                <w:i w:val="0"/>
                <w:sz w:val="18"/>
              </w:rPr>
              <w:t>+17.6%</w:t>
            </w:r>
          </w:p>
        </w:tc>
        <w:tc>
          <w:tcPr>
            <w:tcW w:type="dxa" w:w="3600"/>
          </w:tcPr>
          <w:p>
            <w:pPr>
              <w:spacing w:line="264" w:lineRule="auto"/>
              <w:jc w:val="right"/>
            </w:pPr>
            <w:r>
              <w:rPr>
                <w:b w:val="0"/>
                <w:i w:val="0"/>
                <w:sz w:val="18"/>
              </w:rPr>
              <w:t>The legacy cash-cow, maturing</w:t>
            </w:r>
          </w:p>
        </w:tc>
      </w:tr>
      <w:tr>
        <w:tc>
          <w:tcPr>
            <w:tcW w:type="dxa" w:w="2304"/>
            <w:shd w:val="clear" w:fill="EFF3F1"/>
          </w:tcPr>
          <w:p>
            <w:pPr>
              <w:spacing w:line="264" w:lineRule="auto"/>
            </w:pPr>
            <w:r>
              <w:rPr>
                <w:b w:val="0"/>
                <w:i w:val="0"/>
                <w:color w:val="1C3A36"/>
                <w:sz w:val="18"/>
              </w:rPr>
              <w:t>Supply chain + tech</w:t>
            </w:r>
          </w:p>
        </w:tc>
        <w:tc>
          <w:tcPr>
            <w:tcW w:type="dxa" w:w="1872"/>
            <w:shd w:val="clear" w:fill="EFF3F1"/>
          </w:tcPr>
          <w:p>
            <w:pPr>
              <w:spacing w:line="264" w:lineRule="auto"/>
              <w:jc w:val="right"/>
            </w:pPr>
            <w:r>
              <w:rPr>
                <w:b w:val="0"/>
                <w:i w:val="0"/>
                <w:sz w:val="18"/>
              </w:rPr>
              <w:t>EGP 0.75 bn</w:t>
            </w:r>
          </w:p>
        </w:tc>
        <w:tc>
          <w:tcPr>
            <w:tcW w:type="dxa" w:w="2736"/>
            <w:shd w:val="clear" w:fill="EFF3F1"/>
          </w:tcPr>
          <w:p>
            <w:pPr>
              <w:spacing w:line="264" w:lineRule="auto"/>
              <w:jc w:val="right"/>
            </w:pPr>
            <w:r>
              <w:rPr>
                <w:b w:val="0"/>
                <w:i w:val="0"/>
                <w:sz w:val="18"/>
              </w:rPr>
              <w:t>+43% / n.m.</w:t>
            </w:r>
          </w:p>
        </w:tc>
        <w:tc>
          <w:tcPr>
            <w:tcW w:type="dxa" w:w="3600"/>
            <w:shd w:val="clear" w:fill="EFF3F1"/>
          </w:tcPr>
          <w:p>
            <w:pPr>
              <w:spacing w:line="264" w:lineRule="auto"/>
              <w:jc w:val="right"/>
            </w:pPr>
            <w:r>
              <w:rPr>
                <w:b w:val="0"/>
                <w:i w:val="0"/>
                <w:sz w:val="18"/>
              </w:rPr>
              <w:t>Optionality, small base</w:t>
            </w:r>
          </w:p>
        </w:tc>
      </w:tr>
    </w:tbl>
    <w:p>
      <w:pPr>
        <w:spacing w:after="40"/>
      </w:pPr>
    </w:p>
    <w:p>
      <w:pPr>
        <w:spacing w:before="160" w:after="120" w:line="264" w:lineRule="auto"/>
      </w:pPr>
      <w:r>
        <w:rPr>
          <w:b/>
          <w:i w:val="0"/>
          <w:color w:val="1C3A36"/>
          <w:sz w:val="24"/>
        </w:rPr>
        <w:t>1.7  The rate cycle and the 57% margin - the crux</w:t>
      </w:r>
    </w:p>
    <w:p>
      <w:pPr>
        <w:spacing w:after="120" w:line="264" w:lineRule="auto"/>
      </w:pPr>
      <w:r>
        <w:rPr>
          <w:b w:val="0"/>
          <w:i w:val="0"/>
          <w:sz w:val="21"/>
        </w:rPr>
        <w:t>The crux cuts both ways. CBE easing re-rates the equity (every point off the discount rate is worth roughly EGP 1.5-2.0/share in the DCF) and fuels the consumer-credit engine - but it compresses the treasury and float income (an estimated ~EGP 790 mn in FY26) that today flatters net profit. Tightening does the reverse.</w:t>
      </w:r>
    </w:p>
    <w:p>
      <w:pPr>
        <w:spacing w:after="120" w:line="264" w:lineRule="auto"/>
      </w:pPr>
      <w:r>
        <w:rPr>
          <w:b w:val="0"/>
          <w:i w:val="0"/>
          <w:sz w:val="21"/>
        </w:rPr>
        <w:t>Layered on top is the durability question: the 57.4% EBITDA margin is company-defined (it excludes ESOP, provisions, leasing and non-operating interest), and free InstaPay rails plus bank apps press on take rates. Quantified, a 10bp take-rate erosion on the acceptance book costs roughly EGP 0.9 bn of throughput-revenue equivalent over the plan - second only to the rate path itself. The value case hinges on those two files, not on whether FY25 was real. It was.</w:t>
      </w:r>
    </w:p>
    <w:p>
      <w:pPr>
        <w:spacing w:after="120" w:line="264" w:lineRule="auto"/>
      </w:pPr>
      <w:r>
        <w:rPr>
          <w:b w:val="0"/>
          <w:sz w:val="21"/>
        </w:rPr>
        <w:t>Sequencing matters too: the float-income compression arrives with the first cuts, while the credit-growth and multiple benefits build over quarters - so the earliest easing phase is mechanically the least flattering window for reported profit, a timing wrinkle the market tends to discover in real time.</w:t>
      </w:r>
    </w:p>
    <w:p>
      <w:pPr>
        <w:spacing w:before="160" w:after="120" w:line="264" w:lineRule="auto"/>
      </w:pPr>
      <w:r>
        <w:rPr>
          <w:b/>
          <w:i w:val="0"/>
          <w:color w:val="1C3A36"/>
          <w:sz w:val="24"/>
        </w:rPr>
        <w:t>1.8  Macro and country</w:t>
      </w:r>
    </w:p>
    <w:p>
      <w:pPr>
        <w:spacing w:after="120" w:line="264" w:lineRule="auto"/>
      </w:pPr>
      <w:r>
        <w:rPr>
          <w:b w:val="0"/>
          <w:i w:val="0"/>
          <w:sz w:val="21"/>
        </w:rPr>
        <w:t>Macro: Egypt's financial-inclusion push, cash digitisation and the CBE's Soft POS launch (Feb 2026) are secular tailwinds; the EGP and the policy-rate path are the cyclical swing. A weaker pound raises nominal throughput but keeps the discount rate punitive; disinflation and cuts do the opposite.</w:t>
      </w:r>
    </w:p>
    <w:p>
      <w:pPr>
        <w:spacing w:after="120" w:line="264" w:lineRule="auto"/>
      </w:pPr>
      <w:r>
        <w:rPr>
          <w:b w:val="0"/>
          <w:i w:val="0"/>
          <w:sz w:val="21"/>
        </w:rPr>
        <w:t>Regulatory posture toward fintech remains supportive, with licensing (neobanking) the gating item - and the same regulator's free InstaPay rails are the competitive counterweight, a reminder that the state is both patron and rival here.</w:t>
      </w:r>
    </w:p>
    <w:p>
      <w:pPr>
        <w:spacing w:after="120" w:line="264" w:lineRule="auto"/>
      </w:pPr>
      <w:r>
        <w:rPr>
          <w:b w:val="0"/>
          <w:sz w:val="21"/>
        </w:rPr>
        <w:t>The competitive file is regulatory at heart: InstaPay's free rails cap consumer-transfer monetisation, so Fawry's answer - moving up the stack into credit, insurance and merchant software - is strategy dictated by the regulator's own architecture.</w:t>
      </w:r>
    </w:p>
    <w:p>
      <w:pPr>
        <w:spacing w:before="160" w:after="120" w:line="264" w:lineRule="auto"/>
      </w:pPr>
      <w:r>
        <w:rPr>
          <w:b/>
          <w:i w:val="0"/>
          <w:color w:val="1C3A36"/>
          <w:sz w:val="24"/>
        </w:rPr>
        <w:t>1.9  WACC x terminal-growth grid</w:t>
      </w:r>
    </w:p>
    <w:p>
      <w:pPr>
        <w:spacing w:after="120" w:line="264" w:lineRule="auto"/>
      </w:pPr>
      <w:r>
        <w:rPr>
          <w:b w:val="0"/>
          <w:i w:val="0"/>
          <w:sz w:val="21"/>
        </w:rPr>
        <w:t>Sensitivity is dominated by the discount rate and the terminal assumption: WACC 22/24/26% moves the DCF roughly EGP 14.1/11.5/9.6; terminal growth 10/12/14% swings it by a similar magnitude the other way. The honest DCF envelope is ~EGP 8.5-14; only rate-cut-grade assumptions push it toward spot. The grid is illustrative and consistent with the live two-way table in the companion Excel.</w:t>
      </w:r>
    </w:p>
    <w:tbl>
      <w:tblPr>
        <w:tblStyle w:val="TableGrid"/>
        <w:tblW w:type="auto" w:w="0"/>
        <w:tblLook w:firstColumn="1" w:firstRow="1" w:lastColumn="0" w:lastRow="0" w:noHBand="0" w:noVBand="1" w:val="04A0"/>
      </w:tblPr>
      <w:tblGrid>
        <w:gridCol w:w="2484"/>
        <w:gridCol w:w="2484"/>
        <w:gridCol w:w="2484"/>
        <w:gridCol w:w="2484"/>
      </w:tblGrid>
      <w:tr>
        <w:tc>
          <w:tcPr>
            <w:tcW w:type="dxa" w:w="2448"/>
            <w:shd w:val="clear" w:fill="1C3A36"/>
          </w:tcPr>
          <w:p>
            <w:pPr>
              <w:spacing w:line="264" w:lineRule="auto"/>
            </w:pPr>
            <w:r>
              <w:rPr>
                <w:b/>
                <w:i w:val="0"/>
                <w:color w:val="FFFFFF"/>
                <w:sz w:val="18"/>
              </w:rPr>
              <w:t>WACC \ g</w:t>
            </w:r>
          </w:p>
        </w:tc>
        <w:tc>
          <w:tcPr>
            <w:tcW w:type="dxa" w:w="2016"/>
            <w:shd w:val="clear" w:fill="1C3A36"/>
          </w:tcPr>
          <w:p>
            <w:pPr>
              <w:spacing w:line="264" w:lineRule="auto"/>
              <w:jc w:val="right"/>
            </w:pPr>
            <w:r>
              <w:rPr>
                <w:b/>
                <w:i w:val="0"/>
                <w:color w:val="FFFFFF"/>
                <w:sz w:val="18"/>
              </w:rPr>
              <w:t>10%</w:t>
            </w:r>
          </w:p>
        </w:tc>
        <w:tc>
          <w:tcPr>
            <w:tcW w:type="dxa" w:w="2016"/>
            <w:shd w:val="clear" w:fill="1C3A36"/>
          </w:tcPr>
          <w:p>
            <w:pPr>
              <w:spacing w:line="264" w:lineRule="auto"/>
              <w:jc w:val="right"/>
            </w:pPr>
            <w:r>
              <w:rPr>
                <w:b/>
                <w:i w:val="0"/>
                <w:color w:val="FFFFFF"/>
                <w:sz w:val="18"/>
              </w:rPr>
              <w:t>12%</w:t>
            </w:r>
          </w:p>
        </w:tc>
        <w:tc>
          <w:tcPr>
            <w:tcW w:type="dxa" w:w="2016"/>
            <w:shd w:val="clear" w:fill="1C3A36"/>
          </w:tcPr>
          <w:p>
            <w:pPr>
              <w:spacing w:line="264" w:lineRule="auto"/>
              <w:jc w:val="right"/>
            </w:pPr>
            <w:r>
              <w:rPr>
                <w:b/>
                <w:i w:val="0"/>
                <w:color w:val="FFFFFF"/>
                <w:sz w:val="18"/>
              </w:rPr>
              <w:t>14%</w:t>
            </w:r>
          </w:p>
        </w:tc>
      </w:tr>
      <w:tr>
        <w:tc>
          <w:tcPr>
            <w:tcW w:type="dxa" w:w="2448"/>
          </w:tcPr>
          <w:p>
            <w:pPr>
              <w:spacing w:line="264" w:lineRule="auto"/>
            </w:pPr>
            <w:r>
              <w:rPr>
                <w:b w:val="0"/>
                <w:i w:val="0"/>
                <w:color w:val="1C3A36"/>
                <w:sz w:val="18"/>
              </w:rPr>
              <w:t>22%</w:t>
            </w:r>
          </w:p>
        </w:tc>
        <w:tc>
          <w:tcPr>
            <w:tcW w:type="dxa" w:w="2016"/>
          </w:tcPr>
          <w:p>
            <w:pPr>
              <w:spacing w:line="264" w:lineRule="auto"/>
              <w:jc w:val="right"/>
            </w:pPr>
            <w:r>
              <w:rPr>
                <w:b w:val="0"/>
                <w:i w:val="0"/>
                <w:sz w:val="18"/>
              </w:rPr>
              <w:t>12.6</w:t>
            </w:r>
          </w:p>
        </w:tc>
        <w:tc>
          <w:tcPr>
            <w:tcW w:type="dxa" w:w="2016"/>
          </w:tcPr>
          <w:p>
            <w:pPr>
              <w:spacing w:line="264" w:lineRule="auto"/>
              <w:jc w:val="right"/>
            </w:pPr>
            <w:r>
              <w:rPr>
                <w:b w:val="0"/>
                <w:i w:val="0"/>
                <w:sz w:val="18"/>
              </w:rPr>
              <w:t>14.1</w:t>
            </w:r>
          </w:p>
        </w:tc>
        <w:tc>
          <w:tcPr>
            <w:tcW w:type="dxa" w:w="2016"/>
          </w:tcPr>
          <w:p>
            <w:pPr>
              <w:spacing w:line="264" w:lineRule="auto"/>
              <w:jc w:val="right"/>
            </w:pPr>
            <w:r>
              <w:rPr>
                <w:b w:val="0"/>
                <w:i w:val="0"/>
                <w:sz w:val="18"/>
              </w:rPr>
              <w:t>16.2</w:t>
            </w:r>
          </w:p>
        </w:tc>
      </w:tr>
      <w:tr>
        <w:tc>
          <w:tcPr>
            <w:tcW w:type="dxa" w:w="2448"/>
            <w:shd w:val="clear" w:fill="EFF3F1"/>
          </w:tcPr>
          <w:p>
            <w:pPr>
              <w:spacing w:line="264" w:lineRule="auto"/>
            </w:pPr>
            <w:r>
              <w:rPr>
                <w:b w:val="0"/>
                <w:i w:val="0"/>
                <w:color w:val="1C3A36"/>
                <w:sz w:val="18"/>
              </w:rPr>
              <w:t>24%</w:t>
            </w:r>
          </w:p>
        </w:tc>
        <w:tc>
          <w:tcPr>
            <w:tcW w:type="dxa" w:w="2016"/>
            <w:shd w:val="clear" w:fill="EFF3F1"/>
          </w:tcPr>
          <w:p>
            <w:pPr>
              <w:spacing w:line="264" w:lineRule="auto"/>
              <w:jc w:val="right"/>
            </w:pPr>
            <w:r>
              <w:rPr>
                <w:b w:val="0"/>
                <w:i w:val="0"/>
                <w:sz w:val="18"/>
              </w:rPr>
              <w:t>10.2</w:t>
            </w:r>
          </w:p>
        </w:tc>
        <w:tc>
          <w:tcPr>
            <w:tcW w:type="dxa" w:w="2016"/>
            <w:shd w:val="clear" w:fill="EFF3F1"/>
          </w:tcPr>
          <w:p>
            <w:pPr>
              <w:spacing w:line="264" w:lineRule="auto"/>
              <w:jc w:val="right"/>
            </w:pPr>
            <w:r>
              <w:rPr>
                <w:b w:val="0"/>
                <w:i w:val="0"/>
                <w:sz w:val="18"/>
              </w:rPr>
              <w:t>11.5</w:t>
            </w:r>
          </w:p>
        </w:tc>
        <w:tc>
          <w:tcPr>
            <w:tcW w:type="dxa" w:w="2016"/>
            <w:shd w:val="clear" w:fill="EFF3F1"/>
          </w:tcPr>
          <w:p>
            <w:pPr>
              <w:spacing w:line="264" w:lineRule="auto"/>
              <w:jc w:val="right"/>
            </w:pPr>
            <w:r>
              <w:rPr>
                <w:b w:val="0"/>
                <w:i w:val="0"/>
                <w:sz w:val="18"/>
              </w:rPr>
              <w:t>13.2</w:t>
            </w:r>
          </w:p>
        </w:tc>
      </w:tr>
      <w:tr>
        <w:tc>
          <w:tcPr>
            <w:tcW w:type="dxa" w:w="2448"/>
          </w:tcPr>
          <w:p>
            <w:pPr>
              <w:spacing w:line="264" w:lineRule="auto"/>
            </w:pPr>
            <w:r>
              <w:rPr>
                <w:b w:val="0"/>
                <w:i w:val="0"/>
                <w:color w:val="1C3A36"/>
                <w:sz w:val="18"/>
              </w:rPr>
              <w:t>26%</w:t>
            </w:r>
          </w:p>
        </w:tc>
        <w:tc>
          <w:tcPr>
            <w:tcW w:type="dxa" w:w="2016"/>
          </w:tcPr>
          <w:p>
            <w:pPr>
              <w:spacing w:line="264" w:lineRule="auto"/>
              <w:jc w:val="right"/>
            </w:pPr>
            <w:r>
              <w:rPr>
                <w:b w:val="0"/>
                <w:i w:val="0"/>
                <w:sz w:val="18"/>
              </w:rPr>
              <w:t>8.6</w:t>
            </w:r>
          </w:p>
        </w:tc>
        <w:tc>
          <w:tcPr>
            <w:tcW w:type="dxa" w:w="2016"/>
          </w:tcPr>
          <w:p>
            <w:pPr>
              <w:spacing w:line="264" w:lineRule="auto"/>
              <w:jc w:val="right"/>
            </w:pPr>
            <w:r>
              <w:rPr>
                <w:b w:val="0"/>
                <w:i w:val="0"/>
                <w:sz w:val="18"/>
              </w:rPr>
              <w:t>9.6</w:t>
            </w:r>
          </w:p>
        </w:tc>
        <w:tc>
          <w:tcPr>
            <w:tcW w:type="dxa" w:w="2016"/>
          </w:tcPr>
          <w:p>
            <w:pPr>
              <w:spacing w:line="264" w:lineRule="auto"/>
              <w:jc w:val="right"/>
            </w:pPr>
            <w:r>
              <w:rPr>
                <w:b w:val="0"/>
                <w:i w:val="0"/>
                <w:sz w:val="18"/>
              </w:rPr>
              <w:t>10.9</w:t>
            </w:r>
          </w:p>
        </w:tc>
      </w:tr>
    </w:tbl>
    <w:p>
      <w:pPr>
        <w:spacing w:after="40"/>
      </w:pPr>
    </w:p>
    <w:p>
      <w:pPr>
        <w:spacing w:before="160" w:after="120" w:line="264" w:lineRule="auto"/>
      </w:pPr>
      <w:r>
        <w:rPr>
          <w:b/>
          <w:i w:val="0"/>
          <w:color w:val="1C3A36"/>
          <w:sz w:val="30"/>
        </w:rPr>
        <w:t>2  Technical and price structure</w:t>
      </w:r>
    </w:p>
    <w:p>
      <w:pPr>
        <w:spacing w:after="120" w:line="264" w:lineRule="auto"/>
      </w:pPr>
      <w:r>
        <w:rPr>
          <w:b w:val="0"/>
          <w:i w:val="0"/>
          <w:sz w:val="21"/>
        </w:rPr>
        <w:t>Price EGP 18.40 sits just below the 20-day (18.7) and 50-day (19.5), on the 100-day (18.9), and comfortably above a rising 200-day (17.0) - a consolidation in the upper third of a strong 12-month advance (52-week range 11.06-21.25). RSI(14) at ~55 is neutral: neither the overbought extreme of the spring run nor oversold.</w:t>
      </w:r>
    </w:p>
    <w:p>
      <w:pPr>
        <w:spacing w:after="120" w:line="264" w:lineRule="auto"/>
      </w:pPr>
      <w:r>
        <w:rPr>
          <w:b w:val="0"/>
          <w:i w:val="0"/>
          <w:sz w:val="21"/>
        </w:rPr>
        <w:t>The tape says pause-in-uptrend, not reversal: pullbacks to the rising 200-day have been bought all year, and the 17.0-17.5 shelf is the level that would have to fail before the technical read changes.</w:t>
      </w:r>
    </w:p>
    <w:tbl>
      <w:tblPr>
        <w:tblStyle w:val="TableGrid"/>
        <w:tblW w:type="auto" w:w="0"/>
        <w:tblLook w:firstColumn="1" w:firstRow="1" w:lastColumn="0" w:lastRow="0" w:noHBand="0" w:noVBand="1" w:val="04A0"/>
      </w:tblPr>
      <w:tblGrid>
        <w:gridCol w:w="4968"/>
        <w:gridCol w:w="4968"/>
      </w:tblGrid>
      <w:tr>
        <w:tc>
          <w:tcPr>
            <w:tcW w:type="dxa" w:w="3744"/>
            <w:shd w:val="clear" w:fill="1C3A36"/>
          </w:tcPr>
          <w:p>
            <w:pPr>
              <w:spacing w:line="264" w:lineRule="auto"/>
            </w:pPr>
            <w:r>
              <w:rPr>
                <w:b/>
                <w:i w:val="0"/>
                <w:color w:val="FFFFFF"/>
                <w:sz w:val="18"/>
              </w:rPr>
              <w:t>Indicator</w:t>
            </w:r>
          </w:p>
        </w:tc>
        <w:tc>
          <w:tcPr>
            <w:tcW w:type="dxa" w:w="6048"/>
            <w:shd w:val="clear" w:fill="1C3A36"/>
          </w:tcPr>
          <w:p>
            <w:pPr>
              <w:spacing w:line="264" w:lineRule="auto"/>
              <w:jc w:val="right"/>
            </w:pPr>
            <w:r>
              <w:rPr>
                <w:b/>
                <w:i w:val="0"/>
                <w:color w:val="FFFFFF"/>
                <w:sz w:val="18"/>
              </w:rPr>
              <w:t>Reading</w:t>
            </w:r>
          </w:p>
        </w:tc>
      </w:tr>
      <w:tr>
        <w:tc>
          <w:tcPr>
            <w:tcW w:type="dxa" w:w="3744"/>
          </w:tcPr>
          <w:p>
            <w:pPr>
              <w:spacing w:line="264" w:lineRule="auto"/>
            </w:pPr>
            <w:r>
              <w:rPr>
                <w:b w:val="0"/>
                <w:i w:val="0"/>
                <w:color w:val="1C3A36"/>
                <w:sz w:val="18"/>
              </w:rPr>
              <w:t>Spot</w:t>
            </w:r>
          </w:p>
        </w:tc>
        <w:tc>
          <w:tcPr>
            <w:tcW w:type="dxa" w:w="6048"/>
          </w:tcPr>
          <w:p>
            <w:pPr>
              <w:spacing w:line="264" w:lineRule="auto"/>
              <w:jc w:val="right"/>
            </w:pPr>
            <w:r>
              <w:rPr>
                <w:b w:val="0"/>
                <w:i w:val="0"/>
                <w:sz w:val="18"/>
              </w:rPr>
              <w:t>EGP 18.40</w:t>
            </w:r>
          </w:p>
        </w:tc>
      </w:tr>
      <w:tr>
        <w:tc>
          <w:tcPr>
            <w:tcW w:type="dxa" w:w="3744"/>
            <w:shd w:val="clear" w:fill="EFF3F1"/>
          </w:tcPr>
          <w:p>
            <w:pPr>
              <w:spacing w:line="264" w:lineRule="auto"/>
            </w:pPr>
            <w:r>
              <w:rPr>
                <w:b w:val="0"/>
                <w:i w:val="0"/>
                <w:color w:val="1C3A36"/>
                <w:sz w:val="18"/>
              </w:rPr>
              <w:t>SMA 20 / 50 / 100 / 200</w:t>
            </w:r>
          </w:p>
        </w:tc>
        <w:tc>
          <w:tcPr>
            <w:tcW w:type="dxa" w:w="6048"/>
            <w:shd w:val="clear" w:fill="EFF3F1"/>
          </w:tcPr>
          <w:p>
            <w:pPr>
              <w:spacing w:line="264" w:lineRule="auto"/>
              <w:jc w:val="right"/>
            </w:pPr>
            <w:r>
              <w:rPr>
                <w:b w:val="0"/>
                <w:i w:val="0"/>
                <w:sz w:val="18"/>
              </w:rPr>
              <w:t>18.7 / 19.5 / 18.9 / 17.0</w:t>
            </w:r>
          </w:p>
        </w:tc>
      </w:tr>
      <w:tr>
        <w:tc>
          <w:tcPr>
            <w:tcW w:type="dxa" w:w="3744"/>
          </w:tcPr>
          <w:p>
            <w:pPr>
              <w:spacing w:line="264" w:lineRule="auto"/>
            </w:pPr>
            <w:r>
              <w:rPr>
                <w:b w:val="0"/>
                <w:i w:val="0"/>
                <w:color w:val="1C3A36"/>
                <w:sz w:val="18"/>
              </w:rPr>
              <w:t>RSI(14)</w:t>
            </w:r>
          </w:p>
        </w:tc>
        <w:tc>
          <w:tcPr>
            <w:tcW w:type="dxa" w:w="6048"/>
          </w:tcPr>
          <w:p>
            <w:pPr>
              <w:spacing w:line="264" w:lineRule="auto"/>
              <w:jc w:val="right"/>
            </w:pPr>
            <w:r>
              <w:rPr>
                <w:b w:val="0"/>
                <w:i w:val="0"/>
                <w:sz w:val="18"/>
              </w:rPr>
              <w:t>~55 (neutral)</w:t>
            </w:r>
          </w:p>
        </w:tc>
      </w:tr>
      <w:tr>
        <w:tc>
          <w:tcPr>
            <w:tcW w:type="dxa" w:w="3744"/>
            <w:shd w:val="clear" w:fill="EFF3F1"/>
          </w:tcPr>
          <w:p>
            <w:pPr>
              <w:spacing w:line="264" w:lineRule="auto"/>
            </w:pPr>
            <w:r>
              <w:rPr>
                <w:b w:val="0"/>
                <w:i w:val="0"/>
                <w:color w:val="1C3A36"/>
                <w:sz w:val="18"/>
              </w:rPr>
              <w:t>52-week range</w:t>
            </w:r>
          </w:p>
        </w:tc>
        <w:tc>
          <w:tcPr>
            <w:tcW w:type="dxa" w:w="6048"/>
            <w:shd w:val="clear" w:fill="EFF3F1"/>
          </w:tcPr>
          <w:p>
            <w:pPr>
              <w:spacing w:line="264" w:lineRule="auto"/>
              <w:jc w:val="right"/>
            </w:pPr>
            <w:r>
              <w:rPr>
                <w:b w:val="0"/>
                <w:i w:val="0"/>
                <w:sz w:val="18"/>
              </w:rPr>
              <w:t>EGP 11.06 - 21.25</w:t>
            </w:r>
          </w:p>
        </w:tc>
      </w:tr>
      <w:tr>
        <w:tc>
          <w:tcPr>
            <w:tcW w:type="dxa" w:w="3744"/>
          </w:tcPr>
          <w:p>
            <w:pPr>
              <w:spacing w:line="264" w:lineRule="auto"/>
            </w:pPr>
            <w:r>
              <w:rPr>
                <w:b w:val="0"/>
                <w:i w:val="0"/>
                <w:color w:val="1C3A36"/>
                <w:sz w:val="18"/>
              </w:rPr>
              <w:t>Structure</w:t>
            </w:r>
          </w:p>
        </w:tc>
        <w:tc>
          <w:tcPr>
            <w:tcW w:type="dxa" w:w="6048"/>
          </w:tcPr>
          <w:p>
            <w:pPr>
              <w:spacing w:line="264" w:lineRule="auto"/>
              <w:jc w:val="right"/>
            </w:pPr>
            <w:r>
              <w:rPr>
                <w:b w:val="0"/>
                <w:i w:val="0"/>
                <w:sz w:val="18"/>
              </w:rPr>
              <w:t>Below 20/50-day, above rising 200-day</w:t>
            </w:r>
          </w:p>
        </w:tc>
      </w:tr>
    </w:tbl>
    <w:p>
      <w:pPr>
        <w:spacing w:after="40"/>
      </w:pPr>
    </w:p>
    <w:p>
      <w:pPr>
        <w:jc w:val="center"/>
      </w:pPr>
      <w:r>
        <w:drawing>
          <wp:inline xmlns:a="http://schemas.openxmlformats.org/drawingml/2006/main" xmlns:pic="http://schemas.openxmlformats.org/drawingml/2006/picture">
            <wp:extent cx="6035040" cy="2326851"/>
            <wp:docPr id="2" name="Picture 2"/>
            <wp:cNvGraphicFramePr>
              <a:graphicFrameLocks noChangeAspect="1"/>
            </wp:cNvGraphicFramePr>
            <a:graphic>
              <a:graphicData uri="http://schemas.openxmlformats.org/drawingml/2006/picture">
                <pic:pic>
                  <pic:nvPicPr>
                    <pic:cNvPr id="0" name="FWRY_mastack.png"/>
                    <pic:cNvPicPr/>
                  </pic:nvPicPr>
                  <pic:blipFill>
                    <a:blip r:embed="rId10"/>
                    <a:stretch>
                      <a:fillRect/>
                    </a:stretch>
                  </pic:blipFill>
                  <pic:spPr>
                    <a:xfrm>
                      <a:off x="0" y="0"/>
                      <a:ext cx="6035040" cy="2326851"/>
                    </a:xfrm>
                    <a:prstGeom prst="rect"/>
                  </pic:spPr>
                </pic:pic>
              </a:graphicData>
            </a:graphic>
          </wp:inline>
        </w:drawing>
      </w:r>
    </w:p>
    <w:p>
      <w:pPr>
        <w:spacing w:line="264" w:lineRule="auto"/>
        <w:jc w:val="center"/>
      </w:pPr>
      <w:r>
        <w:rPr>
          <w:b w:val="0"/>
          <w:i/>
          <w:color w:val="666666"/>
          <w:sz w:val="16"/>
        </w:rPr>
        <w:t>Price vs moving-average stack (last 260 sessions)</w:t>
      </w:r>
    </w:p>
    <w:p>
      <w:pPr>
        <w:spacing w:before="160" w:after="120" w:line="264" w:lineRule="auto"/>
      </w:pPr>
      <w:r>
        <w:rPr>
          <w:b/>
          <w:i w:val="0"/>
          <w:color w:val="1C3A36"/>
          <w:sz w:val="30"/>
        </w:rPr>
        <w:t>3  Monte Carlo - a probabilistic price map</w:t>
      </w:r>
    </w:p>
    <w:p>
      <w:pPr>
        <w:spacing w:after="120" w:line="264" w:lineRule="auto"/>
      </w:pPr>
      <w:r>
        <w:rPr>
          <w:b w:val="0"/>
          <w:i w:val="0"/>
          <w:sz w:val="21"/>
        </w:rPr>
        <w:t>Paths diffuse from spot; the §1 value gap is kept out of the drift, so the three lenses stay independent. 16-factor model - 7 continuous + 9 discrete - 50,000 paths, seed 42.</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2304"/>
            <w:shd w:val="clear" w:fill="1C3A36"/>
          </w:tcPr>
          <w:p>
            <w:pPr>
              <w:spacing w:line="264" w:lineRule="auto"/>
            </w:pPr>
            <w:r>
              <w:rPr>
                <w:b/>
                <w:i w:val="0"/>
                <w:color w:val="FFFFFF"/>
                <w:sz w:val="18"/>
              </w:rPr>
              <w:t>Horizon</w:t>
            </w:r>
          </w:p>
        </w:tc>
        <w:tc>
          <w:tcPr>
            <w:tcW w:type="dxa" w:w="1440"/>
            <w:shd w:val="clear" w:fill="1C3A36"/>
          </w:tcPr>
          <w:p>
            <w:pPr>
              <w:spacing w:line="264" w:lineRule="auto"/>
              <w:jc w:val="right"/>
            </w:pPr>
            <w:r>
              <w:rPr>
                <w:b/>
                <w:i w:val="0"/>
                <w:color w:val="FFFFFF"/>
                <w:sz w:val="18"/>
              </w:rPr>
              <w:t>P5</w:t>
            </w:r>
          </w:p>
        </w:tc>
        <w:tc>
          <w:tcPr>
            <w:tcW w:type="dxa" w:w="1440"/>
            <w:shd w:val="clear" w:fill="1C3A36"/>
          </w:tcPr>
          <w:p>
            <w:pPr>
              <w:spacing w:line="264" w:lineRule="auto"/>
              <w:jc w:val="right"/>
            </w:pPr>
            <w:r>
              <w:rPr>
                <w:b/>
                <w:i w:val="0"/>
                <w:color w:val="FFFFFF"/>
                <w:sz w:val="18"/>
              </w:rPr>
              <w:t>P25</w:t>
            </w:r>
          </w:p>
        </w:tc>
        <w:tc>
          <w:tcPr>
            <w:tcW w:type="dxa" w:w="1440"/>
            <w:shd w:val="clear" w:fill="1C3A36"/>
          </w:tcPr>
          <w:p>
            <w:pPr>
              <w:spacing w:line="264" w:lineRule="auto"/>
              <w:jc w:val="right"/>
            </w:pPr>
            <w:r>
              <w:rPr>
                <w:b/>
                <w:i w:val="0"/>
                <w:color w:val="FFFFFF"/>
                <w:sz w:val="18"/>
              </w:rPr>
              <w:t>P50</w:t>
            </w:r>
          </w:p>
        </w:tc>
        <w:tc>
          <w:tcPr>
            <w:tcW w:type="dxa" w:w="1440"/>
            <w:shd w:val="clear" w:fill="1C3A36"/>
          </w:tcPr>
          <w:p>
            <w:pPr>
              <w:spacing w:line="264" w:lineRule="auto"/>
              <w:jc w:val="right"/>
            </w:pPr>
            <w:r>
              <w:rPr>
                <w:b/>
                <w:i w:val="0"/>
                <w:color w:val="FFFFFF"/>
                <w:sz w:val="18"/>
              </w:rPr>
              <w:t>P75</w:t>
            </w:r>
          </w:p>
        </w:tc>
        <w:tc>
          <w:tcPr>
            <w:tcW w:type="dxa" w:w="1440"/>
            <w:shd w:val="clear" w:fill="1C3A36"/>
          </w:tcPr>
          <w:p>
            <w:pPr>
              <w:spacing w:line="264" w:lineRule="auto"/>
              <w:jc w:val="right"/>
            </w:pPr>
            <w:r>
              <w:rPr>
                <w:b/>
                <w:i w:val="0"/>
                <w:color w:val="FFFFFF"/>
                <w:sz w:val="18"/>
              </w:rPr>
              <w:t>P95</w:t>
            </w:r>
          </w:p>
        </w:tc>
      </w:tr>
      <w:tr>
        <w:tc>
          <w:tcPr>
            <w:tcW w:type="dxa" w:w="2304"/>
          </w:tcPr>
          <w:p>
            <w:pPr>
              <w:spacing w:line="264" w:lineRule="auto"/>
            </w:pPr>
            <w:r>
              <w:rPr>
                <w:b w:val="0"/>
                <w:i w:val="0"/>
                <w:color w:val="1C3A36"/>
                <w:sz w:val="18"/>
              </w:rPr>
              <w:t>T+20</w:t>
            </w:r>
          </w:p>
        </w:tc>
        <w:tc>
          <w:tcPr>
            <w:tcW w:type="dxa" w:w="1440"/>
          </w:tcPr>
          <w:p>
            <w:pPr>
              <w:spacing w:line="264" w:lineRule="auto"/>
              <w:jc w:val="right"/>
            </w:pPr>
            <w:r>
              <w:rPr>
                <w:b w:val="0"/>
                <w:i w:val="0"/>
                <w:sz w:val="18"/>
              </w:rPr>
              <w:t>15</w:t>
            </w:r>
          </w:p>
        </w:tc>
        <w:tc>
          <w:tcPr>
            <w:tcW w:type="dxa" w:w="1440"/>
          </w:tcPr>
          <w:p>
            <w:pPr>
              <w:spacing w:line="264" w:lineRule="auto"/>
              <w:jc w:val="right"/>
            </w:pPr>
            <w:r>
              <w:rPr>
                <w:b w:val="0"/>
                <w:i w:val="0"/>
                <w:sz w:val="18"/>
              </w:rPr>
              <w:t>17</w:t>
            </w:r>
          </w:p>
        </w:tc>
        <w:tc>
          <w:tcPr>
            <w:tcW w:type="dxa" w:w="1440"/>
          </w:tcPr>
          <w:p>
            <w:pPr>
              <w:spacing w:line="264" w:lineRule="auto"/>
              <w:jc w:val="right"/>
            </w:pPr>
            <w:r>
              <w:rPr>
                <w:b w:val="0"/>
                <w:i w:val="0"/>
                <w:sz w:val="18"/>
              </w:rPr>
              <w:t>19</w:t>
            </w:r>
          </w:p>
        </w:tc>
        <w:tc>
          <w:tcPr>
            <w:tcW w:type="dxa" w:w="1440"/>
          </w:tcPr>
          <w:p>
            <w:pPr>
              <w:spacing w:line="264" w:lineRule="auto"/>
              <w:jc w:val="right"/>
            </w:pPr>
            <w:r>
              <w:rPr>
                <w:b w:val="0"/>
                <w:i w:val="0"/>
                <w:sz w:val="18"/>
              </w:rPr>
              <w:t>20</w:t>
            </w:r>
          </w:p>
        </w:tc>
        <w:tc>
          <w:tcPr>
            <w:tcW w:type="dxa" w:w="1440"/>
          </w:tcPr>
          <w:p>
            <w:pPr>
              <w:spacing w:line="264" w:lineRule="auto"/>
              <w:jc w:val="right"/>
            </w:pPr>
            <w:r>
              <w:rPr>
                <w:b w:val="0"/>
                <w:i w:val="0"/>
                <w:sz w:val="18"/>
              </w:rPr>
              <w:t>23</w:t>
            </w:r>
          </w:p>
        </w:tc>
      </w:tr>
      <w:tr>
        <w:tc>
          <w:tcPr>
            <w:tcW w:type="dxa" w:w="2304"/>
            <w:shd w:val="clear" w:fill="EFF3F1"/>
          </w:tcPr>
          <w:p>
            <w:pPr>
              <w:spacing w:line="264" w:lineRule="auto"/>
            </w:pPr>
            <w:r>
              <w:rPr>
                <w:b w:val="0"/>
                <w:i w:val="0"/>
                <w:color w:val="1C3A36"/>
                <w:sz w:val="18"/>
              </w:rPr>
              <w:t>T+60</w:t>
            </w:r>
          </w:p>
        </w:tc>
        <w:tc>
          <w:tcPr>
            <w:tcW w:type="dxa" w:w="1440"/>
            <w:shd w:val="clear" w:fill="EFF3F1"/>
          </w:tcPr>
          <w:p>
            <w:pPr>
              <w:spacing w:line="264" w:lineRule="auto"/>
              <w:jc w:val="right"/>
            </w:pPr>
            <w:r>
              <w:rPr>
                <w:b w:val="0"/>
                <w:i w:val="0"/>
                <w:sz w:val="18"/>
              </w:rPr>
              <w:t>14</w:t>
            </w:r>
          </w:p>
        </w:tc>
        <w:tc>
          <w:tcPr>
            <w:tcW w:type="dxa" w:w="1440"/>
            <w:shd w:val="clear" w:fill="EFF3F1"/>
          </w:tcPr>
          <w:p>
            <w:pPr>
              <w:spacing w:line="264" w:lineRule="auto"/>
              <w:jc w:val="right"/>
            </w:pPr>
            <w:r>
              <w:rPr>
                <w:b w:val="0"/>
                <w:i w:val="0"/>
                <w:sz w:val="18"/>
              </w:rPr>
              <w:t>17</w:t>
            </w:r>
          </w:p>
        </w:tc>
        <w:tc>
          <w:tcPr>
            <w:tcW w:type="dxa" w:w="1440"/>
            <w:shd w:val="clear" w:fill="EFF3F1"/>
          </w:tcPr>
          <w:p>
            <w:pPr>
              <w:spacing w:line="264" w:lineRule="auto"/>
              <w:jc w:val="right"/>
            </w:pPr>
            <w:r>
              <w:rPr>
                <w:b w:val="0"/>
                <w:i w:val="0"/>
                <w:sz w:val="18"/>
              </w:rPr>
              <w:t>19</w:t>
            </w:r>
          </w:p>
        </w:tc>
        <w:tc>
          <w:tcPr>
            <w:tcW w:type="dxa" w:w="1440"/>
            <w:shd w:val="clear" w:fill="EFF3F1"/>
          </w:tcPr>
          <w:p>
            <w:pPr>
              <w:spacing w:line="264" w:lineRule="auto"/>
              <w:jc w:val="right"/>
            </w:pPr>
            <w:r>
              <w:rPr>
                <w:b w:val="0"/>
                <w:i w:val="0"/>
                <w:sz w:val="18"/>
              </w:rPr>
              <w:t>22</w:t>
            </w:r>
          </w:p>
        </w:tc>
        <w:tc>
          <w:tcPr>
            <w:tcW w:type="dxa" w:w="1440"/>
            <w:shd w:val="clear" w:fill="EFF3F1"/>
          </w:tcPr>
          <w:p>
            <w:pPr>
              <w:spacing w:line="264" w:lineRule="auto"/>
              <w:jc w:val="right"/>
            </w:pPr>
            <w:r>
              <w:rPr>
                <w:b w:val="0"/>
                <w:i w:val="0"/>
                <w:sz w:val="18"/>
              </w:rPr>
              <w:t>27</w:t>
            </w:r>
          </w:p>
        </w:tc>
      </w:tr>
    </w:tbl>
    <w:p>
      <w:pPr>
        <w:spacing w:after="40"/>
      </w:pPr>
    </w:p>
    <w:p>
      <w:pPr>
        <w:jc w:val="center"/>
      </w:pPr>
      <w:r>
        <w:drawing>
          <wp:inline xmlns:a="http://schemas.openxmlformats.org/drawingml/2006/main" xmlns:pic="http://schemas.openxmlformats.org/drawingml/2006/picture">
            <wp:extent cx="5943600" cy="2809053"/>
            <wp:docPr id="3" name="Picture 3"/>
            <wp:cNvGraphicFramePr>
              <a:graphicFrameLocks noChangeAspect="1"/>
            </wp:cNvGraphicFramePr>
            <a:graphic>
              <a:graphicData uri="http://schemas.openxmlformats.org/drawingml/2006/picture">
                <pic:pic>
                  <pic:nvPicPr>
                    <pic:cNvPr id="0" name="FWRY_fan.png"/>
                    <pic:cNvPicPr/>
                  </pic:nvPicPr>
                  <pic:blipFill>
                    <a:blip r:embed="rId11"/>
                    <a:stretch>
                      <a:fillRect/>
                    </a:stretch>
                  </pic:blipFill>
                  <pic:spPr>
                    <a:xfrm>
                      <a:off x="0" y="0"/>
                      <a:ext cx="5943600" cy="2809053"/>
                    </a:xfrm>
                    <a:prstGeom prst="rect"/>
                  </pic:spPr>
                </pic:pic>
              </a:graphicData>
            </a:graphic>
          </wp:inline>
        </w:drawing>
      </w:r>
    </w:p>
    <w:p>
      <w:pPr>
        <w:spacing w:line="264" w:lineRule="auto"/>
        <w:jc w:val="center"/>
      </w:pPr>
      <w:r>
        <w:rPr>
          <w:b w:val="0"/>
          <w:i/>
          <w:color w:val="666666"/>
          <w:sz w:val="16"/>
        </w:rPr>
        <w:t>Forward price cone (3 months)</w:t>
      </w:r>
    </w:p>
    <w:p>
      <w:pPr>
        <w:jc w:val="center"/>
      </w:pPr>
      <w:r>
        <w:drawing>
          <wp:inline xmlns:a="http://schemas.openxmlformats.org/drawingml/2006/main" xmlns:pic="http://schemas.openxmlformats.org/drawingml/2006/picture">
            <wp:extent cx="4937760" cy="2824565"/>
            <wp:docPr id="4" name="Picture 4"/>
            <wp:cNvGraphicFramePr>
              <a:graphicFrameLocks noChangeAspect="1"/>
            </wp:cNvGraphicFramePr>
            <a:graphic>
              <a:graphicData uri="http://schemas.openxmlformats.org/drawingml/2006/picture">
                <pic:pic>
                  <pic:nvPicPr>
                    <pic:cNvPr id="0" name="FWRY_dist20.png"/>
                    <pic:cNvPicPr/>
                  </pic:nvPicPr>
                  <pic:blipFill>
                    <a:blip r:embed="rId12"/>
                    <a:stretch>
                      <a:fillRect/>
                    </a:stretch>
                  </pic:blipFill>
                  <pic:spPr>
                    <a:xfrm>
                      <a:off x="0" y="0"/>
                      <a:ext cx="4937760" cy="2824565"/>
                    </a:xfrm>
                    <a:prstGeom prst="rect"/>
                  </pic:spPr>
                </pic:pic>
              </a:graphicData>
            </a:graphic>
          </wp:inline>
        </w:drawing>
      </w:r>
    </w:p>
    <w:p>
      <w:pPr>
        <w:spacing w:line="264" w:lineRule="auto"/>
        <w:jc w:val="center"/>
      </w:pPr>
      <w:r>
        <w:rPr>
          <w:b w:val="0"/>
          <w:i/>
          <w:color w:val="666666"/>
          <w:sz w:val="16"/>
        </w:rPr>
        <w:t>Price distribution at T+20</w:t>
      </w:r>
    </w:p>
    <w:p>
      <w:pPr>
        <w:jc w:val="center"/>
      </w:pPr>
      <w:r>
        <w:drawing>
          <wp:inline xmlns:a="http://schemas.openxmlformats.org/drawingml/2006/main" xmlns:pic="http://schemas.openxmlformats.org/drawingml/2006/picture">
            <wp:extent cx="4937760" cy="2824565"/>
            <wp:docPr id="5" name="Picture 5"/>
            <wp:cNvGraphicFramePr>
              <a:graphicFrameLocks noChangeAspect="1"/>
            </wp:cNvGraphicFramePr>
            <a:graphic>
              <a:graphicData uri="http://schemas.openxmlformats.org/drawingml/2006/picture">
                <pic:pic>
                  <pic:nvPicPr>
                    <pic:cNvPr id="0" name="FWRY_dist60.png"/>
                    <pic:cNvPicPr/>
                  </pic:nvPicPr>
                  <pic:blipFill>
                    <a:blip r:embed="rId13"/>
                    <a:stretch>
                      <a:fillRect/>
                    </a:stretch>
                  </pic:blipFill>
                  <pic:spPr>
                    <a:xfrm>
                      <a:off x="0" y="0"/>
                      <a:ext cx="4937760" cy="2824565"/>
                    </a:xfrm>
                    <a:prstGeom prst="rect"/>
                  </pic:spPr>
                </pic:pic>
              </a:graphicData>
            </a:graphic>
          </wp:inline>
        </w:drawing>
      </w:r>
    </w:p>
    <w:p>
      <w:pPr>
        <w:spacing w:line="264" w:lineRule="auto"/>
        <w:jc w:val="center"/>
      </w:pPr>
      <w:r>
        <w:rPr>
          <w:b w:val="0"/>
          <w:i/>
          <w:color w:val="666666"/>
          <w:sz w:val="16"/>
        </w:rPr>
        <w:t>Price distribution at T+60</w:t>
      </w:r>
    </w:p>
    <w:p>
      <w:pPr>
        <w:jc w:val="center"/>
      </w:pPr>
      <w:r>
        <w:drawing>
          <wp:inline xmlns:a="http://schemas.openxmlformats.org/drawingml/2006/main" xmlns:pic="http://schemas.openxmlformats.org/drawingml/2006/picture">
            <wp:extent cx="5669280" cy="3128257"/>
            <wp:docPr id="6" name="Picture 6"/>
            <wp:cNvGraphicFramePr>
              <a:graphicFrameLocks noChangeAspect="1"/>
            </wp:cNvGraphicFramePr>
            <a:graphic>
              <a:graphicData uri="http://schemas.openxmlformats.org/drawingml/2006/picture">
                <pic:pic>
                  <pic:nvPicPr>
                    <pic:cNvPr id="0" name="FWRY_touch.png"/>
                    <pic:cNvPicPr/>
                  </pic:nvPicPr>
                  <pic:blipFill>
                    <a:blip r:embed="rId14"/>
                    <a:stretch>
                      <a:fillRect/>
                    </a:stretch>
                  </pic:blipFill>
                  <pic:spPr>
                    <a:xfrm>
                      <a:off x="0" y="0"/>
                      <a:ext cx="5669280" cy="3128257"/>
                    </a:xfrm>
                    <a:prstGeom prst="rect"/>
                  </pic:spPr>
                </pic:pic>
              </a:graphicData>
            </a:graphic>
          </wp:inline>
        </w:drawing>
      </w:r>
    </w:p>
    <w:p>
      <w:pPr>
        <w:spacing w:line="264" w:lineRule="auto"/>
        <w:jc w:val="center"/>
      </w:pPr>
      <w:r>
        <w:rPr>
          <w:b w:val="0"/>
          <w:i/>
          <w:color w:val="666666"/>
          <w:sz w:val="16"/>
        </w:rPr>
        <w:t>Touch-probability ladder by T+60</w:t>
      </w:r>
    </w:p>
    <w:p>
      <w:pPr>
        <w:jc w:val="center"/>
      </w:pPr>
      <w:r>
        <w:drawing>
          <wp:inline xmlns:a="http://schemas.openxmlformats.org/drawingml/2006/main" xmlns:pic="http://schemas.openxmlformats.org/drawingml/2006/picture">
            <wp:extent cx="5669280" cy="3128257"/>
            <wp:docPr id="7" name="Picture 7"/>
            <wp:cNvGraphicFramePr>
              <a:graphicFrameLocks noChangeAspect="1"/>
            </wp:cNvGraphicFramePr>
            <a:graphic>
              <a:graphicData uri="http://schemas.openxmlformats.org/drawingml/2006/picture">
                <pic:pic>
                  <pic:nvPicPr>
                    <pic:cNvPr id="0" name="FWRY_touch20.png"/>
                    <pic:cNvPicPr/>
                  </pic:nvPicPr>
                  <pic:blipFill>
                    <a:blip r:embed="rId15"/>
                    <a:stretch>
                      <a:fillRect/>
                    </a:stretch>
                  </pic:blipFill>
                  <pic:spPr>
                    <a:xfrm>
                      <a:off x="0" y="0"/>
                      <a:ext cx="5669280" cy="3128257"/>
                    </a:xfrm>
                    <a:prstGeom prst="rect"/>
                  </pic:spPr>
                </pic:pic>
              </a:graphicData>
            </a:graphic>
          </wp:inline>
        </w:drawing>
      </w:r>
    </w:p>
    <w:p>
      <w:pPr>
        <w:spacing w:line="264" w:lineRule="auto"/>
        <w:jc w:val="center"/>
      </w:pPr>
      <w:r>
        <w:rPr>
          <w:b w:val="0"/>
          <w:i/>
          <w:color w:val="666666"/>
          <w:sz w:val="16"/>
        </w:rPr>
        <w:t>Touch-probability ladder by T+20</w:t>
      </w:r>
    </w:p>
    <w:p>
      <w:pPr>
        <w:spacing w:after="120" w:line="264" w:lineRule="auto"/>
      </w:pPr>
      <w:r>
        <w:rPr>
          <w:b w:val="0"/>
          <w:i w:val="0"/>
          <w:sz w:val="21"/>
        </w:rPr>
        <w:t>The distribution leans mildly higher (median 19.4 vs spot 18.40) with a fatter upside tail - P95 at EGP 26.6 versus P5 at 14.0 - reflecting the growth-momentum and rate-cut event factors.</w:t>
      </w:r>
    </w:p>
    <w:p>
      <w:pPr>
        <w:spacing w:after="120" w:line="264" w:lineRule="auto"/>
      </w:pPr>
      <w:r>
        <w:rPr>
          <w:b w:val="0"/>
          <w:i w:val="0"/>
          <w:sz w:val="21"/>
        </w:rPr>
        <w:t>Touch probabilities by T+60: EGP 18 ~79%, EGP 20 ~69%, EGP 22 ~41%; downside, EGP 16 ~34%. By T+20 the same levels run ~68%, ~42%, ~11% and ~14% - the near ladder is the far ladder compressed, with the asymmetry (up-levels likelier than equidistant down-levels) already visible at one month.</w:t>
      </w:r>
    </w:p>
    <w:p>
      <w:pPr>
        <w:spacing w:before="160" w:after="120" w:line="264" w:lineRule="auto"/>
      </w:pPr>
      <w:r>
        <w:rPr>
          <w:b/>
          <w:i w:val="0"/>
          <w:color w:val="1C3A36"/>
          <w:sz w:val="30"/>
        </w:rPr>
        <w:t>4  Comparison of the lenses, and a verdict</w:t>
      </w:r>
    </w:p>
    <w:p>
      <w:pPr>
        <w:spacing w:after="120" w:line="264" w:lineRule="auto"/>
      </w:pPr>
      <w:r>
        <w:rPr>
          <w:b w:val="0"/>
          <w:i w:val="0"/>
          <w:sz w:val="21"/>
        </w:rPr>
        <w:t>The lenses split cleanly by what they pay for: audited cash flows discounted at Egyptian rates (DCF 11.5, quality-of-earnings ~10.5) sit far below spot; growth-respecting lenses (normalized 15, SOTP 16.4) close half the gap; only the market-multiple lens (20.3) clears the price. Weighted central ~EGP 14.7 vs spot 18.40.</w:t>
      </w:r>
    </w:p>
    <w:p>
      <w:pPr>
        <w:spacing w:after="120" w:line="264" w:lineRule="auto"/>
      </w:pPr>
      <w:r>
        <w:rPr>
          <w:b w:val="0"/>
          <w:i w:val="0"/>
          <w:sz w:val="21"/>
        </w:rPr>
        <w:t>Verdict: a superb business trading roughly 25% above its blended fundamental value - fairly-to-richly valued, with the premium a live bet on CBE cuts plus margin and growth persistence, and the distribution's own skew showing the market leaning the same way.</w:t>
      </w:r>
    </w:p>
    <w:p>
      <w:pPr>
        <w:spacing w:before="160" w:after="120" w:line="264" w:lineRule="auto"/>
      </w:pPr>
      <w:r>
        <w:rPr>
          <w:b/>
          <w:i w:val="0"/>
          <w:color w:val="1C3A36"/>
          <w:sz w:val="30"/>
        </w:rPr>
        <w:t>5  Catalysts to watch</w:t>
      </w:r>
    </w:p>
    <w:p>
      <w:pPr>
        <w:pStyle w:val="ListBullet"/>
        <w:spacing w:line="264" w:lineRule="auto"/>
      </w:pPr>
      <w:r>
        <w:rPr>
          <w:b w:val="0"/>
          <w:i w:val="0"/>
          <w:sz w:val="21"/>
        </w:rPr>
        <w:t>Quarterly results cadence - 2Q26 (mid-Aug 2026) is the next print; watch Financial-services growth and the loan book's asset quality.</w:t>
      </w:r>
    </w:p>
    <w:p>
      <w:pPr>
        <w:pStyle w:val="ListBullet"/>
        <w:spacing w:line="264" w:lineRule="auto"/>
      </w:pPr>
      <w:r>
        <w:rPr>
          <w:b w:val="0"/>
          <w:i w:val="0"/>
          <w:sz w:val="21"/>
        </w:rPr>
        <w:t>CBE rate decisions - each cut re-rates the multiple and compresses float income; the single biggest swing.</w:t>
      </w:r>
    </w:p>
    <w:p>
      <w:pPr>
        <w:pStyle w:val="ListBullet"/>
        <w:spacing w:line="264" w:lineRule="auto"/>
      </w:pPr>
      <w:r>
        <w:rPr>
          <w:b w:val="0"/>
          <w:i w:val="0"/>
          <w:sz w:val="21"/>
        </w:rPr>
        <w:t>Soft POS commercial rollout following the CBE's February 2026 launch, and neobanking licensing progress.</w:t>
      </w:r>
    </w:p>
    <w:p>
      <w:pPr>
        <w:pStyle w:val="ListBullet"/>
        <w:spacing w:line="264" w:lineRule="auto"/>
      </w:pPr>
      <w:r>
        <w:rPr>
          <w:b w:val="0"/>
          <w:i w:val="0"/>
          <w:sz w:val="21"/>
        </w:rPr>
        <w:t>Take-rate evidence versus free InstaPay rails and bank apps in the ADP segment.</w:t>
      </w:r>
    </w:p>
    <w:p>
      <w:pPr>
        <w:pStyle w:val="ListBullet"/>
        <w:spacing w:line="264" w:lineRule="auto"/>
      </w:pPr>
      <w:r>
        <w:rPr>
          <w:b w:val="0"/>
          <w:i w:val="0"/>
          <w:sz w:val="21"/>
        </w:rPr>
        <w:t>Any first dividend or capital-return signal from the growing cash generation.</w:t>
      </w:r>
    </w:p>
    <w:p>
      <w:pPr>
        <w:spacing w:before="160" w:after="120" w:line="264" w:lineRule="auto"/>
      </w:pPr>
      <w:r>
        <w:rPr>
          <w:b/>
          <w:i w:val="0"/>
          <w:color w:val="1C3A36"/>
          <w:sz w:val="30"/>
        </w:rPr>
        <w:t>6  Reading the probability zones</w:t>
      </w:r>
    </w:p>
    <w:p>
      <w:pPr>
        <w:spacing w:after="120" w:line="264" w:lineRule="auto"/>
      </w:pPr>
      <w:r>
        <w:rPr>
          <w:b w:val="0"/>
          <w:i w:val="0"/>
          <w:sz w:val="21"/>
        </w:rPr>
        <w:t>Below ~EGP 14 (P5-P25) the stock is cheap on every lens including the strict DCF - the zone where the rate-cycle bet is free. EGP 14.5-16.5 is the weighted fundamental band. EGP 17-22 (the P25-P75 band, containing spot) is priced for continued execution plus the start of easing. Above ~EGP 26.6 (P95) requires blow-out growth and deep cuts together - a demanding pair.</w:t>
      </w:r>
    </w:p>
    <w:tbl>
      <w:tblPr>
        <w:tblStyle w:val="TableGrid"/>
        <w:tblW w:type="auto" w:w="0"/>
        <w:tblLook w:firstColumn="1" w:firstRow="1" w:lastColumn="0" w:lastRow="0" w:noHBand="0" w:noVBand="1" w:val="04A0"/>
      </w:tblPr>
      <w:tblGrid>
        <w:gridCol w:w="3312"/>
        <w:gridCol w:w="3312"/>
        <w:gridCol w:w="3312"/>
      </w:tblGrid>
      <w:tr>
        <w:tc>
          <w:tcPr>
            <w:tcW w:type="dxa" w:w="2160"/>
            <w:shd w:val="clear" w:fill="1C3A36"/>
          </w:tcPr>
          <w:p>
            <w:pPr>
              <w:spacing w:line="264" w:lineRule="auto"/>
            </w:pPr>
            <w:r>
              <w:rPr>
                <w:b/>
                <w:i w:val="0"/>
                <w:color w:val="FFFFFF"/>
                <w:sz w:val="18"/>
              </w:rPr>
              <w:t>Zone</w:t>
            </w:r>
          </w:p>
        </w:tc>
        <w:tc>
          <w:tcPr>
            <w:tcW w:type="dxa" w:w="2304"/>
            <w:shd w:val="clear" w:fill="1C3A36"/>
          </w:tcPr>
          <w:p>
            <w:pPr>
              <w:spacing w:line="264" w:lineRule="auto"/>
              <w:jc w:val="right"/>
            </w:pPr>
            <w:r>
              <w:rPr>
                <w:b/>
                <w:i w:val="0"/>
                <w:color w:val="FFFFFF"/>
                <w:sz w:val="18"/>
              </w:rPr>
              <w:t>Range (EGP)</w:t>
            </w:r>
          </w:p>
        </w:tc>
        <w:tc>
          <w:tcPr>
            <w:tcW w:type="dxa" w:w="5616"/>
            <w:shd w:val="clear" w:fill="1C3A36"/>
          </w:tcPr>
          <w:p>
            <w:pPr>
              <w:spacing w:line="264" w:lineRule="auto"/>
              <w:jc w:val="right"/>
            </w:pPr>
            <w:r>
              <w:rPr>
                <w:b/>
                <w:i w:val="0"/>
                <w:color w:val="FFFFFF"/>
                <w:sz w:val="18"/>
              </w:rPr>
              <w:t>What it means</w:t>
            </w:r>
          </w:p>
        </w:tc>
      </w:tr>
      <w:tr>
        <w:tc>
          <w:tcPr>
            <w:tcW w:type="dxa" w:w="2160"/>
          </w:tcPr>
          <w:p>
            <w:pPr>
              <w:spacing w:line="264" w:lineRule="auto"/>
            </w:pPr>
            <w:r>
              <w:rPr>
                <w:b w:val="0"/>
                <w:i w:val="0"/>
                <w:color w:val="1C3A36"/>
                <w:sz w:val="18"/>
              </w:rPr>
              <w:t>Cheap on all lenses</w:t>
            </w:r>
          </w:p>
        </w:tc>
        <w:tc>
          <w:tcPr>
            <w:tcW w:type="dxa" w:w="2304"/>
          </w:tcPr>
          <w:p>
            <w:pPr>
              <w:spacing w:line="264" w:lineRule="auto"/>
              <w:jc w:val="right"/>
            </w:pPr>
            <w:r>
              <w:rPr>
                <w:b w:val="0"/>
                <w:i w:val="0"/>
                <w:sz w:val="18"/>
              </w:rPr>
              <w:t>&lt; 14</w:t>
            </w:r>
          </w:p>
        </w:tc>
        <w:tc>
          <w:tcPr>
            <w:tcW w:type="dxa" w:w="5616"/>
          </w:tcPr>
          <w:p>
            <w:pPr>
              <w:spacing w:line="264" w:lineRule="auto"/>
              <w:jc w:val="right"/>
            </w:pPr>
            <w:r>
              <w:rPr>
                <w:b w:val="0"/>
                <w:i w:val="0"/>
                <w:sz w:val="18"/>
              </w:rPr>
              <w:t>P5-P25; below even the strict DCF</w:t>
            </w:r>
          </w:p>
        </w:tc>
      </w:tr>
      <w:tr>
        <w:tc>
          <w:tcPr>
            <w:tcW w:type="dxa" w:w="2160"/>
            <w:shd w:val="clear" w:fill="EFF3F1"/>
          </w:tcPr>
          <w:p>
            <w:pPr>
              <w:spacing w:line="264" w:lineRule="auto"/>
            </w:pPr>
            <w:r>
              <w:rPr>
                <w:b w:val="0"/>
                <w:i w:val="0"/>
                <w:color w:val="1C3A36"/>
                <w:sz w:val="18"/>
              </w:rPr>
              <w:t>Weighted fundamental band</w:t>
            </w:r>
          </w:p>
        </w:tc>
        <w:tc>
          <w:tcPr>
            <w:tcW w:type="dxa" w:w="2304"/>
            <w:shd w:val="clear" w:fill="EFF3F1"/>
          </w:tcPr>
          <w:p>
            <w:pPr>
              <w:spacing w:line="264" w:lineRule="auto"/>
              <w:jc w:val="right"/>
            </w:pPr>
            <w:r>
              <w:rPr>
                <w:b w:val="0"/>
                <w:i w:val="0"/>
                <w:sz w:val="18"/>
              </w:rPr>
              <w:t>14.5 - 16.5</w:t>
            </w:r>
          </w:p>
        </w:tc>
        <w:tc>
          <w:tcPr>
            <w:tcW w:type="dxa" w:w="5616"/>
            <w:shd w:val="clear" w:fill="EFF3F1"/>
          </w:tcPr>
          <w:p>
            <w:pPr>
              <w:spacing w:line="264" w:lineRule="auto"/>
              <w:jc w:val="right"/>
            </w:pPr>
            <w:r>
              <w:rPr>
                <w:b w:val="0"/>
                <w:i w:val="0"/>
                <w:sz w:val="18"/>
              </w:rPr>
              <w:t>DCF, SOTP and normalized interleave</w:t>
            </w:r>
          </w:p>
        </w:tc>
      </w:tr>
      <w:tr>
        <w:tc>
          <w:tcPr>
            <w:tcW w:type="dxa" w:w="2160"/>
          </w:tcPr>
          <w:p>
            <w:pPr>
              <w:spacing w:line="264" w:lineRule="auto"/>
            </w:pPr>
            <w:r>
              <w:rPr>
                <w:b w:val="0"/>
                <w:i w:val="0"/>
                <w:color w:val="1C3A36"/>
                <w:sz w:val="18"/>
              </w:rPr>
              <w:t>Execution + easing priced</w:t>
            </w:r>
          </w:p>
        </w:tc>
        <w:tc>
          <w:tcPr>
            <w:tcW w:type="dxa" w:w="2304"/>
          </w:tcPr>
          <w:p>
            <w:pPr>
              <w:spacing w:line="264" w:lineRule="auto"/>
              <w:jc w:val="right"/>
            </w:pPr>
            <w:r>
              <w:rPr>
                <w:b w:val="0"/>
                <w:i w:val="0"/>
                <w:sz w:val="18"/>
              </w:rPr>
              <w:t>17 - 22</w:t>
            </w:r>
          </w:p>
        </w:tc>
        <w:tc>
          <w:tcPr>
            <w:tcW w:type="dxa" w:w="5616"/>
          </w:tcPr>
          <w:p>
            <w:pPr>
              <w:spacing w:line="264" w:lineRule="auto"/>
              <w:jc w:val="right"/>
            </w:pPr>
            <w:r>
              <w:rPr>
                <w:b w:val="0"/>
                <w:i w:val="0"/>
                <w:sz w:val="18"/>
              </w:rPr>
              <w:t>P25-P75, contains spot</w:t>
            </w:r>
          </w:p>
        </w:tc>
      </w:tr>
      <w:tr>
        <w:tc>
          <w:tcPr>
            <w:tcW w:type="dxa" w:w="2160"/>
            <w:shd w:val="clear" w:fill="EFF3F1"/>
          </w:tcPr>
          <w:p>
            <w:pPr>
              <w:spacing w:line="264" w:lineRule="auto"/>
            </w:pPr>
            <w:r>
              <w:rPr>
                <w:b w:val="0"/>
                <w:i w:val="0"/>
                <w:color w:val="1C3A36"/>
                <w:sz w:val="18"/>
              </w:rPr>
              <w:t>Blow-out + deep cuts</w:t>
            </w:r>
          </w:p>
        </w:tc>
        <w:tc>
          <w:tcPr>
            <w:tcW w:type="dxa" w:w="2304"/>
            <w:shd w:val="clear" w:fill="EFF3F1"/>
          </w:tcPr>
          <w:p>
            <w:pPr>
              <w:spacing w:line="264" w:lineRule="auto"/>
              <w:jc w:val="right"/>
            </w:pPr>
            <w:r>
              <w:rPr>
                <w:b w:val="0"/>
                <w:i w:val="0"/>
                <w:sz w:val="18"/>
              </w:rPr>
              <w:t>&gt; 26.6</w:t>
            </w:r>
          </w:p>
        </w:tc>
        <w:tc>
          <w:tcPr>
            <w:tcW w:type="dxa" w:w="5616"/>
            <w:shd w:val="clear" w:fill="EFF3F1"/>
          </w:tcPr>
          <w:p>
            <w:pPr>
              <w:spacing w:line="264" w:lineRule="auto"/>
              <w:jc w:val="right"/>
            </w:pPr>
            <w:r>
              <w:rPr>
                <w:b w:val="0"/>
                <w:i w:val="0"/>
                <w:sz w:val="18"/>
              </w:rPr>
              <w:t>P95; demanding pair</w:t>
            </w:r>
          </w:p>
        </w:tc>
      </w:tr>
    </w:tbl>
    <w:p>
      <w:pPr>
        <w:spacing w:after="40"/>
      </w:pPr>
    </w:p>
    <w:p>
      <w:pPr>
        <w:spacing w:before="160" w:after="120" w:line="264" w:lineRule="auto"/>
      </w:pPr>
      <w:r>
        <w:rPr>
          <w:b/>
          <w:i w:val="0"/>
          <w:color w:val="1C3A36"/>
          <w:sz w:val="30"/>
        </w:rPr>
        <w:t>7  Caveats and what would change our mind</w:t>
      </w:r>
    </w:p>
    <w:p>
      <w:pPr>
        <w:spacing w:after="120" w:line="264" w:lineRule="auto"/>
      </w:pPr>
      <w:r>
        <w:rPr>
          <w:b w:val="0"/>
          <w:i w:val="0"/>
          <w:sz w:val="21"/>
        </w:rPr>
        <w:t>FY23 net income is derived from the company's disclosed +124.6% FY24 growth (after-NCI basis) rather than read directly; the D&amp;A/ESOP/provisions wedge, non-operating interest income, and most balance-sheet lines are estimates pending the EAS financial statements; attributable net cash of EGP 2 bn is a judgment; company-defined EBITDA is not audited operating profit - the wedge between them is the quality-of-earnings question Expert 2 prices; the 5.7 bn loan book carries credit risk not separately modelled; and the whole valuation is hostage to the CBE path, which is outside the model.</w:t>
      </w:r>
    </w:p>
    <w:p>
      <w:pPr>
        <w:spacing w:before="160" w:after="120" w:line="264" w:lineRule="auto"/>
      </w:pPr>
      <w:r>
        <w:rPr>
          <w:b/>
          <w:i w:val="0"/>
          <w:color w:val="1C3A36"/>
          <w:sz w:val="30"/>
        </w:rPr>
        <w:t>Appendix A  Financial statements</w:t>
      </w:r>
    </w:p>
    <w:p>
      <w:pPr>
        <w:spacing w:before="160" w:after="120" w:line="264" w:lineRule="auto"/>
      </w:pPr>
      <w:r>
        <w:rPr>
          <w:b/>
          <w:i w:val="0"/>
          <w:color w:val="1C3A36"/>
          <w:sz w:val="24"/>
        </w:rPr>
        <w:t>A.1  Income statement - 3 years historical + 5-year forecast</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line="264" w:lineRule="auto"/>
            </w:pPr>
            <w:r>
              <w:rPr>
                <w:b/>
                <w:i w:val="0"/>
                <w:color w:val="FFFFFF"/>
                <w:sz w:val="18"/>
              </w:rPr>
              <w:t>Line</w:t>
            </w:r>
          </w:p>
        </w:tc>
        <w:tc>
          <w:tcPr>
            <w:tcW w:type="dxa" w:w="893"/>
            <w:shd w:val="clear" w:fill="1C3A36"/>
          </w:tcPr>
          <w:p>
            <w:pPr>
              <w:spacing w:line="264" w:lineRule="auto"/>
              <w:jc w:val="right"/>
            </w:pPr>
            <w:r>
              <w:rPr>
                <w:b/>
                <w:i w:val="0"/>
                <w:color w:val="FFFFFF"/>
                <w:sz w:val="18"/>
              </w:rPr>
              <w:t>FY23</w:t>
            </w:r>
          </w:p>
        </w:tc>
        <w:tc>
          <w:tcPr>
            <w:tcW w:type="dxa" w:w="893"/>
            <w:shd w:val="clear" w:fill="1C3A36"/>
          </w:tcPr>
          <w:p>
            <w:pPr>
              <w:spacing w:line="264" w:lineRule="auto"/>
              <w:jc w:val="right"/>
            </w:pPr>
            <w:r>
              <w:rPr>
                <w:b/>
                <w:i w:val="0"/>
                <w:color w:val="FFFFFF"/>
                <w:sz w:val="18"/>
              </w:rPr>
              <w:t>FY24</w:t>
            </w:r>
          </w:p>
        </w:tc>
        <w:tc>
          <w:tcPr>
            <w:tcW w:type="dxa" w:w="893"/>
            <w:shd w:val="clear" w:fill="1C3A36"/>
          </w:tcPr>
          <w:p>
            <w:pPr>
              <w:spacing w:line="264" w:lineRule="auto"/>
              <w:jc w:val="right"/>
            </w:pPr>
            <w:r>
              <w:rPr>
                <w:b/>
                <w:i w:val="0"/>
                <w:color w:val="FFFFFF"/>
                <w:sz w:val="18"/>
              </w:rPr>
              <w:t>FY25</w:t>
            </w:r>
          </w:p>
        </w:tc>
        <w:tc>
          <w:tcPr>
            <w:tcW w:type="dxa" w:w="893"/>
            <w:shd w:val="clear" w:fill="1C3A36"/>
          </w:tcPr>
          <w:p>
            <w:pPr>
              <w:spacing w:line="264" w:lineRule="auto"/>
              <w:jc w:val="right"/>
            </w:pPr>
            <w:r>
              <w:rPr>
                <w:b/>
                <w:i w:val="0"/>
                <w:color w:val="FFFFFF"/>
                <w:sz w:val="18"/>
              </w:rPr>
              <w:t>FY26E</w:t>
            </w:r>
          </w:p>
        </w:tc>
        <w:tc>
          <w:tcPr>
            <w:tcW w:type="dxa" w:w="893"/>
            <w:shd w:val="clear" w:fill="1C3A36"/>
          </w:tcPr>
          <w:p>
            <w:pPr>
              <w:spacing w:line="264" w:lineRule="auto"/>
              <w:jc w:val="right"/>
            </w:pPr>
            <w:r>
              <w:rPr>
                <w:b/>
                <w:i w:val="0"/>
                <w:color w:val="FFFFFF"/>
                <w:sz w:val="18"/>
              </w:rPr>
              <w:t>FY27E</w:t>
            </w:r>
          </w:p>
        </w:tc>
        <w:tc>
          <w:tcPr>
            <w:tcW w:type="dxa" w:w="893"/>
            <w:shd w:val="clear" w:fill="1C3A36"/>
          </w:tcPr>
          <w:p>
            <w:pPr>
              <w:spacing w:line="264" w:lineRule="auto"/>
              <w:jc w:val="right"/>
            </w:pPr>
            <w:r>
              <w:rPr>
                <w:b/>
                <w:i w:val="0"/>
                <w:color w:val="FFFFFF"/>
                <w:sz w:val="18"/>
              </w:rPr>
              <w:t>FY28E</w:t>
            </w:r>
          </w:p>
        </w:tc>
        <w:tc>
          <w:tcPr>
            <w:tcW w:type="dxa" w:w="893"/>
            <w:shd w:val="clear" w:fill="1C3A36"/>
          </w:tcPr>
          <w:p>
            <w:pPr>
              <w:spacing w:line="264" w:lineRule="auto"/>
              <w:jc w:val="right"/>
            </w:pPr>
            <w:r>
              <w:rPr>
                <w:b/>
                <w:i w:val="0"/>
                <w:color w:val="FFFFFF"/>
                <w:sz w:val="18"/>
              </w:rPr>
              <w:t>FY29E</w:t>
            </w:r>
          </w:p>
        </w:tc>
        <w:tc>
          <w:tcPr>
            <w:tcW w:type="dxa" w:w="893"/>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Revenue</w:t>
            </w:r>
          </w:p>
        </w:tc>
        <w:tc>
          <w:tcPr>
            <w:tcW w:type="dxa" w:w="893"/>
          </w:tcPr>
          <w:p>
            <w:pPr>
              <w:spacing w:line="264" w:lineRule="auto"/>
              <w:jc w:val="right"/>
            </w:pPr>
            <w:r>
              <w:rPr>
                <w:b w:val="0"/>
                <w:i w:val="0"/>
                <w:sz w:val="18"/>
              </w:rPr>
              <w:t>3,271</w:t>
            </w:r>
          </w:p>
        </w:tc>
        <w:tc>
          <w:tcPr>
            <w:tcW w:type="dxa" w:w="893"/>
          </w:tcPr>
          <w:p>
            <w:pPr>
              <w:spacing w:line="264" w:lineRule="auto"/>
              <w:jc w:val="right"/>
            </w:pPr>
            <w:r>
              <w:rPr>
                <w:b w:val="0"/>
                <w:i w:val="0"/>
                <w:sz w:val="18"/>
              </w:rPr>
              <w:t>5,511</w:t>
            </w:r>
          </w:p>
        </w:tc>
        <w:tc>
          <w:tcPr>
            <w:tcW w:type="dxa" w:w="893"/>
          </w:tcPr>
          <w:p>
            <w:pPr>
              <w:spacing w:line="264" w:lineRule="auto"/>
              <w:jc w:val="right"/>
            </w:pPr>
            <w:r>
              <w:rPr>
                <w:b w:val="0"/>
                <w:i w:val="0"/>
                <w:sz w:val="18"/>
              </w:rPr>
              <w:t>8,651</w:t>
            </w:r>
          </w:p>
        </w:tc>
        <w:tc>
          <w:tcPr>
            <w:tcW w:type="dxa" w:w="893"/>
          </w:tcPr>
          <w:p>
            <w:pPr>
              <w:spacing w:line="264" w:lineRule="auto"/>
              <w:jc w:val="right"/>
            </w:pPr>
            <w:r>
              <w:rPr>
                <w:b w:val="0"/>
                <w:i w:val="0"/>
                <w:sz w:val="18"/>
              </w:rPr>
              <w:t>11,246</w:t>
            </w:r>
          </w:p>
        </w:tc>
        <w:tc>
          <w:tcPr>
            <w:tcW w:type="dxa" w:w="893"/>
          </w:tcPr>
          <w:p>
            <w:pPr>
              <w:spacing w:line="264" w:lineRule="auto"/>
              <w:jc w:val="right"/>
            </w:pPr>
            <w:r>
              <w:rPr>
                <w:b w:val="0"/>
                <w:i w:val="0"/>
                <w:sz w:val="18"/>
              </w:rPr>
              <w:t>14,058</w:t>
            </w:r>
          </w:p>
        </w:tc>
        <w:tc>
          <w:tcPr>
            <w:tcW w:type="dxa" w:w="893"/>
          </w:tcPr>
          <w:p>
            <w:pPr>
              <w:spacing w:line="264" w:lineRule="auto"/>
              <w:jc w:val="right"/>
            </w:pPr>
            <w:r>
              <w:rPr>
                <w:b w:val="0"/>
                <w:i w:val="0"/>
                <w:sz w:val="18"/>
              </w:rPr>
              <w:t>16,869</w:t>
            </w:r>
          </w:p>
        </w:tc>
        <w:tc>
          <w:tcPr>
            <w:tcW w:type="dxa" w:w="893"/>
          </w:tcPr>
          <w:p>
            <w:pPr>
              <w:spacing w:line="264" w:lineRule="auto"/>
              <w:jc w:val="right"/>
            </w:pPr>
            <w:r>
              <w:rPr>
                <w:b w:val="0"/>
                <w:i w:val="0"/>
                <w:sz w:val="18"/>
              </w:rPr>
              <w:t>19,737</w:t>
            </w:r>
          </w:p>
        </w:tc>
        <w:tc>
          <w:tcPr>
            <w:tcW w:type="dxa" w:w="893"/>
          </w:tcPr>
          <w:p>
            <w:pPr>
              <w:spacing w:line="264" w:lineRule="auto"/>
              <w:jc w:val="right"/>
            </w:pPr>
            <w:r>
              <w:rPr>
                <w:b w:val="0"/>
                <w:i w:val="0"/>
                <w:sz w:val="18"/>
              </w:rPr>
              <w:t>22,698</w:t>
            </w:r>
          </w:p>
        </w:tc>
      </w:tr>
      <w:tr>
        <w:tc>
          <w:tcPr>
            <w:tcW w:type="dxa" w:w="2736"/>
            <w:shd w:val="clear" w:fill="EFF3F1"/>
          </w:tcPr>
          <w:p>
            <w:pPr>
              <w:spacing w:line="264" w:lineRule="auto"/>
            </w:pPr>
            <w:r>
              <w:rPr>
                <w:b w:val="0"/>
                <w:i w:val="0"/>
                <w:color w:val="1C3A36"/>
                <w:sz w:val="18"/>
              </w:rPr>
              <w:t>Gross profit</w:t>
            </w:r>
          </w:p>
        </w:tc>
        <w:tc>
          <w:tcPr>
            <w:tcW w:type="dxa" w:w="893"/>
            <w:shd w:val="clear" w:fill="EFF3F1"/>
          </w:tcPr>
          <w:p>
            <w:pPr>
              <w:spacing w:line="264" w:lineRule="auto"/>
              <w:jc w:val="right"/>
            </w:pPr>
            <w:r>
              <w:rPr>
                <w:b w:val="0"/>
                <w:i w:val="0"/>
                <w:sz w:val="18"/>
              </w:rPr>
            </w:r>
          </w:p>
        </w:tc>
        <w:tc>
          <w:tcPr>
            <w:tcW w:type="dxa" w:w="893"/>
            <w:shd w:val="clear" w:fill="EFF3F1"/>
          </w:tcPr>
          <w:p>
            <w:pPr>
              <w:spacing w:line="264" w:lineRule="auto"/>
              <w:jc w:val="right"/>
            </w:pPr>
            <w:r>
              <w:rPr>
                <w:b w:val="0"/>
                <w:i w:val="0"/>
                <w:sz w:val="18"/>
              </w:rPr>
              <w:t>3,622</w:t>
            </w:r>
          </w:p>
        </w:tc>
        <w:tc>
          <w:tcPr>
            <w:tcW w:type="dxa" w:w="893"/>
            <w:shd w:val="clear" w:fill="EFF3F1"/>
          </w:tcPr>
          <w:p>
            <w:pPr>
              <w:spacing w:line="264" w:lineRule="auto"/>
              <w:jc w:val="right"/>
            </w:pPr>
            <w:r>
              <w:rPr>
                <w:b w:val="0"/>
                <w:i w:val="0"/>
                <w:sz w:val="18"/>
              </w:rPr>
              <w:t>5,960</w:t>
            </w:r>
          </w:p>
        </w:tc>
        <w:tc>
          <w:tcPr>
            <w:tcW w:type="dxa" w:w="893"/>
            <w:shd w:val="clear" w:fill="EFF3F1"/>
          </w:tcPr>
          <w:p>
            <w:pPr>
              <w:spacing w:line="264" w:lineRule="auto"/>
              <w:jc w:val="right"/>
            </w:pPr>
            <w:r>
              <w:rPr>
                <w:b w:val="0"/>
                <w:i w:val="0"/>
                <w:sz w:val="18"/>
              </w:rPr>
              <w:t>7,760</w:t>
            </w:r>
          </w:p>
        </w:tc>
        <w:tc>
          <w:tcPr>
            <w:tcW w:type="dxa" w:w="893"/>
            <w:shd w:val="clear" w:fill="EFF3F1"/>
          </w:tcPr>
          <w:p>
            <w:pPr>
              <w:spacing w:line="264" w:lineRule="auto"/>
              <w:jc w:val="right"/>
            </w:pPr>
            <w:r>
              <w:rPr>
                <w:b w:val="0"/>
                <w:i w:val="0"/>
                <w:sz w:val="18"/>
              </w:rPr>
              <w:t>9,700</w:t>
            </w:r>
          </w:p>
        </w:tc>
        <w:tc>
          <w:tcPr>
            <w:tcW w:type="dxa" w:w="893"/>
            <w:shd w:val="clear" w:fill="EFF3F1"/>
          </w:tcPr>
          <w:p>
            <w:pPr>
              <w:spacing w:line="264" w:lineRule="auto"/>
              <w:jc w:val="right"/>
            </w:pPr>
            <w:r>
              <w:rPr>
                <w:b w:val="0"/>
                <w:i w:val="0"/>
                <w:sz w:val="18"/>
              </w:rPr>
              <w:t>11,640</w:t>
            </w:r>
          </w:p>
        </w:tc>
        <w:tc>
          <w:tcPr>
            <w:tcW w:type="dxa" w:w="893"/>
            <w:shd w:val="clear" w:fill="EFF3F1"/>
          </w:tcPr>
          <w:p>
            <w:pPr>
              <w:spacing w:line="264" w:lineRule="auto"/>
              <w:jc w:val="right"/>
            </w:pPr>
            <w:r>
              <w:rPr>
                <w:b w:val="0"/>
                <w:i w:val="0"/>
                <w:sz w:val="18"/>
              </w:rPr>
              <w:t>13,619</w:t>
            </w:r>
          </w:p>
        </w:tc>
        <w:tc>
          <w:tcPr>
            <w:tcW w:type="dxa" w:w="893"/>
            <w:shd w:val="clear" w:fill="EFF3F1"/>
          </w:tcPr>
          <w:p>
            <w:pPr>
              <w:spacing w:line="264" w:lineRule="auto"/>
              <w:jc w:val="right"/>
            </w:pPr>
            <w:r>
              <w:rPr>
                <w:b w:val="0"/>
                <w:i w:val="0"/>
                <w:sz w:val="18"/>
              </w:rPr>
              <w:t>15,662</w:t>
            </w:r>
          </w:p>
        </w:tc>
      </w:tr>
      <w:tr>
        <w:tc>
          <w:tcPr>
            <w:tcW w:type="dxa" w:w="2736"/>
          </w:tcPr>
          <w:p>
            <w:pPr>
              <w:spacing w:line="264" w:lineRule="auto"/>
            </w:pPr>
            <w:r>
              <w:rPr>
                <w:b w:val="0"/>
                <w:i w:val="0"/>
                <w:color w:val="1C3A36"/>
                <w:sz w:val="18"/>
              </w:rPr>
              <w:t>EBITDA (company-defined)</w:t>
            </w:r>
          </w:p>
        </w:tc>
        <w:tc>
          <w:tcPr>
            <w:tcW w:type="dxa" w:w="893"/>
          </w:tcPr>
          <w:p>
            <w:pPr>
              <w:spacing w:line="264" w:lineRule="auto"/>
              <w:jc w:val="right"/>
            </w:pPr>
            <w:r>
              <w:rPr>
                <w:b w:val="0"/>
                <w:i w:val="0"/>
                <w:sz w:val="18"/>
              </w:rPr>
              <w:t>1,318</w:t>
            </w:r>
          </w:p>
        </w:tc>
        <w:tc>
          <w:tcPr>
            <w:tcW w:type="dxa" w:w="893"/>
          </w:tcPr>
          <w:p>
            <w:pPr>
              <w:spacing w:line="264" w:lineRule="auto"/>
              <w:jc w:val="right"/>
            </w:pPr>
            <w:r>
              <w:rPr>
                <w:b w:val="0"/>
                <w:i w:val="0"/>
                <w:sz w:val="18"/>
              </w:rPr>
              <w:t>2,747</w:t>
            </w:r>
          </w:p>
        </w:tc>
        <w:tc>
          <w:tcPr>
            <w:tcW w:type="dxa" w:w="893"/>
          </w:tcPr>
          <w:p>
            <w:pPr>
              <w:spacing w:line="264" w:lineRule="auto"/>
              <w:jc w:val="right"/>
            </w:pPr>
            <w:r>
              <w:rPr>
                <w:b w:val="0"/>
                <w:i w:val="0"/>
                <w:sz w:val="18"/>
              </w:rPr>
              <w:t>4,968</w:t>
            </w:r>
          </w:p>
        </w:tc>
        <w:tc>
          <w:tcPr>
            <w:tcW w:type="dxa" w:w="893"/>
          </w:tcPr>
          <w:p>
            <w:pPr>
              <w:spacing w:line="264" w:lineRule="auto"/>
              <w:jc w:val="right"/>
            </w:pPr>
            <w:r>
              <w:rPr>
                <w:b w:val="0"/>
                <w:i w:val="0"/>
                <w:sz w:val="18"/>
              </w:rPr>
              <w:t>6,298</w:t>
            </w:r>
          </w:p>
        </w:tc>
        <w:tc>
          <w:tcPr>
            <w:tcW w:type="dxa" w:w="893"/>
          </w:tcPr>
          <w:p>
            <w:pPr>
              <w:spacing w:line="264" w:lineRule="auto"/>
              <w:jc w:val="right"/>
            </w:pPr>
            <w:r>
              <w:rPr>
                <w:b w:val="0"/>
                <w:i w:val="0"/>
                <w:sz w:val="18"/>
              </w:rPr>
              <w:t>7,732</w:t>
            </w:r>
          </w:p>
        </w:tc>
        <w:tc>
          <w:tcPr>
            <w:tcW w:type="dxa" w:w="893"/>
          </w:tcPr>
          <w:p>
            <w:pPr>
              <w:spacing w:line="264" w:lineRule="auto"/>
              <w:jc w:val="right"/>
            </w:pPr>
            <w:r>
              <w:rPr>
                <w:b w:val="0"/>
                <w:i w:val="0"/>
                <w:sz w:val="18"/>
              </w:rPr>
              <w:t>9,110</w:t>
            </w:r>
          </w:p>
        </w:tc>
        <w:tc>
          <w:tcPr>
            <w:tcW w:type="dxa" w:w="893"/>
          </w:tcPr>
          <w:p>
            <w:pPr>
              <w:spacing w:line="264" w:lineRule="auto"/>
              <w:jc w:val="right"/>
            </w:pPr>
            <w:r>
              <w:rPr>
                <w:b w:val="0"/>
                <w:i w:val="0"/>
                <w:sz w:val="18"/>
              </w:rPr>
              <w:t>10,461</w:t>
            </w:r>
          </w:p>
        </w:tc>
        <w:tc>
          <w:tcPr>
            <w:tcW w:type="dxa" w:w="893"/>
          </w:tcPr>
          <w:p>
            <w:pPr>
              <w:spacing w:line="264" w:lineRule="auto"/>
              <w:jc w:val="right"/>
            </w:pPr>
            <w:r>
              <w:rPr>
                <w:b w:val="0"/>
                <w:i w:val="0"/>
                <w:sz w:val="18"/>
              </w:rPr>
              <w:t>11,803</w:t>
            </w:r>
          </w:p>
        </w:tc>
      </w:tr>
      <w:tr>
        <w:tc>
          <w:tcPr>
            <w:tcW w:type="dxa" w:w="2736"/>
            <w:shd w:val="clear" w:fill="EFF3F1"/>
          </w:tcPr>
          <w:p>
            <w:pPr>
              <w:spacing w:line="264" w:lineRule="auto"/>
            </w:pPr>
            <w:r>
              <w:rPr>
                <w:b w:val="0"/>
                <w:i w:val="0"/>
                <w:color w:val="1C3A36"/>
                <w:sz w:val="18"/>
              </w:rPr>
              <w:t>D&amp;A, ESOP &amp; provisions</w:t>
            </w:r>
          </w:p>
        </w:tc>
        <w:tc>
          <w:tcPr>
            <w:tcW w:type="dxa" w:w="893"/>
            <w:shd w:val="clear" w:fill="EFF3F1"/>
          </w:tcPr>
          <w:p>
            <w:pPr>
              <w:spacing w:line="264" w:lineRule="auto"/>
              <w:jc w:val="right"/>
            </w:pPr>
            <w:r>
              <w:rPr>
                <w:b w:val="0"/>
                <w:i w:val="0"/>
                <w:sz w:val="18"/>
              </w:rPr>
              <w:t>560</w:t>
            </w:r>
          </w:p>
        </w:tc>
        <w:tc>
          <w:tcPr>
            <w:tcW w:type="dxa" w:w="893"/>
            <w:shd w:val="clear" w:fill="EFF3F1"/>
          </w:tcPr>
          <w:p>
            <w:pPr>
              <w:spacing w:line="264" w:lineRule="auto"/>
              <w:jc w:val="right"/>
            </w:pPr>
            <w:r>
              <w:rPr>
                <w:b w:val="0"/>
                <w:i w:val="0"/>
                <w:sz w:val="18"/>
              </w:rPr>
              <w:t>1,050</w:t>
            </w:r>
          </w:p>
        </w:tc>
        <w:tc>
          <w:tcPr>
            <w:tcW w:type="dxa" w:w="893"/>
            <w:shd w:val="clear" w:fill="EFF3F1"/>
          </w:tcPr>
          <w:p>
            <w:pPr>
              <w:spacing w:line="264" w:lineRule="auto"/>
              <w:jc w:val="right"/>
            </w:pPr>
            <w:r>
              <w:rPr>
                <w:b w:val="0"/>
                <w:i w:val="0"/>
                <w:sz w:val="18"/>
              </w:rPr>
              <w:t>1,909</w:t>
            </w:r>
          </w:p>
        </w:tc>
        <w:tc>
          <w:tcPr>
            <w:tcW w:type="dxa" w:w="893"/>
            <w:shd w:val="clear" w:fill="EFF3F1"/>
          </w:tcPr>
          <w:p>
            <w:pPr>
              <w:spacing w:line="264" w:lineRule="auto"/>
              <w:jc w:val="right"/>
            </w:pPr>
            <w:r>
              <w:rPr>
                <w:b w:val="0"/>
                <w:i w:val="0"/>
                <w:sz w:val="18"/>
              </w:rPr>
              <w:t>2,249</w:t>
            </w:r>
          </w:p>
        </w:tc>
        <w:tc>
          <w:tcPr>
            <w:tcW w:type="dxa" w:w="893"/>
            <w:shd w:val="clear" w:fill="EFF3F1"/>
          </w:tcPr>
          <w:p>
            <w:pPr>
              <w:spacing w:line="264" w:lineRule="auto"/>
              <w:jc w:val="right"/>
            </w:pPr>
            <w:r>
              <w:rPr>
                <w:b w:val="0"/>
                <w:i w:val="0"/>
                <w:sz w:val="18"/>
              </w:rPr>
              <w:t>2,812</w:t>
            </w:r>
          </w:p>
        </w:tc>
        <w:tc>
          <w:tcPr>
            <w:tcW w:type="dxa" w:w="893"/>
            <w:shd w:val="clear" w:fill="EFF3F1"/>
          </w:tcPr>
          <w:p>
            <w:pPr>
              <w:spacing w:line="264" w:lineRule="auto"/>
              <w:jc w:val="right"/>
            </w:pPr>
            <w:r>
              <w:rPr>
                <w:b w:val="0"/>
                <w:i w:val="0"/>
                <w:sz w:val="18"/>
              </w:rPr>
              <w:t>3,374</w:t>
            </w:r>
          </w:p>
        </w:tc>
        <w:tc>
          <w:tcPr>
            <w:tcW w:type="dxa" w:w="893"/>
            <w:shd w:val="clear" w:fill="EFF3F1"/>
          </w:tcPr>
          <w:p>
            <w:pPr>
              <w:spacing w:line="264" w:lineRule="auto"/>
              <w:jc w:val="right"/>
            </w:pPr>
            <w:r>
              <w:rPr>
                <w:b w:val="0"/>
                <w:i w:val="0"/>
                <w:sz w:val="18"/>
              </w:rPr>
              <w:t>3,947</w:t>
            </w:r>
          </w:p>
        </w:tc>
        <w:tc>
          <w:tcPr>
            <w:tcW w:type="dxa" w:w="893"/>
            <w:shd w:val="clear" w:fill="EFF3F1"/>
          </w:tcPr>
          <w:p>
            <w:pPr>
              <w:spacing w:line="264" w:lineRule="auto"/>
              <w:jc w:val="right"/>
            </w:pPr>
            <w:r>
              <w:rPr>
                <w:b w:val="0"/>
                <w:i w:val="0"/>
                <w:sz w:val="18"/>
              </w:rPr>
              <w:t>4,540</w:t>
            </w:r>
          </w:p>
        </w:tc>
      </w:tr>
      <w:tr>
        <w:tc>
          <w:tcPr>
            <w:tcW w:type="dxa" w:w="2736"/>
          </w:tcPr>
          <w:p>
            <w:pPr>
              <w:spacing w:line="264" w:lineRule="auto"/>
            </w:pPr>
            <w:r>
              <w:rPr>
                <w:b w:val="0"/>
                <w:i w:val="0"/>
                <w:color w:val="1C3A36"/>
                <w:sz w:val="18"/>
              </w:rPr>
              <w:t>EBIT</w:t>
            </w:r>
          </w:p>
        </w:tc>
        <w:tc>
          <w:tcPr>
            <w:tcW w:type="dxa" w:w="893"/>
          </w:tcPr>
          <w:p>
            <w:pPr>
              <w:spacing w:line="264" w:lineRule="auto"/>
              <w:jc w:val="right"/>
            </w:pPr>
            <w:r>
              <w:rPr>
                <w:b w:val="0"/>
                <w:i w:val="0"/>
                <w:sz w:val="18"/>
              </w:rPr>
              <w:t>758</w:t>
            </w:r>
          </w:p>
        </w:tc>
        <w:tc>
          <w:tcPr>
            <w:tcW w:type="dxa" w:w="893"/>
          </w:tcPr>
          <w:p>
            <w:pPr>
              <w:spacing w:line="264" w:lineRule="auto"/>
              <w:jc w:val="right"/>
            </w:pPr>
            <w:r>
              <w:rPr>
                <w:b w:val="0"/>
                <w:i w:val="0"/>
                <w:sz w:val="18"/>
              </w:rPr>
              <w:t>1,697</w:t>
            </w:r>
          </w:p>
        </w:tc>
        <w:tc>
          <w:tcPr>
            <w:tcW w:type="dxa" w:w="893"/>
          </w:tcPr>
          <w:p>
            <w:pPr>
              <w:spacing w:line="264" w:lineRule="auto"/>
              <w:jc w:val="right"/>
            </w:pPr>
            <w:r>
              <w:rPr>
                <w:b w:val="0"/>
                <w:i w:val="0"/>
                <w:sz w:val="18"/>
              </w:rPr>
              <w:t>3,059</w:t>
            </w:r>
          </w:p>
        </w:tc>
        <w:tc>
          <w:tcPr>
            <w:tcW w:type="dxa" w:w="893"/>
          </w:tcPr>
          <w:p>
            <w:pPr>
              <w:spacing w:line="264" w:lineRule="auto"/>
              <w:jc w:val="right"/>
            </w:pPr>
            <w:r>
              <w:rPr>
                <w:b w:val="0"/>
                <w:i w:val="0"/>
                <w:sz w:val="18"/>
              </w:rPr>
              <w:t>4,049</w:t>
            </w:r>
          </w:p>
        </w:tc>
        <w:tc>
          <w:tcPr>
            <w:tcW w:type="dxa" w:w="893"/>
          </w:tcPr>
          <w:p>
            <w:pPr>
              <w:spacing w:line="264" w:lineRule="auto"/>
              <w:jc w:val="right"/>
            </w:pPr>
            <w:r>
              <w:rPr>
                <w:b w:val="0"/>
                <w:i w:val="0"/>
                <w:sz w:val="18"/>
              </w:rPr>
              <w:t>4,920</w:t>
            </w:r>
          </w:p>
        </w:tc>
        <w:tc>
          <w:tcPr>
            <w:tcW w:type="dxa" w:w="893"/>
          </w:tcPr>
          <w:p>
            <w:pPr>
              <w:spacing w:line="264" w:lineRule="auto"/>
              <w:jc w:val="right"/>
            </w:pPr>
            <w:r>
              <w:rPr>
                <w:b w:val="0"/>
                <w:i w:val="0"/>
                <w:sz w:val="18"/>
              </w:rPr>
              <w:t>5,736</w:t>
            </w:r>
          </w:p>
        </w:tc>
        <w:tc>
          <w:tcPr>
            <w:tcW w:type="dxa" w:w="893"/>
          </w:tcPr>
          <w:p>
            <w:pPr>
              <w:spacing w:line="264" w:lineRule="auto"/>
              <w:jc w:val="right"/>
            </w:pPr>
            <w:r>
              <w:rPr>
                <w:b w:val="0"/>
                <w:i w:val="0"/>
                <w:sz w:val="18"/>
              </w:rPr>
              <w:t>6,513</w:t>
            </w:r>
          </w:p>
        </w:tc>
        <w:tc>
          <w:tcPr>
            <w:tcW w:type="dxa" w:w="893"/>
          </w:tcPr>
          <w:p>
            <w:pPr>
              <w:spacing w:line="264" w:lineRule="auto"/>
              <w:jc w:val="right"/>
            </w:pPr>
            <w:r>
              <w:rPr>
                <w:b w:val="0"/>
                <w:i w:val="0"/>
                <w:sz w:val="18"/>
              </w:rPr>
              <w:t>7,263</w:t>
            </w:r>
          </w:p>
        </w:tc>
      </w:tr>
      <w:tr>
        <w:tc>
          <w:tcPr>
            <w:tcW w:type="dxa" w:w="2736"/>
            <w:shd w:val="clear" w:fill="EFF3F1"/>
          </w:tcPr>
          <w:p>
            <w:pPr>
              <w:spacing w:line="264" w:lineRule="auto"/>
            </w:pPr>
            <w:r>
              <w:rPr>
                <w:b w:val="0"/>
                <w:i w:val="0"/>
                <w:color w:val="1C3A36"/>
                <w:sz w:val="18"/>
              </w:rPr>
              <w:t>Net interest &amp; investment income</w:t>
            </w:r>
          </w:p>
        </w:tc>
        <w:tc>
          <w:tcPr>
            <w:tcW w:type="dxa" w:w="893"/>
            <w:shd w:val="clear" w:fill="EFF3F1"/>
          </w:tcPr>
          <w:p>
            <w:pPr>
              <w:spacing w:line="264" w:lineRule="auto"/>
              <w:jc w:val="right"/>
            </w:pPr>
            <w:r>
              <w:rPr>
                <w:b w:val="0"/>
                <w:i w:val="0"/>
                <w:sz w:val="18"/>
              </w:rPr>
              <w:t>380</w:t>
            </w:r>
          </w:p>
        </w:tc>
        <w:tc>
          <w:tcPr>
            <w:tcW w:type="dxa" w:w="893"/>
            <w:shd w:val="clear" w:fill="EFF3F1"/>
          </w:tcPr>
          <w:p>
            <w:pPr>
              <w:spacing w:line="264" w:lineRule="auto"/>
              <w:jc w:val="right"/>
            </w:pPr>
            <w:r>
              <w:rPr>
                <w:b w:val="0"/>
                <w:i w:val="0"/>
                <w:sz w:val="18"/>
              </w:rPr>
              <w:t>750</w:t>
            </w:r>
          </w:p>
        </w:tc>
        <w:tc>
          <w:tcPr>
            <w:tcW w:type="dxa" w:w="893"/>
            <w:shd w:val="clear" w:fill="EFF3F1"/>
          </w:tcPr>
          <w:p>
            <w:pPr>
              <w:spacing w:line="264" w:lineRule="auto"/>
              <w:jc w:val="right"/>
            </w:pPr>
            <w:r>
              <w:rPr>
                <w:b w:val="0"/>
                <w:i w:val="0"/>
                <w:sz w:val="18"/>
              </w:rPr>
              <w:t>900</w:t>
            </w:r>
          </w:p>
        </w:tc>
        <w:tc>
          <w:tcPr>
            <w:tcW w:type="dxa" w:w="893"/>
            <w:shd w:val="clear" w:fill="EFF3F1"/>
          </w:tcPr>
          <w:p>
            <w:pPr>
              <w:spacing w:line="264" w:lineRule="auto"/>
              <w:jc w:val="right"/>
            </w:pPr>
            <w:r>
              <w:rPr>
                <w:b w:val="0"/>
                <w:i w:val="0"/>
                <w:sz w:val="18"/>
              </w:rPr>
              <w:t>790</w:t>
            </w:r>
          </w:p>
        </w:tc>
        <w:tc>
          <w:tcPr>
            <w:tcW w:type="dxa" w:w="893"/>
            <w:shd w:val="clear" w:fill="EFF3F1"/>
          </w:tcPr>
          <w:p>
            <w:pPr>
              <w:spacing w:line="264" w:lineRule="auto"/>
              <w:jc w:val="right"/>
            </w:pPr>
            <w:r>
              <w:rPr>
                <w:b w:val="0"/>
                <w:i w:val="0"/>
                <w:sz w:val="18"/>
              </w:rPr>
              <w:t>670</w:t>
            </w:r>
          </w:p>
        </w:tc>
        <w:tc>
          <w:tcPr>
            <w:tcW w:type="dxa" w:w="893"/>
            <w:shd w:val="clear" w:fill="EFF3F1"/>
          </w:tcPr>
          <w:p>
            <w:pPr>
              <w:spacing w:line="264" w:lineRule="auto"/>
              <w:jc w:val="right"/>
            </w:pPr>
            <w:r>
              <w:rPr>
                <w:b w:val="0"/>
                <w:i w:val="0"/>
                <w:sz w:val="18"/>
              </w:rPr>
              <w:t>570</w:t>
            </w:r>
          </w:p>
        </w:tc>
        <w:tc>
          <w:tcPr>
            <w:tcW w:type="dxa" w:w="893"/>
            <w:shd w:val="clear" w:fill="EFF3F1"/>
          </w:tcPr>
          <w:p>
            <w:pPr>
              <w:spacing w:line="264" w:lineRule="auto"/>
              <w:jc w:val="right"/>
            </w:pPr>
            <w:r>
              <w:rPr>
                <w:b w:val="0"/>
                <w:i w:val="0"/>
                <w:sz w:val="18"/>
              </w:rPr>
              <w:t>485</w:t>
            </w:r>
          </w:p>
        </w:tc>
        <w:tc>
          <w:tcPr>
            <w:tcW w:type="dxa" w:w="893"/>
            <w:shd w:val="clear" w:fill="EFF3F1"/>
          </w:tcPr>
          <w:p>
            <w:pPr>
              <w:spacing w:line="264" w:lineRule="auto"/>
              <w:jc w:val="right"/>
            </w:pPr>
            <w:r>
              <w:rPr>
                <w:b w:val="0"/>
                <w:i w:val="0"/>
                <w:sz w:val="18"/>
              </w:rPr>
              <w:t>410</w:t>
            </w:r>
          </w:p>
        </w:tc>
      </w:tr>
      <w:tr>
        <w:tc>
          <w:tcPr>
            <w:tcW w:type="dxa" w:w="2736"/>
          </w:tcPr>
          <w:p>
            <w:pPr>
              <w:spacing w:line="264" w:lineRule="auto"/>
            </w:pPr>
            <w:r>
              <w:rPr>
                <w:b w:val="0"/>
                <w:i w:val="0"/>
                <w:color w:val="1C3A36"/>
                <w:sz w:val="18"/>
              </w:rPr>
              <w:t>PBT</w:t>
            </w:r>
          </w:p>
        </w:tc>
        <w:tc>
          <w:tcPr>
            <w:tcW w:type="dxa" w:w="893"/>
          </w:tcPr>
          <w:p>
            <w:pPr>
              <w:spacing w:line="264" w:lineRule="auto"/>
              <w:jc w:val="right"/>
            </w:pPr>
            <w:r>
              <w:rPr>
                <w:b w:val="0"/>
                <w:i w:val="0"/>
                <w:sz w:val="18"/>
              </w:rPr>
              <w:t>1,138</w:t>
            </w:r>
          </w:p>
        </w:tc>
        <w:tc>
          <w:tcPr>
            <w:tcW w:type="dxa" w:w="893"/>
          </w:tcPr>
          <w:p>
            <w:pPr>
              <w:spacing w:line="264" w:lineRule="auto"/>
              <w:jc w:val="right"/>
            </w:pPr>
            <w:r>
              <w:rPr>
                <w:b w:val="0"/>
                <w:i w:val="0"/>
                <w:sz w:val="18"/>
              </w:rPr>
              <w:t>2,447</w:t>
            </w:r>
          </w:p>
        </w:tc>
        <w:tc>
          <w:tcPr>
            <w:tcW w:type="dxa" w:w="893"/>
          </w:tcPr>
          <w:p>
            <w:pPr>
              <w:spacing w:line="264" w:lineRule="auto"/>
              <w:jc w:val="right"/>
            </w:pPr>
            <w:r>
              <w:rPr>
                <w:b w:val="0"/>
                <w:i w:val="0"/>
                <w:sz w:val="18"/>
              </w:rPr>
              <w:t>3,959</w:t>
            </w:r>
          </w:p>
        </w:tc>
        <w:tc>
          <w:tcPr>
            <w:tcW w:type="dxa" w:w="893"/>
          </w:tcPr>
          <w:p>
            <w:pPr>
              <w:spacing w:line="264" w:lineRule="auto"/>
              <w:jc w:val="right"/>
            </w:pPr>
            <w:r>
              <w:rPr>
                <w:b w:val="0"/>
                <w:i w:val="0"/>
                <w:sz w:val="18"/>
              </w:rPr>
              <w:t>4,839</w:t>
            </w:r>
          </w:p>
        </w:tc>
        <w:tc>
          <w:tcPr>
            <w:tcW w:type="dxa" w:w="893"/>
          </w:tcPr>
          <w:p>
            <w:pPr>
              <w:spacing w:line="264" w:lineRule="auto"/>
              <w:jc w:val="right"/>
            </w:pPr>
            <w:r>
              <w:rPr>
                <w:b w:val="0"/>
                <w:i w:val="0"/>
                <w:sz w:val="18"/>
              </w:rPr>
              <w:t>5,590</w:t>
            </w:r>
          </w:p>
        </w:tc>
        <w:tc>
          <w:tcPr>
            <w:tcW w:type="dxa" w:w="893"/>
          </w:tcPr>
          <w:p>
            <w:pPr>
              <w:spacing w:line="264" w:lineRule="auto"/>
              <w:jc w:val="right"/>
            </w:pPr>
            <w:r>
              <w:rPr>
                <w:b w:val="0"/>
                <w:i w:val="0"/>
                <w:sz w:val="18"/>
              </w:rPr>
              <w:t>6,306</w:t>
            </w:r>
          </w:p>
        </w:tc>
        <w:tc>
          <w:tcPr>
            <w:tcW w:type="dxa" w:w="893"/>
          </w:tcPr>
          <w:p>
            <w:pPr>
              <w:spacing w:line="264" w:lineRule="auto"/>
              <w:jc w:val="right"/>
            </w:pPr>
            <w:r>
              <w:rPr>
                <w:b w:val="0"/>
                <w:i w:val="0"/>
                <w:sz w:val="18"/>
              </w:rPr>
              <w:t>6,998</w:t>
            </w:r>
          </w:p>
        </w:tc>
        <w:tc>
          <w:tcPr>
            <w:tcW w:type="dxa" w:w="893"/>
          </w:tcPr>
          <w:p>
            <w:pPr>
              <w:spacing w:line="264" w:lineRule="auto"/>
              <w:jc w:val="right"/>
            </w:pPr>
            <w:r>
              <w:rPr>
                <w:b w:val="0"/>
                <w:i w:val="0"/>
                <w:sz w:val="18"/>
              </w:rPr>
              <w:t>7,673</w:t>
            </w:r>
          </w:p>
        </w:tc>
      </w:tr>
      <w:tr>
        <w:tc>
          <w:tcPr>
            <w:tcW w:type="dxa" w:w="2736"/>
            <w:shd w:val="clear" w:fill="EFF3F1"/>
          </w:tcPr>
          <w:p>
            <w:pPr>
              <w:spacing w:line="264" w:lineRule="auto"/>
            </w:pPr>
            <w:r>
              <w:rPr>
                <w:b w:val="0"/>
                <w:i w:val="0"/>
                <w:color w:val="1C3A36"/>
                <w:sz w:val="18"/>
              </w:rPr>
              <w:t>Tax &amp; minorities</w:t>
            </w:r>
          </w:p>
        </w:tc>
        <w:tc>
          <w:tcPr>
            <w:tcW w:type="dxa" w:w="893"/>
            <w:shd w:val="clear" w:fill="EFF3F1"/>
          </w:tcPr>
          <w:p>
            <w:pPr>
              <w:spacing w:line="264" w:lineRule="auto"/>
              <w:jc w:val="right"/>
            </w:pPr>
            <w:r>
              <w:rPr>
                <w:b w:val="0"/>
                <w:i w:val="0"/>
                <w:sz w:val="18"/>
              </w:rPr>
              <w:t>423</w:t>
            </w:r>
          </w:p>
        </w:tc>
        <w:tc>
          <w:tcPr>
            <w:tcW w:type="dxa" w:w="893"/>
            <w:shd w:val="clear" w:fill="EFF3F1"/>
          </w:tcPr>
          <w:p>
            <w:pPr>
              <w:spacing w:line="264" w:lineRule="auto"/>
              <w:jc w:val="right"/>
            </w:pPr>
            <w:r>
              <w:rPr>
                <w:b w:val="0"/>
                <w:i w:val="0"/>
                <w:sz w:val="18"/>
              </w:rPr>
              <w:t>840</w:t>
            </w:r>
          </w:p>
        </w:tc>
        <w:tc>
          <w:tcPr>
            <w:tcW w:type="dxa" w:w="893"/>
            <w:shd w:val="clear" w:fill="EFF3F1"/>
          </w:tcPr>
          <w:p>
            <w:pPr>
              <w:spacing w:line="264" w:lineRule="auto"/>
              <w:jc w:val="right"/>
            </w:pPr>
            <w:r>
              <w:rPr>
                <w:b w:val="0"/>
                <w:i w:val="0"/>
                <w:sz w:val="18"/>
              </w:rPr>
              <w:t>1,070</w:t>
            </w:r>
          </w:p>
        </w:tc>
        <w:tc>
          <w:tcPr>
            <w:tcW w:type="dxa" w:w="893"/>
            <w:shd w:val="clear" w:fill="EFF3F1"/>
          </w:tcPr>
          <w:p>
            <w:pPr>
              <w:spacing w:line="264" w:lineRule="auto"/>
              <w:jc w:val="right"/>
            </w:pPr>
            <w:r>
              <w:rPr>
                <w:b w:val="0"/>
                <w:i w:val="0"/>
                <w:sz w:val="18"/>
              </w:rPr>
              <w:t>1,258</w:t>
            </w:r>
          </w:p>
        </w:tc>
        <w:tc>
          <w:tcPr>
            <w:tcW w:type="dxa" w:w="893"/>
            <w:shd w:val="clear" w:fill="EFF3F1"/>
          </w:tcPr>
          <w:p>
            <w:pPr>
              <w:spacing w:line="264" w:lineRule="auto"/>
              <w:jc w:val="right"/>
            </w:pPr>
            <w:r>
              <w:rPr>
                <w:b w:val="0"/>
                <w:i w:val="0"/>
                <w:sz w:val="18"/>
              </w:rPr>
              <w:t>1,453</w:t>
            </w:r>
          </w:p>
        </w:tc>
        <w:tc>
          <w:tcPr>
            <w:tcW w:type="dxa" w:w="893"/>
            <w:shd w:val="clear" w:fill="EFF3F1"/>
          </w:tcPr>
          <w:p>
            <w:pPr>
              <w:spacing w:line="264" w:lineRule="auto"/>
              <w:jc w:val="right"/>
            </w:pPr>
            <w:r>
              <w:rPr>
                <w:b w:val="0"/>
                <w:i w:val="0"/>
                <w:sz w:val="18"/>
              </w:rPr>
              <w:t>1,639</w:t>
            </w:r>
          </w:p>
        </w:tc>
        <w:tc>
          <w:tcPr>
            <w:tcW w:type="dxa" w:w="893"/>
            <w:shd w:val="clear" w:fill="EFF3F1"/>
          </w:tcPr>
          <w:p>
            <w:pPr>
              <w:spacing w:line="264" w:lineRule="auto"/>
              <w:jc w:val="right"/>
            </w:pPr>
            <w:r>
              <w:rPr>
                <w:b w:val="0"/>
                <w:i w:val="0"/>
                <w:sz w:val="18"/>
              </w:rPr>
              <w:t>1,820</w:t>
            </w:r>
          </w:p>
        </w:tc>
        <w:tc>
          <w:tcPr>
            <w:tcW w:type="dxa" w:w="893"/>
            <w:shd w:val="clear" w:fill="EFF3F1"/>
          </w:tcPr>
          <w:p>
            <w:pPr>
              <w:spacing w:line="264" w:lineRule="auto"/>
              <w:jc w:val="right"/>
            </w:pPr>
            <w:r>
              <w:rPr>
                <w:b w:val="0"/>
                <w:i w:val="0"/>
                <w:sz w:val="18"/>
              </w:rPr>
              <w:t>1,995</w:t>
            </w:r>
          </w:p>
        </w:tc>
      </w:tr>
      <w:tr>
        <w:tc>
          <w:tcPr>
            <w:tcW w:type="dxa" w:w="2736"/>
          </w:tcPr>
          <w:p>
            <w:pPr>
              <w:spacing w:line="264" w:lineRule="auto"/>
            </w:pPr>
            <w:r>
              <w:rPr>
                <w:b w:val="0"/>
                <w:i w:val="0"/>
                <w:color w:val="1C3A36"/>
                <w:sz w:val="18"/>
              </w:rPr>
              <w:t>Net income (after NCI)</w:t>
            </w:r>
          </w:p>
        </w:tc>
        <w:tc>
          <w:tcPr>
            <w:tcW w:type="dxa" w:w="893"/>
          </w:tcPr>
          <w:p>
            <w:pPr>
              <w:spacing w:line="264" w:lineRule="auto"/>
              <w:jc w:val="right"/>
            </w:pPr>
            <w:r>
              <w:rPr>
                <w:b w:val="0"/>
                <w:i w:val="0"/>
                <w:sz w:val="18"/>
              </w:rPr>
              <w:t>715</w:t>
            </w:r>
          </w:p>
        </w:tc>
        <w:tc>
          <w:tcPr>
            <w:tcW w:type="dxa" w:w="893"/>
          </w:tcPr>
          <w:p>
            <w:pPr>
              <w:spacing w:line="264" w:lineRule="auto"/>
              <w:jc w:val="right"/>
            </w:pPr>
            <w:r>
              <w:rPr>
                <w:b w:val="0"/>
                <w:i w:val="0"/>
                <w:sz w:val="18"/>
              </w:rPr>
              <w:t>1,607</w:t>
            </w:r>
          </w:p>
        </w:tc>
        <w:tc>
          <w:tcPr>
            <w:tcW w:type="dxa" w:w="893"/>
          </w:tcPr>
          <w:p>
            <w:pPr>
              <w:spacing w:line="264" w:lineRule="auto"/>
              <w:jc w:val="right"/>
            </w:pPr>
            <w:r>
              <w:rPr>
                <w:b w:val="0"/>
                <w:i w:val="0"/>
                <w:sz w:val="18"/>
              </w:rPr>
              <w:t>2,889</w:t>
            </w:r>
          </w:p>
        </w:tc>
        <w:tc>
          <w:tcPr>
            <w:tcW w:type="dxa" w:w="893"/>
          </w:tcPr>
          <w:p>
            <w:pPr>
              <w:spacing w:line="264" w:lineRule="auto"/>
              <w:jc w:val="right"/>
            </w:pPr>
            <w:r>
              <w:rPr>
                <w:b w:val="0"/>
                <w:i w:val="0"/>
                <w:sz w:val="18"/>
              </w:rPr>
              <w:t>3,581</w:t>
            </w:r>
          </w:p>
        </w:tc>
        <w:tc>
          <w:tcPr>
            <w:tcW w:type="dxa" w:w="893"/>
          </w:tcPr>
          <w:p>
            <w:pPr>
              <w:spacing w:line="264" w:lineRule="auto"/>
              <w:jc w:val="right"/>
            </w:pPr>
            <w:r>
              <w:rPr>
                <w:b w:val="0"/>
                <w:i w:val="0"/>
                <w:sz w:val="18"/>
              </w:rPr>
              <w:t>4,137</w:t>
            </w:r>
          </w:p>
        </w:tc>
        <w:tc>
          <w:tcPr>
            <w:tcW w:type="dxa" w:w="893"/>
          </w:tcPr>
          <w:p>
            <w:pPr>
              <w:spacing w:line="264" w:lineRule="auto"/>
              <w:jc w:val="right"/>
            </w:pPr>
            <w:r>
              <w:rPr>
                <w:b w:val="0"/>
                <w:i w:val="0"/>
                <w:sz w:val="18"/>
              </w:rPr>
              <w:t>4,666</w:t>
            </w:r>
          </w:p>
        </w:tc>
        <w:tc>
          <w:tcPr>
            <w:tcW w:type="dxa" w:w="893"/>
          </w:tcPr>
          <w:p>
            <w:pPr>
              <w:spacing w:line="264" w:lineRule="auto"/>
              <w:jc w:val="right"/>
            </w:pPr>
            <w:r>
              <w:rPr>
                <w:b w:val="0"/>
                <w:i w:val="0"/>
                <w:sz w:val="18"/>
              </w:rPr>
              <w:t>5,179</w:t>
            </w:r>
          </w:p>
        </w:tc>
        <w:tc>
          <w:tcPr>
            <w:tcW w:type="dxa" w:w="893"/>
          </w:tcPr>
          <w:p>
            <w:pPr>
              <w:spacing w:line="264" w:lineRule="auto"/>
              <w:jc w:val="right"/>
            </w:pPr>
            <w:r>
              <w:rPr>
                <w:b w:val="0"/>
                <w:i w:val="0"/>
                <w:sz w:val="18"/>
              </w:rPr>
              <w:t>5,678</w:t>
            </w:r>
          </w:p>
        </w:tc>
      </w:tr>
    </w:tbl>
    <w:p>
      <w:pPr>
        <w:spacing w:after="40"/>
      </w:pPr>
    </w:p>
    <w:p>
      <w:pPr>
        <w:spacing w:before="160" w:after="120" w:line="264" w:lineRule="auto"/>
      </w:pPr>
      <w:r>
        <w:rPr>
          <w:b/>
          <w:i w:val="0"/>
          <w:color w:val="1C3A36"/>
          <w:sz w:val="24"/>
        </w:rPr>
        <w:t>A.2  Balance sheet</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line="264" w:lineRule="auto"/>
            </w:pPr>
            <w:r>
              <w:rPr>
                <w:b/>
                <w:i w:val="0"/>
                <w:color w:val="FFFFFF"/>
                <w:sz w:val="18"/>
              </w:rPr>
              <w:t>Line</w:t>
            </w:r>
          </w:p>
        </w:tc>
        <w:tc>
          <w:tcPr>
            <w:tcW w:type="dxa" w:w="893"/>
            <w:shd w:val="clear" w:fill="1C3A36"/>
          </w:tcPr>
          <w:p>
            <w:pPr>
              <w:spacing w:line="264" w:lineRule="auto"/>
              <w:jc w:val="right"/>
            </w:pPr>
            <w:r>
              <w:rPr>
                <w:b/>
                <w:i w:val="0"/>
                <w:color w:val="FFFFFF"/>
                <w:sz w:val="18"/>
              </w:rPr>
              <w:t>FY23</w:t>
            </w:r>
          </w:p>
        </w:tc>
        <w:tc>
          <w:tcPr>
            <w:tcW w:type="dxa" w:w="893"/>
            <w:shd w:val="clear" w:fill="1C3A36"/>
          </w:tcPr>
          <w:p>
            <w:pPr>
              <w:spacing w:line="264" w:lineRule="auto"/>
              <w:jc w:val="right"/>
            </w:pPr>
            <w:r>
              <w:rPr>
                <w:b/>
                <w:i w:val="0"/>
                <w:color w:val="FFFFFF"/>
                <w:sz w:val="18"/>
              </w:rPr>
              <w:t>FY24</w:t>
            </w:r>
          </w:p>
        </w:tc>
        <w:tc>
          <w:tcPr>
            <w:tcW w:type="dxa" w:w="893"/>
            <w:shd w:val="clear" w:fill="1C3A36"/>
          </w:tcPr>
          <w:p>
            <w:pPr>
              <w:spacing w:line="264" w:lineRule="auto"/>
              <w:jc w:val="right"/>
            </w:pPr>
            <w:r>
              <w:rPr>
                <w:b/>
                <w:i w:val="0"/>
                <w:color w:val="FFFFFF"/>
                <w:sz w:val="18"/>
              </w:rPr>
              <w:t>FY25</w:t>
            </w:r>
          </w:p>
        </w:tc>
        <w:tc>
          <w:tcPr>
            <w:tcW w:type="dxa" w:w="893"/>
            <w:shd w:val="clear" w:fill="1C3A36"/>
          </w:tcPr>
          <w:p>
            <w:pPr>
              <w:spacing w:line="264" w:lineRule="auto"/>
              <w:jc w:val="right"/>
            </w:pPr>
            <w:r>
              <w:rPr>
                <w:b/>
                <w:i w:val="0"/>
                <w:color w:val="FFFFFF"/>
                <w:sz w:val="18"/>
              </w:rPr>
              <w:t>FY26E</w:t>
            </w:r>
          </w:p>
        </w:tc>
        <w:tc>
          <w:tcPr>
            <w:tcW w:type="dxa" w:w="893"/>
            <w:shd w:val="clear" w:fill="1C3A36"/>
          </w:tcPr>
          <w:p>
            <w:pPr>
              <w:spacing w:line="264" w:lineRule="auto"/>
              <w:jc w:val="right"/>
            </w:pPr>
            <w:r>
              <w:rPr>
                <w:b/>
                <w:i w:val="0"/>
                <w:color w:val="FFFFFF"/>
                <w:sz w:val="18"/>
              </w:rPr>
              <w:t>FY27E</w:t>
            </w:r>
          </w:p>
        </w:tc>
        <w:tc>
          <w:tcPr>
            <w:tcW w:type="dxa" w:w="893"/>
            <w:shd w:val="clear" w:fill="1C3A36"/>
          </w:tcPr>
          <w:p>
            <w:pPr>
              <w:spacing w:line="264" w:lineRule="auto"/>
              <w:jc w:val="right"/>
            </w:pPr>
            <w:r>
              <w:rPr>
                <w:b/>
                <w:i w:val="0"/>
                <w:color w:val="FFFFFF"/>
                <w:sz w:val="18"/>
              </w:rPr>
              <w:t>FY28E</w:t>
            </w:r>
          </w:p>
        </w:tc>
        <w:tc>
          <w:tcPr>
            <w:tcW w:type="dxa" w:w="893"/>
            <w:shd w:val="clear" w:fill="1C3A36"/>
          </w:tcPr>
          <w:p>
            <w:pPr>
              <w:spacing w:line="264" w:lineRule="auto"/>
              <w:jc w:val="right"/>
            </w:pPr>
            <w:r>
              <w:rPr>
                <w:b/>
                <w:i w:val="0"/>
                <w:color w:val="FFFFFF"/>
                <w:sz w:val="18"/>
              </w:rPr>
              <w:t>FY29E</w:t>
            </w:r>
          </w:p>
        </w:tc>
        <w:tc>
          <w:tcPr>
            <w:tcW w:type="dxa" w:w="893"/>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Cash &amp; treasury investments</w:t>
            </w:r>
          </w:p>
        </w:tc>
        <w:tc>
          <w:tcPr>
            <w:tcW w:type="dxa" w:w="893"/>
          </w:tcPr>
          <w:p>
            <w:pPr>
              <w:spacing w:line="264" w:lineRule="auto"/>
              <w:jc w:val="right"/>
            </w:pPr>
            <w:r>
              <w:rPr>
                <w:b w:val="0"/>
                <w:i w:val="0"/>
                <w:sz w:val="18"/>
              </w:rPr>
              <w:t>2,500</w:t>
            </w:r>
          </w:p>
        </w:tc>
        <w:tc>
          <w:tcPr>
            <w:tcW w:type="dxa" w:w="893"/>
          </w:tcPr>
          <w:p>
            <w:pPr>
              <w:spacing w:line="264" w:lineRule="auto"/>
              <w:jc w:val="right"/>
            </w:pPr>
            <w:r>
              <w:rPr>
                <w:b w:val="0"/>
                <w:i w:val="0"/>
                <w:sz w:val="18"/>
              </w:rPr>
              <w:t>4,200</w:t>
            </w:r>
          </w:p>
        </w:tc>
        <w:tc>
          <w:tcPr>
            <w:tcW w:type="dxa" w:w="893"/>
          </w:tcPr>
          <w:p>
            <w:pPr>
              <w:spacing w:line="264" w:lineRule="auto"/>
              <w:jc w:val="right"/>
            </w:pPr>
            <w:r>
              <w:rPr>
                <w:b w:val="0"/>
                <w:i w:val="0"/>
                <w:sz w:val="18"/>
              </w:rPr>
              <w:t>6,500</w:t>
            </w:r>
          </w:p>
        </w:tc>
        <w:tc>
          <w:tcPr>
            <w:tcW w:type="dxa" w:w="893"/>
          </w:tcPr>
          <w:p>
            <w:pPr>
              <w:spacing w:line="264" w:lineRule="auto"/>
              <w:jc w:val="right"/>
            </w:pPr>
            <w:r>
              <w:rPr>
                <w:b w:val="0"/>
                <w:i w:val="0"/>
                <w:sz w:val="18"/>
              </w:rPr>
              <w:t>11,378</w:t>
            </w:r>
          </w:p>
        </w:tc>
        <w:tc>
          <w:tcPr>
            <w:tcW w:type="dxa" w:w="893"/>
          </w:tcPr>
          <w:p>
            <w:pPr>
              <w:spacing w:line="264" w:lineRule="auto"/>
              <w:jc w:val="right"/>
            </w:pPr>
            <w:r>
              <w:rPr>
                <w:b w:val="0"/>
                <w:i w:val="0"/>
                <w:sz w:val="18"/>
              </w:rPr>
              <w:t>17,220</w:t>
            </w:r>
          </w:p>
        </w:tc>
        <w:tc>
          <w:tcPr>
            <w:tcW w:type="dxa" w:w="893"/>
          </w:tcPr>
          <w:p>
            <w:pPr>
              <w:spacing w:line="264" w:lineRule="auto"/>
              <w:jc w:val="right"/>
            </w:pPr>
            <w:r>
              <w:rPr>
                <w:b w:val="0"/>
                <w:i w:val="0"/>
                <w:sz w:val="18"/>
              </w:rPr>
              <w:t>24,004</w:t>
            </w:r>
          </w:p>
        </w:tc>
        <w:tc>
          <w:tcPr>
            <w:tcW w:type="dxa" w:w="893"/>
          </w:tcPr>
          <w:p>
            <w:pPr>
              <w:spacing w:line="264" w:lineRule="auto"/>
              <w:jc w:val="right"/>
            </w:pPr>
            <w:r>
              <w:rPr>
                <w:b w:val="0"/>
                <w:i w:val="0"/>
                <w:sz w:val="18"/>
              </w:rPr>
              <w:t>31,723</w:t>
            </w:r>
          </w:p>
        </w:tc>
        <w:tc>
          <w:tcPr>
            <w:tcW w:type="dxa" w:w="893"/>
          </w:tcPr>
          <w:p>
            <w:pPr>
              <w:spacing w:line="264" w:lineRule="auto"/>
              <w:jc w:val="right"/>
            </w:pPr>
            <w:r>
              <w:rPr>
                <w:b w:val="0"/>
                <w:i w:val="0"/>
                <w:sz w:val="18"/>
              </w:rPr>
              <w:t>40,381</w:t>
            </w:r>
          </w:p>
        </w:tc>
      </w:tr>
      <w:tr>
        <w:tc>
          <w:tcPr>
            <w:tcW w:type="dxa" w:w="2736"/>
            <w:shd w:val="clear" w:fill="EFF3F1"/>
          </w:tcPr>
          <w:p>
            <w:pPr>
              <w:spacing w:line="264" w:lineRule="auto"/>
            </w:pPr>
            <w:r>
              <w:rPr>
                <w:b w:val="0"/>
                <w:i w:val="0"/>
                <w:color w:val="1C3A36"/>
                <w:sz w:val="18"/>
              </w:rPr>
              <w:t>Gross loan portfolio (MSME+consumer)</w:t>
            </w:r>
          </w:p>
        </w:tc>
        <w:tc>
          <w:tcPr>
            <w:tcW w:type="dxa" w:w="893"/>
            <w:shd w:val="clear" w:fill="EFF3F1"/>
          </w:tcPr>
          <w:p>
            <w:pPr>
              <w:spacing w:line="264" w:lineRule="auto"/>
              <w:jc w:val="right"/>
            </w:pPr>
            <w:r>
              <w:rPr>
                <w:b w:val="0"/>
                <w:i w:val="0"/>
                <w:sz w:val="18"/>
              </w:rPr>
              <w:t>1,500</w:t>
            </w:r>
          </w:p>
        </w:tc>
        <w:tc>
          <w:tcPr>
            <w:tcW w:type="dxa" w:w="893"/>
            <w:shd w:val="clear" w:fill="EFF3F1"/>
          </w:tcPr>
          <w:p>
            <w:pPr>
              <w:spacing w:line="264" w:lineRule="auto"/>
              <w:jc w:val="right"/>
            </w:pPr>
            <w:r>
              <w:rPr>
                <w:b w:val="0"/>
                <w:i w:val="0"/>
                <w:sz w:val="18"/>
              </w:rPr>
              <w:t>3,100</w:t>
            </w:r>
          </w:p>
        </w:tc>
        <w:tc>
          <w:tcPr>
            <w:tcW w:type="dxa" w:w="893"/>
            <w:shd w:val="clear" w:fill="EFF3F1"/>
          </w:tcPr>
          <w:p>
            <w:pPr>
              <w:spacing w:line="264" w:lineRule="auto"/>
              <w:jc w:val="right"/>
            </w:pPr>
            <w:r>
              <w:rPr>
                <w:b w:val="0"/>
                <w:i w:val="0"/>
                <w:sz w:val="18"/>
              </w:rPr>
              <w:t>5,700</w:t>
            </w:r>
          </w:p>
        </w:tc>
        <w:tc>
          <w:tcPr>
            <w:tcW w:type="dxa" w:w="893"/>
            <w:shd w:val="clear" w:fill="EFF3F1"/>
          </w:tcPr>
          <w:p>
            <w:pPr>
              <w:spacing w:line="264" w:lineRule="auto"/>
              <w:jc w:val="right"/>
            </w:pPr>
            <w:r>
              <w:rPr>
                <w:b w:val="0"/>
                <w:i w:val="0"/>
                <w:sz w:val="18"/>
              </w:rPr>
              <w:t>7,695</w:t>
            </w:r>
          </w:p>
        </w:tc>
        <w:tc>
          <w:tcPr>
            <w:tcW w:type="dxa" w:w="893"/>
            <w:shd w:val="clear" w:fill="EFF3F1"/>
          </w:tcPr>
          <w:p>
            <w:pPr>
              <w:spacing w:line="264" w:lineRule="auto"/>
              <w:jc w:val="right"/>
            </w:pPr>
            <w:r>
              <w:rPr>
                <w:b w:val="0"/>
                <w:i w:val="0"/>
                <w:sz w:val="18"/>
              </w:rPr>
              <w:t>10,388</w:t>
            </w:r>
          </w:p>
        </w:tc>
        <w:tc>
          <w:tcPr>
            <w:tcW w:type="dxa" w:w="893"/>
            <w:shd w:val="clear" w:fill="EFF3F1"/>
          </w:tcPr>
          <w:p>
            <w:pPr>
              <w:spacing w:line="264" w:lineRule="auto"/>
              <w:jc w:val="right"/>
            </w:pPr>
            <w:r>
              <w:rPr>
                <w:b w:val="0"/>
                <w:i w:val="0"/>
                <w:sz w:val="18"/>
              </w:rPr>
              <w:t>14,024</w:t>
            </w:r>
          </w:p>
        </w:tc>
        <w:tc>
          <w:tcPr>
            <w:tcW w:type="dxa" w:w="893"/>
            <w:shd w:val="clear" w:fill="EFF3F1"/>
          </w:tcPr>
          <w:p>
            <w:pPr>
              <w:spacing w:line="264" w:lineRule="auto"/>
              <w:jc w:val="right"/>
            </w:pPr>
            <w:r>
              <w:rPr>
                <w:b w:val="0"/>
                <w:i w:val="0"/>
                <w:sz w:val="18"/>
              </w:rPr>
              <w:t>18,933</w:t>
            </w:r>
          </w:p>
        </w:tc>
        <w:tc>
          <w:tcPr>
            <w:tcW w:type="dxa" w:w="893"/>
            <w:shd w:val="clear" w:fill="EFF3F1"/>
          </w:tcPr>
          <w:p>
            <w:pPr>
              <w:spacing w:line="264" w:lineRule="auto"/>
              <w:jc w:val="right"/>
            </w:pPr>
            <w:r>
              <w:rPr>
                <w:b w:val="0"/>
                <w:i w:val="0"/>
                <w:sz w:val="18"/>
              </w:rPr>
              <w:t>25,559</w:t>
            </w:r>
          </w:p>
        </w:tc>
      </w:tr>
      <w:tr>
        <w:tc>
          <w:tcPr>
            <w:tcW w:type="dxa" w:w="2736"/>
          </w:tcPr>
          <w:p>
            <w:pPr>
              <w:spacing w:line="264" w:lineRule="auto"/>
            </w:pPr>
            <w:r>
              <w:rPr>
                <w:b w:val="0"/>
                <w:i w:val="0"/>
                <w:color w:val="1C3A36"/>
                <w:sz w:val="18"/>
              </w:rPr>
              <w:t>Borrowings &amp; securitisation (est.)</w:t>
            </w:r>
          </w:p>
        </w:tc>
        <w:tc>
          <w:tcPr>
            <w:tcW w:type="dxa" w:w="893"/>
          </w:tcPr>
          <w:p>
            <w:pPr>
              <w:spacing w:line="264" w:lineRule="auto"/>
              <w:jc w:val="right"/>
            </w:pPr>
            <w:r>
              <w:rPr>
                <w:b w:val="0"/>
                <w:i w:val="0"/>
                <w:sz w:val="18"/>
              </w:rPr>
              <w:t>1,200</w:t>
            </w:r>
          </w:p>
        </w:tc>
        <w:tc>
          <w:tcPr>
            <w:tcW w:type="dxa" w:w="893"/>
          </w:tcPr>
          <w:p>
            <w:pPr>
              <w:spacing w:line="264" w:lineRule="auto"/>
              <w:jc w:val="right"/>
            </w:pPr>
            <w:r>
              <w:rPr>
                <w:b w:val="0"/>
                <w:i w:val="0"/>
                <w:sz w:val="18"/>
              </w:rPr>
              <w:t>2,600</w:t>
            </w:r>
          </w:p>
        </w:tc>
        <w:tc>
          <w:tcPr>
            <w:tcW w:type="dxa" w:w="893"/>
          </w:tcPr>
          <w:p>
            <w:pPr>
              <w:spacing w:line="264" w:lineRule="auto"/>
              <w:jc w:val="right"/>
            </w:pPr>
            <w:r>
              <w:rPr>
                <w:b w:val="0"/>
                <w:i w:val="0"/>
                <w:sz w:val="18"/>
              </w:rPr>
              <w:t>4,500</w:t>
            </w:r>
          </w:p>
        </w:tc>
        <w:tc>
          <w:tcPr>
            <w:tcW w:type="dxa" w:w="893"/>
          </w:tcPr>
          <w:p>
            <w:pPr>
              <w:spacing w:line="264" w:lineRule="auto"/>
              <w:jc w:val="right"/>
            </w:pPr>
            <w:r>
              <w:rPr>
                <w:b w:val="0"/>
                <w:i w:val="0"/>
                <w:sz w:val="18"/>
              </w:rPr>
              <w:t>6,075</w:t>
            </w:r>
          </w:p>
        </w:tc>
        <w:tc>
          <w:tcPr>
            <w:tcW w:type="dxa" w:w="893"/>
          </w:tcPr>
          <w:p>
            <w:pPr>
              <w:spacing w:line="264" w:lineRule="auto"/>
              <w:jc w:val="right"/>
            </w:pPr>
            <w:r>
              <w:rPr>
                <w:b w:val="0"/>
                <w:i w:val="0"/>
                <w:sz w:val="18"/>
              </w:rPr>
              <w:t>8,201</w:t>
            </w:r>
          </w:p>
        </w:tc>
        <w:tc>
          <w:tcPr>
            <w:tcW w:type="dxa" w:w="893"/>
          </w:tcPr>
          <w:p>
            <w:pPr>
              <w:spacing w:line="264" w:lineRule="auto"/>
              <w:jc w:val="right"/>
            </w:pPr>
            <w:r>
              <w:rPr>
                <w:b w:val="0"/>
                <w:i w:val="0"/>
                <w:sz w:val="18"/>
              </w:rPr>
              <w:t>11,072</w:t>
            </w:r>
          </w:p>
        </w:tc>
        <w:tc>
          <w:tcPr>
            <w:tcW w:type="dxa" w:w="893"/>
          </w:tcPr>
          <w:p>
            <w:pPr>
              <w:spacing w:line="264" w:lineRule="auto"/>
              <w:jc w:val="right"/>
            </w:pPr>
            <w:r>
              <w:rPr>
                <w:b w:val="0"/>
                <w:i w:val="0"/>
                <w:sz w:val="18"/>
              </w:rPr>
              <w:t>14,947</w:t>
            </w:r>
          </w:p>
        </w:tc>
        <w:tc>
          <w:tcPr>
            <w:tcW w:type="dxa" w:w="893"/>
          </w:tcPr>
          <w:p>
            <w:pPr>
              <w:spacing w:line="264" w:lineRule="auto"/>
              <w:jc w:val="right"/>
            </w:pPr>
            <w:r>
              <w:rPr>
                <w:b w:val="0"/>
                <w:i w:val="0"/>
                <w:sz w:val="18"/>
              </w:rPr>
              <w:t>20,178</w:t>
            </w:r>
          </w:p>
        </w:tc>
      </w:tr>
      <w:tr>
        <w:tc>
          <w:tcPr>
            <w:tcW w:type="dxa" w:w="2736"/>
            <w:shd w:val="clear" w:fill="EFF3F1"/>
          </w:tcPr>
          <w:p>
            <w:pPr>
              <w:spacing w:line="264" w:lineRule="auto"/>
            </w:pPr>
            <w:r>
              <w:rPr>
                <w:b w:val="0"/>
                <w:i w:val="0"/>
                <w:color w:val="1C3A36"/>
                <w:sz w:val="18"/>
              </w:rPr>
              <w:t>Net working capital</w:t>
            </w:r>
          </w:p>
        </w:tc>
        <w:tc>
          <w:tcPr>
            <w:tcW w:type="dxa" w:w="893"/>
            <w:shd w:val="clear" w:fill="EFF3F1"/>
          </w:tcPr>
          <w:p>
            <w:pPr>
              <w:spacing w:line="264" w:lineRule="auto"/>
              <w:jc w:val="right"/>
            </w:pPr>
            <w:r>
              <w:rPr>
                <w:b w:val="0"/>
                <w:i w:val="0"/>
                <w:sz w:val="18"/>
              </w:rPr>
              <w:t>65</w:t>
            </w:r>
          </w:p>
        </w:tc>
        <w:tc>
          <w:tcPr>
            <w:tcW w:type="dxa" w:w="893"/>
            <w:shd w:val="clear" w:fill="EFF3F1"/>
          </w:tcPr>
          <w:p>
            <w:pPr>
              <w:spacing w:line="264" w:lineRule="auto"/>
              <w:jc w:val="right"/>
            </w:pPr>
            <w:r>
              <w:rPr>
                <w:b w:val="0"/>
                <w:i w:val="0"/>
                <w:sz w:val="18"/>
              </w:rPr>
              <w:t>110</w:t>
            </w:r>
          </w:p>
        </w:tc>
        <w:tc>
          <w:tcPr>
            <w:tcW w:type="dxa" w:w="893"/>
            <w:shd w:val="clear" w:fill="EFF3F1"/>
          </w:tcPr>
          <w:p>
            <w:pPr>
              <w:spacing w:line="264" w:lineRule="auto"/>
              <w:jc w:val="right"/>
            </w:pPr>
            <w:r>
              <w:rPr>
                <w:b w:val="0"/>
                <w:i w:val="0"/>
                <w:sz w:val="18"/>
              </w:rPr>
              <w:t>173</w:t>
            </w:r>
          </w:p>
        </w:tc>
        <w:tc>
          <w:tcPr>
            <w:tcW w:type="dxa" w:w="893"/>
            <w:shd w:val="clear" w:fill="EFF3F1"/>
          </w:tcPr>
          <w:p>
            <w:pPr>
              <w:spacing w:line="264" w:lineRule="auto"/>
              <w:jc w:val="right"/>
            </w:pPr>
            <w:r>
              <w:rPr>
                <w:b w:val="0"/>
                <w:i w:val="0"/>
                <w:sz w:val="18"/>
              </w:rPr>
              <w:t>225</w:t>
            </w:r>
          </w:p>
        </w:tc>
        <w:tc>
          <w:tcPr>
            <w:tcW w:type="dxa" w:w="893"/>
            <w:shd w:val="clear" w:fill="EFF3F1"/>
          </w:tcPr>
          <w:p>
            <w:pPr>
              <w:spacing w:line="264" w:lineRule="auto"/>
              <w:jc w:val="right"/>
            </w:pPr>
            <w:r>
              <w:rPr>
                <w:b w:val="0"/>
                <w:i w:val="0"/>
                <w:sz w:val="18"/>
              </w:rPr>
              <w:t>281</w:t>
            </w:r>
          </w:p>
        </w:tc>
        <w:tc>
          <w:tcPr>
            <w:tcW w:type="dxa" w:w="893"/>
            <w:shd w:val="clear" w:fill="EFF3F1"/>
          </w:tcPr>
          <w:p>
            <w:pPr>
              <w:spacing w:line="264" w:lineRule="auto"/>
              <w:jc w:val="right"/>
            </w:pPr>
            <w:r>
              <w:rPr>
                <w:b w:val="0"/>
                <w:i w:val="0"/>
                <w:sz w:val="18"/>
              </w:rPr>
              <w:t>337</w:t>
            </w:r>
          </w:p>
        </w:tc>
        <w:tc>
          <w:tcPr>
            <w:tcW w:type="dxa" w:w="893"/>
            <w:shd w:val="clear" w:fill="EFF3F1"/>
          </w:tcPr>
          <w:p>
            <w:pPr>
              <w:spacing w:line="264" w:lineRule="auto"/>
              <w:jc w:val="right"/>
            </w:pPr>
            <w:r>
              <w:rPr>
                <w:b w:val="0"/>
                <w:i w:val="0"/>
                <w:sz w:val="18"/>
              </w:rPr>
              <w:t>395</w:t>
            </w:r>
          </w:p>
        </w:tc>
        <w:tc>
          <w:tcPr>
            <w:tcW w:type="dxa" w:w="893"/>
            <w:shd w:val="clear" w:fill="EFF3F1"/>
          </w:tcPr>
          <w:p>
            <w:pPr>
              <w:spacing w:line="264" w:lineRule="auto"/>
              <w:jc w:val="right"/>
            </w:pPr>
            <w:r>
              <w:rPr>
                <w:b w:val="0"/>
                <w:i w:val="0"/>
                <w:sz w:val="18"/>
              </w:rPr>
              <w:t>454</w:t>
            </w:r>
          </w:p>
        </w:tc>
      </w:tr>
      <w:tr>
        <w:tc>
          <w:tcPr>
            <w:tcW w:type="dxa" w:w="2736"/>
          </w:tcPr>
          <w:p>
            <w:pPr>
              <w:spacing w:line="264" w:lineRule="auto"/>
            </w:pPr>
            <w:r>
              <w:rPr>
                <w:b w:val="0"/>
                <w:i w:val="0"/>
                <w:color w:val="1C3A36"/>
                <w:sz w:val="18"/>
              </w:rPr>
              <w:t>Total equity (attributable)</w:t>
            </w:r>
          </w:p>
        </w:tc>
        <w:tc>
          <w:tcPr>
            <w:tcW w:type="dxa" w:w="893"/>
          </w:tcPr>
          <w:p>
            <w:pPr>
              <w:spacing w:line="264" w:lineRule="auto"/>
              <w:jc w:val="right"/>
            </w:pPr>
            <w:r>
              <w:rPr>
                <w:b w:val="0"/>
                <w:i w:val="0"/>
                <w:sz w:val="18"/>
              </w:rPr>
              <w:t>2,400</w:t>
            </w:r>
          </w:p>
        </w:tc>
        <w:tc>
          <w:tcPr>
            <w:tcW w:type="dxa" w:w="893"/>
          </w:tcPr>
          <w:p>
            <w:pPr>
              <w:spacing w:line="264" w:lineRule="auto"/>
              <w:jc w:val="right"/>
            </w:pPr>
            <w:r>
              <w:rPr>
                <w:b w:val="0"/>
                <w:i w:val="0"/>
                <w:sz w:val="18"/>
              </w:rPr>
              <w:t>3,900</w:t>
            </w:r>
          </w:p>
        </w:tc>
        <w:tc>
          <w:tcPr>
            <w:tcW w:type="dxa" w:w="893"/>
          </w:tcPr>
          <w:p>
            <w:pPr>
              <w:spacing w:line="264" w:lineRule="auto"/>
              <w:jc w:val="right"/>
            </w:pPr>
            <w:r>
              <w:rPr>
                <w:b w:val="0"/>
                <w:i w:val="0"/>
                <w:sz w:val="18"/>
              </w:rPr>
              <w:t>5,650</w:t>
            </w:r>
          </w:p>
        </w:tc>
        <w:tc>
          <w:tcPr>
            <w:tcW w:type="dxa" w:w="893"/>
          </w:tcPr>
          <w:p>
            <w:pPr>
              <w:spacing w:line="264" w:lineRule="auto"/>
              <w:jc w:val="right"/>
            </w:pPr>
            <w:r>
              <w:rPr>
                <w:b w:val="0"/>
                <w:i w:val="0"/>
                <w:sz w:val="18"/>
              </w:rPr>
              <w:t>9,231</w:t>
            </w:r>
          </w:p>
        </w:tc>
        <w:tc>
          <w:tcPr>
            <w:tcW w:type="dxa" w:w="893"/>
          </w:tcPr>
          <w:p>
            <w:pPr>
              <w:spacing w:line="264" w:lineRule="auto"/>
              <w:jc w:val="right"/>
            </w:pPr>
            <w:r>
              <w:rPr>
                <w:b w:val="0"/>
                <w:i w:val="0"/>
                <w:sz w:val="18"/>
              </w:rPr>
              <w:t>13,367</w:t>
            </w:r>
          </w:p>
        </w:tc>
        <w:tc>
          <w:tcPr>
            <w:tcW w:type="dxa" w:w="893"/>
          </w:tcPr>
          <w:p>
            <w:pPr>
              <w:spacing w:line="264" w:lineRule="auto"/>
              <w:jc w:val="right"/>
            </w:pPr>
            <w:r>
              <w:rPr>
                <w:b w:val="0"/>
                <w:i w:val="0"/>
                <w:sz w:val="18"/>
              </w:rPr>
              <w:t>18,034</w:t>
            </w:r>
          </w:p>
        </w:tc>
        <w:tc>
          <w:tcPr>
            <w:tcW w:type="dxa" w:w="893"/>
          </w:tcPr>
          <w:p>
            <w:pPr>
              <w:spacing w:line="264" w:lineRule="auto"/>
              <w:jc w:val="right"/>
            </w:pPr>
            <w:r>
              <w:rPr>
                <w:b w:val="0"/>
                <w:i w:val="0"/>
                <w:sz w:val="18"/>
              </w:rPr>
              <w:t>23,212</w:t>
            </w:r>
          </w:p>
        </w:tc>
        <w:tc>
          <w:tcPr>
            <w:tcW w:type="dxa" w:w="893"/>
          </w:tcPr>
          <w:p>
            <w:pPr>
              <w:spacing w:line="264" w:lineRule="auto"/>
              <w:jc w:val="right"/>
            </w:pPr>
            <w:r>
              <w:rPr>
                <w:b w:val="0"/>
                <w:i w:val="0"/>
                <w:sz w:val="18"/>
              </w:rPr>
              <w:t>28,891</w:t>
            </w:r>
          </w:p>
        </w:tc>
      </w:tr>
    </w:tbl>
    <w:p>
      <w:pPr>
        <w:spacing w:after="40"/>
      </w:pPr>
    </w:p>
    <w:p>
      <w:pPr>
        <w:spacing w:before="160" w:after="120" w:line="264" w:lineRule="auto"/>
      </w:pPr>
      <w:r>
        <w:rPr>
          <w:b/>
          <w:i w:val="0"/>
          <w:color w:val="1C3A36"/>
          <w:sz w:val="24"/>
        </w:rPr>
        <w:t>A.3  Cash flow</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line="264" w:lineRule="auto"/>
            </w:pPr>
            <w:r>
              <w:rPr>
                <w:b/>
                <w:i w:val="0"/>
                <w:color w:val="FFFFFF"/>
                <w:sz w:val="18"/>
              </w:rPr>
              <w:t>Line</w:t>
            </w:r>
          </w:p>
        </w:tc>
        <w:tc>
          <w:tcPr>
            <w:tcW w:type="dxa" w:w="893"/>
            <w:shd w:val="clear" w:fill="1C3A36"/>
          </w:tcPr>
          <w:p>
            <w:pPr>
              <w:spacing w:line="264" w:lineRule="auto"/>
              <w:jc w:val="right"/>
            </w:pPr>
            <w:r>
              <w:rPr>
                <w:b/>
                <w:i w:val="0"/>
                <w:color w:val="FFFFFF"/>
                <w:sz w:val="18"/>
              </w:rPr>
              <w:t>FY23</w:t>
            </w:r>
          </w:p>
        </w:tc>
        <w:tc>
          <w:tcPr>
            <w:tcW w:type="dxa" w:w="893"/>
            <w:shd w:val="clear" w:fill="1C3A36"/>
          </w:tcPr>
          <w:p>
            <w:pPr>
              <w:spacing w:line="264" w:lineRule="auto"/>
              <w:jc w:val="right"/>
            </w:pPr>
            <w:r>
              <w:rPr>
                <w:b/>
                <w:i w:val="0"/>
                <w:color w:val="FFFFFF"/>
                <w:sz w:val="18"/>
              </w:rPr>
              <w:t>FY24</w:t>
            </w:r>
          </w:p>
        </w:tc>
        <w:tc>
          <w:tcPr>
            <w:tcW w:type="dxa" w:w="893"/>
            <w:shd w:val="clear" w:fill="1C3A36"/>
          </w:tcPr>
          <w:p>
            <w:pPr>
              <w:spacing w:line="264" w:lineRule="auto"/>
              <w:jc w:val="right"/>
            </w:pPr>
            <w:r>
              <w:rPr>
                <w:b/>
                <w:i w:val="0"/>
                <w:color w:val="FFFFFF"/>
                <w:sz w:val="18"/>
              </w:rPr>
              <w:t>FY25</w:t>
            </w:r>
          </w:p>
        </w:tc>
        <w:tc>
          <w:tcPr>
            <w:tcW w:type="dxa" w:w="893"/>
            <w:shd w:val="clear" w:fill="1C3A36"/>
          </w:tcPr>
          <w:p>
            <w:pPr>
              <w:spacing w:line="264" w:lineRule="auto"/>
              <w:jc w:val="right"/>
            </w:pPr>
            <w:r>
              <w:rPr>
                <w:b/>
                <w:i w:val="0"/>
                <w:color w:val="FFFFFF"/>
                <w:sz w:val="18"/>
              </w:rPr>
              <w:t>FY26E</w:t>
            </w:r>
          </w:p>
        </w:tc>
        <w:tc>
          <w:tcPr>
            <w:tcW w:type="dxa" w:w="893"/>
            <w:shd w:val="clear" w:fill="1C3A36"/>
          </w:tcPr>
          <w:p>
            <w:pPr>
              <w:spacing w:line="264" w:lineRule="auto"/>
              <w:jc w:val="right"/>
            </w:pPr>
            <w:r>
              <w:rPr>
                <w:b/>
                <w:i w:val="0"/>
                <w:color w:val="FFFFFF"/>
                <w:sz w:val="18"/>
              </w:rPr>
              <w:t>FY27E</w:t>
            </w:r>
          </w:p>
        </w:tc>
        <w:tc>
          <w:tcPr>
            <w:tcW w:type="dxa" w:w="893"/>
            <w:shd w:val="clear" w:fill="1C3A36"/>
          </w:tcPr>
          <w:p>
            <w:pPr>
              <w:spacing w:line="264" w:lineRule="auto"/>
              <w:jc w:val="right"/>
            </w:pPr>
            <w:r>
              <w:rPr>
                <w:b/>
                <w:i w:val="0"/>
                <w:color w:val="FFFFFF"/>
                <w:sz w:val="18"/>
              </w:rPr>
              <w:t>FY28E</w:t>
            </w:r>
          </w:p>
        </w:tc>
        <w:tc>
          <w:tcPr>
            <w:tcW w:type="dxa" w:w="893"/>
            <w:shd w:val="clear" w:fill="1C3A36"/>
          </w:tcPr>
          <w:p>
            <w:pPr>
              <w:spacing w:line="264" w:lineRule="auto"/>
              <w:jc w:val="right"/>
            </w:pPr>
            <w:r>
              <w:rPr>
                <w:b/>
                <w:i w:val="0"/>
                <w:color w:val="FFFFFF"/>
                <w:sz w:val="18"/>
              </w:rPr>
              <w:t>FY29E</w:t>
            </w:r>
          </w:p>
        </w:tc>
        <w:tc>
          <w:tcPr>
            <w:tcW w:type="dxa" w:w="893"/>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Net income (after NCI)</w:t>
            </w:r>
          </w:p>
        </w:tc>
        <w:tc>
          <w:tcPr>
            <w:tcW w:type="dxa" w:w="893"/>
          </w:tcPr>
          <w:p>
            <w:pPr>
              <w:spacing w:line="264" w:lineRule="auto"/>
              <w:jc w:val="right"/>
            </w:pPr>
            <w:r>
              <w:rPr>
                <w:b w:val="0"/>
                <w:i w:val="0"/>
                <w:sz w:val="18"/>
              </w:rPr>
              <w:t>715</w:t>
            </w:r>
          </w:p>
        </w:tc>
        <w:tc>
          <w:tcPr>
            <w:tcW w:type="dxa" w:w="893"/>
          </w:tcPr>
          <w:p>
            <w:pPr>
              <w:spacing w:line="264" w:lineRule="auto"/>
              <w:jc w:val="right"/>
            </w:pPr>
            <w:r>
              <w:rPr>
                <w:b w:val="0"/>
                <w:i w:val="0"/>
                <w:sz w:val="18"/>
              </w:rPr>
              <w:t>1,607</w:t>
            </w:r>
          </w:p>
        </w:tc>
        <w:tc>
          <w:tcPr>
            <w:tcW w:type="dxa" w:w="893"/>
          </w:tcPr>
          <w:p>
            <w:pPr>
              <w:spacing w:line="264" w:lineRule="auto"/>
              <w:jc w:val="right"/>
            </w:pPr>
            <w:r>
              <w:rPr>
                <w:b w:val="0"/>
                <w:i w:val="0"/>
                <w:sz w:val="18"/>
              </w:rPr>
              <w:t>2,889</w:t>
            </w:r>
          </w:p>
        </w:tc>
        <w:tc>
          <w:tcPr>
            <w:tcW w:type="dxa" w:w="893"/>
          </w:tcPr>
          <w:p>
            <w:pPr>
              <w:spacing w:line="264" w:lineRule="auto"/>
              <w:jc w:val="right"/>
            </w:pPr>
            <w:r>
              <w:rPr>
                <w:b w:val="0"/>
                <w:i w:val="0"/>
                <w:sz w:val="18"/>
              </w:rPr>
              <w:t>3,581</w:t>
            </w:r>
          </w:p>
        </w:tc>
        <w:tc>
          <w:tcPr>
            <w:tcW w:type="dxa" w:w="893"/>
          </w:tcPr>
          <w:p>
            <w:pPr>
              <w:spacing w:line="264" w:lineRule="auto"/>
              <w:jc w:val="right"/>
            </w:pPr>
            <w:r>
              <w:rPr>
                <w:b w:val="0"/>
                <w:i w:val="0"/>
                <w:sz w:val="18"/>
              </w:rPr>
              <w:t>4,137</w:t>
            </w:r>
          </w:p>
        </w:tc>
        <w:tc>
          <w:tcPr>
            <w:tcW w:type="dxa" w:w="893"/>
          </w:tcPr>
          <w:p>
            <w:pPr>
              <w:spacing w:line="264" w:lineRule="auto"/>
              <w:jc w:val="right"/>
            </w:pPr>
            <w:r>
              <w:rPr>
                <w:b w:val="0"/>
                <w:i w:val="0"/>
                <w:sz w:val="18"/>
              </w:rPr>
              <w:t>4,666</w:t>
            </w:r>
          </w:p>
        </w:tc>
        <w:tc>
          <w:tcPr>
            <w:tcW w:type="dxa" w:w="893"/>
          </w:tcPr>
          <w:p>
            <w:pPr>
              <w:spacing w:line="264" w:lineRule="auto"/>
              <w:jc w:val="right"/>
            </w:pPr>
            <w:r>
              <w:rPr>
                <w:b w:val="0"/>
                <w:i w:val="0"/>
                <w:sz w:val="18"/>
              </w:rPr>
              <w:t>5,179</w:t>
            </w:r>
          </w:p>
        </w:tc>
        <w:tc>
          <w:tcPr>
            <w:tcW w:type="dxa" w:w="893"/>
          </w:tcPr>
          <w:p>
            <w:pPr>
              <w:spacing w:line="264" w:lineRule="auto"/>
              <w:jc w:val="right"/>
            </w:pPr>
            <w:r>
              <w:rPr>
                <w:b w:val="0"/>
                <w:i w:val="0"/>
                <w:sz w:val="18"/>
              </w:rPr>
              <w:t>5,678</w:t>
            </w:r>
          </w:p>
        </w:tc>
      </w:tr>
      <w:tr>
        <w:tc>
          <w:tcPr>
            <w:tcW w:type="dxa" w:w="2736"/>
            <w:shd w:val="clear" w:fill="EFF3F1"/>
          </w:tcPr>
          <w:p>
            <w:pPr>
              <w:spacing w:line="264" w:lineRule="auto"/>
            </w:pPr>
            <w:r>
              <w:rPr>
                <w:b w:val="0"/>
                <w:i w:val="0"/>
                <w:color w:val="1C3A36"/>
                <w:sz w:val="18"/>
              </w:rPr>
              <w:t>+ D&amp;A, ESOP &amp; provisions (non-cash)</w:t>
            </w:r>
          </w:p>
        </w:tc>
        <w:tc>
          <w:tcPr>
            <w:tcW w:type="dxa" w:w="893"/>
            <w:shd w:val="clear" w:fill="EFF3F1"/>
          </w:tcPr>
          <w:p>
            <w:pPr>
              <w:spacing w:line="264" w:lineRule="auto"/>
              <w:jc w:val="right"/>
            </w:pPr>
            <w:r>
              <w:rPr>
                <w:b w:val="0"/>
                <w:i w:val="0"/>
                <w:sz w:val="18"/>
              </w:rPr>
              <w:t>560</w:t>
            </w:r>
          </w:p>
        </w:tc>
        <w:tc>
          <w:tcPr>
            <w:tcW w:type="dxa" w:w="893"/>
            <w:shd w:val="clear" w:fill="EFF3F1"/>
          </w:tcPr>
          <w:p>
            <w:pPr>
              <w:spacing w:line="264" w:lineRule="auto"/>
              <w:jc w:val="right"/>
            </w:pPr>
            <w:r>
              <w:rPr>
                <w:b w:val="0"/>
                <w:i w:val="0"/>
                <w:sz w:val="18"/>
              </w:rPr>
              <w:t>1,050</w:t>
            </w:r>
          </w:p>
        </w:tc>
        <w:tc>
          <w:tcPr>
            <w:tcW w:type="dxa" w:w="893"/>
            <w:shd w:val="clear" w:fill="EFF3F1"/>
          </w:tcPr>
          <w:p>
            <w:pPr>
              <w:spacing w:line="264" w:lineRule="auto"/>
              <w:jc w:val="right"/>
            </w:pPr>
            <w:r>
              <w:rPr>
                <w:b w:val="0"/>
                <w:i w:val="0"/>
                <w:sz w:val="18"/>
              </w:rPr>
              <w:t>1,909</w:t>
            </w:r>
          </w:p>
        </w:tc>
        <w:tc>
          <w:tcPr>
            <w:tcW w:type="dxa" w:w="893"/>
            <w:shd w:val="clear" w:fill="EFF3F1"/>
          </w:tcPr>
          <w:p>
            <w:pPr>
              <w:spacing w:line="264" w:lineRule="auto"/>
              <w:jc w:val="right"/>
            </w:pPr>
            <w:r>
              <w:rPr>
                <w:b w:val="0"/>
                <w:i w:val="0"/>
                <w:sz w:val="18"/>
              </w:rPr>
              <w:t>2,249</w:t>
            </w:r>
          </w:p>
        </w:tc>
        <w:tc>
          <w:tcPr>
            <w:tcW w:type="dxa" w:w="893"/>
            <w:shd w:val="clear" w:fill="EFF3F1"/>
          </w:tcPr>
          <w:p>
            <w:pPr>
              <w:spacing w:line="264" w:lineRule="auto"/>
              <w:jc w:val="right"/>
            </w:pPr>
            <w:r>
              <w:rPr>
                <w:b w:val="0"/>
                <w:i w:val="0"/>
                <w:sz w:val="18"/>
              </w:rPr>
              <w:t>2,812</w:t>
            </w:r>
          </w:p>
        </w:tc>
        <w:tc>
          <w:tcPr>
            <w:tcW w:type="dxa" w:w="893"/>
            <w:shd w:val="clear" w:fill="EFF3F1"/>
          </w:tcPr>
          <w:p>
            <w:pPr>
              <w:spacing w:line="264" w:lineRule="auto"/>
              <w:jc w:val="right"/>
            </w:pPr>
            <w:r>
              <w:rPr>
                <w:b w:val="0"/>
                <w:i w:val="0"/>
                <w:sz w:val="18"/>
              </w:rPr>
              <w:t>3,374</w:t>
            </w:r>
          </w:p>
        </w:tc>
        <w:tc>
          <w:tcPr>
            <w:tcW w:type="dxa" w:w="893"/>
            <w:shd w:val="clear" w:fill="EFF3F1"/>
          </w:tcPr>
          <w:p>
            <w:pPr>
              <w:spacing w:line="264" w:lineRule="auto"/>
              <w:jc w:val="right"/>
            </w:pPr>
            <w:r>
              <w:rPr>
                <w:b w:val="0"/>
                <w:i w:val="0"/>
                <w:sz w:val="18"/>
              </w:rPr>
              <w:t>3,947</w:t>
            </w:r>
          </w:p>
        </w:tc>
        <w:tc>
          <w:tcPr>
            <w:tcW w:type="dxa" w:w="893"/>
            <w:shd w:val="clear" w:fill="EFF3F1"/>
          </w:tcPr>
          <w:p>
            <w:pPr>
              <w:spacing w:line="264" w:lineRule="auto"/>
              <w:jc w:val="right"/>
            </w:pPr>
            <w:r>
              <w:rPr>
                <w:b w:val="0"/>
                <w:i w:val="0"/>
                <w:sz w:val="18"/>
              </w:rPr>
              <w:t>4,540</w:t>
            </w:r>
          </w:p>
        </w:tc>
      </w:tr>
      <w:tr>
        <w:tc>
          <w:tcPr>
            <w:tcW w:type="dxa" w:w="2736"/>
          </w:tcPr>
          <w:p>
            <w:pPr>
              <w:spacing w:line="264" w:lineRule="auto"/>
            </w:pPr>
            <w:r>
              <w:rPr>
                <w:b w:val="0"/>
                <w:i w:val="0"/>
                <w:color w:val="1C3A36"/>
                <w:sz w:val="18"/>
              </w:rPr>
              <w:t>- Increase in NWC</w:t>
            </w:r>
          </w:p>
        </w:tc>
        <w:tc>
          <w:tcPr>
            <w:tcW w:type="dxa" w:w="893"/>
          </w:tcPr>
          <w:p>
            <w:pPr>
              <w:spacing w:line="264" w:lineRule="auto"/>
              <w:jc w:val="right"/>
            </w:pPr>
            <w:r>
              <w:rPr>
                <w:b w:val="0"/>
                <w:i w:val="0"/>
                <w:sz w:val="18"/>
              </w:rPr>
              <w:t>0</w:t>
            </w:r>
          </w:p>
        </w:tc>
        <w:tc>
          <w:tcPr>
            <w:tcW w:type="dxa" w:w="893"/>
          </w:tcPr>
          <w:p>
            <w:pPr>
              <w:spacing w:line="264" w:lineRule="auto"/>
              <w:jc w:val="right"/>
            </w:pPr>
            <w:r>
              <w:rPr>
                <w:b w:val="0"/>
                <w:i w:val="0"/>
                <w:sz w:val="18"/>
              </w:rPr>
              <w:t>-45</w:t>
            </w:r>
          </w:p>
        </w:tc>
        <w:tc>
          <w:tcPr>
            <w:tcW w:type="dxa" w:w="893"/>
          </w:tcPr>
          <w:p>
            <w:pPr>
              <w:spacing w:line="264" w:lineRule="auto"/>
              <w:jc w:val="right"/>
            </w:pPr>
            <w:r>
              <w:rPr>
                <w:b w:val="0"/>
                <w:i w:val="0"/>
                <w:sz w:val="18"/>
              </w:rPr>
              <w:t>-63</w:t>
            </w:r>
          </w:p>
        </w:tc>
        <w:tc>
          <w:tcPr>
            <w:tcW w:type="dxa" w:w="893"/>
          </w:tcPr>
          <w:p>
            <w:pPr>
              <w:spacing w:line="264" w:lineRule="auto"/>
              <w:jc w:val="right"/>
            </w:pPr>
            <w:r>
              <w:rPr>
                <w:b w:val="0"/>
                <w:i w:val="0"/>
                <w:sz w:val="18"/>
              </w:rPr>
              <w:t>-52</w:t>
            </w:r>
          </w:p>
        </w:tc>
        <w:tc>
          <w:tcPr>
            <w:tcW w:type="dxa" w:w="893"/>
          </w:tcPr>
          <w:p>
            <w:pPr>
              <w:spacing w:line="264" w:lineRule="auto"/>
              <w:jc w:val="right"/>
            </w:pPr>
            <w:r>
              <w:rPr>
                <w:b w:val="0"/>
                <w:i w:val="0"/>
                <w:sz w:val="18"/>
              </w:rPr>
              <w:t>-56</w:t>
            </w:r>
          </w:p>
        </w:tc>
        <w:tc>
          <w:tcPr>
            <w:tcW w:type="dxa" w:w="893"/>
          </w:tcPr>
          <w:p>
            <w:pPr>
              <w:spacing w:line="264" w:lineRule="auto"/>
              <w:jc w:val="right"/>
            </w:pPr>
            <w:r>
              <w:rPr>
                <w:b w:val="0"/>
                <w:i w:val="0"/>
                <w:sz w:val="18"/>
              </w:rPr>
              <w:t>-56</w:t>
            </w:r>
          </w:p>
        </w:tc>
        <w:tc>
          <w:tcPr>
            <w:tcW w:type="dxa" w:w="893"/>
          </w:tcPr>
          <w:p>
            <w:pPr>
              <w:spacing w:line="264" w:lineRule="auto"/>
              <w:jc w:val="right"/>
            </w:pPr>
            <w:r>
              <w:rPr>
                <w:b w:val="0"/>
                <w:i w:val="0"/>
                <w:sz w:val="18"/>
              </w:rPr>
              <w:t>-57</w:t>
            </w:r>
          </w:p>
        </w:tc>
        <w:tc>
          <w:tcPr>
            <w:tcW w:type="dxa" w:w="893"/>
          </w:tcPr>
          <w:p>
            <w:pPr>
              <w:spacing w:line="264" w:lineRule="auto"/>
              <w:jc w:val="right"/>
            </w:pPr>
            <w:r>
              <w:rPr>
                <w:b w:val="0"/>
                <w:i w:val="0"/>
                <w:sz w:val="18"/>
              </w:rPr>
              <w:t>-59</w:t>
            </w:r>
          </w:p>
        </w:tc>
      </w:tr>
      <w:tr>
        <w:tc>
          <w:tcPr>
            <w:tcW w:type="dxa" w:w="2736"/>
            <w:shd w:val="clear" w:fill="EFF3F1"/>
          </w:tcPr>
          <w:p>
            <w:pPr>
              <w:spacing w:line="264" w:lineRule="auto"/>
            </w:pPr>
            <w:r>
              <w:rPr>
                <w:b w:val="0"/>
                <w:i w:val="0"/>
                <w:color w:val="1C3A36"/>
                <w:sz w:val="18"/>
              </w:rPr>
              <w:t>Cash from operations</w:t>
            </w:r>
          </w:p>
        </w:tc>
        <w:tc>
          <w:tcPr>
            <w:tcW w:type="dxa" w:w="893"/>
            <w:shd w:val="clear" w:fill="EFF3F1"/>
          </w:tcPr>
          <w:p>
            <w:pPr>
              <w:spacing w:line="264" w:lineRule="auto"/>
              <w:jc w:val="right"/>
            </w:pPr>
            <w:r>
              <w:rPr>
                <w:b w:val="0"/>
                <w:i w:val="0"/>
                <w:sz w:val="18"/>
              </w:rPr>
              <w:t>1,275</w:t>
            </w:r>
          </w:p>
        </w:tc>
        <w:tc>
          <w:tcPr>
            <w:tcW w:type="dxa" w:w="893"/>
            <w:shd w:val="clear" w:fill="EFF3F1"/>
          </w:tcPr>
          <w:p>
            <w:pPr>
              <w:spacing w:line="264" w:lineRule="auto"/>
              <w:jc w:val="right"/>
            </w:pPr>
            <w:r>
              <w:rPr>
                <w:b w:val="0"/>
                <w:i w:val="0"/>
                <w:sz w:val="18"/>
              </w:rPr>
              <w:t>2,612</w:t>
            </w:r>
          </w:p>
        </w:tc>
        <w:tc>
          <w:tcPr>
            <w:tcW w:type="dxa" w:w="893"/>
            <w:shd w:val="clear" w:fill="EFF3F1"/>
          </w:tcPr>
          <w:p>
            <w:pPr>
              <w:spacing w:line="264" w:lineRule="auto"/>
              <w:jc w:val="right"/>
            </w:pPr>
            <w:r>
              <w:rPr>
                <w:b w:val="0"/>
                <w:i w:val="0"/>
                <w:sz w:val="18"/>
              </w:rPr>
              <w:t>4,735</w:t>
            </w:r>
          </w:p>
        </w:tc>
        <w:tc>
          <w:tcPr>
            <w:tcW w:type="dxa" w:w="893"/>
            <w:shd w:val="clear" w:fill="EFF3F1"/>
          </w:tcPr>
          <w:p>
            <w:pPr>
              <w:spacing w:line="264" w:lineRule="auto"/>
              <w:jc w:val="right"/>
            </w:pPr>
            <w:r>
              <w:rPr>
                <w:b w:val="0"/>
                <w:i w:val="0"/>
                <w:sz w:val="18"/>
              </w:rPr>
              <w:t>5,778</w:t>
            </w:r>
          </w:p>
        </w:tc>
        <w:tc>
          <w:tcPr>
            <w:tcW w:type="dxa" w:w="893"/>
            <w:shd w:val="clear" w:fill="EFF3F1"/>
          </w:tcPr>
          <w:p>
            <w:pPr>
              <w:spacing w:line="264" w:lineRule="auto"/>
              <w:jc w:val="right"/>
            </w:pPr>
            <w:r>
              <w:rPr>
                <w:b w:val="0"/>
                <w:i w:val="0"/>
                <w:sz w:val="18"/>
              </w:rPr>
              <w:t>6,892</w:t>
            </w:r>
          </w:p>
        </w:tc>
        <w:tc>
          <w:tcPr>
            <w:tcW w:type="dxa" w:w="893"/>
            <w:shd w:val="clear" w:fill="EFF3F1"/>
          </w:tcPr>
          <w:p>
            <w:pPr>
              <w:spacing w:line="264" w:lineRule="auto"/>
              <w:jc w:val="right"/>
            </w:pPr>
            <w:r>
              <w:rPr>
                <w:b w:val="0"/>
                <w:i w:val="0"/>
                <w:sz w:val="18"/>
              </w:rPr>
              <w:t>7,984</w:t>
            </w:r>
          </w:p>
        </w:tc>
        <w:tc>
          <w:tcPr>
            <w:tcW w:type="dxa" w:w="893"/>
            <w:shd w:val="clear" w:fill="EFF3F1"/>
          </w:tcPr>
          <w:p>
            <w:pPr>
              <w:spacing w:line="264" w:lineRule="auto"/>
              <w:jc w:val="right"/>
            </w:pPr>
            <w:r>
              <w:rPr>
                <w:b w:val="0"/>
                <w:i w:val="0"/>
                <w:sz w:val="18"/>
              </w:rPr>
              <w:t>9,069</w:t>
            </w:r>
          </w:p>
        </w:tc>
        <w:tc>
          <w:tcPr>
            <w:tcW w:type="dxa" w:w="893"/>
            <w:shd w:val="clear" w:fill="EFF3F1"/>
          </w:tcPr>
          <w:p>
            <w:pPr>
              <w:spacing w:line="264" w:lineRule="auto"/>
              <w:jc w:val="right"/>
            </w:pPr>
            <w:r>
              <w:rPr>
                <w:b w:val="0"/>
                <w:i w:val="0"/>
                <w:sz w:val="18"/>
              </w:rPr>
              <w:t>10,159</w:t>
            </w:r>
          </w:p>
        </w:tc>
      </w:tr>
      <w:tr>
        <w:tc>
          <w:tcPr>
            <w:tcW w:type="dxa" w:w="2736"/>
          </w:tcPr>
          <w:p>
            <w:pPr>
              <w:spacing w:line="264" w:lineRule="auto"/>
            </w:pPr>
            <w:r>
              <w:rPr>
                <w:b w:val="0"/>
                <w:i w:val="0"/>
                <w:color w:val="1C3A36"/>
                <w:sz w:val="18"/>
              </w:rPr>
              <w:t>- Capex</w:t>
            </w:r>
          </w:p>
        </w:tc>
        <w:tc>
          <w:tcPr>
            <w:tcW w:type="dxa" w:w="893"/>
          </w:tcPr>
          <w:p>
            <w:pPr>
              <w:spacing w:line="264" w:lineRule="auto"/>
              <w:jc w:val="right"/>
            </w:pPr>
            <w:r>
              <w:rPr>
                <w:b w:val="0"/>
                <w:i w:val="0"/>
                <w:sz w:val="18"/>
              </w:rPr>
              <w:t>-450</w:t>
            </w:r>
          </w:p>
        </w:tc>
        <w:tc>
          <w:tcPr>
            <w:tcW w:type="dxa" w:w="893"/>
          </w:tcPr>
          <w:p>
            <w:pPr>
              <w:spacing w:line="264" w:lineRule="auto"/>
              <w:jc w:val="right"/>
            </w:pPr>
            <w:r>
              <w:rPr>
                <w:b w:val="0"/>
                <w:i w:val="0"/>
                <w:sz w:val="18"/>
              </w:rPr>
              <w:t>-620</w:t>
            </w:r>
          </w:p>
        </w:tc>
        <w:tc>
          <w:tcPr>
            <w:tcW w:type="dxa" w:w="893"/>
          </w:tcPr>
          <w:p>
            <w:pPr>
              <w:spacing w:line="264" w:lineRule="auto"/>
              <w:jc w:val="right"/>
            </w:pPr>
            <w:r>
              <w:rPr>
                <w:b w:val="0"/>
                <w:i w:val="0"/>
                <w:sz w:val="18"/>
              </w:rPr>
              <w:t>-820</w:t>
            </w:r>
          </w:p>
        </w:tc>
        <w:tc>
          <w:tcPr>
            <w:tcW w:type="dxa" w:w="893"/>
          </w:tcPr>
          <w:p>
            <w:pPr>
              <w:spacing w:line="264" w:lineRule="auto"/>
              <w:jc w:val="right"/>
            </w:pPr>
            <w:r>
              <w:rPr>
                <w:b w:val="0"/>
                <w:i w:val="0"/>
                <w:sz w:val="18"/>
              </w:rPr>
              <w:t>-900</w:t>
            </w:r>
          </w:p>
        </w:tc>
        <w:tc>
          <w:tcPr>
            <w:tcW w:type="dxa" w:w="893"/>
          </w:tcPr>
          <w:p>
            <w:pPr>
              <w:spacing w:line="264" w:lineRule="auto"/>
              <w:jc w:val="right"/>
            </w:pPr>
            <w:r>
              <w:rPr>
                <w:b w:val="0"/>
                <w:i w:val="0"/>
                <w:sz w:val="18"/>
              </w:rPr>
              <w:t>-1,050</w:t>
            </w:r>
          </w:p>
        </w:tc>
        <w:tc>
          <w:tcPr>
            <w:tcW w:type="dxa" w:w="893"/>
          </w:tcPr>
          <w:p>
            <w:pPr>
              <w:spacing w:line="264" w:lineRule="auto"/>
              <w:jc w:val="right"/>
            </w:pPr>
            <w:r>
              <w:rPr>
                <w:b w:val="0"/>
                <w:i w:val="0"/>
                <w:sz w:val="18"/>
              </w:rPr>
              <w:t>-1,200</w:t>
            </w:r>
          </w:p>
        </w:tc>
        <w:tc>
          <w:tcPr>
            <w:tcW w:type="dxa" w:w="893"/>
          </w:tcPr>
          <w:p>
            <w:pPr>
              <w:spacing w:line="264" w:lineRule="auto"/>
              <w:jc w:val="right"/>
            </w:pPr>
            <w:r>
              <w:rPr>
                <w:b w:val="0"/>
                <w:i w:val="0"/>
                <w:sz w:val="18"/>
              </w:rPr>
              <w:t>-1,350</w:t>
            </w:r>
          </w:p>
        </w:tc>
        <w:tc>
          <w:tcPr>
            <w:tcW w:type="dxa" w:w="893"/>
          </w:tcPr>
          <w:p>
            <w:pPr>
              <w:spacing w:line="264" w:lineRule="auto"/>
              <w:jc w:val="right"/>
            </w:pPr>
            <w:r>
              <w:rPr>
                <w:b w:val="0"/>
                <w:i w:val="0"/>
                <w:sz w:val="18"/>
              </w:rPr>
              <w:t>-1,500</w:t>
            </w:r>
          </w:p>
        </w:tc>
      </w:tr>
      <w:tr>
        <w:tc>
          <w:tcPr>
            <w:tcW w:type="dxa" w:w="2736"/>
            <w:shd w:val="clear" w:fill="EFF3F1"/>
          </w:tcPr>
          <w:p>
            <w:pPr>
              <w:spacing w:line="264" w:lineRule="auto"/>
            </w:pPr>
            <w:r>
              <w:rPr>
                <w:b w:val="0"/>
                <w:i w:val="0"/>
                <w:color w:val="1C3A36"/>
                <w:sz w:val="18"/>
              </w:rPr>
              <w:t>Cash from investing</w:t>
            </w:r>
          </w:p>
        </w:tc>
        <w:tc>
          <w:tcPr>
            <w:tcW w:type="dxa" w:w="893"/>
            <w:shd w:val="clear" w:fill="EFF3F1"/>
          </w:tcPr>
          <w:p>
            <w:pPr>
              <w:spacing w:line="264" w:lineRule="auto"/>
              <w:jc w:val="right"/>
            </w:pPr>
            <w:r>
              <w:rPr>
                <w:b w:val="0"/>
                <w:i w:val="0"/>
                <w:sz w:val="18"/>
              </w:rPr>
              <w:t>-450</w:t>
            </w:r>
          </w:p>
        </w:tc>
        <w:tc>
          <w:tcPr>
            <w:tcW w:type="dxa" w:w="893"/>
            <w:shd w:val="clear" w:fill="EFF3F1"/>
          </w:tcPr>
          <w:p>
            <w:pPr>
              <w:spacing w:line="264" w:lineRule="auto"/>
              <w:jc w:val="right"/>
            </w:pPr>
            <w:r>
              <w:rPr>
                <w:b w:val="0"/>
                <w:i w:val="0"/>
                <w:sz w:val="18"/>
              </w:rPr>
              <w:t>-620</w:t>
            </w:r>
          </w:p>
        </w:tc>
        <w:tc>
          <w:tcPr>
            <w:tcW w:type="dxa" w:w="893"/>
            <w:shd w:val="clear" w:fill="EFF3F1"/>
          </w:tcPr>
          <w:p>
            <w:pPr>
              <w:spacing w:line="264" w:lineRule="auto"/>
              <w:jc w:val="right"/>
            </w:pPr>
            <w:r>
              <w:rPr>
                <w:b w:val="0"/>
                <w:i w:val="0"/>
                <w:sz w:val="18"/>
              </w:rPr>
              <w:t>-820</w:t>
            </w:r>
          </w:p>
        </w:tc>
        <w:tc>
          <w:tcPr>
            <w:tcW w:type="dxa" w:w="893"/>
            <w:shd w:val="clear" w:fill="EFF3F1"/>
          </w:tcPr>
          <w:p>
            <w:pPr>
              <w:spacing w:line="264" w:lineRule="auto"/>
              <w:jc w:val="right"/>
            </w:pPr>
            <w:r>
              <w:rPr>
                <w:b w:val="0"/>
                <w:i w:val="0"/>
                <w:sz w:val="18"/>
              </w:rPr>
              <w:t>-900</w:t>
            </w:r>
          </w:p>
        </w:tc>
        <w:tc>
          <w:tcPr>
            <w:tcW w:type="dxa" w:w="893"/>
            <w:shd w:val="clear" w:fill="EFF3F1"/>
          </w:tcPr>
          <w:p>
            <w:pPr>
              <w:spacing w:line="264" w:lineRule="auto"/>
              <w:jc w:val="right"/>
            </w:pPr>
            <w:r>
              <w:rPr>
                <w:b w:val="0"/>
                <w:i w:val="0"/>
                <w:sz w:val="18"/>
              </w:rPr>
              <w:t>-1,050</w:t>
            </w:r>
          </w:p>
        </w:tc>
        <w:tc>
          <w:tcPr>
            <w:tcW w:type="dxa" w:w="893"/>
            <w:shd w:val="clear" w:fill="EFF3F1"/>
          </w:tcPr>
          <w:p>
            <w:pPr>
              <w:spacing w:line="264" w:lineRule="auto"/>
              <w:jc w:val="right"/>
            </w:pPr>
            <w:r>
              <w:rPr>
                <w:b w:val="0"/>
                <w:i w:val="0"/>
                <w:sz w:val="18"/>
              </w:rPr>
              <w:t>-1,200</w:t>
            </w:r>
          </w:p>
        </w:tc>
        <w:tc>
          <w:tcPr>
            <w:tcW w:type="dxa" w:w="893"/>
            <w:shd w:val="clear" w:fill="EFF3F1"/>
          </w:tcPr>
          <w:p>
            <w:pPr>
              <w:spacing w:line="264" w:lineRule="auto"/>
              <w:jc w:val="right"/>
            </w:pPr>
            <w:r>
              <w:rPr>
                <w:b w:val="0"/>
                <w:i w:val="0"/>
                <w:sz w:val="18"/>
              </w:rPr>
              <w:t>-1,350</w:t>
            </w:r>
          </w:p>
        </w:tc>
        <w:tc>
          <w:tcPr>
            <w:tcW w:type="dxa" w:w="893"/>
            <w:shd w:val="clear" w:fill="EFF3F1"/>
          </w:tcPr>
          <w:p>
            <w:pPr>
              <w:spacing w:line="264" w:lineRule="auto"/>
              <w:jc w:val="right"/>
            </w:pPr>
            <w:r>
              <w:rPr>
                <w:b w:val="0"/>
                <w:i w:val="0"/>
                <w:sz w:val="18"/>
              </w:rPr>
              <w:t>-1,500</w:t>
            </w:r>
          </w:p>
        </w:tc>
      </w:tr>
      <w:tr>
        <w:tc>
          <w:tcPr>
            <w:tcW w:type="dxa" w:w="2736"/>
          </w:tcPr>
          <w:p>
            <w:pPr>
              <w:spacing w:line="264" w:lineRule="auto"/>
            </w:pPr>
            <w:r>
              <w:rPr>
                <w:b w:val="0"/>
                <w:i w:val="0"/>
                <w:color w:val="1C3A36"/>
                <w:sz w:val="18"/>
              </w:rPr>
              <w:t>Net change in cash</w:t>
            </w:r>
          </w:p>
        </w:tc>
        <w:tc>
          <w:tcPr>
            <w:tcW w:type="dxa" w:w="893"/>
          </w:tcPr>
          <w:p>
            <w:pPr>
              <w:spacing w:line="264" w:lineRule="auto"/>
              <w:jc w:val="right"/>
            </w:pPr>
            <w:r>
              <w:rPr>
                <w:b w:val="0"/>
                <w:i w:val="0"/>
                <w:sz w:val="18"/>
              </w:rPr>
              <w:t>825</w:t>
            </w:r>
          </w:p>
        </w:tc>
        <w:tc>
          <w:tcPr>
            <w:tcW w:type="dxa" w:w="893"/>
          </w:tcPr>
          <w:p>
            <w:pPr>
              <w:spacing w:line="264" w:lineRule="auto"/>
              <w:jc w:val="right"/>
            </w:pPr>
            <w:r>
              <w:rPr>
                <w:b w:val="0"/>
                <w:i w:val="0"/>
                <w:sz w:val="18"/>
              </w:rPr>
              <w:t>1,992</w:t>
            </w:r>
          </w:p>
        </w:tc>
        <w:tc>
          <w:tcPr>
            <w:tcW w:type="dxa" w:w="893"/>
          </w:tcPr>
          <w:p>
            <w:pPr>
              <w:spacing w:line="264" w:lineRule="auto"/>
              <w:jc w:val="right"/>
            </w:pPr>
            <w:r>
              <w:rPr>
                <w:b w:val="0"/>
                <w:i w:val="0"/>
                <w:sz w:val="18"/>
              </w:rPr>
              <w:t>3,915</w:t>
            </w:r>
          </w:p>
        </w:tc>
        <w:tc>
          <w:tcPr>
            <w:tcW w:type="dxa" w:w="893"/>
          </w:tcPr>
          <w:p>
            <w:pPr>
              <w:spacing w:line="264" w:lineRule="auto"/>
              <w:jc w:val="right"/>
            </w:pPr>
            <w:r>
              <w:rPr>
                <w:b w:val="0"/>
                <w:i w:val="0"/>
                <w:sz w:val="18"/>
              </w:rPr>
              <w:t>4,878</w:t>
            </w:r>
          </w:p>
        </w:tc>
        <w:tc>
          <w:tcPr>
            <w:tcW w:type="dxa" w:w="893"/>
          </w:tcPr>
          <w:p>
            <w:pPr>
              <w:spacing w:line="264" w:lineRule="auto"/>
              <w:jc w:val="right"/>
            </w:pPr>
            <w:r>
              <w:rPr>
                <w:b w:val="0"/>
                <w:i w:val="0"/>
                <w:sz w:val="18"/>
              </w:rPr>
              <w:t>5,842</w:t>
            </w:r>
          </w:p>
        </w:tc>
        <w:tc>
          <w:tcPr>
            <w:tcW w:type="dxa" w:w="893"/>
          </w:tcPr>
          <w:p>
            <w:pPr>
              <w:spacing w:line="264" w:lineRule="auto"/>
              <w:jc w:val="right"/>
            </w:pPr>
            <w:r>
              <w:rPr>
                <w:b w:val="0"/>
                <w:i w:val="0"/>
                <w:sz w:val="18"/>
              </w:rPr>
              <w:t>6,784</w:t>
            </w:r>
          </w:p>
        </w:tc>
        <w:tc>
          <w:tcPr>
            <w:tcW w:type="dxa" w:w="893"/>
          </w:tcPr>
          <w:p>
            <w:pPr>
              <w:spacing w:line="264" w:lineRule="auto"/>
              <w:jc w:val="right"/>
            </w:pPr>
            <w:r>
              <w:rPr>
                <w:b w:val="0"/>
                <w:i w:val="0"/>
                <w:sz w:val="18"/>
              </w:rPr>
              <w:t>7,719</w:t>
            </w:r>
          </w:p>
        </w:tc>
        <w:tc>
          <w:tcPr>
            <w:tcW w:type="dxa" w:w="893"/>
          </w:tcPr>
          <w:p>
            <w:pPr>
              <w:spacing w:line="264" w:lineRule="auto"/>
              <w:jc w:val="right"/>
            </w:pPr>
            <w:r>
              <w:rPr>
                <w:b w:val="0"/>
                <w:i w:val="0"/>
                <w:sz w:val="18"/>
              </w:rPr>
              <w:t>8,659</w:t>
            </w:r>
          </w:p>
        </w:tc>
      </w:tr>
    </w:tbl>
    <w:p>
      <w:pPr>
        <w:spacing w:after="40"/>
      </w:pPr>
    </w:p>
    <w:p>
      <w:pPr>
        <w:spacing w:before="160" w:after="120" w:line="264" w:lineRule="auto"/>
      </w:pPr>
      <w:r>
        <w:rPr>
          <w:b/>
          <w:i w:val="0"/>
          <w:color w:val="1C3A36"/>
          <w:sz w:val="24"/>
        </w:rPr>
        <w:t>A.4  Discounted cash flow (5-year forecast)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2736"/>
            <w:shd w:val="clear" w:fill="1C3A36"/>
          </w:tcPr>
          <w:p>
            <w:pPr>
              <w:spacing w:line="264" w:lineRule="auto"/>
            </w:pPr>
            <w:r>
              <w:rPr>
                <w:b/>
                <w:i w:val="0"/>
                <w:color w:val="FFFFFF"/>
                <w:sz w:val="18"/>
              </w:rPr>
              <w:t>Line</w:t>
            </w:r>
          </w:p>
        </w:tc>
        <w:tc>
          <w:tcPr>
            <w:tcW w:type="dxa" w:w="1440"/>
            <w:shd w:val="clear" w:fill="1C3A36"/>
          </w:tcPr>
          <w:p>
            <w:pPr>
              <w:spacing w:line="264" w:lineRule="auto"/>
              <w:jc w:val="right"/>
            </w:pPr>
            <w:r>
              <w:rPr>
                <w:b/>
                <w:i w:val="0"/>
                <w:color w:val="FFFFFF"/>
                <w:sz w:val="18"/>
              </w:rPr>
              <w:t>FY26E</w:t>
            </w:r>
          </w:p>
        </w:tc>
        <w:tc>
          <w:tcPr>
            <w:tcW w:type="dxa" w:w="1440"/>
            <w:shd w:val="clear" w:fill="1C3A36"/>
          </w:tcPr>
          <w:p>
            <w:pPr>
              <w:spacing w:line="264" w:lineRule="auto"/>
              <w:jc w:val="right"/>
            </w:pPr>
            <w:r>
              <w:rPr>
                <w:b/>
                <w:i w:val="0"/>
                <w:color w:val="FFFFFF"/>
                <w:sz w:val="18"/>
              </w:rPr>
              <w:t>FY27E</w:t>
            </w:r>
          </w:p>
        </w:tc>
        <w:tc>
          <w:tcPr>
            <w:tcW w:type="dxa" w:w="1440"/>
            <w:shd w:val="clear" w:fill="1C3A36"/>
          </w:tcPr>
          <w:p>
            <w:pPr>
              <w:spacing w:line="264" w:lineRule="auto"/>
              <w:jc w:val="right"/>
            </w:pPr>
            <w:r>
              <w:rPr>
                <w:b/>
                <w:i w:val="0"/>
                <w:color w:val="FFFFFF"/>
                <w:sz w:val="18"/>
              </w:rPr>
              <w:t>FY28E</w:t>
            </w:r>
          </w:p>
        </w:tc>
        <w:tc>
          <w:tcPr>
            <w:tcW w:type="dxa" w:w="1440"/>
            <w:shd w:val="clear" w:fill="1C3A36"/>
          </w:tcPr>
          <w:p>
            <w:pPr>
              <w:spacing w:line="264" w:lineRule="auto"/>
              <w:jc w:val="right"/>
            </w:pPr>
            <w:r>
              <w:rPr>
                <w:b/>
                <w:i w:val="0"/>
                <w:color w:val="FFFFFF"/>
                <w:sz w:val="18"/>
              </w:rPr>
              <w:t>FY29E</w:t>
            </w:r>
          </w:p>
        </w:tc>
        <w:tc>
          <w:tcPr>
            <w:tcW w:type="dxa" w:w="1440"/>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EBIT</w:t>
            </w:r>
          </w:p>
        </w:tc>
        <w:tc>
          <w:tcPr>
            <w:tcW w:type="dxa" w:w="1440"/>
          </w:tcPr>
          <w:p>
            <w:pPr>
              <w:spacing w:line="264" w:lineRule="auto"/>
              <w:jc w:val="right"/>
            </w:pPr>
            <w:r>
              <w:rPr>
                <w:b w:val="0"/>
                <w:i w:val="0"/>
                <w:sz w:val="18"/>
              </w:rPr>
              <w:t>4,049</w:t>
            </w:r>
          </w:p>
        </w:tc>
        <w:tc>
          <w:tcPr>
            <w:tcW w:type="dxa" w:w="1440"/>
          </w:tcPr>
          <w:p>
            <w:pPr>
              <w:spacing w:line="264" w:lineRule="auto"/>
              <w:jc w:val="right"/>
            </w:pPr>
            <w:r>
              <w:rPr>
                <w:b w:val="0"/>
                <w:i w:val="0"/>
                <w:sz w:val="18"/>
              </w:rPr>
              <w:t>4,920</w:t>
            </w:r>
          </w:p>
        </w:tc>
        <w:tc>
          <w:tcPr>
            <w:tcW w:type="dxa" w:w="1440"/>
          </w:tcPr>
          <w:p>
            <w:pPr>
              <w:spacing w:line="264" w:lineRule="auto"/>
              <w:jc w:val="right"/>
            </w:pPr>
            <w:r>
              <w:rPr>
                <w:b w:val="0"/>
                <w:i w:val="0"/>
                <w:sz w:val="18"/>
              </w:rPr>
              <w:t>5,736</w:t>
            </w:r>
          </w:p>
        </w:tc>
        <w:tc>
          <w:tcPr>
            <w:tcW w:type="dxa" w:w="1440"/>
          </w:tcPr>
          <w:p>
            <w:pPr>
              <w:spacing w:line="264" w:lineRule="auto"/>
              <w:jc w:val="right"/>
            </w:pPr>
            <w:r>
              <w:rPr>
                <w:b w:val="0"/>
                <w:i w:val="0"/>
                <w:sz w:val="18"/>
              </w:rPr>
              <w:t>6,513</w:t>
            </w:r>
          </w:p>
        </w:tc>
        <w:tc>
          <w:tcPr>
            <w:tcW w:type="dxa" w:w="1440"/>
          </w:tcPr>
          <w:p>
            <w:pPr>
              <w:spacing w:line="264" w:lineRule="auto"/>
              <w:jc w:val="right"/>
            </w:pPr>
            <w:r>
              <w:rPr>
                <w:b w:val="0"/>
                <w:i w:val="0"/>
                <w:sz w:val="18"/>
              </w:rPr>
              <w:t>7,263</w:t>
            </w:r>
          </w:p>
        </w:tc>
      </w:tr>
      <w:tr>
        <w:tc>
          <w:tcPr>
            <w:tcW w:type="dxa" w:w="2736"/>
            <w:shd w:val="clear" w:fill="EFF3F1"/>
          </w:tcPr>
          <w:p>
            <w:pPr>
              <w:spacing w:line="264" w:lineRule="auto"/>
            </w:pPr>
            <w:r>
              <w:rPr>
                <w:b w:val="0"/>
                <w:i w:val="0"/>
                <w:color w:val="1C3A36"/>
                <w:sz w:val="18"/>
              </w:rPr>
              <w:t>NOPAT = EBIT x (1-tax)</w:t>
            </w:r>
          </w:p>
        </w:tc>
        <w:tc>
          <w:tcPr>
            <w:tcW w:type="dxa" w:w="1440"/>
            <w:shd w:val="clear" w:fill="EFF3F1"/>
          </w:tcPr>
          <w:p>
            <w:pPr>
              <w:spacing w:line="264" w:lineRule="auto"/>
              <w:jc w:val="right"/>
            </w:pPr>
            <w:r>
              <w:rPr>
                <w:b w:val="0"/>
                <w:i w:val="0"/>
                <w:sz w:val="18"/>
              </w:rPr>
              <w:t>2,996</w:t>
            </w:r>
          </w:p>
        </w:tc>
        <w:tc>
          <w:tcPr>
            <w:tcW w:type="dxa" w:w="1440"/>
            <w:shd w:val="clear" w:fill="EFF3F1"/>
          </w:tcPr>
          <w:p>
            <w:pPr>
              <w:spacing w:line="264" w:lineRule="auto"/>
              <w:jc w:val="right"/>
            </w:pPr>
            <w:r>
              <w:rPr>
                <w:b w:val="0"/>
                <w:i w:val="0"/>
                <w:sz w:val="18"/>
              </w:rPr>
              <w:t>3,641</w:t>
            </w:r>
          </w:p>
        </w:tc>
        <w:tc>
          <w:tcPr>
            <w:tcW w:type="dxa" w:w="1440"/>
            <w:shd w:val="clear" w:fill="EFF3F1"/>
          </w:tcPr>
          <w:p>
            <w:pPr>
              <w:spacing w:line="264" w:lineRule="auto"/>
              <w:jc w:val="right"/>
            </w:pPr>
            <w:r>
              <w:rPr>
                <w:b w:val="0"/>
                <w:i w:val="0"/>
                <w:sz w:val="18"/>
              </w:rPr>
              <w:t>4,244</w:t>
            </w:r>
          </w:p>
        </w:tc>
        <w:tc>
          <w:tcPr>
            <w:tcW w:type="dxa" w:w="1440"/>
            <w:shd w:val="clear" w:fill="EFF3F1"/>
          </w:tcPr>
          <w:p>
            <w:pPr>
              <w:spacing w:line="264" w:lineRule="auto"/>
              <w:jc w:val="right"/>
            </w:pPr>
            <w:r>
              <w:rPr>
                <w:b w:val="0"/>
                <w:i w:val="0"/>
                <w:sz w:val="18"/>
              </w:rPr>
              <w:t>4,820</w:t>
            </w:r>
          </w:p>
        </w:tc>
        <w:tc>
          <w:tcPr>
            <w:tcW w:type="dxa" w:w="1440"/>
            <w:shd w:val="clear" w:fill="EFF3F1"/>
          </w:tcPr>
          <w:p>
            <w:pPr>
              <w:spacing w:line="264" w:lineRule="auto"/>
              <w:jc w:val="right"/>
            </w:pPr>
            <w:r>
              <w:rPr>
                <w:b w:val="0"/>
                <w:i w:val="0"/>
                <w:sz w:val="18"/>
              </w:rPr>
              <w:t>5,375</w:t>
            </w:r>
          </w:p>
        </w:tc>
      </w:tr>
      <w:tr>
        <w:tc>
          <w:tcPr>
            <w:tcW w:type="dxa" w:w="2736"/>
          </w:tcPr>
          <w:p>
            <w:pPr>
              <w:spacing w:line="264" w:lineRule="auto"/>
            </w:pPr>
            <w:r>
              <w:rPr>
                <w:b w:val="0"/>
                <w:i w:val="0"/>
                <w:color w:val="1C3A36"/>
                <w:sz w:val="18"/>
              </w:rPr>
              <w:t>+ Non-cash addback</w:t>
            </w:r>
          </w:p>
        </w:tc>
        <w:tc>
          <w:tcPr>
            <w:tcW w:type="dxa" w:w="1440"/>
          </w:tcPr>
          <w:p>
            <w:pPr>
              <w:spacing w:line="264" w:lineRule="auto"/>
              <w:jc w:val="right"/>
            </w:pPr>
            <w:r>
              <w:rPr>
                <w:b w:val="0"/>
                <w:i w:val="0"/>
                <w:sz w:val="18"/>
              </w:rPr>
              <w:t>2,249</w:t>
            </w:r>
          </w:p>
        </w:tc>
        <w:tc>
          <w:tcPr>
            <w:tcW w:type="dxa" w:w="1440"/>
          </w:tcPr>
          <w:p>
            <w:pPr>
              <w:spacing w:line="264" w:lineRule="auto"/>
              <w:jc w:val="right"/>
            </w:pPr>
            <w:r>
              <w:rPr>
                <w:b w:val="0"/>
                <w:i w:val="0"/>
                <w:sz w:val="18"/>
              </w:rPr>
              <w:t>2,812</w:t>
            </w:r>
          </w:p>
        </w:tc>
        <w:tc>
          <w:tcPr>
            <w:tcW w:type="dxa" w:w="1440"/>
          </w:tcPr>
          <w:p>
            <w:pPr>
              <w:spacing w:line="264" w:lineRule="auto"/>
              <w:jc w:val="right"/>
            </w:pPr>
            <w:r>
              <w:rPr>
                <w:b w:val="0"/>
                <w:i w:val="0"/>
                <w:sz w:val="18"/>
              </w:rPr>
              <w:t>3,374</w:t>
            </w:r>
          </w:p>
        </w:tc>
        <w:tc>
          <w:tcPr>
            <w:tcW w:type="dxa" w:w="1440"/>
          </w:tcPr>
          <w:p>
            <w:pPr>
              <w:spacing w:line="264" w:lineRule="auto"/>
              <w:jc w:val="right"/>
            </w:pPr>
            <w:r>
              <w:rPr>
                <w:b w:val="0"/>
                <w:i w:val="0"/>
                <w:sz w:val="18"/>
              </w:rPr>
              <w:t>3,947</w:t>
            </w:r>
          </w:p>
        </w:tc>
        <w:tc>
          <w:tcPr>
            <w:tcW w:type="dxa" w:w="1440"/>
          </w:tcPr>
          <w:p>
            <w:pPr>
              <w:spacing w:line="264" w:lineRule="auto"/>
              <w:jc w:val="right"/>
            </w:pPr>
            <w:r>
              <w:rPr>
                <w:b w:val="0"/>
                <w:i w:val="0"/>
                <w:sz w:val="18"/>
              </w:rPr>
              <w:t>4,540</w:t>
            </w:r>
          </w:p>
        </w:tc>
      </w:tr>
      <w:tr>
        <w:tc>
          <w:tcPr>
            <w:tcW w:type="dxa" w:w="2736"/>
            <w:shd w:val="clear" w:fill="EFF3F1"/>
          </w:tcPr>
          <w:p>
            <w:pPr>
              <w:spacing w:line="264" w:lineRule="auto"/>
            </w:pPr>
            <w:r>
              <w:rPr>
                <w:b w:val="0"/>
                <w:i w:val="0"/>
                <w:color w:val="1C3A36"/>
                <w:sz w:val="18"/>
              </w:rPr>
              <w:t>- Capex</w:t>
            </w:r>
          </w:p>
        </w:tc>
        <w:tc>
          <w:tcPr>
            <w:tcW w:type="dxa" w:w="1440"/>
            <w:shd w:val="clear" w:fill="EFF3F1"/>
          </w:tcPr>
          <w:p>
            <w:pPr>
              <w:spacing w:line="264" w:lineRule="auto"/>
              <w:jc w:val="right"/>
            </w:pPr>
            <w:r>
              <w:rPr>
                <w:b w:val="0"/>
                <w:i w:val="0"/>
                <w:sz w:val="18"/>
              </w:rPr>
              <w:t>-900</w:t>
            </w:r>
          </w:p>
        </w:tc>
        <w:tc>
          <w:tcPr>
            <w:tcW w:type="dxa" w:w="1440"/>
            <w:shd w:val="clear" w:fill="EFF3F1"/>
          </w:tcPr>
          <w:p>
            <w:pPr>
              <w:spacing w:line="264" w:lineRule="auto"/>
              <w:jc w:val="right"/>
            </w:pPr>
            <w:r>
              <w:rPr>
                <w:b w:val="0"/>
                <w:i w:val="0"/>
                <w:sz w:val="18"/>
              </w:rPr>
              <w:t>-1,050</w:t>
            </w:r>
          </w:p>
        </w:tc>
        <w:tc>
          <w:tcPr>
            <w:tcW w:type="dxa" w:w="1440"/>
            <w:shd w:val="clear" w:fill="EFF3F1"/>
          </w:tcPr>
          <w:p>
            <w:pPr>
              <w:spacing w:line="264" w:lineRule="auto"/>
              <w:jc w:val="right"/>
            </w:pPr>
            <w:r>
              <w:rPr>
                <w:b w:val="0"/>
                <w:i w:val="0"/>
                <w:sz w:val="18"/>
              </w:rPr>
              <w:t>-1,200</w:t>
            </w:r>
          </w:p>
        </w:tc>
        <w:tc>
          <w:tcPr>
            <w:tcW w:type="dxa" w:w="1440"/>
            <w:shd w:val="clear" w:fill="EFF3F1"/>
          </w:tcPr>
          <w:p>
            <w:pPr>
              <w:spacing w:line="264" w:lineRule="auto"/>
              <w:jc w:val="right"/>
            </w:pPr>
            <w:r>
              <w:rPr>
                <w:b w:val="0"/>
                <w:i w:val="0"/>
                <w:sz w:val="18"/>
              </w:rPr>
              <w:t>-1,350</w:t>
            </w:r>
          </w:p>
        </w:tc>
        <w:tc>
          <w:tcPr>
            <w:tcW w:type="dxa" w:w="1440"/>
            <w:shd w:val="clear" w:fill="EFF3F1"/>
          </w:tcPr>
          <w:p>
            <w:pPr>
              <w:spacing w:line="264" w:lineRule="auto"/>
              <w:jc w:val="right"/>
            </w:pPr>
            <w:r>
              <w:rPr>
                <w:b w:val="0"/>
                <w:i w:val="0"/>
                <w:sz w:val="18"/>
              </w:rPr>
              <w:t>-1,500</w:t>
            </w:r>
          </w:p>
        </w:tc>
      </w:tr>
      <w:tr>
        <w:tc>
          <w:tcPr>
            <w:tcW w:type="dxa" w:w="2736"/>
          </w:tcPr>
          <w:p>
            <w:pPr>
              <w:spacing w:line="264" w:lineRule="auto"/>
            </w:pPr>
            <w:r>
              <w:rPr>
                <w:b w:val="0"/>
                <w:i w:val="0"/>
                <w:color w:val="1C3A36"/>
                <w:sz w:val="18"/>
              </w:rPr>
              <w:t>- Increase in net WC</w:t>
            </w:r>
          </w:p>
        </w:tc>
        <w:tc>
          <w:tcPr>
            <w:tcW w:type="dxa" w:w="1440"/>
          </w:tcPr>
          <w:p>
            <w:pPr>
              <w:spacing w:line="264" w:lineRule="auto"/>
              <w:jc w:val="right"/>
            </w:pPr>
            <w:r>
              <w:rPr>
                <w:b w:val="0"/>
                <w:i w:val="0"/>
                <w:sz w:val="18"/>
              </w:rPr>
              <w:t>-52</w:t>
            </w:r>
          </w:p>
        </w:tc>
        <w:tc>
          <w:tcPr>
            <w:tcW w:type="dxa" w:w="1440"/>
          </w:tcPr>
          <w:p>
            <w:pPr>
              <w:spacing w:line="264" w:lineRule="auto"/>
              <w:jc w:val="right"/>
            </w:pPr>
            <w:r>
              <w:rPr>
                <w:b w:val="0"/>
                <w:i w:val="0"/>
                <w:sz w:val="18"/>
              </w:rPr>
              <w:t>-56</w:t>
            </w:r>
          </w:p>
        </w:tc>
        <w:tc>
          <w:tcPr>
            <w:tcW w:type="dxa" w:w="1440"/>
          </w:tcPr>
          <w:p>
            <w:pPr>
              <w:spacing w:line="264" w:lineRule="auto"/>
              <w:jc w:val="right"/>
            </w:pPr>
            <w:r>
              <w:rPr>
                <w:b w:val="0"/>
                <w:i w:val="0"/>
                <w:sz w:val="18"/>
              </w:rPr>
              <w:t>-56</w:t>
            </w:r>
          </w:p>
        </w:tc>
        <w:tc>
          <w:tcPr>
            <w:tcW w:type="dxa" w:w="1440"/>
          </w:tcPr>
          <w:p>
            <w:pPr>
              <w:spacing w:line="264" w:lineRule="auto"/>
              <w:jc w:val="right"/>
            </w:pPr>
            <w:r>
              <w:rPr>
                <w:b w:val="0"/>
                <w:i w:val="0"/>
                <w:sz w:val="18"/>
              </w:rPr>
              <w:t>-57</w:t>
            </w:r>
          </w:p>
        </w:tc>
        <w:tc>
          <w:tcPr>
            <w:tcW w:type="dxa" w:w="1440"/>
          </w:tcPr>
          <w:p>
            <w:pPr>
              <w:spacing w:line="264" w:lineRule="auto"/>
              <w:jc w:val="right"/>
            </w:pPr>
            <w:r>
              <w:rPr>
                <w:b w:val="0"/>
                <w:i w:val="0"/>
                <w:sz w:val="18"/>
              </w:rPr>
              <w:t>-59</w:t>
            </w:r>
          </w:p>
        </w:tc>
      </w:tr>
      <w:tr>
        <w:tc>
          <w:tcPr>
            <w:tcW w:type="dxa" w:w="2736"/>
            <w:shd w:val="clear" w:fill="EFF3F1"/>
          </w:tcPr>
          <w:p>
            <w:pPr>
              <w:spacing w:line="264" w:lineRule="auto"/>
            </w:pPr>
            <w:r>
              <w:rPr>
                <w:b w:val="0"/>
                <w:i w:val="0"/>
                <w:color w:val="1C3A36"/>
                <w:sz w:val="18"/>
              </w:rPr>
              <w:t>FCFF</w:t>
            </w:r>
          </w:p>
        </w:tc>
        <w:tc>
          <w:tcPr>
            <w:tcW w:type="dxa" w:w="1440"/>
            <w:shd w:val="clear" w:fill="EFF3F1"/>
          </w:tcPr>
          <w:p>
            <w:pPr>
              <w:spacing w:line="264" w:lineRule="auto"/>
              <w:jc w:val="right"/>
            </w:pPr>
            <w:r>
              <w:rPr>
                <w:b w:val="0"/>
                <w:i w:val="0"/>
                <w:sz w:val="18"/>
              </w:rPr>
              <w:t>4,293</w:t>
            </w:r>
          </w:p>
        </w:tc>
        <w:tc>
          <w:tcPr>
            <w:tcW w:type="dxa" w:w="1440"/>
            <w:shd w:val="clear" w:fill="EFF3F1"/>
          </w:tcPr>
          <w:p>
            <w:pPr>
              <w:spacing w:line="264" w:lineRule="auto"/>
              <w:jc w:val="right"/>
            </w:pPr>
            <w:r>
              <w:rPr>
                <w:b w:val="0"/>
                <w:i w:val="0"/>
                <w:sz w:val="18"/>
              </w:rPr>
              <w:t>5,346</w:t>
            </w:r>
          </w:p>
        </w:tc>
        <w:tc>
          <w:tcPr>
            <w:tcW w:type="dxa" w:w="1440"/>
            <w:shd w:val="clear" w:fill="EFF3F1"/>
          </w:tcPr>
          <w:p>
            <w:pPr>
              <w:spacing w:line="264" w:lineRule="auto"/>
              <w:jc w:val="right"/>
            </w:pPr>
            <w:r>
              <w:rPr>
                <w:b w:val="0"/>
                <w:i w:val="0"/>
                <w:sz w:val="18"/>
              </w:rPr>
              <w:t>6,362</w:t>
            </w:r>
          </w:p>
        </w:tc>
        <w:tc>
          <w:tcPr>
            <w:tcW w:type="dxa" w:w="1440"/>
            <w:shd w:val="clear" w:fill="EFF3F1"/>
          </w:tcPr>
          <w:p>
            <w:pPr>
              <w:spacing w:line="264" w:lineRule="auto"/>
              <w:jc w:val="right"/>
            </w:pPr>
            <w:r>
              <w:rPr>
                <w:b w:val="0"/>
                <w:i w:val="0"/>
                <w:sz w:val="18"/>
              </w:rPr>
              <w:t>7,360</w:t>
            </w:r>
          </w:p>
        </w:tc>
        <w:tc>
          <w:tcPr>
            <w:tcW w:type="dxa" w:w="1440"/>
            <w:shd w:val="clear" w:fill="EFF3F1"/>
          </w:tcPr>
          <w:p>
            <w:pPr>
              <w:spacing w:line="264" w:lineRule="auto"/>
              <w:jc w:val="right"/>
            </w:pPr>
            <w:r>
              <w:rPr>
                <w:b w:val="0"/>
                <w:i w:val="0"/>
                <w:sz w:val="18"/>
              </w:rPr>
              <w:t>8,355</w:t>
            </w:r>
          </w:p>
        </w:tc>
      </w:tr>
      <w:tr>
        <w:tc>
          <w:tcPr>
            <w:tcW w:type="dxa" w:w="2736"/>
          </w:tcPr>
          <w:p>
            <w:pPr>
              <w:spacing w:line="264" w:lineRule="auto"/>
            </w:pPr>
            <w:r>
              <w:rPr>
                <w:b w:val="0"/>
                <w:i w:val="0"/>
                <w:color w:val="1C3A36"/>
                <w:sz w:val="18"/>
              </w:rPr>
              <w:t>Discount factor</w:t>
            </w:r>
          </w:p>
        </w:tc>
        <w:tc>
          <w:tcPr>
            <w:tcW w:type="dxa" w:w="1440"/>
          </w:tcPr>
          <w:p>
            <w:pPr>
              <w:spacing w:line="264" w:lineRule="auto"/>
              <w:jc w:val="right"/>
            </w:pPr>
            <w:r>
              <w:rPr>
                <w:b w:val="0"/>
                <w:i w:val="0"/>
                <w:sz w:val="18"/>
              </w:rPr>
              <w:t>0.806</w:t>
            </w:r>
          </w:p>
        </w:tc>
        <w:tc>
          <w:tcPr>
            <w:tcW w:type="dxa" w:w="1440"/>
          </w:tcPr>
          <w:p>
            <w:pPr>
              <w:spacing w:line="264" w:lineRule="auto"/>
              <w:jc w:val="right"/>
            </w:pPr>
            <w:r>
              <w:rPr>
                <w:b w:val="0"/>
                <w:i w:val="0"/>
                <w:sz w:val="18"/>
              </w:rPr>
              <w:t>0.650</w:t>
            </w:r>
          </w:p>
        </w:tc>
        <w:tc>
          <w:tcPr>
            <w:tcW w:type="dxa" w:w="1440"/>
          </w:tcPr>
          <w:p>
            <w:pPr>
              <w:spacing w:line="264" w:lineRule="auto"/>
              <w:jc w:val="right"/>
            </w:pPr>
            <w:r>
              <w:rPr>
                <w:b w:val="0"/>
                <w:i w:val="0"/>
                <w:sz w:val="18"/>
              </w:rPr>
              <w:t>0.524</w:t>
            </w:r>
          </w:p>
        </w:tc>
        <w:tc>
          <w:tcPr>
            <w:tcW w:type="dxa" w:w="1440"/>
          </w:tcPr>
          <w:p>
            <w:pPr>
              <w:spacing w:line="264" w:lineRule="auto"/>
              <w:jc w:val="right"/>
            </w:pPr>
            <w:r>
              <w:rPr>
                <w:b w:val="0"/>
                <w:i w:val="0"/>
                <w:sz w:val="18"/>
              </w:rPr>
              <w:t>0.423</w:t>
            </w:r>
          </w:p>
        </w:tc>
        <w:tc>
          <w:tcPr>
            <w:tcW w:type="dxa" w:w="1440"/>
          </w:tcPr>
          <w:p>
            <w:pPr>
              <w:spacing w:line="264" w:lineRule="auto"/>
              <w:jc w:val="right"/>
            </w:pPr>
            <w:r>
              <w:rPr>
                <w:b w:val="0"/>
                <w:i w:val="0"/>
                <w:sz w:val="18"/>
              </w:rPr>
              <w:t>0.341</w:t>
            </w:r>
          </w:p>
        </w:tc>
      </w:tr>
      <w:tr>
        <w:tc>
          <w:tcPr>
            <w:tcW w:type="dxa" w:w="2736"/>
            <w:shd w:val="clear" w:fill="EFF3F1"/>
          </w:tcPr>
          <w:p>
            <w:pPr>
              <w:spacing w:line="264" w:lineRule="auto"/>
            </w:pPr>
            <w:r>
              <w:rPr>
                <w:b w:val="0"/>
                <w:i w:val="0"/>
                <w:color w:val="1C3A36"/>
                <w:sz w:val="18"/>
              </w:rPr>
              <w:t>PV of FCFF</w:t>
            </w:r>
          </w:p>
        </w:tc>
        <w:tc>
          <w:tcPr>
            <w:tcW w:type="dxa" w:w="1440"/>
            <w:shd w:val="clear" w:fill="EFF3F1"/>
          </w:tcPr>
          <w:p>
            <w:pPr>
              <w:spacing w:line="264" w:lineRule="auto"/>
              <w:jc w:val="right"/>
            </w:pPr>
            <w:r>
              <w:rPr>
                <w:b w:val="0"/>
                <w:i w:val="0"/>
                <w:sz w:val="18"/>
              </w:rPr>
              <w:t>3,462</w:t>
            </w:r>
          </w:p>
        </w:tc>
        <w:tc>
          <w:tcPr>
            <w:tcW w:type="dxa" w:w="1440"/>
            <w:shd w:val="clear" w:fill="EFF3F1"/>
          </w:tcPr>
          <w:p>
            <w:pPr>
              <w:spacing w:line="264" w:lineRule="auto"/>
              <w:jc w:val="right"/>
            </w:pPr>
            <w:r>
              <w:rPr>
                <w:b w:val="0"/>
                <w:i w:val="0"/>
                <w:sz w:val="18"/>
              </w:rPr>
              <w:t>3,477</w:t>
            </w:r>
          </w:p>
        </w:tc>
        <w:tc>
          <w:tcPr>
            <w:tcW w:type="dxa" w:w="1440"/>
            <w:shd w:val="clear" w:fill="EFF3F1"/>
          </w:tcPr>
          <w:p>
            <w:pPr>
              <w:spacing w:line="264" w:lineRule="auto"/>
              <w:jc w:val="right"/>
            </w:pPr>
            <w:r>
              <w:rPr>
                <w:b w:val="0"/>
                <w:i w:val="0"/>
                <w:sz w:val="18"/>
              </w:rPr>
              <w:t>3,337</w:t>
            </w:r>
          </w:p>
        </w:tc>
        <w:tc>
          <w:tcPr>
            <w:tcW w:type="dxa" w:w="1440"/>
            <w:shd w:val="clear" w:fill="EFF3F1"/>
          </w:tcPr>
          <w:p>
            <w:pPr>
              <w:spacing w:line="264" w:lineRule="auto"/>
              <w:jc w:val="right"/>
            </w:pPr>
            <w:r>
              <w:rPr>
                <w:b w:val="0"/>
                <w:i w:val="0"/>
                <w:sz w:val="18"/>
              </w:rPr>
              <w:t>3,113</w:t>
            </w:r>
          </w:p>
        </w:tc>
        <w:tc>
          <w:tcPr>
            <w:tcW w:type="dxa" w:w="1440"/>
            <w:shd w:val="clear" w:fill="EFF3F1"/>
          </w:tcPr>
          <w:p>
            <w:pPr>
              <w:spacing w:line="264" w:lineRule="auto"/>
              <w:jc w:val="right"/>
            </w:pPr>
            <w:r>
              <w:rPr>
                <w:b w:val="0"/>
                <w:i w:val="0"/>
                <w:sz w:val="18"/>
              </w:rPr>
              <w:t>2,850</w:t>
            </w:r>
          </w:p>
        </w:tc>
      </w:tr>
    </w:tbl>
    <w:p>
      <w:pPr>
        <w:spacing w:after="40"/>
      </w:pPr>
    </w:p>
    <w:tbl>
      <w:tblPr>
        <w:tblStyle w:val="TableGrid"/>
        <w:tblW w:type="auto" w:w="0"/>
        <w:tblLook w:firstColumn="1" w:firstRow="1" w:lastColumn="0" w:lastRow="0" w:noHBand="0" w:noVBand="1" w:val="04A0"/>
      </w:tblPr>
      <w:tblGrid>
        <w:gridCol w:w="4968"/>
        <w:gridCol w:w="4968"/>
      </w:tblGrid>
      <w:tr>
        <w:tc>
          <w:tcPr>
            <w:tcW w:type="dxa" w:w="4608"/>
            <w:shd w:val="clear" w:fill="1C3A36"/>
          </w:tcPr>
          <w:p>
            <w:pPr>
              <w:spacing w:line="264" w:lineRule="auto"/>
            </w:pPr>
            <w:r>
              <w:rPr>
                <w:b/>
                <w:i w:val="0"/>
                <w:color w:val="FFFFFF"/>
                <w:sz w:val="18"/>
              </w:rPr>
              <w:t>DCF build</w:t>
            </w:r>
          </w:p>
        </w:tc>
        <w:tc>
          <w:tcPr>
            <w:tcW w:type="dxa" w:w="2880"/>
            <w:shd w:val="clear" w:fill="1C3A36"/>
          </w:tcPr>
          <w:p>
            <w:pPr>
              <w:spacing w:line="264" w:lineRule="auto"/>
              <w:jc w:val="right"/>
            </w:pPr>
            <w:r>
              <w:rPr>
                <w:b/>
                <w:i w:val="0"/>
                <w:color w:val="FFFFFF"/>
                <w:sz w:val="18"/>
              </w:rPr>
              <w:t>Value</w:t>
            </w:r>
          </w:p>
        </w:tc>
      </w:tr>
      <w:tr>
        <w:tc>
          <w:tcPr>
            <w:tcW w:type="dxa" w:w="4608"/>
          </w:tcPr>
          <w:p>
            <w:pPr>
              <w:spacing w:line="264" w:lineRule="auto"/>
            </w:pPr>
            <w:r>
              <w:rPr>
                <w:b w:val="0"/>
                <w:i w:val="0"/>
                <w:color w:val="1C3A36"/>
                <w:sz w:val="18"/>
              </w:rPr>
              <w:t>Sum PV of explicit FCFF</w:t>
            </w:r>
          </w:p>
        </w:tc>
        <w:tc>
          <w:tcPr>
            <w:tcW w:type="dxa" w:w="2880"/>
          </w:tcPr>
          <w:p>
            <w:pPr>
              <w:spacing w:line="264" w:lineRule="auto"/>
              <w:jc w:val="right"/>
            </w:pPr>
            <w:r>
              <w:rPr>
                <w:b w:val="0"/>
                <w:i w:val="0"/>
                <w:sz w:val="18"/>
              </w:rPr>
              <w:t>16,239</w:t>
            </w:r>
          </w:p>
        </w:tc>
      </w:tr>
      <w:tr>
        <w:tc>
          <w:tcPr>
            <w:tcW w:type="dxa" w:w="4608"/>
            <w:shd w:val="clear" w:fill="EFF3F1"/>
          </w:tcPr>
          <w:p>
            <w:pPr>
              <w:spacing w:line="264" w:lineRule="auto"/>
            </w:pPr>
            <w:r>
              <w:rPr>
                <w:b w:val="0"/>
                <w:i w:val="0"/>
                <w:color w:val="1C3A36"/>
                <w:sz w:val="18"/>
              </w:rPr>
              <w:t>Terminal value (Gordon)</w:t>
            </w:r>
          </w:p>
        </w:tc>
        <w:tc>
          <w:tcPr>
            <w:tcW w:type="dxa" w:w="2880"/>
            <w:shd w:val="clear" w:fill="EFF3F1"/>
          </w:tcPr>
          <w:p>
            <w:pPr>
              <w:spacing w:line="264" w:lineRule="auto"/>
              <w:jc w:val="right"/>
            </w:pPr>
            <w:r>
              <w:rPr>
                <w:b w:val="0"/>
                <w:i w:val="0"/>
                <w:sz w:val="18"/>
              </w:rPr>
              <w:t>77,982</w:t>
            </w:r>
          </w:p>
        </w:tc>
      </w:tr>
      <w:tr>
        <w:tc>
          <w:tcPr>
            <w:tcW w:type="dxa" w:w="4608"/>
          </w:tcPr>
          <w:p>
            <w:pPr>
              <w:spacing w:line="264" w:lineRule="auto"/>
            </w:pPr>
            <w:r>
              <w:rPr>
                <w:b w:val="0"/>
                <w:i w:val="0"/>
                <w:color w:val="1C3A36"/>
                <w:sz w:val="18"/>
              </w:rPr>
              <w:t>PV of terminal value</w:t>
            </w:r>
          </w:p>
        </w:tc>
        <w:tc>
          <w:tcPr>
            <w:tcW w:type="dxa" w:w="2880"/>
          </w:tcPr>
          <w:p>
            <w:pPr>
              <w:spacing w:line="264" w:lineRule="auto"/>
              <w:jc w:val="right"/>
            </w:pPr>
            <w:r>
              <w:rPr>
                <w:b w:val="0"/>
                <w:i w:val="0"/>
                <w:sz w:val="18"/>
              </w:rPr>
              <w:t>26,600</w:t>
            </w:r>
          </w:p>
        </w:tc>
      </w:tr>
      <w:tr>
        <w:tc>
          <w:tcPr>
            <w:tcW w:type="dxa" w:w="4608"/>
            <w:shd w:val="clear" w:fill="EFF3F1"/>
          </w:tcPr>
          <w:p>
            <w:pPr>
              <w:spacing w:line="264" w:lineRule="auto"/>
            </w:pPr>
            <w:r>
              <w:rPr>
                <w:b w:val="0"/>
                <w:i w:val="0"/>
                <w:color w:val="1C3A36"/>
                <w:sz w:val="18"/>
              </w:rPr>
              <w:t>Operating enterprise value</w:t>
            </w:r>
          </w:p>
        </w:tc>
        <w:tc>
          <w:tcPr>
            <w:tcW w:type="dxa" w:w="2880"/>
            <w:shd w:val="clear" w:fill="EFF3F1"/>
          </w:tcPr>
          <w:p>
            <w:pPr>
              <w:spacing w:line="264" w:lineRule="auto"/>
              <w:jc w:val="right"/>
            </w:pPr>
            <w:r>
              <w:rPr>
                <w:b w:val="0"/>
                <w:i w:val="0"/>
                <w:sz w:val="18"/>
              </w:rPr>
              <w:t>42,840</w:t>
            </w:r>
          </w:p>
        </w:tc>
      </w:tr>
      <w:tr>
        <w:tc>
          <w:tcPr>
            <w:tcW w:type="dxa" w:w="4608"/>
          </w:tcPr>
          <w:p>
            <w:pPr>
              <w:spacing w:line="264" w:lineRule="auto"/>
            </w:pPr>
            <w:r>
              <w:rPr>
                <w:b w:val="0"/>
                <w:i w:val="0"/>
                <w:color w:val="1C3A36"/>
                <w:sz w:val="18"/>
              </w:rPr>
              <w:t>+ Attributable net cash</w:t>
            </w:r>
          </w:p>
        </w:tc>
        <w:tc>
          <w:tcPr>
            <w:tcW w:type="dxa" w:w="2880"/>
          </w:tcPr>
          <w:p>
            <w:pPr>
              <w:spacing w:line="264" w:lineRule="auto"/>
              <w:jc w:val="right"/>
            </w:pPr>
            <w:r>
              <w:rPr>
                <w:b w:val="0"/>
                <w:i w:val="0"/>
                <w:sz w:val="18"/>
              </w:rPr>
              <w:t>2,000</w:t>
            </w:r>
          </w:p>
        </w:tc>
      </w:tr>
      <w:tr>
        <w:tc>
          <w:tcPr>
            <w:tcW w:type="dxa" w:w="4608"/>
            <w:shd w:val="clear" w:fill="EFF3F1"/>
          </w:tcPr>
          <w:p>
            <w:pPr>
              <w:spacing w:line="264" w:lineRule="auto"/>
            </w:pPr>
            <w:r>
              <w:rPr>
                <w:b w:val="0"/>
                <w:i w:val="0"/>
                <w:color w:val="1C3A36"/>
                <w:sz w:val="18"/>
              </w:rPr>
              <w:t>Equity value</w:t>
            </w:r>
          </w:p>
        </w:tc>
        <w:tc>
          <w:tcPr>
            <w:tcW w:type="dxa" w:w="2880"/>
            <w:shd w:val="clear" w:fill="EFF3F1"/>
          </w:tcPr>
          <w:p>
            <w:pPr>
              <w:spacing w:line="264" w:lineRule="auto"/>
              <w:jc w:val="right"/>
            </w:pPr>
            <w:r>
              <w:rPr>
                <w:b w:val="0"/>
                <w:i w:val="0"/>
                <w:sz w:val="18"/>
              </w:rPr>
              <w:t>44,840</w:t>
            </w:r>
          </w:p>
        </w:tc>
      </w:tr>
      <w:tr>
        <w:tc>
          <w:tcPr>
            <w:tcW w:type="dxa" w:w="4608"/>
          </w:tcPr>
          <w:p>
            <w:pPr>
              <w:spacing w:line="264" w:lineRule="auto"/>
            </w:pPr>
            <w:r>
              <w:rPr>
                <w:b/>
                <w:i w:val="0"/>
                <w:color w:val="1C3A36"/>
                <w:sz w:val="18"/>
              </w:rPr>
              <w:t>Fair value per share</w:t>
            </w:r>
          </w:p>
        </w:tc>
        <w:tc>
          <w:tcPr>
            <w:tcW w:type="dxa" w:w="2880"/>
          </w:tcPr>
          <w:p>
            <w:pPr>
              <w:spacing w:line="264" w:lineRule="auto"/>
              <w:jc w:val="right"/>
            </w:pPr>
            <w:r>
              <w:rPr>
                <w:b/>
                <w:i w:val="0"/>
                <w:sz w:val="18"/>
              </w:rPr>
              <w:t>11.48</w:t>
            </w:r>
          </w:p>
        </w:tc>
      </w:tr>
    </w:tbl>
    <w:p>
      <w:pPr>
        <w:spacing w:after="40"/>
      </w:pPr>
    </w:p>
    <w:p>
      <w:pPr>
        <w:spacing w:before="160" w:after="120" w:line="264" w:lineRule="auto"/>
      </w:pPr>
      <w:r>
        <w:rPr>
          <w:b/>
          <w:i w:val="0"/>
          <w:color w:val="1C3A36"/>
          <w:sz w:val="30"/>
        </w:rPr>
        <w:t>Appendix B  Step 0 - calibration backtest</w:t>
      </w:r>
    </w:p>
    <w:p>
      <w:pPr>
        <w:spacing w:after="120" w:line="264" w:lineRule="auto"/>
      </w:pPr>
      <w:r>
        <w:rPr>
          <w:b w:val="0"/>
          <w:i w:val="0"/>
          <w:sz w:val="21"/>
        </w:rPr>
        <w:t>Step 0 replayed non-overlapping quarterly 3-month forecasts across the full five years. With the volatility multiplier at 0.95, the 50/80/90% bands covered 53 / 82 / 88% of realized outcomes and the PIT histogram is approximately uniform - calibration passes (n = 17 quarterly windows).</w:t>
      </w:r>
    </w:p>
    <w:tbl>
      <w:tblPr>
        <w:tblStyle w:val="TableGrid"/>
        <w:tblW w:type="auto" w:w="0"/>
        <w:tblLook w:firstColumn="1" w:firstRow="1" w:lastColumn="0" w:lastRow="0" w:noHBand="0" w:noVBand="1" w:val="04A0"/>
      </w:tblPr>
      <w:tblGrid>
        <w:gridCol w:w="3312"/>
        <w:gridCol w:w="3312"/>
        <w:gridCol w:w="3312"/>
      </w:tblGrid>
      <w:tr>
        <w:tc>
          <w:tcPr>
            <w:tcW w:type="dxa" w:w="2880"/>
            <w:shd w:val="clear" w:fill="1C3A36"/>
          </w:tcPr>
          <w:p>
            <w:pPr>
              <w:spacing w:line="264" w:lineRule="auto"/>
            </w:pPr>
            <w:r>
              <w:rPr>
                <w:b/>
                <w:i w:val="0"/>
                <w:color w:val="FFFFFF"/>
                <w:sz w:val="18"/>
              </w:rPr>
              <w:t>Band</w:t>
            </w:r>
          </w:p>
        </w:tc>
        <w:tc>
          <w:tcPr>
            <w:tcW w:type="dxa" w:w="2880"/>
            <w:shd w:val="clear" w:fill="1C3A36"/>
          </w:tcPr>
          <w:p>
            <w:pPr>
              <w:spacing w:line="264" w:lineRule="auto"/>
              <w:jc w:val="right"/>
            </w:pPr>
            <w:r>
              <w:rPr>
                <w:b/>
                <w:i w:val="0"/>
                <w:color w:val="FFFFFF"/>
                <w:sz w:val="18"/>
              </w:rPr>
              <w:t>Target</w:t>
            </w:r>
          </w:p>
        </w:tc>
        <w:tc>
          <w:tcPr>
            <w:tcW w:type="dxa" w:w="2880"/>
            <w:shd w:val="clear" w:fill="1C3A36"/>
          </w:tcPr>
          <w:p>
            <w:pPr>
              <w:spacing w:line="264" w:lineRule="auto"/>
              <w:jc w:val="right"/>
            </w:pPr>
            <w:r>
              <w:rPr>
                <w:b/>
                <w:i w:val="0"/>
                <w:color w:val="FFFFFF"/>
                <w:sz w:val="18"/>
              </w:rPr>
              <w:t>Realized</w:t>
            </w:r>
          </w:p>
        </w:tc>
      </w:tr>
      <w:tr>
        <w:tc>
          <w:tcPr>
            <w:tcW w:type="dxa" w:w="2880"/>
          </w:tcPr>
          <w:p>
            <w:pPr>
              <w:spacing w:line="264" w:lineRule="auto"/>
            </w:pPr>
            <w:r>
              <w:rPr>
                <w:b w:val="0"/>
                <w:i w:val="0"/>
                <w:color w:val="1C3A36"/>
                <w:sz w:val="18"/>
              </w:rPr>
              <w:t>50%</w:t>
            </w:r>
          </w:p>
        </w:tc>
        <w:tc>
          <w:tcPr>
            <w:tcW w:type="dxa" w:w="2880"/>
          </w:tcPr>
          <w:p>
            <w:pPr>
              <w:spacing w:line="264" w:lineRule="auto"/>
              <w:jc w:val="right"/>
            </w:pPr>
            <w:r>
              <w:rPr>
                <w:b w:val="0"/>
                <w:i w:val="0"/>
                <w:sz w:val="18"/>
              </w:rPr>
              <w:t>50%</w:t>
            </w:r>
          </w:p>
        </w:tc>
        <w:tc>
          <w:tcPr>
            <w:tcW w:type="dxa" w:w="2880"/>
          </w:tcPr>
          <w:p>
            <w:pPr>
              <w:spacing w:line="264" w:lineRule="auto"/>
              <w:jc w:val="right"/>
            </w:pPr>
            <w:r>
              <w:rPr>
                <w:b w:val="0"/>
                <w:i w:val="0"/>
                <w:sz w:val="18"/>
              </w:rPr>
              <w:t>53%</w:t>
            </w:r>
          </w:p>
        </w:tc>
      </w:tr>
      <w:tr>
        <w:tc>
          <w:tcPr>
            <w:tcW w:type="dxa" w:w="2880"/>
            <w:shd w:val="clear" w:fill="EFF3F1"/>
          </w:tcPr>
          <w:p>
            <w:pPr>
              <w:spacing w:line="264" w:lineRule="auto"/>
            </w:pPr>
            <w:r>
              <w:rPr>
                <w:b w:val="0"/>
                <w:i w:val="0"/>
                <w:color w:val="1C3A36"/>
                <w:sz w:val="18"/>
              </w:rPr>
              <w:t>80%</w:t>
            </w:r>
          </w:p>
        </w:tc>
        <w:tc>
          <w:tcPr>
            <w:tcW w:type="dxa" w:w="2880"/>
            <w:shd w:val="clear" w:fill="EFF3F1"/>
          </w:tcPr>
          <w:p>
            <w:pPr>
              <w:spacing w:line="264" w:lineRule="auto"/>
              <w:jc w:val="right"/>
            </w:pPr>
            <w:r>
              <w:rPr>
                <w:b w:val="0"/>
                <w:i w:val="0"/>
                <w:sz w:val="18"/>
              </w:rPr>
              <w:t>80%</w:t>
            </w:r>
          </w:p>
        </w:tc>
        <w:tc>
          <w:tcPr>
            <w:tcW w:type="dxa" w:w="2880"/>
            <w:shd w:val="clear" w:fill="EFF3F1"/>
          </w:tcPr>
          <w:p>
            <w:pPr>
              <w:spacing w:line="264" w:lineRule="auto"/>
              <w:jc w:val="right"/>
            </w:pPr>
            <w:r>
              <w:rPr>
                <w:b w:val="0"/>
                <w:i w:val="0"/>
                <w:sz w:val="18"/>
              </w:rPr>
              <w:t>82%</w:t>
            </w:r>
          </w:p>
        </w:tc>
      </w:tr>
      <w:tr>
        <w:tc>
          <w:tcPr>
            <w:tcW w:type="dxa" w:w="2880"/>
          </w:tcPr>
          <w:p>
            <w:pPr>
              <w:spacing w:line="264" w:lineRule="auto"/>
            </w:pPr>
            <w:r>
              <w:rPr>
                <w:b w:val="0"/>
                <w:i w:val="0"/>
                <w:color w:val="1C3A36"/>
                <w:sz w:val="18"/>
              </w:rPr>
              <w:t>90%</w:t>
            </w:r>
          </w:p>
        </w:tc>
        <w:tc>
          <w:tcPr>
            <w:tcW w:type="dxa" w:w="2880"/>
          </w:tcPr>
          <w:p>
            <w:pPr>
              <w:spacing w:line="264" w:lineRule="auto"/>
              <w:jc w:val="right"/>
            </w:pPr>
            <w:r>
              <w:rPr>
                <w:b w:val="0"/>
                <w:i w:val="0"/>
                <w:sz w:val="18"/>
              </w:rPr>
              <w:t>90%</w:t>
            </w:r>
          </w:p>
        </w:tc>
        <w:tc>
          <w:tcPr>
            <w:tcW w:type="dxa" w:w="2880"/>
          </w:tcPr>
          <w:p>
            <w:pPr>
              <w:spacing w:line="264" w:lineRule="auto"/>
              <w:jc w:val="right"/>
            </w:pPr>
            <w:r>
              <w:rPr>
                <w:b w:val="0"/>
                <w:i w:val="0"/>
                <w:sz w:val="18"/>
              </w:rPr>
              <w:t>88%</w:t>
            </w:r>
          </w:p>
        </w:tc>
      </w:tr>
    </w:tbl>
    <w:p>
      <w:pPr>
        <w:spacing w:after="40"/>
      </w:pPr>
    </w:p>
    <w:p>
      <w:pPr>
        <w:jc w:val="center"/>
      </w:pPr>
      <w:r>
        <w:drawing>
          <wp:inline xmlns:a="http://schemas.openxmlformats.org/drawingml/2006/main" xmlns:pic="http://schemas.openxmlformats.org/drawingml/2006/picture">
            <wp:extent cx="6217920" cy="1921376"/>
            <wp:docPr id="8" name="Picture 8"/>
            <wp:cNvGraphicFramePr>
              <a:graphicFrameLocks noChangeAspect="1"/>
            </wp:cNvGraphicFramePr>
            <a:graphic>
              <a:graphicData uri="http://schemas.openxmlformats.org/drawingml/2006/picture">
                <pic:pic>
                  <pic:nvPicPr>
                    <pic:cNvPr id="0" name="FWRY_calibration.png"/>
                    <pic:cNvPicPr/>
                  </pic:nvPicPr>
                  <pic:blipFill>
                    <a:blip r:embed="rId16"/>
                    <a:stretch>
                      <a:fillRect/>
                    </a:stretch>
                  </pic:blipFill>
                  <pic:spPr>
                    <a:xfrm>
                      <a:off x="0" y="0"/>
                      <a:ext cx="6217920" cy="1921376"/>
                    </a:xfrm>
                    <a:prstGeom prst="rect"/>
                  </pic:spPr>
                </pic:pic>
              </a:graphicData>
            </a:graphic>
          </wp:inline>
        </w:drawing>
      </w:r>
    </w:p>
    <w:p>
      <w:pPr>
        <w:spacing w:line="264" w:lineRule="auto"/>
        <w:jc w:val="center"/>
      </w:pPr>
      <w:r>
        <w:rPr>
          <w:b w:val="0"/>
          <w:i/>
          <w:color w:val="666666"/>
          <w:sz w:val="16"/>
        </w:rPr>
        <w:t>Calibration backtest - cone replay, PIT histogram, interval coverage</w:t>
      </w:r>
    </w:p>
    <w:p>
      <w:pPr>
        <w:spacing w:before="160" w:after="120" w:line="264" w:lineRule="auto"/>
      </w:pPr>
      <w:r>
        <w:rPr>
          <w:b/>
          <w:i w:val="0"/>
          <w:color w:val="1C3A36"/>
          <w:sz w:val="30"/>
        </w:rPr>
        <w:t>Appendix C  Peer set, sector structure, and risks</w:t>
      </w:r>
    </w:p>
    <w:p>
      <w:pPr>
        <w:spacing w:after="120" w:line="264" w:lineRule="auto"/>
      </w:pPr>
      <w:r>
        <w:rPr>
          <w:b w:val="0"/>
          <w:i w:val="0"/>
          <w:sz w:val="21"/>
        </w:rPr>
        <w:t>Peers: domestically e-finance Investment Group (EGX: EFIH) is the closest listed comparable; regionally and globally the read-across set is profitable payment platforms (dLocal, Adyen, PayPal at the mature end). Sector structure: distribution is the moat - 377k agents and 36 member banks feed a two-sided network the free InstaPay rails cannot replicate for cash-in/cash-out - while the CBE rate cycle drives both the discount rate and the float income.</w:t>
      </w:r>
    </w:p>
    <w:p>
      <w:pPr>
        <w:spacing w:after="120" w:line="264" w:lineRule="auto"/>
      </w:pPr>
      <w:r>
        <w:rPr>
          <w:b w:val="0"/>
          <w:i w:val="0"/>
          <w:sz w:val="21"/>
        </w:rPr>
        <w:t>Principal risks: policy-rate path, take-rate compression on free rails, credit quality in the fast-growing MSME/consumer book, key-man and regulatory/licensing risk, and EGX flow concentration in a crowded local favourite.</w:t>
      </w:r>
    </w:p>
    <w:p>
      <w:pPr>
        <w:spacing w:before="160" w:after="120" w:line="264" w:lineRule="auto"/>
      </w:pPr>
      <w:r>
        <w:rPr>
          <w:b/>
          <w:i w:val="0"/>
          <w:color w:val="1C3A36"/>
          <w:sz w:val="30"/>
        </w:rPr>
        <w:t>Appendix D  The expert valuation panel</w:t>
      </w:r>
    </w:p>
    <w:p>
      <w:pPr>
        <w:spacing w:before="160" w:after="120" w:line="264" w:lineRule="auto"/>
      </w:pPr>
      <w:r>
        <w:rPr>
          <w:b/>
          <w:i w:val="0"/>
          <w:color w:val="1C3A36"/>
          <w:sz w:val="24"/>
        </w:rPr>
        <w:t>D.1  Expert 1 - growth-adjusted earnings power (two-stage)</w:t>
      </w:r>
    </w:p>
    <w:p>
      <w:pPr>
        <w:spacing w:after="120" w:line="264" w:lineRule="auto"/>
      </w:pPr>
      <w:r>
        <w:rPr>
          <w:b/>
          <w:i w:val="0"/>
          <w:color w:val="1C3A36"/>
          <w:sz w:val="21"/>
        </w:rPr>
        <w:t xml:space="preserve">Worldview and tradition. </w:t>
      </w:r>
      <w:r>
        <w:rPr>
          <w:b w:val="0"/>
          <w:i w:val="0"/>
          <w:sz w:val="21"/>
        </w:rPr>
        <w:t>A scalable platform is worth its forward earnings at a multiple that respects both the growth and the local cost of equity. Fawry compounds revenue at 30%+ with operating leverage; the question is only what a fair multiple is when the risk-free alternative in EGP yields north of 20%.</w:t>
      </w:r>
    </w:p>
    <w:p>
      <w:pPr>
        <w:spacing w:after="120" w:line="264" w:lineRule="auto"/>
      </w:pPr>
      <w:r>
        <w:rPr>
          <w:b w:val="0"/>
          <w:i w:val="0"/>
          <w:sz w:val="21"/>
        </w:rPr>
        <w:t>The tradition is growth-at-a-reasonable-price transplanted to emerging-market discount rates: earnings power is the anchor, the fade is explicit, and the multiple is derived from the fade rather than borrowed from a peer screen. Nothing is paid for terminal dreams - the fade ends at nominal-GDP growth.</w:t>
      </w:r>
    </w:p>
    <w:p>
      <w:pPr>
        <w:spacing w:after="120" w:line="264" w:lineRule="auto"/>
      </w:pPr>
      <w:r>
        <w:rPr>
          <w:b w:val="0"/>
          <w:i w:val="0"/>
          <w:sz w:val="21"/>
        </w:rPr>
        <w:t>Applied here it reduces to one question: what does a pound of Fawry's FY26 earnings deserve when growth fades 20%-&gt;12% over five years and the alternative earns 20%+ risk-free? Derive that, multiply, stop.</w:t>
      </w:r>
    </w:p>
    <w:p>
      <w:pPr>
        <w:spacing w:after="120" w:line="264" w:lineRule="auto"/>
      </w:pPr>
      <w:r>
        <w:rPr>
          <w:b/>
          <w:i w:val="0"/>
          <w:color w:val="1C3A36"/>
          <w:sz w:val="21"/>
        </w:rPr>
        <w:t xml:space="preserve">When it works / when it fails. </w:t>
      </w:r>
      <w:r>
        <w:rPr>
          <w:b w:val="0"/>
          <w:i w:val="0"/>
          <w:sz w:val="21"/>
        </w:rPr>
        <w:t>Works for profitable compounders with visible unit economics and a long runway - financial inclusion and cash digitisation are exactly that. Fails when the growth is bought (credit losses arriving later), when the margin definition inflates earnings, or when the discount-rate regime shifts under you.</w:t>
      </w:r>
    </w:p>
    <w:p>
      <w:pPr>
        <w:spacing w:after="120" w:line="264" w:lineRule="auto"/>
      </w:pPr>
      <w:r>
        <w:rPr>
          <w:b w:val="0"/>
          <w:i w:val="0"/>
          <w:sz w:val="21"/>
        </w:rPr>
        <w:t>The honest weakness in this case is the earnings base itself: FY26E EPS includes ~EGP 790 mn of treasury interest earned on the float, which is a rate call, not a franchise. Expert 2 prices that objection; I hold the reported base and answer it in the multiple.</w:t>
      </w:r>
    </w:p>
    <w:p>
      <w:pPr>
        <w:spacing w:after="120" w:line="264" w:lineRule="auto"/>
      </w:pPr>
      <w:r>
        <w:rPr>
          <w:b/>
          <w:i w:val="0"/>
          <w:color w:val="1C3A36"/>
          <w:sz w:val="21"/>
        </w:rPr>
        <w:t xml:space="preserve">Standard workings. </w:t>
      </w:r>
      <w:r>
        <w:rPr>
          <w:b w:val="0"/>
          <w:i w:val="0"/>
          <w:sz w:val="21"/>
        </w:rPr>
        <w:t>Two steps: establish the forward earnings base from the model, then derive the fair multiple from the fade. FY26E net income EGP 3,581 mn on 30% revenue growth and a 56% EBITDA margin gives EPS EGP 0.92 on 3,905 mn shares; a 20%-&gt;12% five-year fade at a ~24% cost of equity supports ~16x.</w:t>
      </w:r>
    </w:p>
    <w:p>
      <w:pPr>
        <w:spacing w:after="120" w:line="264" w:lineRule="auto"/>
      </w:pPr>
      <w:r>
        <w:rPr>
          <w:b w:val="0"/>
          <w:i w:val="0"/>
          <w:sz w:val="21"/>
        </w:rPr>
        <w:t>Every input is a blue cell in the companion Excel - the growth path, the margin fade, the tax-and-minorities rate - so the base can be red-penned without touching the method.</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Step</w:t>
            </w:r>
          </w:p>
        </w:tc>
        <w:tc>
          <w:tcPr>
            <w:tcW w:type="dxa" w:w="3168"/>
            <w:shd w:val="clear" w:fill="1C3A36"/>
          </w:tcPr>
          <w:p>
            <w:pPr>
              <w:spacing w:line="264" w:lineRule="auto"/>
              <w:jc w:val="right"/>
            </w:pPr>
            <w:r>
              <w:rPr>
                <w:b/>
                <w:i w:val="0"/>
                <w:color w:val="FFFFFF"/>
                <w:sz w:val="18"/>
              </w:rPr>
              <w:t>Value</w:t>
            </w:r>
          </w:p>
        </w:tc>
      </w:tr>
      <w:tr>
        <w:tc>
          <w:tcPr>
            <w:tcW w:type="dxa" w:w="4896"/>
          </w:tcPr>
          <w:p>
            <w:pPr>
              <w:spacing w:line="264" w:lineRule="auto"/>
            </w:pPr>
            <w:r>
              <w:rPr>
                <w:b w:val="0"/>
                <w:i w:val="0"/>
                <w:color w:val="1C3A36"/>
                <w:sz w:val="18"/>
              </w:rPr>
              <w:t>FY26E net income</w:t>
            </w:r>
          </w:p>
        </w:tc>
        <w:tc>
          <w:tcPr>
            <w:tcW w:type="dxa" w:w="3168"/>
          </w:tcPr>
          <w:p>
            <w:pPr>
              <w:spacing w:line="264" w:lineRule="auto"/>
              <w:jc w:val="right"/>
            </w:pPr>
            <w:r>
              <w:rPr>
                <w:b w:val="0"/>
                <w:i w:val="0"/>
                <w:sz w:val="18"/>
              </w:rPr>
              <w:t>EGP 3,581 mn</w:t>
            </w:r>
          </w:p>
        </w:tc>
      </w:tr>
      <w:tr>
        <w:tc>
          <w:tcPr>
            <w:tcW w:type="dxa" w:w="4896"/>
            <w:shd w:val="clear" w:fill="EFF3F1"/>
          </w:tcPr>
          <w:p>
            <w:pPr>
              <w:spacing w:line="264" w:lineRule="auto"/>
            </w:pPr>
            <w:r>
              <w:rPr>
                <w:b w:val="0"/>
                <w:i w:val="0"/>
                <w:color w:val="1C3A36"/>
                <w:sz w:val="18"/>
              </w:rPr>
              <w:t>/ shares (mn)</w:t>
            </w:r>
          </w:p>
        </w:tc>
        <w:tc>
          <w:tcPr>
            <w:tcW w:type="dxa" w:w="3168"/>
            <w:shd w:val="clear" w:fill="EFF3F1"/>
          </w:tcPr>
          <w:p>
            <w:pPr>
              <w:spacing w:line="264" w:lineRule="auto"/>
              <w:jc w:val="right"/>
            </w:pPr>
            <w:r>
              <w:rPr>
                <w:b w:val="0"/>
                <w:i w:val="0"/>
                <w:sz w:val="18"/>
              </w:rPr>
              <w:t>3,905</w:t>
            </w:r>
          </w:p>
        </w:tc>
      </w:tr>
      <w:tr>
        <w:tc>
          <w:tcPr>
            <w:tcW w:type="dxa" w:w="4896"/>
          </w:tcPr>
          <w:p>
            <w:pPr>
              <w:spacing w:line="264" w:lineRule="auto"/>
            </w:pPr>
            <w:r>
              <w:rPr>
                <w:b w:val="0"/>
                <w:i w:val="0"/>
                <w:color w:val="1C3A36"/>
                <w:sz w:val="18"/>
              </w:rPr>
              <w:t>FY26E EPS</w:t>
            </w:r>
          </w:p>
        </w:tc>
        <w:tc>
          <w:tcPr>
            <w:tcW w:type="dxa" w:w="3168"/>
          </w:tcPr>
          <w:p>
            <w:pPr>
              <w:spacing w:line="264" w:lineRule="auto"/>
              <w:jc w:val="right"/>
            </w:pPr>
            <w:r>
              <w:rPr>
                <w:b w:val="0"/>
                <w:i w:val="0"/>
                <w:sz w:val="18"/>
              </w:rPr>
              <w:t>EGP 0.92</w:t>
            </w:r>
          </w:p>
        </w:tc>
      </w:tr>
      <w:tr>
        <w:tc>
          <w:tcPr>
            <w:tcW w:type="dxa" w:w="4896"/>
            <w:shd w:val="clear" w:fill="EFF3F1"/>
          </w:tcPr>
          <w:p>
            <w:pPr>
              <w:spacing w:line="264" w:lineRule="auto"/>
            </w:pPr>
            <w:r>
              <w:rPr>
                <w:b w:val="0"/>
                <w:i w:val="0"/>
                <w:color w:val="1C3A36"/>
                <w:sz w:val="18"/>
              </w:rPr>
              <w:t>Fair P/E (20%-&gt;12% fade at ~24% Ke)</w:t>
            </w:r>
          </w:p>
        </w:tc>
        <w:tc>
          <w:tcPr>
            <w:tcW w:type="dxa" w:w="3168"/>
            <w:shd w:val="clear" w:fill="EFF3F1"/>
          </w:tcPr>
          <w:p>
            <w:pPr>
              <w:spacing w:line="264" w:lineRule="auto"/>
              <w:jc w:val="right"/>
            </w:pPr>
            <w:r>
              <w:rPr>
                <w:b w:val="0"/>
                <w:i w:val="0"/>
                <w:sz w:val="18"/>
              </w:rPr>
              <w:t>16x</w:t>
            </w:r>
          </w:p>
        </w:tc>
      </w:tr>
      <w:tr>
        <w:tc>
          <w:tcPr>
            <w:tcW w:type="dxa" w:w="4896"/>
          </w:tcPr>
          <w:p>
            <w:pPr>
              <w:spacing w:line="264" w:lineRule="auto"/>
            </w:pPr>
            <w:r>
              <w:rPr>
                <w:b w:val="0"/>
                <w:i w:val="0"/>
                <w:color w:val="1C3A36"/>
                <w:sz w:val="18"/>
              </w:rPr>
              <w:t>Fair value per share</w:t>
            </w:r>
          </w:p>
        </w:tc>
        <w:tc>
          <w:tcPr>
            <w:tcW w:type="dxa" w:w="3168"/>
          </w:tcPr>
          <w:p>
            <w:pPr>
              <w:spacing w:line="264" w:lineRule="auto"/>
              <w:jc w:val="right"/>
            </w:pPr>
            <w:r>
              <w:rPr>
                <w:b w:val="0"/>
                <w:i w:val="0"/>
                <w:sz w:val="18"/>
              </w:rPr>
              <w:t>EGP 14.7</w:t>
            </w:r>
          </w:p>
        </w:tc>
      </w:tr>
      <w:tr>
        <w:tc>
          <w:tcPr>
            <w:tcW w:type="dxa" w:w="4896"/>
            <w:shd w:val="clear" w:fill="EFF3F1"/>
          </w:tcPr>
          <w:p>
            <w:pPr>
              <w:spacing w:line="264" w:lineRule="auto"/>
            </w:pPr>
            <w:r>
              <w:rPr>
                <w:b w:val="0"/>
                <w:i w:val="0"/>
                <w:color w:val="1C3A36"/>
                <w:sz w:val="18"/>
              </w:rPr>
              <w:t>P/E band 13-20x</w:t>
            </w:r>
          </w:p>
        </w:tc>
        <w:tc>
          <w:tcPr>
            <w:tcW w:type="dxa" w:w="3168"/>
            <w:shd w:val="clear" w:fill="EFF3F1"/>
          </w:tcPr>
          <w:p>
            <w:pPr>
              <w:spacing w:line="264" w:lineRule="auto"/>
              <w:jc w:val="right"/>
            </w:pPr>
            <w:r>
              <w:rPr>
                <w:b w:val="0"/>
                <w:i w:val="0"/>
                <w:sz w:val="18"/>
              </w:rPr>
              <w:t>EGP 12.0 - 18.4</w:t>
            </w:r>
          </w:p>
        </w:tc>
      </w:tr>
    </w:tbl>
    <w:p>
      <w:pPr>
        <w:spacing w:after="40"/>
      </w:pPr>
    </w:p>
    <w:p>
      <w:pPr>
        <w:spacing w:after="120" w:line="264" w:lineRule="auto"/>
      </w:pPr>
      <w:r>
        <w:rPr>
          <w:b/>
          <w:i w:val="0"/>
          <w:color w:val="1C3A36"/>
          <w:sz w:val="21"/>
        </w:rPr>
        <w:t xml:space="preserve">Worked example. </w:t>
      </w:r>
      <w:r>
        <w:rPr>
          <w:b w:val="0"/>
          <w:i w:val="0"/>
          <w:sz w:val="21"/>
        </w:rPr>
        <w:t>EPS FY26E = 3,581 / 3,905 = EGP 0.92. Fair multiple 16x -&gt; EGP 14.7. At spot 18.40 the implied multiple is 20.0x FY26E - the market pays about four turns for duration.</w:t>
      </w:r>
    </w:p>
    <w:p>
      <w:pPr>
        <w:spacing w:after="120" w:line="264" w:lineRule="auto"/>
      </w:pPr>
      <w:r>
        <w:rPr>
          <w:b w:val="0"/>
          <w:i w:val="0"/>
          <w:sz w:val="21"/>
        </w:rPr>
        <w:t>Run it on stripped EPS (excluding treasury interest, ~EGP 0.77) at the same 16x and the answer is EGP 12.3 - the two-pound gap between my base and Expert 2's is almost entirely one income line.</w:t>
      </w:r>
    </w:p>
    <w:p>
      <w:pPr>
        <w:spacing w:after="120" w:line="264" w:lineRule="auto" w:before="160"/>
      </w:pPr>
      <w:r>
        <w:rPr>
          <w:b/>
          <w:i w:val="0"/>
          <w:color w:val="1C3A36"/>
          <w:sz w:val="21"/>
        </w:rPr>
        <w:t xml:space="preserve">Sensitivity on the swing input. </w:t>
      </w:r>
      <w:r>
        <w:rPr>
          <w:b w:val="0"/>
          <w:i w:val="0"/>
          <w:sz w:val="21"/>
        </w:rPr>
        <w:t>The multiple is the swing; the EPS base is second.</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Swing input</w:t>
            </w:r>
          </w:p>
        </w:tc>
        <w:tc>
          <w:tcPr>
            <w:tcW w:type="dxa" w:w="3168"/>
            <w:shd w:val="clear" w:fill="1C3A36"/>
          </w:tcPr>
          <w:p>
            <w:pPr>
              <w:spacing w:line="264" w:lineRule="auto"/>
              <w:jc w:val="right"/>
            </w:pPr>
            <w:r>
              <w:rPr>
                <w:b/>
                <w:i w:val="0"/>
                <w:color w:val="FFFFFF"/>
                <w:sz w:val="18"/>
              </w:rPr>
              <w:t>Fair value (EGP/sh)</w:t>
            </w:r>
          </w:p>
        </w:tc>
      </w:tr>
      <w:tr>
        <w:tc>
          <w:tcPr>
            <w:tcW w:type="dxa" w:w="4896"/>
          </w:tcPr>
          <w:p>
            <w:pPr>
              <w:spacing w:line="264" w:lineRule="auto"/>
            </w:pPr>
            <w:r>
              <w:rPr>
                <w:b w:val="0"/>
                <w:i w:val="0"/>
                <w:color w:val="1C3A36"/>
                <w:sz w:val="18"/>
              </w:rPr>
              <w:t>Fair P/E 13 / 16 / 20x</w:t>
            </w:r>
          </w:p>
        </w:tc>
        <w:tc>
          <w:tcPr>
            <w:tcW w:type="dxa" w:w="3168"/>
          </w:tcPr>
          <w:p>
            <w:pPr>
              <w:spacing w:line="264" w:lineRule="auto"/>
              <w:jc w:val="right"/>
            </w:pPr>
            <w:r>
              <w:rPr>
                <w:b w:val="0"/>
                <w:i w:val="0"/>
                <w:sz w:val="18"/>
              </w:rPr>
              <w:t>12.0 / 14.7 / 18.4</w:t>
            </w:r>
          </w:p>
        </w:tc>
      </w:tr>
      <w:tr>
        <w:tc>
          <w:tcPr>
            <w:tcW w:type="dxa" w:w="4896"/>
            <w:shd w:val="clear" w:fill="EFF3F1"/>
          </w:tcPr>
          <w:p>
            <w:pPr>
              <w:spacing w:line="264" w:lineRule="auto"/>
            </w:pPr>
            <w:r>
              <w:rPr>
                <w:b w:val="0"/>
                <w:i w:val="0"/>
                <w:color w:val="1C3A36"/>
                <w:sz w:val="18"/>
              </w:rPr>
              <w:t>FY26E EPS +/-10%</w:t>
            </w:r>
          </w:p>
        </w:tc>
        <w:tc>
          <w:tcPr>
            <w:tcW w:type="dxa" w:w="3168"/>
            <w:shd w:val="clear" w:fill="EFF3F1"/>
          </w:tcPr>
          <w:p>
            <w:pPr>
              <w:spacing w:line="264" w:lineRule="auto"/>
              <w:jc w:val="right"/>
            </w:pPr>
            <w:r>
              <w:rPr>
                <w:b w:val="0"/>
                <w:i w:val="0"/>
                <w:sz w:val="18"/>
              </w:rPr>
              <w:t>+/- ~1.5</w:t>
            </w:r>
          </w:p>
        </w:tc>
      </w:tr>
      <w:tr>
        <w:tc>
          <w:tcPr>
            <w:tcW w:type="dxa" w:w="4896"/>
          </w:tcPr>
          <w:p>
            <w:pPr>
              <w:spacing w:line="264" w:lineRule="auto"/>
            </w:pPr>
            <w:r>
              <w:rPr>
                <w:b w:val="0"/>
                <w:i w:val="0"/>
                <w:color w:val="1C3A36"/>
                <w:sz w:val="18"/>
              </w:rPr>
              <w:t>Ex-treasury EPS base (0.77)</w:t>
            </w:r>
          </w:p>
        </w:tc>
        <w:tc>
          <w:tcPr>
            <w:tcW w:type="dxa" w:w="3168"/>
          </w:tcPr>
          <w:p>
            <w:pPr>
              <w:spacing w:line="264" w:lineRule="auto"/>
              <w:jc w:val="right"/>
            </w:pPr>
            <w:r>
              <w:rPr>
                <w:b w:val="0"/>
                <w:i w:val="0"/>
                <w:sz w:val="18"/>
              </w:rPr>
              <w:t>12.3 at 16x</w:t>
            </w:r>
          </w:p>
        </w:tc>
      </w:tr>
    </w:tbl>
    <w:p>
      <w:pPr>
        <w:spacing w:after="40"/>
      </w:pPr>
    </w:p>
    <w:p>
      <w:pPr>
        <w:spacing w:after="120" w:line="264" w:lineRule="auto"/>
      </w:pPr>
      <w:r>
        <w:rPr>
          <w:b/>
          <w:i w:val="0"/>
          <w:color w:val="1C3A36"/>
          <w:sz w:val="21"/>
        </w:rPr>
        <w:t xml:space="preserve">Cross-examination. </w:t>
      </w:r>
      <w:r>
        <w:rPr>
          <w:b w:val="0"/>
          <w:i w:val="0"/>
          <w:sz w:val="21"/>
        </w:rPr>
        <w:t>To Expert 2: your wedge is real but mostly non-cash - ESOP and provisions are growth investment expensed early; punishing them in the earnings base and again in a low multiple double-charges a platform for scaling. And your 13x sits below what the market pays for slower Egyptian consumer names.</w:t>
      </w:r>
    </w:p>
    <w:p>
      <w:pPr>
        <w:spacing w:after="120" w:line="264" w:lineRule="auto"/>
      </w:pPr>
      <w:r>
        <w:rPr>
          <w:b w:val="0"/>
          <w:i w:val="0"/>
          <w:sz w:val="21"/>
        </w:rPr>
        <w:t>To Expert 3: rates are your story, but Fawry grew EPS 80% through the tightest money in Egypt's modern history; execution, not the CBE, is the driver - your scenarios move my multiple two turns either way, they do not move the franchise.</w:t>
      </w:r>
    </w:p>
    <w:p>
      <w:pPr>
        <w:spacing w:after="120" w:line="264" w:lineRule="auto"/>
      </w:pPr>
      <w:r>
        <w:rPr>
          <w:b/>
          <w:i w:val="0"/>
          <w:color w:val="1C3A36"/>
          <w:sz w:val="21"/>
        </w:rPr>
        <w:t xml:space="preserve">Verdict, falsification, and what the price implies. </w:t>
      </w:r>
      <w:r>
        <w:rPr>
          <w:b w:val="0"/>
          <w:i w:val="0"/>
          <w:sz w:val="21"/>
        </w:rPr>
        <w:t>Fair ~EGP 15.0 (12-18). At 18.40 the market prices either a sustained 20x-plus multiple or upside to my growth fade.</w:t>
      </w:r>
    </w:p>
    <w:p>
      <w:pPr>
        <w:spacing w:after="120" w:line="264" w:lineRule="auto"/>
      </w:pPr>
      <w:r>
        <w:rPr>
          <w:b w:val="0"/>
          <w:i w:val="0"/>
          <w:sz w:val="21"/>
        </w:rPr>
        <w:t>Price-implied: buyers at spot are underwriting the top of my band - a defensible growth view, but one that leaves no room for a single soft quarter. Falsification: two consecutive quarters of sub-20% revenue growth, or the EBITDA margin printing below 45%.</w:t>
      </w:r>
    </w:p>
    <w:p>
      <w:pPr>
        <w:spacing w:after="120" w:line="264" w:lineRule="auto"/>
      </w:pPr>
      <w:r>
        <w:rPr>
          <w:b/>
          <w:color w:val="1C3A36"/>
          <w:sz w:val="21"/>
        </w:rPr>
        <w:t xml:space="preserve">Method note. </w:t>
      </w:r>
      <w:r>
        <w:rPr>
          <w:b w:val="0"/>
          <w:sz w:val="21"/>
        </w:rPr>
        <w:t>The fade is the entire engine of this lens: hold 20% for ten years instead of five and the fair multiple runs past 22x; end the fade at 8% and even 13x is generous. I publish the path so the disagreement lands on an assumption rather than an outcome - and the model's blue cells let any reader re-run their own fade in minutes.</w:t>
      </w:r>
    </w:p>
    <w:p>
      <w:pPr>
        <w:spacing w:before="160" w:after="120" w:line="264" w:lineRule="auto"/>
      </w:pPr>
      <w:r>
        <w:rPr>
          <w:b/>
          <w:i w:val="0"/>
          <w:color w:val="1C3A36"/>
          <w:sz w:val="24"/>
        </w:rPr>
        <w:t>D.2  Expert 2 - quality of earnings - the accountant's strip-down</w:t>
      </w:r>
    </w:p>
    <w:p>
      <w:pPr>
        <w:spacing w:after="120" w:line="264" w:lineRule="auto"/>
      </w:pPr>
      <w:r>
        <w:rPr>
          <w:b/>
          <w:i w:val="0"/>
          <w:color w:val="1C3A36"/>
          <w:sz w:val="21"/>
        </w:rPr>
        <w:t xml:space="preserve">Worldview and tradition. </w:t>
      </w:r>
      <w:r>
        <w:rPr>
          <w:b w:val="0"/>
          <w:i w:val="0"/>
          <w:sz w:val="21"/>
        </w:rPr>
        <w:t>Pay for audited operating profit, not a company-defined aggregate. Fawry's 57.4% 'EBITDA' excludes ESOP, provisions, leasing and non-operating interest; the honest base is EBIT after the full wedge, taxed, plus the cash - nothing else.</w:t>
      </w:r>
    </w:p>
    <w:p>
      <w:pPr>
        <w:spacing w:after="120" w:line="264" w:lineRule="auto"/>
      </w:pPr>
      <w:r>
        <w:rPr>
          <w:b w:val="0"/>
          <w:i w:val="0"/>
          <w:sz w:val="21"/>
        </w:rPr>
        <w:t>The tradition is the quality-of-earnings school: reconcile every headline metric back to what an auditor signs, refuse house blends, and let the reconciliation - not the narrative - set the base. Where the wedge between the company's number and the audited number is a fifth of revenue, the wedge is the story.</w:t>
      </w:r>
    </w:p>
    <w:p>
      <w:pPr>
        <w:spacing w:after="120" w:line="264" w:lineRule="auto"/>
      </w:pPr>
      <w:r>
        <w:rPr>
          <w:b w:val="0"/>
          <w:i w:val="0"/>
          <w:sz w:val="21"/>
        </w:rPr>
        <w:t>The test case here is one line: EGP 4,968 mn of company-defined EBITDA against roughly EGP 3,060 mn of EAS operating profit. My valuation is simply the refusal to capitalize the difference.</w:t>
      </w:r>
    </w:p>
    <w:p>
      <w:pPr>
        <w:spacing w:after="120" w:line="264" w:lineRule="auto"/>
      </w:pPr>
      <w:r>
        <w:rPr>
          <w:b/>
          <w:i w:val="0"/>
          <w:color w:val="1C3A36"/>
          <w:sz w:val="21"/>
        </w:rPr>
        <w:t xml:space="preserve">When it works / when it fails. </w:t>
      </w:r>
      <w:r>
        <w:rPr>
          <w:b w:val="0"/>
          <w:i w:val="0"/>
          <w:sz w:val="21"/>
        </w:rPr>
        <w:t>Works whenever a company's headline metric is a house blend - it anchors value to what is signed, and it caught every EGX accounting disappointment of the last decade early. Fails when the stripped items genuinely are non-recurring or genuinely are investment, where it under-values a clean compounder - and Fawry's NBFI growth is real, so my base is deliberately harsh.</w:t>
      </w:r>
    </w:p>
    <w:p>
      <w:pPr>
        <w:spacing w:after="120" w:line="264" w:lineRule="auto"/>
      </w:pPr>
      <w:r>
        <w:rPr>
          <w:b w:val="0"/>
          <w:i w:val="0"/>
          <w:sz w:val="21"/>
        </w:rPr>
        <w:t>It also refuses all credit for optionality (neobank licence, Soft POS) on principle: options are bought, not paid for at par.</w:t>
      </w:r>
    </w:p>
    <w:p>
      <w:pPr>
        <w:spacing w:after="120" w:line="264" w:lineRule="auto"/>
      </w:pPr>
      <w:r>
        <w:rPr>
          <w:b/>
          <w:i w:val="0"/>
          <w:color w:val="1C3A36"/>
          <w:sz w:val="21"/>
        </w:rPr>
        <w:t xml:space="preserve">Standard workings. </w:t>
      </w:r>
      <w:r>
        <w:rPr>
          <w:b w:val="0"/>
          <w:i w:val="0"/>
          <w:sz w:val="21"/>
        </w:rPr>
        <w:t>Strip to operating NOPAT, apply a processor's multiple, add only the cash. FY26E EBITDA (company-defined) 6,297 less the 20%-of-revenue wedge (D&amp;A, ESOP, provisions) 2,249 = EBIT 4,048; taxed at 26% = NOPAT ~2,996.</w:t>
      </w:r>
    </w:p>
    <w:p>
      <w:pPr>
        <w:spacing w:after="120" w:line="264" w:lineRule="auto"/>
      </w:pPr>
      <w:r>
        <w:rPr>
          <w:b w:val="0"/>
          <w:i w:val="0"/>
          <w:sz w:val="21"/>
        </w:rPr>
        <w:t>The 13x on operating NOPAT is chosen between a payments processor (11x) and a platform (15x) - generous for the strictness of the base, deliberate so the answer cannot be dismissed as punitive arithmetic.</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Step</w:t>
            </w:r>
          </w:p>
        </w:tc>
        <w:tc>
          <w:tcPr>
            <w:tcW w:type="dxa" w:w="3168"/>
            <w:shd w:val="clear" w:fill="1C3A36"/>
          </w:tcPr>
          <w:p>
            <w:pPr>
              <w:spacing w:line="264" w:lineRule="auto"/>
              <w:jc w:val="right"/>
            </w:pPr>
            <w:r>
              <w:rPr>
                <w:b/>
                <w:i w:val="0"/>
                <w:color w:val="FFFFFF"/>
                <w:sz w:val="18"/>
              </w:rPr>
              <w:t>Value</w:t>
            </w:r>
          </w:p>
        </w:tc>
      </w:tr>
      <w:tr>
        <w:tc>
          <w:tcPr>
            <w:tcW w:type="dxa" w:w="4896"/>
          </w:tcPr>
          <w:p>
            <w:pPr>
              <w:spacing w:line="264" w:lineRule="auto"/>
            </w:pPr>
            <w:r>
              <w:rPr>
                <w:b w:val="0"/>
                <w:i w:val="0"/>
                <w:color w:val="1C3A36"/>
                <w:sz w:val="18"/>
              </w:rPr>
              <w:t>FY26E EBITDA (company-defined)</w:t>
            </w:r>
          </w:p>
        </w:tc>
        <w:tc>
          <w:tcPr>
            <w:tcW w:type="dxa" w:w="3168"/>
          </w:tcPr>
          <w:p>
            <w:pPr>
              <w:spacing w:line="264" w:lineRule="auto"/>
              <w:jc w:val="right"/>
            </w:pPr>
            <w:r>
              <w:rPr>
                <w:b w:val="0"/>
                <w:i w:val="0"/>
                <w:sz w:val="18"/>
              </w:rPr>
              <w:t>EGP 6,297 mn</w:t>
            </w:r>
          </w:p>
        </w:tc>
      </w:tr>
      <w:tr>
        <w:tc>
          <w:tcPr>
            <w:tcW w:type="dxa" w:w="4896"/>
            <w:shd w:val="clear" w:fill="EFF3F1"/>
          </w:tcPr>
          <w:p>
            <w:pPr>
              <w:spacing w:line="264" w:lineRule="auto"/>
            </w:pPr>
            <w:r>
              <w:rPr>
                <w:b w:val="0"/>
                <w:i w:val="0"/>
                <w:color w:val="1C3A36"/>
                <w:sz w:val="18"/>
              </w:rPr>
              <w:t>- wedge (D&amp;A, ESOP, provisions, 20% of rev)</w:t>
            </w:r>
          </w:p>
        </w:tc>
        <w:tc>
          <w:tcPr>
            <w:tcW w:type="dxa" w:w="3168"/>
            <w:shd w:val="clear" w:fill="EFF3F1"/>
          </w:tcPr>
          <w:p>
            <w:pPr>
              <w:spacing w:line="264" w:lineRule="auto"/>
              <w:jc w:val="right"/>
            </w:pPr>
            <w:r>
              <w:rPr>
                <w:b w:val="0"/>
                <w:i w:val="0"/>
                <w:sz w:val="18"/>
              </w:rPr>
              <w:t>EGP 2,249 mn</w:t>
            </w:r>
          </w:p>
        </w:tc>
      </w:tr>
      <w:tr>
        <w:tc>
          <w:tcPr>
            <w:tcW w:type="dxa" w:w="4896"/>
          </w:tcPr>
          <w:p>
            <w:pPr>
              <w:spacing w:line="264" w:lineRule="auto"/>
            </w:pPr>
            <w:r>
              <w:rPr>
                <w:b w:val="0"/>
                <w:i w:val="0"/>
                <w:color w:val="1C3A36"/>
                <w:sz w:val="18"/>
              </w:rPr>
              <w:t>EBIT</w:t>
            </w:r>
          </w:p>
        </w:tc>
        <w:tc>
          <w:tcPr>
            <w:tcW w:type="dxa" w:w="3168"/>
          </w:tcPr>
          <w:p>
            <w:pPr>
              <w:spacing w:line="264" w:lineRule="auto"/>
              <w:jc w:val="right"/>
            </w:pPr>
            <w:r>
              <w:rPr>
                <w:b w:val="0"/>
                <w:i w:val="0"/>
                <w:sz w:val="18"/>
              </w:rPr>
              <w:t>EGP 4,048 mn</w:t>
            </w:r>
          </w:p>
        </w:tc>
      </w:tr>
      <w:tr>
        <w:tc>
          <w:tcPr>
            <w:tcW w:type="dxa" w:w="4896"/>
            <w:shd w:val="clear" w:fill="EFF3F1"/>
          </w:tcPr>
          <w:p>
            <w:pPr>
              <w:spacing w:line="264" w:lineRule="auto"/>
            </w:pPr>
            <w:r>
              <w:rPr>
                <w:b w:val="0"/>
                <w:i w:val="0"/>
                <w:color w:val="1C3A36"/>
                <w:sz w:val="18"/>
              </w:rPr>
              <w:t>x (1 - 26%)</w:t>
            </w:r>
          </w:p>
        </w:tc>
        <w:tc>
          <w:tcPr>
            <w:tcW w:type="dxa" w:w="3168"/>
            <w:shd w:val="clear" w:fill="EFF3F1"/>
          </w:tcPr>
          <w:p>
            <w:pPr>
              <w:spacing w:line="264" w:lineRule="auto"/>
              <w:jc w:val="right"/>
            </w:pPr>
            <w:r>
              <w:rPr>
                <w:b w:val="0"/>
                <w:i w:val="0"/>
                <w:sz w:val="18"/>
              </w:rPr>
              <w:t>NOPAT EGP 2,996 mn</w:t>
            </w:r>
          </w:p>
        </w:tc>
      </w:tr>
      <w:tr>
        <w:tc>
          <w:tcPr>
            <w:tcW w:type="dxa" w:w="4896"/>
          </w:tcPr>
          <w:p>
            <w:pPr>
              <w:spacing w:line="264" w:lineRule="auto"/>
            </w:pPr>
            <w:r>
              <w:rPr>
                <w:b w:val="0"/>
                <w:i w:val="0"/>
                <w:color w:val="1C3A36"/>
                <w:sz w:val="18"/>
              </w:rPr>
              <w:t>x 13</w:t>
            </w:r>
          </w:p>
        </w:tc>
        <w:tc>
          <w:tcPr>
            <w:tcW w:type="dxa" w:w="3168"/>
          </w:tcPr>
          <w:p>
            <w:pPr>
              <w:spacing w:line="264" w:lineRule="auto"/>
              <w:jc w:val="right"/>
            </w:pPr>
            <w:r>
              <w:rPr>
                <w:b w:val="0"/>
                <w:i w:val="0"/>
                <w:sz w:val="18"/>
              </w:rPr>
              <w:t>EGP 38,950 mn</w:t>
            </w:r>
          </w:p>
        </w:tc>
      </w:tr>
      <w:tr>
        <w:tc>
          <w:tcPr>
            <w:tcW w:type="dxa" w:w="4896"/>
            <w:shd w:val="clear" w:fill="EFF3F1"/>
          </w:tcPr>
          <w:p>
            <w:pPr>
              <w:spacing w:line="264" w:lineRule="auto"/>
            </w:pPr>
            <w:r>
              <w:rPr>
                <w:b w:val="0"/>
                <w:i w:val="0"/>
                <w:color w:val="1C3A36"/>
                <w:sz w:val="18"/>
              </w:rPr>
              <w:t>+ attributable net cash</w:t>
            </w:r>
          </w:p>
        </w:tc>
        <w:tc>
          <w:tcPr>
            <w:tcW w:type="dxa" w:w="3168"/>
            <w:shd w:val="clear" w:fill="EFF3F1"/>
          </w:tcPr>
          <w:p>
            <w:pPr>
              <w:spacing w:line="264" w:lineRule="auto"/>
              <w:jc w:val="right"/>
            </w:pPr>
            <w:r>
              <w:rPr>
                <w:b w:val="0"/>
                <w:i w:val="0"/>
                <w:sz w:val="18"/>
              </w:rPr>
              <w:t>EGP 2,000 mn</w:t>
            </w:r>
          </w:p>
        </w:tc>
      </w:tr>
      <w:tr>
        <w:tc>
          <w:tcPr>
            <w:tcW w:type="dxa" w:w="4896"/>
          </w:tcPr>
          <w:p>
            <w:pPr>
              <w:spacing w:line="264" w:lineRule="auto"/>
            </w:pPr>
            <w:r>
              <w:rPr>
                <w:b w:val="0"/>
                <w:i w:val="0"/>
                <w:color w:val="1C3A36"/>
                <w:sz w:val="18"/>
              </w:rPr>
              <w:t>Equity value</w:t>
            </w:r>
          </w:p>
        </w:tc>
        <w:tc>
          <w:tcPr>
            <w:tcW w:type="dxa" w:w="3168"/>
          </w:tcPr>
          <w:p>
            <w:pPr>
              <w:spacing w:line="264" w:lineRule="auto"/>
              <w:jc w:val="right"/>
            </w:pPr>
            <w:r>
              <w:rPr>
                <w:b w:val="0"/>
                <w:i w:val="0"/>
                <w:sz w:val="18"/>
              </w:rPr>
              <w:t>EGP 40,950 mn</w:t>
            </w:r>
          </w:p>
        </w:tc>
      </w:tr>
      <w:tr>
        <w:tc>
          <w:tcPr>
            <w:tcW w:type="dxa" w:w="4896"/>
            <w:shd w:val="clear" w:fill="EFF3F1"/>
          </w:tcPr>
          <w:p>
            <w:pPr>
              <w:spacing w:line="264" w:lineRule="auto"/>
            </w:pPr>
            <w:r>
              <w:rPr>
                <w:b w:val="0"/>
                <w:i w:val="0"/>
                <w:color w:val="1C3A36"/>
                <w:sz w:val="18"/>
              </w:rPr>
              <w:t>Fair value per share</w:t>
            </w:r>
          </w:p>
        </w:tc>
        <w:tc>
          <w:tcPr>
            <w:tcW w:type="dxa" w:w="3168"/>
            <w:shd w:val="clear" w:fill="EFF3F1"/>
          </w:tcPr>
          <w:p>
            <w:pPr>
              <w:spacing w:line="264" w:lineRule="auto"/>
              <w:jc w:val="right"/>
            </w:pPr>
            <w:r>
              <w:rPr>
                <w:b w:val="0"/>
                <w:i w:val="0"/>
                <w:sz w:val="18"/>
              </w:rPr>
              <w:t>EGP 10.5</w:t>
            </w:r>
          </w:p>
        </w:tc>
      </w:tr>
    </w:tbl>
    <w:p>
      <w:pPr>
        <w:spacing w:after="40"/>
      </w:pPr>
    </w:p>
    <w:p>
      <w:pPr>
        <w:spacing w:after="120" w:line="264" w:lineRule="auto"/>
      </w:pPr>
      <w:r>
        <w:rPr>
          <w:b/>
          <w:i w:val="0"/>
          <w:color w:val="1C3A36"/>
          <w:sz w:val="21"/>
        </w:rPr>
        <w:t xml:space="preserve">Worked example. </w:t>
      </w:r>
      <w:r>
        <w:rPr>
          <w:b w:val="0"/>
          <w:i w:val="0"/>
          <w:sz w:val="21"/>
        </w:rPr>
        <w:t>2,996 x 13 = EGP 38.9 bn; add EGP 2.0 bn net cash; divide by 3,905 mn shares = EGP 10.5. Even at 15x the answer is EGP 12.0 - well under spot.</w:t>
      </w:r>
    </w:p>
    <w:p>
      <w:pPr>
        <w:spacing w:after="120" w:line="264" w:lineRule="auto"/>
      </w:pPr>
      <w:r>
        <w:rPr>
          <w:b w:val="0"/>
          <w:i w:val="0"/>
          <w:sz w:val="21"/>
        </w:rPr>
        <w:t>Reconciled the other way: spot 18.40 equals ~24x my audited-basis operating earnings - a platform multiple on a processor's signed numbers.</w:t>
      </w:r>
    </w:p>
    <w:p>
      <w:pPr>
        <w:spacing w:after="120" w:line="264" w:lineRule="auto" w:before="160"/>
      </w:pPr>
      <w:r>
        <w:rPr>
          <w:b/>
          <w:i w:val="0"/>
          <w:color w:val="1C3A36"/>
          <w:sz w:val="21"/>
        </w:rPr>
        <w:t xml:space="preserve">Sensitivity on the swing input. </w:t>
      </w:r>
      <w:r>
        <w:rPr>
          <w:b w:val="0"/>
          <w:i w:val="0"/>
          <w:sz w:val="21"/>
        </w:rPr>
        <w:t>The multiple and the wedge are the dials.</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Swing input</w:t>
            </w:r>
          </w:p>
        </w:tc>
        <w:tc>
          <w:tcPr>
            <w:tcW w:type="dxa" w:w="3168"/>
            <w:shd w:val="clear" w:fill="1C3A36"/>
          </w:tcPr>
          <w:p>
            <w:pPr>
              <w:spacing w:line="264" w:lineRule="auto"/>
              <w:jc w:val="right"/>
            </w:pPr>
            <w:r>
              <w:rPr>
                <w:b/>
                <w:i w:val="0"/>
                <w:color w:val="FFFFFF"/>
                <w:sz w:val="18"/>
              </w:rPr>
              <w:t>Fair value (EGP/sh)</w:t>
            </w:r>
          </w:p>
        </w:tc>
      </w:tr>
      <w:tr>
        <w:tc>
          <w:tcPr>
            <w:tcW w:type="dxa" w:w="4896"/>
          </w:tcPr>
          <w:p>
            <w:pPr>
              <w:spacing w:line="264" w:lineRule="auto"/>
            </w:pPr>
            <w:r>
              <w:rPr>
                <w:b w:val="0"/>
                <w:i w:val="0"/>
                <w:color w:val="1C3A36"/>
                <w:sz w:val="18"/>
              </w:rPr>
              <w:t>Multiple 11 / 13 / 15x</w:t>
            </w:r>
          </w:p>
        </w:tc>
        <w:tc>
          <w:tcPr>
            <w:tcW w:type="dxa" w:w="3168"/>
          </w:tcPr>
          <w:p>
            <w:pPr>
              <w:spacing w:line="264" w:lineRule="auto"/>
              <w:jc w:val="right"/>
            </w:pPr>
            <w:r>
              <w:rPr>
                <w:b w:val="0"/>
                <w:i w:val="0"/>
                <w:sz w:val="18"/>
              </w:rPr>
              <w:t>9.0 / 10.5 / 12.0</w:t>
            </w:r>
          </w:p>
        </w:tc>
      </w:tr>
      <w:tr>
        <w:tc>
          <w:tcPr>
            <w:tcW w:type="dxa" w:w="4896"/>
            <w:shd w:val="clear" w:fill="EFF3F1"/>
          </w:tcPr>
          <w:p>
            <w:pPr>
              <w:spacing w:line="264" w:lineRule="auto"/>
            </w:pPr>
            <w:r>
              <w:rPr>
                <w:b w:val="0"/>
                <w:i w:val="0"/>
                <w:color w:val="1C3A36"/>
                <w:sz w:val="18"/>
              </w:rPr>
              <w:t>Wedge +/-2 pts of revenue</w:t>
            </w:r>
          </w:p>
        </w:tc>
        <w:tc>
          <w:tcPr>
            <w:tcW w:type="dxa" w:w="3168"/>
            <w:shd w:val="clear" w:fill="EFF3F1"/>
          </w:tcPr>
          <w:p>
            <w:pPr>
              <w:spacing w:line="264" w:lineRule="auto"/>
              <w:jc w:val="right"/>
            </w:pPr>
            <w:r>
              <w:rPr>
                <w:b w:val="0"/>
                <w:i w:val="0"/>
                <w:sz w:val="18"/>
              </w:rPr>
              <w:t>-/+ ~0.8</w:t>
            </w:r>
          </w:p>
        </w:tc>
      </w:tr>
      <w:tr>
        <w:tc>
          <w:tcPr>
            <w:tcW w:type="dxa" w:w="4896"/>
          </w:tcPr>
          <w:p>
            <w:pPr>
              <w:spacing w:line="264" w:lineRule="auto"/>
            </w:pPr>
            <w:r>
              <w:rPr>
                <w:b w:val="0"/>
                <w:i w:val="0"/>
                <w:color w:val="1C3A36"/>
                <w:sz w:val="18"/>
              </w:rPr>
              <w:t>Net cash 0 / 2 / 4 bn</w:t>
            </w:r>
          </w:p>
        </w:tc>
        <w:tc>
          <w:tcPr>
            <w:tcW w:type="dxa" w:w="3168"/>
          </w:tcPr>
          <w:p>
            <w:pPr>
              <w:spacing w:line="264" w:lineRule="auto"/>
              <w:jc w:val="right"/>
            </w:pPr>
            <w:r>
              <w:rPr>
                <w:b w:val="0"/>
                <w:i w:val="0"/>
                <w:sz w:val="18"/>
              </w:rPr>
              <w:t>10.0 / 10.5 / 11.0</w:t>
            </w:r>
          </w:p>
        </w:tc>
      </w:tr>
    </w:tbl>
    <w:p>
      <w:pPr>
        <w:spacing w:after="40"/>
      </w:pPr>
    </w:p>
    <w:p>
      <w:pPr>
        <w:spacing w:after="120" w:line="264" w:lineRule="auto"/>
      </w:pPr>
      <w:r>
        <w:rPr>
          <w:b/>
          <w:i w:val="0"/>
          <w:color w:val="1C3A36"/>
          <w:sz w:val="21"/>
        </w:rPr>
        <w:t xml:space="preserve">Cross-examination. </w:t>
      </w:r>
      <w:r>
        <w:rPr>
          <w:b w:val="0"/>
          <w:i w:val="0"/>
          <w:sz w:val="21"/>
        </w:rPr>
        <w:t>To Expert 1: your 16x sits on EPS that includes ~EGP 790 mn of treasury interest - strip it and your EPS is 0.77, your value EGP 12.3, and suddenly we are two accountants arguing over one turn of multiple.</w:t>
      </w:r>
    </w:p>
    <w:p>
      <w:pPr>
        <w:spacing w:after="120" w:line="264" w:lineRule="auto"/>
      </w:pPr>
      <w:r>
        <w:rPr>
          <w:b w:val="0"/>
          <w:i w:val="0"/>
          <w:sz w:val="21"/>
        </w:rPr>
        <w:t>To Expert 3: agreed the rate cycle matters, but mostly through that interest line - which is precisely why it should not be capitalised at a growth multiple; your scenario A gives the multiple with one hand and takes the float income with the other, and the net is smaller than your tree admits.</w:t>
      </w:r>
    </w:p>
    <w:p>
      <w:pPr>
        <w:spacing w:after="120" w:line="264" w:lineRule="auto"/>
      </w:pPr>
      <w:r>
        <w:rPr>
          <w:b/>
          <w:i w:val="0"/>
          <w:color w:val="1C3A36"/>
          <w:sz w:val="21"/>
        </w:rPr>
        <w:t xml:space="preserve">Verdict, falsification, and what the price implies. </w:t>
      </w:r>
      <w:r>
        <w:rPr>
          <w:b w:val="0"/>
          <w:i w:val="0"/>
          <w:sz w:val="21"/>
        </w:rPr>
        <w:t>Fair ~EGP 10.5 (9-12.5). Spot pays roughly 24x audited-basis operating earnings - a full growth premium on the least generous reading of the accounts.</w:t>
      </w:r>
    </w:p>
    <w:p>
      <w:pPr>
        <w:spacing w:after="120" w:line="264" w:lineRule="auto"/>
      </w:pPr>
      <w:r>
        <w:rPr>
          <w:b w:val="0"/>
          <w:i w:val="0"/>
          <w:sz w:val="21"/>
        </w:rPr>
        <w:t>Price-implied: the market is capitalizing the company's definition of profit, not the auditor's. That has been a profitable trust so far; my lens exists for the day it is not. Falsification: the wedge between company-defined EBITDA and EAS operating profit narrowing below 12% of revenue for a full year.</w:t>
      </w:r>
    </w:p>
    <w:p>
      <w:pPr>
        <w:spacing w:after="120" w:line="264" w:lineRule="auto"/>
      </w:pPr>
      <w:r>
        <w:rPr>
          <w:b/>
          <w:color w:val="1C3A36"/>
          <w:sz w:val="21"/>
        </w:rPr>
        <w:t xml:space="preserve">Method note. </w:t>
      </w:r>
      <w:r>
        <w:rPr>
          <w:b w:val="0"/>
          <w:sz w:val="21"/>
        </w:rPr>
        <w:t>The wedge is not an accusation - ESOP and provisioning are legitimate costs of scaling a lender - it is a classification: growth investment belongs in the multiple's assumptions, not in the earnings base. Until the EAS reconciliation narrows, the signed number is the only base I will multiply, and the burden of proof sits with the blend, not the audit.</w:t>
      </w:r>
    </w:p>
    <w:p>
      <w:pPr>
        <w:spacing w:before="160" w:after="120" w:line="264" w:lineRule="auto"/>
      </w:pPr>
      <w:r>
        <w:rPr>
          <w:b/>
          <w:i w:val="0"/>
          <w:color w:val="1C3A36"/>
          <w:sz w:val="24"/>
        </w:rPr>
        <w:t>D.3  Expert 3 - the rate cycle - value as a CBE policy variable</w:t>
      </w:r>
    </w:p>
    <w:p>
      <w:pPr>
        <w:spacing w:after="120" w:line="264" w:lineRule="auto"/>
      </w:pPr>
      <w:r>
        <w:rPr>
          <w:b/>
          <w:i w:val="0"/>
          <w:color w:val="1C3A36"/>
          <w:sz w:val="21"/>
        </w:rPr>
        <w:t xml:space="preserve">Worldview and tradition. </w:t>
      </w:r>
      <w:r>
        <w:rPr>
          <w:b w:val="0"/>
          <w:i w:val="0"/>
          <w:sz w:val="21"/>
        </w:rPr>
        <w:t>For an EGP fintech the CBE sets both the discount rate on the equity and the yield on the float. Cuts re-rate the multiple and fuel consumer credit, but compress the treasury income; hikes do the reverse. Model the policy path and you have modelled most of the value.</w:t>
      </w:r>
    </w:p>
    <w:p>
      <w:pPr>
        <w:spacing w:after="120" w:line="264" w:lineRule="auto"/>
      </w:pPr>
      <w:r>
        <w:rPr>
          <w:b w:val="0"/>
          <w:i w:val="0"/>
          <w:sz w:val="21"/>
        </w:rPr>
        <w:t>The tradition is regime analysis for rate-geared financials: when one committee's corridor decision moves both your numerator and your denominator, a point estimate is a coin call in a suit - the honest output is the weighted tree and, more importantly, its width.</w:t>
      </w:r>
    </w:p>
    <w:p>
      <w:pPr>
        <w:spacing w:after="120" w:line="264" w:lineRule="auto"/>
      </w:pPr>
      <w:r>
        <w:rPr>
          <w:b w:val="0"/>
          <w:i w:val="0"/>
          <w:sz w:val="21"/>
        </w:rPr>
        <w:t>The offices that matter are nameable: the MPC (the corridor), the finance ministry (T-bill supply that sets the float's yield), and the FRA (the licences that gate the next leg).</w:t>
      </w:r>
    </w:p>
    <w:p>
      <w:pPr>
        <w:spacing w:after="120" w:line="264" w:lineRule="auto"/>
      </w:pPr>
      <w:r>
        <w:rPr>
          <w:b/>
          <w:i w:val="0"/>
          <w:color w:val="1C3A36"/>
          <w:sz w:val="21"/>
        </w:rPr>
        <w:t xml:space="preserve">When it works / when it fails. </w:t>
      </w:r>
      <w:r>
        <w:rPr>
          <w:b w:val="0"/>
          <w:i w:val="0"/>
          <w:sz w:val="21"/>
        </w:rPr>
        <w:t>Works when the local rate cycle dominates both numerator and denominator - Egypt mid-easing-cycle qualifies, and Fawry's float and MMF make it doubly geared. Fails as a standalone lens for franchise questions - take rates, free InstaPay rails, competitive spend - that no rate path answers.</w:t>
      </w:r>
    </w:p>
    <w:p>
      <w:pPr>
        <w:spacing w:after="120" w:line="264" w:lineRule="auto"/>
      </w:pPr>
      <w:r>
        <w:rPr>
          <w:b w:val="0"/>
          <w:i w:val="0"/>
          <w:sz w:val="21"/>
        </w:rPr>
        <w:t>I anchor the probabilities on checkable things: the inflation glide path, the IMF review calendar, and real-rate arithmetic - and publish them so they can be argued with rather than believed.</w:t>
      </w:r>
    </w:p>
    <w:p>
      <w:pPr>
        <w:spacing w:after="120" w:line="264" w:lineRule="auto"/>
      </w:pPr>
      <w:r>
        <w:rPr>
          <w:b/>
          <w:i w:val="0"/>
          <w:color w:val="1C3A36"/>
          <w:sz w:val="21"/>
        </w:rPr>
        <w:t xml:space="preserve">Standard workings. </w:t>
      </w:r>
      <w:r>
        <w:rPr>
          <w:b w:val="0"/>
          <w:i w:val="0"/>
          <w:sz w:val="21"/>
        </w:rPr>
        <w:t>Three regimes, each a full re-solve of the model (discount rate, treasury income, credit growth together), probability-weighted.</w:t>
      </w:r>
    </w:p>
    <w:p>
      <w:pPr>
        <w:spacing w:after="120" w:line="264" w:lineRule="auto"/>
      </w:pPr>
      <w:r>
        <w:rPr>
          <w:b w:val="0"/>
          <w:i w:val="0"/>
          <w:sz w:val="21"/>
        </w:rPr>
        <w:t>Scenario A is not a free lunch: it re-rates the multiple and grows the loan book but cuts the float yield ~40% - the internal offset is why my bull number is 21, not 25.</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Scenario</w:t>
            </w:r>
          </w:p>
        </w:tc>
        <w:tc>
          <w:tcPr>
            <w:tcW w:type="dxa" w:w="3168"/>
            <w:shd w:val="clear" w:fill="1C3A36"/>
          </w:tcPr>
          <w:p>
            <w:pPr>
              <w:spacing w:line="264" w:lineRule="auto"/>
              <w:jc w:val="right"/>
            </w:pPr>
            <w:r>
              <w:rPr>
                <w:b/>
                <w:i w:val="0"/>
                <w:color w:val="FFFFFF"/>
                <w:sz w:val="18"/>
              </w:rPr>
              <w:t>Value / prob.</w:t>
            </w:r>
          </w:p>
        </w:tc>
      </w:tr>
      <w:tr>
        <w:tc>
          <w:tcPr>
            <w:tcW w:type="dxa" w:w="4896"/>
          </w:tcPr>
          <w:p>
            <w:pPr>
              <w:spacing w:line="264" w:lineRule="auto"/>
            </w:pPr>
            <w:r>
              <w:rPr>
                <w:b w:val="0"/>
                <w:i w:val="0"/>
                <w:color w:val="1C3A36"/>
                <w:sz w:val="18"/>
              </w:rPr>
              <w:t>A - deep easing: rates -500bp+, WACC ~19%, float income -40%</w:t>
            </w:r>
          </w:p>
        </w:tc>
        <w:tc>
          <w:tcPr>
            <w:tcW w:type="dxa" w:w="3168"/>
          </w:tcPr>
          <w:p>
            <w:pPr>
              <w:spacing w:line="264" w:lineRule="auto"/>
              <w:jc w:val="right"/>
            </w:pPr>
            <w:r>
              <w:rPr>
                <w:b w:val="0"/>
                <w:i w:val="0"/>
                <w:sz w:val="18"/>
              </w:rPr>
              <w:t>~EGP 21 / 30%</w:t>
            </w:r>
          </w:p>
        </w:tc>
      </w:tr>
      <w:tr>
        <w:tc>
          <w:tcPr>
            <w:tcW w:type="dxa" w:w="4896"/>
            <w:shd w:val="clear" w:fill="EFF3F1"/>
          </w:tcPr>
          <w:p>
            <w:pPr>
              <w:spacing w:line="264" w:lineRule="auto"/>
            </w:pPr>
            <w:r>
              <w:rPr>
                <w:b w:val="0"/>
                <w:i w:val="0"/>
                <w:color w:val="1C3A36"/>
                <w:sz w:val="18"/>
              </w:rPr>
              <w:t>B - base: gradual cuts</w:t>
            </w:r>
          </w:p>
        </w:tc>
        <w:tc>
          <w:tcPr>
            <w:tcW w:type="dxa" w:w="3168"/>
            <w:shd w:val="clear" w:fill="EFF3F1"/>
          </w:tcPr>
          <w:p>
            <w:pPr>
              <w:spacing w:line="264" w:lineRule="auto"/>
              <w:jc w:val="right"/>
            </w:pPr>
            <w:r>
              <w:rPr>
                <w:b w:val="0"/>
                <w:i w:val="0"/>
                <w:sz w:val="18"/>
              </w:rPr>
              <w:t>~EGP 15 / 45%</w:t>
            </w:r>
          </w:p>
        </w:tc>
      </w:tr>
      <w:tr>
        <w:tc>
          <w:tcPr>
            <w:tcW w:type="dxa" w:w="4896"/>
          </w:tcPr>
          <w:p>
            <w:pPr>
              <w:spacing w:line="264" w:lineRule="auto"/>
            </w:pPr>
            <w:r>
              <w:rPr>
                <w:b w:val="0"/>
                <w:i w:val="0"/>
                <w:color w:val="1C3A36"/>
                <w:sz w:val="18"/>
              </w:rPr>
              <w:t>C - stall / EGP stress: funding costs bite the book</w:t>
            </w:r>
          </w:p>
        </w:tc>
        <w:tc>
          <w:tcPr>
            <w:tcW w:type="dxa" w:w="3168"/>
          </w:tcPr>
          <w:p>
            <w:pPr>
              <w:spacing w:line="264" w:lineRule="auto"/>
              <w:jc w:val="right"/>
            </w:pPr>
            <w:r>
              <w:rPr>
                <w:b w:val="0"/>
                <w:i w:val="0"/>
                <w:sz w:val="18"/>
              </w:rPr>
              <w:t>~EGP 10 / 25%</w:t>
            </w:r>
          </w:p>
        </w:tc>
      </w:tr>
      <w:tr>
        <w:tc>
          <w:tcPr>
            <w:tcW w:type="dxa" w:w="4896"/>
            <w:shd w:val="clear" w:fill="EFF3F1"/>
          </w:tcPr>
          <w:p>
            <w:pPr>
              <w:spacing w:line="264" w:lineRule="auto"/>
            </w:pPr>
            <w:r>
              <w:rPr>
                <w:b w:val="0"/>
                <w:i w:val="0"/>
                <w:color w:val="1C3A36"/>
                <w:sz w:val="18"/>
              </w:rPr>
              <w:t>Probability-weighted</w:t>
            </w:r>
          </w:p>
        </w:tc>
        <w:tc>
          <w:tcPr>
            <w:tcW w:type="dxa" w:w="3168"/>
            <w:shd w:val="clear" w:fill="EFF3F1"/>
          </w:tcPr>
          <w:p>
            <w:pPr>
              <w:spacing w:line="264" w:lineRule="auto"/>
              <w:jc w:val="right"/>
            </w:pPr>
            <w:r>
              <w:rPr>
                <w:b w:val="0"/>
                <w:i w:val="0"/>
                <w:sz w:val="18"/>
              </w:rPr>
              <w:t>~EGP 15.6</w:t>
            </w:r>
          </w:p>
        </w:tc>
      </w:tr>
    </w:tbl>
    <w:p>
      <w:pPr>
        <w:spacing w:after="40"/>
      </w:pPr>
    </w:p>
    <w:p>
      <w:pPr>
        <w:spacing w:after="120" w:line="264" w:lineRule="auto"/>
      </w:pPr>
      <w:r>
        <w:rPr>
          <w:b/>
          <w:i w:val="0"/>
          <w:color w:val="1C3A36"/>
          <w:sz w:val="21"/>
        </w:rPr>
        <w:t xml:space="preserve">Worked example. </w:t>
      </w:r>
      <w:r>
        <w:rPr>
          <w:b w:val="0"/>
          <w:i w:val="0"/>
          <w:sz w:val="21"/>
        </w:rPr>
        <w:t>0.30x21 + 0.45x15 + 0.25x10 = EGP 15.6/share, with an honest EGP 10-21 span that is the width of the policy question, not of Fawry's execution.</w:t>
      </w:r>
    </w:p>
    <w:p>
      <w:pPr>
        <w:spacing w:after="120" w:line="264" w:lineRule="auto"/>
      </w:pPr>
      <w:r>
        <w:rPr>
          <w:b w:val="0"/>
          <w:i w:val="0"/>
          <w:sz w:val="21"/>
        </w:rPr>
        <w:t>The internal netting is the insight: each 100bp of easing adds ~EGP 1.5-2.0 through the DCF leg but removes ~EGP 80-90 mn of pre-tax float income (~EGP 0.02 of EPS) - the stock is less rate-geared than its fans and critics both assume.</w:t>
      </w:r>
    </w:p>
    <w:p>
      <w:pPr>
        <w:spacing w:after="120" w:line="264" w:lineRule="auto"/>
      </w:pPr>
      <w:r>
        <w:rPr>
          <w:b/>
          <w:i w:val="0"/>
          <w:color w:val="1C3A36"/>
          <w:sz w:val="21"/>
        </w:rPr>
        <w:t xml:space="preserve">Sensitivity on the swing input. </w:t>
      </w:r>
      <w:r>
        <w:rPr>
          <w:b w:val="0"/>
          <w:i w:val="0"/>
          <w:sz w:val="21"/>
        </w:rPr>
        <w:t>The corridor is the swing; the float is the counterweight.</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Swing input</w:t>
            </w:r>
          </w:p>
        </w:tc>
        <w:tc>
          <w:tcPr>
            <w:tcW w:type="dxa" w:w="3168"/>
            <w:shd w:val="clear" w:fill="1C3A36"/>
          </w:tcPr>
          <w:p>
            <w:pPr>
              <w:spacing w:line="264" w:lineRule="auto"/>
              <w:jc w:val="right"/>
            </w:pPr>
            <w:r>
              <w:rPr>
                <w:b/>
                <w:i w:val="0"/>
                <w:color w:val="FFFFFF"/>
                <w:sz w:val="18"/>
              </w:rPr>
              <w:t>Fair value (EGP/sh)</w:t>
            </w:r>
          </w:p>
        </w:tc>
      </w:tr>
      <w:tr>
        <w:tc>
          <w:tcPr>
            <w:tcW w:type="dxa" w:w="4896"/>
          </w:tcPr>
          <w:p>
            <w:pPr>
              <w:spacing w:line="264" w:lineRule="auto"/>
            </w:pPr>
            <w:r>
              <w:rPr>
                <w:b w:val="0"/>
                <w:i w:val="0"/>
                <w:color w:val="1C3A36"/>
                <w:sz w:val="18"/>
              </w:rPr>
              <w:t>Each 100bp off the WACC</w:t>
            </w:r>
          </w:p>
        </w:tc>
        <w:tc>
          <w:tcPr>
            <w:tcW w:type="dxa" w:w="3168"/>
          </w:tcPr>
          <w:p>
            <w:pPr>
              <w:spacing w:line="264" w:lineRule="auto"/>
              <w:jc w:val="right"/>
            </w:pPr>
            <w:r>
              <w:rPr>
                <w:b w:val="0"/>
                <w:i w:val="0"/>
                <w:sz w:val="18"/>
              </w:rPr>
              <w:t>+ ~1.5-2.0</w:t>
            </w:r>
          </w:p>
        </w:tc>
      </w:tr>
      <w:tr>
        <w:tc>
          <w:tcPr>
            <w:tcW w:type="dxa" w:w="4896"/>
            <w:shd w:val="clear" w:fill="EFF3F1"/>
          </w:tcPr>
          <w:p>
            <w:pPr>
              <w:spacing w:line="264" w:lineRule="auto"/>
            </w:pPr>
            <w:r>
              <w:rPr>
                <w:b w:val="0"/>
                <w:i w:val="0"/>
                <w:color w:val="1C3A36"/>
                <w:sz w:val="18"/>
              </w:rPr>
              <w:t>Each 100bp off deposit/treasury yields</w:t>
            </w:r>
          </w:p>
        </w:tc>
        <w:tc>
          <w:tcPr>
            <w:tcW w:type="dxa" w:w="3168"/>
            <w:shd w:val="clear" w:fill="EFF3F1"/>
          </w:tcPr>
          <w:p>
            <w:pPr>
              <w:spacing w:line="264" w:lineRule="auto"/>
              <w:jc w:val="right"/>
            </w:pPr>
            <w:r>
              <w:rPr>
                <w:b w:val="0"/>
                <w:i w:val="0"/>
                <w:sz w:val="18"/>
              </w:rPr>
              <w:t>- ~EGP 0.3 (capitalized)</w:t>
            </w:r>
          </w:p>
        </w:tc>
      </w:tr>
      <w:tr>
        <w:tc>
          <w:tcPr>
            <w:tcW w:type="dxa" w:w="4896"/>
          </w:tcPr>
          <w:p>
            <w:pPr>
              <w:spacing w:line="264" w:lineRule="auto"/>
            </w:pPr>
            <w:r>
              <w:rPr>
                <w:b w:val="0"/>
                <w:i w:val="0"/>
                <w:color w:val="1C3A36"/>
                <w:sz w:val="18"/>
              </w:rPr>
              <w:t>Loan-book growth +/-20%</w:t>
            </w:r>
          </w:p>
        </w:tc>
        <w:tc>
          <w:tcPr>
            <w:tcW w:type="dxa" w:w="3168"/>
          </w:tcPr>
          <w:p>
            <w:pPr>
              <w:spacing w:line="264" w:lineRule="auto"/>
              <w:jc w:val="right"/>
            </w:pPr>
            <w:r>
              <w:rPr>
                <w:b w:val="0"/>
                <w:i w:val="0"/>
                <w:sz w:val="18"/>
              </w:rPr>
              <w:t>+/- ~0.8</w:t>
            </w:r>
          </w:p>
        </w:tc>
      </w:tr>
    </w:tbl>
    <w:p>
      <w:pPr>
        <w:spacing w:after="40"/>
      </w:pPr>
    </w:p>
    <w:p>
      <w:pPr>
        <w:spacing w:after="120" w:line="264" w:lineRule="auto"/>
      </w:pPr>
      <w:r>
        <w:rPr>
          <w:b/>
          <w:i w:val="0"/>
          <w:color w:val="1C3A36"/>
          <w:sz w:val="21"/>
        </w:rPr>
        <w:t xml:space="preserve">Cross-examination. </w:t>
      </w:r>
      <w:r>
        <w:rPr>
          <w:b w:val="0"/>
          <w:i w:val="0"/>
          <w:sz w:val="21"/>
        </w:rPr>
        <w:t>To Expert 1: your fair multiple IS a rate call - at a 19% cost of equity your same 0.92 EPS is worth 20x, at 26% it is worth 13x; you have simply frozen my scenario B and called it fundamentals.</w:t>
      </w:r>
    </w:p>
    <w:p>
      <w:pPr>
        <w:spacing w:after="120" w:line="264" w:lineRule="auto"/>
      </w:pPr>
      <w:r>
        <w:rPr>
          <w:b w:val="0"/>
          <w:i w:val="0"/>
          <w:sz w:val="21"/>
        </w:rPr>
        <w:t>To Expert 2: the cash and float you add back at face are the very assets whose earning power halves in the easing scenario the bulls are praying for - your floor is rate-dependent too, you have just hidden the exposure in the 'net cash' line.</w:t>
      </w:r>
    </w:p>
    <w:p>
      <w:pPr>
        <w:spacing w:after="120" w:line="264" w:lineRule="auto"/>
      </w:pPr>
      <w:r>
        <w:rPr>
          <w:b/>
          <w:i w:val="0"/>
          <w:color w:val="1C3A36"/>
          <w:sz w:val="21"/>
        </w:rPr>
        <w:t xml:space="preserve">Verdict, falsification, and what the price implies. </w:t>
      </w:r>
      <w:r>
        <w:rPr>
          <w:b w:val="0"/>
          <w:i w:val="0"/>
          <w:sz w:val="21"/>
        </w:rPr>
        <w:t>Fair ~EGP 15.5 (10-21, widest). Spot 18.40 sits inside my bull leg - the market is already paying for the cuts.</w:t>
      </w:r>
    </w:p>
    <w:p>
      <w:pPr>
        <w:spacing w:after="120" w:line="264" w:lineRule="auto"/>
      </w:pPr>
      <w:r>
        <w:rPr>
          <w:b w:val="0"/>
          <w:i w:val="0"/>
          <w:sz w:val="21"/>
        </w:rPr>
        <w:t>Price-implied: spot weights my scenarios roughly 45/40/15 - fatter on A than the inflation arithmetic justifies today. The market, in one line, is long the MPC. Falsification: the CBE path: &gt;400bp of cuts within 12 months confirms the bull leg; no cuts plus renewed EGP pressure confirms the bear.</w:t>
      </w:r>
    </w:p>
    <w:p>
      <w:pPr>
        <w:spacing w:after="120" w:line="264" w:lineRule="auto"/>
      </w:pPr>
      <w:r>
        <w:rPr>
          <w:b/>
          <w:color w:val="1C3A36"/>
          <w:sz w:val="21"/>
        </w:rPr>
        <w:t xml:space="preserve">Method note. </w:t>
      </w:r>
      <w:r>
        <w:rPr>
          <w:b w:val="0"/>
          <w:sz w:val="21"/>
        </w:rPr>
        <w:t>The tree's discipline is that every branch re-solves the same model - no branch is allowed a special multiple or a convenient margin - so the 10-21 width is generated, not asserted, and it narrows only as the MPC removes branches. A tree whose width never moves is decoration; mine is scheduled to shrink eight times a year.</w:t>
      </w:r>
    </w:p>
    <w:p>
      <w:pPr>
        <w:spacing w:before="160" w:after="120" w:line="264" w:lineRule="auto"/>
      </w:pPr>
      <w:r>
        <w:rPr>
          <w:b/>
          <w:i w:val="0"/>
          <w:color w:val="1C3A36"/>
          <w:sz w:val="24"/>
        </w:rPr>
        <w:t>D.5  The three in one room</w:t>
      </w:r>
    </w:p>
    <w:p>
      <w:pPr>
        <w:spacing w:after="120" w:line="264" w:lineRule="auto"/>
      </w:pPr>
      <w:r>
        <w:rPr>
          <w:b w:val="0"/>
          <w:i w:val="0"/>
          <w:sz w:val="21"/>
        </w:rPr>
        <w:t>Put in one room, the three collide on a single line item: the 57.4% margin. Expert 1 calls it proof of operating leverage and pays a growth multiple on the earnings it produces. Expert 2 slides the EAS accounts across the table: strip the ESOP, the provisions and the treasury interest, and the audited operating margin is in the thirties - price that, or admit you are pricing a press release. Expert 3 shrugs at them both: whichever margin you pick, its value swings on the CBE - cut rates and Expert 1 is right about the multiple but loses the float income; hold them and Expert 2's discount rate crushes the terminal value. The margin is one number; the three are pricing three different regimes - and the next MPC statement arbitrates before the next audit does.</w:t>
      </w:r>
    </w:p>
    <w:p>
      <w:pPr>
        <w:spacing w:before="160" w:after="120" w:line="264" w:lineRule="auto"/>
      </w:pPr>
      <w:r>
        <w:rPr>
          <w:b/>
          <w:i w:val="0"/>
          <w:color w:val="1C3A36"/>
          <w:sz w:val="24"/>
        </w:rPr>
        <w:t>D.6  Reading the divergence</w:t>
      </w:r>
    </w:p>
    <w:p>
      <w:pPr>
        <w:spacing w:after="120" w:line="264" w:lineRule="auto"/>
      </w:pPr>
      <w:r>
        <w:rPr>
          <w:b w:val="0"/>
          <w:i w:val="0"/>
          <w:sz w:val="21"/>
        </w:rPr>
        <w:t>Base fair values of EGP 15.0 / 10.5 / 15.5 against spot 18.40 - but the ranges are the story: 12-18, 9-12.5, and 10-21. The spread does not measure disagreement about Fawry's FY25 - all three accept it - it measures how much of the price is the rate cycle and how much is the accounting definition of profit.</w:t>
      </w:r>
    </w:p>
    <w:p>
      <w:pPr>
        <w:spacing w:after="120" w:line="264" w:lineRule="auto"/>
      </w:pPr>
      <w:r>
        <w:rPr>
          <w:b w:val="0"/>
          <w:i w:val="0"/>
          <w:sz w:val="21"/>
        </w:rPr>
        <w:t>What closes it has a calendar: the MPC meetings arbitrate Expert 3's tree, the quarterly EAS reconciliation arbitrates Expert 2's wedge, and two more prints of 20%+ growth would push Expert 1's fade - the divergence is not academic, every leg of it expires within twelve months.</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1C3A36"/>
          </w:tcPr>
          <w:p>
            <w:pPr>
              <w:spacing w:line="264" w:lineRule="auto"/>
            </w:pPr>
            <w:r>
              <w:rPr>
                <w:b/>
                <w:i w:val="0"/>
                <w:color w:val="FFFFFF"/>
                <w:sz w:val="18"/>
              </w:rPr>
              <w:t>Expert</w:t>
            </w:r>
          </w:p>
        </w:tc>
        <w:tc>
          <w:tcPr>
            <w:tcW w:type="dxa" w:w="2592"/>
            <w:shd w:val="clear" w:fill="1C3A36"/>
          </w:tcPr>
          <w:p>
            <w:pPr>
              <w:spacing w:line="264" w:lineRule="auto"/>
              <w:jc w:val="right"/>
            </w:pPr>
            <w:r>
              <w:rPr>
                <w:b/>
                <w:i w:val="0"/>
                <w:color w:val="FFFFFF"/>
                <w:sz w:val="18"/>
              </w:rPr>
              <w:t>Method</w:t>
            </w:r>
          </w:p>
        </w:tc>
        <w:tc>
          <w:tcPr>
            <w:tcW w:type="dxa" w:w="2304"/>
            <w:shd w:val="clear" w:fill="1C3A36"/>
          </w:tcPr>
          <w:p>
            <w:pPr>
              <w:spacing w:line="264" w:lineRule="auto"/>
              <w:jc w:val="right"/>
            </w:pPr>
            <w:r>
              <w:rPr>
                <w:b/>
                <w:i w:val="0"/>
                <w:color w:val="FFFFFF"/>
                <w:sz w:val="18"/>
              </w:rPr>
              <w:t>Fair value (EGP)</w:t>
            </w:r>
          </w:p>
        </w:tc>
        <w:tc>
          <w:tcPr>
            <w:tcW w:type="dxa" w:w="3168"/>
            <w:shd w:val="clear" w:fill="1C3A36"/>
          </w:tcPr>
          <w:p>
            <w:pPr>
              <w:spacing w:line="264" w:lineRule="auto"/>
              <w:jc w:val="right"/>
            </w:pPr>
            <w:r>
              <w:rPr>
                <w:b/>
                <w:i w:val="0"/>
                <w:color w:val="FFFFFF"/>
                <w:sz w:val="18"/>
              </w:rPr>
              <w:t>Swing assumption</w:t>
            </w:r>
          </w:p>
        </w:tc>
      </w:tr>
      <w:tr>
        <w:tc>
          <w:tcPr>
            <w:tcW w:type="dxa" w:w="1728"/>
          </w:tcPr>
          <w:p>
            <w:pPr>
              <w:spacing w:line="264" w:lineRule="auto"/>
            </w:pPr>
            <w:r>
              <w:rPr>
                <w:b w:val="0"/>
                <w:i w:val="0"/>
                <w:color w:val="1C3A36"/>
                <w:sz w:val="18"/>
              </w:rPr>
              <w:t>Expert 1</w:t>
            </w:r>
          </w:p>
        </w:tc>
        <w:tc>
          <w:tcPr>
            <w:tcW w:type="dxa" w:w="2592"/>
          </w:tcPr>
          <w:p>
            <w:pPr>
              <w:spacing w:line="264" w:lineRule="auto"/>
              <w:jc w:val="right"/>
            </w:pPr>
            <w:r>
              <w:rPr>
                <w:b w:val="0"/>
                <w:i w:val="0"/>
                <w:sz w:val="18"/>
              </w:rPr>
              <w:t>Growth earnings power</w:t>
            </w:r>
          </w:p>
        </w:tc>
        <w:tc>
          <w:tcPr>
            <w:tcW w:type="dxa" w:w="2304"/>
          </w:tcPr>
          <w:p>
            <w:pPr>
              <w:spacing w:line="264" w:lineRule="auto"/>
              <w:jc w:val="right"/>
            </w:pPr>
            <w:r>
              <w:rPr>
                <w:b w:val="0"/>
                <w:i w:val="0"/>
                <w:sz w:val="18"/>
              </w:rPr>
              <w:t>15.0 (12-18)</w:t>
            </w:r>
          </w:p>
        </w:tc>
        <w:tc>
          <w:tcPr>
            <w:tcW w:type="dxa" w:w="3168"/>
          </w:tcPr>
          <w:p>
            <w:pPr>
              <w:spacing w:line="264" w:lineRule="auto"/>
              <w:jc w:val="right"/>
            </w:pPr>
            <w:r>
              <w:rPr>
                <w:b w:val="0"/>
                <w:i w:val="0"/>
                <w:sz w:val="18"/>
              </w:rPr>
              <w:t>Fair P/E on the growth fade</w:t>
            </w:r>
          </w:p>
        </w:tc>
      </w:tr>
      <w:tr>
        <w:tc>
          <w:tcPr>
            <w:tcW w:type="dxa" w:w="1728"/>
            <w:shd w:val="clear" w:fill="EFF3F1"/>
          </w:tcPr>
          <w:p>
            <w:pPr>
              <w:spacing w:line="264" w:lineRule="auto"/>
            </w:pPr>
            <w:r>
              <w:rPr>
                <w:b w:val="0"/>
                <w:i w:val="0"/>
                <w:color w:val="1C3A36"/>
                <w:sz w:val="18"/>
              </w:rPr>
              <w:t>Expert 2</w:t>
            </w:r>
          </w:p>
        </w:tc>
        <w:tc>
          <w:tcPr>
            <w:tcW w:type="dxa" w:w="2592"/>
            <w:shd w:val="clear" w:fill="EFF3F1"/>
          </w:tcPr>
          <w:p>
            <w:pPr>
              <w:spacing w:line="264" w:lineRule="auto"/>
              <w:jc w:val="right"/>
            </w:pPr>
            <w:r>
              <w:rPr>
                <w:b w:val="0"/>
                <w:i w:val="0"/>
                <w:sz w:val="18"/>
              </w:rPr>
              <w:t>Quality of earnings</w:t>
            </w:r>
          </w:p>
        </w:tc>
        <w:tc>
          <w:tcPr>
            <w:tcW w:type="dxa" w:w="2304"/>
            <w:shd w:val="clear" w:fill="EFF3F1"/>
          </w:tcPr>
          <w:p>
            <w:pPr>
              <w:spacing w:line="264" w:lineRule="auto"/>
              <w:jc w:val="right"/>
            </w:pPr>
            <w:r>
              <w:rPr>
                <w:b w:val="0"/>
                <w:i w:val="0"/>
                <w:sz w:val="18"/>
              </w:rPr>
              <w:t>10.5 (9-12.5)</w:t>
            </w:r>
          </w:p>
        </w:tc>
        <w:tc>
          <w:tcPr>
            <w:tcW w:type="dxa" w:w="3168"/>
            <w:shd w:val="clear" w:fill="EFF3F1"/>
          </w:tcPr>
          <w:p>
            <w:pPr>
              <w:spacing w:line="264" w:lineRule="auto"/>
              <w:jc w:val="right"/>
            </w:pPr>
            <w:r>
              <w:rPr>
                <w:b w:val="0"/>
                <w:i w:val="0"/>
                <w:sz w:val="18"/>
              </w:rPr>
              <w:t>The EBITDA-to-EAS wedge</w:t>
            </w:r>
          </w:p>
        </w:tc>
      </w:tr>
      <w:tr>
        <w:tc>
          <w:tcPr>
            <w:tcW w:type="dxa" w:w="1728"/>
          </w:tcPr>
          <w:p>
            <w:pPr>
              <w:spacing w:line="264" w:lineRule="auto"/>
            </w:pPr>
            <w:r>
              <w:rPr>
                <w:b w:val="0"/>
                <w:i w:val="0"/>
                <w:color w:val="1C3A36"/>
                <w:sz w:val="18"/>
              </w:rPr>
              <w:t>Expert 3</w:t>
            </w:r>
          </w:p>
        </w:tc>
        <w:tc>
          <w:tcPr>
            <w:tcW w:type="dxa" w:w="2592"/>
          </w:tcPr>
          <w:p>
            <w:pPr>
              <w:spacing w:line="264" w:lineRule="auto"/>
              <w:jc w:val="right"/>
            </w:pPr>
            <w:r>
              <w:rPr>
                <w:b w:val="0"/>
                <w:i w:val="0"/>
                <w:sz w:val="18"/>
              </w:rPr>
              <w:t>Rate-cycle scenarios</w:t>
            </w:r>
          </w:p>
        </w:tc>
        <w:tc>
          <w:tcPr>
            <w:tcW w:type="dxa" w:w="2304"/>
          </w:tcPr>
          <w:p>
            <w:pPr>
              <w:spacing w:line="264" w:lineRule="auto"/>
              <w:jc w:val="right"/>
            </w:pPr>
            <w:r>
              <w:rPr>
                <w:b w:val="0"/>
                <w:i w:val="0"/>
                <w:sz w:val="18"/>
              </w:rPr>
              <w:t>15.5 (10-21)</w:t>
            </w:r>
          </w:p>
        </w:tc>
        <w:tc>
          <w:tcPr>
            <w:tcW w:type="dxa" w:w="3168"/>
          </w:tcPr>
          <w:p>
            <w:pPr>
              <w:spacing w:line="264" w:lineRule="auto"/>
              <w:jc w:val="right"/>
            </w:pPr>
            <w:r>
              <w:rPr>
                <w:b w:val="0"/>
                <w:i w:val="0"/>
                <w:sz w:val="18"/>
              </w:rPr>
              <w:t>The CBE policy path</w:t>
            </w:r>
          </w:p>
        </w:tc>
      </w:tr>
    </w:tbl>
    <w:p>
      <w:pPr>
        <w:spacing w:after="40"/>
      </w:pPr>
    </w:p>
    <w:p>
      <w:pPr>
        <w:jc w:val="center"/>
      </w:pPr>
      <w:r>
        <w:drawing>
          <wp:inline xmlns:a="http://schemas.openxmlformats.org/drawingml/2006/main" xmlns:pic="http://schemas.openxmlformats.org/drawingml/2006/picture">
            <wp:extent cx="5760720" cy="2543516"/>
            <wp:docPr id="9" name="Picture 9"/>
            <wp:cNvGraphicFramePr>
              <a:graphicFrameLocks noChangeAspect="1"/>
            </wp:cNvGraphicFramePr>
            <a:graphic>
              <a:graphicData uri="http://schemas.openxmlformats.org/drawingml/2006/picture">
                <pic:pic>
                  <pic:nvPicPr>
                    <pic:cNvPr id="0" name="FWRY_football.png"/>
                    <pic:cNvPicPr/>
                  </pic:nvPicPr>
                  <pic:blipFill>
                    <a:blip r:embed="rId9"/>
                    <a:stretch>
                      <a:fillRect/>
                    </a:stretch>
                  </pic:blipFill>
                  <pic:spPr>
                    <a:xfrm>
                      <a:off x="0" y="0"/>
                      <a:ext cx="5760720" cy="2543516"/>
                    </a:xfrm>
                    <a:prstGeom prst="rect"/>
                  </pic:spPr>
                </pic:pic>
              </a:graphicData>
            </a:graphic>
          </wp:inline>
        </w:drawing>
      </w:r>
    </w:p>
    <w:p>
      <w:pPr>
        <w:spacing w:line="264" w:lineRule="auto"/>
        <w:jc w:val="center"/>
      </w:pPr>
      <w:r>
        <w:rPr>
          <w:b w:val="0"/>
          <w:i/>
          <w:color w:val="666666"/>
          <w:sz w:val="16"/>
        </w:rPr>
        <w:t>Expert fair values vs spot</w:t>
      </w:r>
    </w:p>
    <w:p>
      <w:pPr>
        <w:spacing w:line="264" w:lineRule="auto"/>
        <w:jc w:val="center"/>
      </w:pPr>
      <w:r>
        <w:rPr>
          <w:b w:val="0"/>
          <w:sz w:val="21"/>
        </w:rPr>
        <w:t>A reader keeping score should note the asymmetry of the three bets: Expert 2's is the only one that cannot be rescued by good news elsewhere - a rate cut helps Expert 3, a growth beat helps Expert 1, but only the EAS reconciliation itself can move the audited wedge.</w:t>
      </w:r>
    </w:p>
    <w:p>
      <w:pPr>
        <w:spacing w:before="160" w:after="120" w:line="264" w:lineRule="auto"/>
      </w:pPr>
      <w:r>
        <w:rPr>
          <w:b/>
          <w:i w:val="0"/>
          <w:color w:val="1C3A36"/>
          <w:sz w:val="30"/>
        </w:rPr>
        <w:t>About this series</w:t>
      </w:r>
    </w:p>
    <w:p>
      <w:pPr>
        <w:spacing w:after="120" w:line="264" w:lineRule="auto"/>
      </w:pPr>
      <w:r>
        <w:rPr>
          <w:b w:val="0"/>
          <w:i w:val="0"/>
          <w:sz w:val="21"/>
        </w:rPr>
        <w:t>Testahil publishes independent, educational valuation studies. The house style is distributions, not tips: we describe ranges and probabilities, not targets. Studies are framed as educational analysis, the preparer is not licensed by any securities regulator, and holdings are disclosed.</w:t>
      </w:r>
    </w:p>
    <w:p>
      <w:pPr>
        <w:spacing w:before="160" w:after="120" w:line="264" w:lineRule="auto"/>
      </w:pPr>
      <w:r>
        <w:rPr>
          <w:b/>
          <w:i w:val="0"/>
          <w:color w:val="1C3A36"/>
          <w:sz w:val="30"/>
        </w:rPr>
        <w:t>Disclosure &amp; Disclaimer</w:t>
      </w:r>
    </w:p>
    <w:p>
      <w:pPr>
        <w:spacing w:after="120" w:line="264" w:lineRule="auto"/>
      </w:pPr>
      <w:r>
        <w:rPr>
          <w:b/>
          <w:i w:val="0"/>
          <w:color w:val="1C3A36"/>
          <w:sz w:val="18"/>
        </w:rPr>
        <w:t xml:space="preserve">Not investment advice. </w:t>
      </w:r>
      <w:r>
        <w:rPr>
          <w:b w:val="0"/>
          <w:i w:val="0"/>
          <w:sz w:val="18"/>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20" w:line="264" w:lineRule="auto"/>
      </w:pPr>
      <w:r>
        <w:rPr>
          <w:b/>
          <w:i w:val="0"/>
          <w:color w:val="1C3A36"/>
          <w:sz w:val="18"/>
        </w:rPr>
        <w:t xml:space="preserve">No licence; no advisory relationship. </w:t>
      </w:r>
      <w:r>
        <w:rPr>
          <w:b w:val="0"/>
          <w:i w:val="0"/>
          <w:sz w:val="18"/>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20" w:line="264" w:lineRule="auto"/>
      </w:pPr>
      <w:r>
        <w:rPr>
          <w:b/>
          <w:i w:val="0"/>
          <w:color w:val="1C3A36"/>
          <w:sz w:val="18"/>
        </w:rPr>
        <w:t xml:space="preserve">Holdings disclosure. </w:t>
      </w:r>
      <w:r>
        <w:rPr>
          <w:b w:val="0"/>
          <w:i w:val="0"/>
          <w:sz w:val="18"/>
        </w:rPr>
        <w:t>The preparer may hold, and may in the future take or dispose of, a position in the security discussed in this report, and may transact at any time without notice. This is a potential conflict of interest you should weigh.</w:t>
      </w:r>
    </w:p>
    <w:p>
      <w:pPr>
        <w:spacing w:after="120" w:line="264" w:lineRule="auto"/>
      </w:pPr>
      <w:r>
        <w:rPr>
          <w:b/>
          <w:i w:val="0"/>
          <w:color w:val="1C3A36"/>
          <w:sz w:val="18"/>
        </w:rPr>
        <w:t xml:space="preserve">Sources &amp; accuracy. </w:t>
      </w:r>
      <w:r>
        <w:rPr>
          <w:b w:val="0"/>
          <w:i w:val="0"/>
          <w:sz w:val="18"/>
        </w:rPr>
        <w:t>Reported financial and operating figures are drawn from the company's public disclosure and other public sources believed reliable but not independently verified; they may contain errors or be superseded. Forward-looking inputs are the preparer's own judgments and are inherently uncertain.</w:t>
      </w:r>
    </w:p>
    <w:p>
      <w:pPr>
        <w:spacing w:after="120" w:line="264" w:lineRule="auto"/>
      </w:pPr>
      <w:r>
        <w:rPr>
          <w:b/>
          <w:i w:val="0"/>
          <w:color w:val="1C3A36"/>
          <w:sz w:val="18"/>
        </w:rPr>
        <w:t xml:space="preserve">Forward-looking statements. </w:t>
      </w:r>
      <w:r>
        <w:rPr>
          <w:b w:val="0"/>
          <w:i w:val="0"/>
          <w:sz w:val="18"/>
        </w:rPr>
        <w:t>Any statements about the future are estimates subject to risks and uncertainties; actual results may differ materially. The Monte Carlo models price, not value, and encodes subjective probabilities for events that have not occurred.</w:t>
      </w:r>
    </w:p>
    <w:p>
      <w:pPr>
        <w:spacing w:after="120" w:line="264" w:lineRule="auto"/>
      </w:pPr>
      <w:r>
        <w:rPr>
          <w:b/>
          <w:i w:val="0"/>
          <w:color w:val="1C3A36"/>
          <w:sz w:val="18"/>
        </w:rPr>
        <w:t xml:space="preserve">No reliance; your responsibility. </w:t>
      </w:r>
      <w:r>
        <w:rPr>
          <w:b w:val="0"/>
          <w:i w:val="0"/>
          <w:sz w:val="18"/>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20" w:line="264" w:lineRule="auto"/>
      </w:pPr>
      <w:r>
        <w:rPr>
          <w:b/>
          <w:i w:val="0"/>
          <w:color w:val="1C3A36"/>
          <w:sz w:val="18"/>
        </w:rPr>
        <w:t xml:space="preserve">Currency &amp; figures. </w:t>
      </w:r>
      <w:r>
        <w:rPr>
          <w:b w:val="0"/>
          <w:i w:val="0"/>
          <w:sz w:val="18"/>
        </w:rPr>
        <w:t>Group figures are in EGP. Rounding may cause totals to differ slightly. Spot price and market data are as of the study date and change continuously.</w:t>
      </w:r>
    </w:p>
    <w:p>
      <w:pPr>
        <w:spacing w:line="264" w:lineRule="auto"/>
      </w:pPr>
      <w:r>
        <w:rPr>
          <w:b w:val="0"/>
          <w:i/>
          <w:color w:val="666666"/>
          <w:sz w:val="16"/>
        </w:rPr>
        <w:t>TESTAHIL · Independent Valuation Study · Educational Analysis · Fawry for Banking Technology and Electronic Payments (S.A.E.) (EGX: FWRY) · edition 01-07-2026 · reporting currency EGP</w:t>
      </w:r>
    </w:p>
    <w:sectPr w:rsidR="00FC693F" w:rsidRPr="0006063C" w:rsidSect="00034616">
      <w:pgSz w:w="12240" w:h="15840"/>
      <w:pgMar w:top="1181" w:right="1440" w:bottom="118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