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36"/>
      </w:tblGrid>
      <w:tr>
        <w:tc>
          <w:tcPr>
            <w:tcW w:type="dxa" w:w="9936"/>
            <w:shd w:val="clear" w:fill="1C3A36"/>
          </w:tcPr>
          <w:p>
            <w:pPr>
              <w:spacing w:line="264" w:lineRule="auto"/>
            </w:pPr>
            <w:r>
              <w:rPr>
                <w:b/>
                <w:i w:val="0"/>
                <w:color w:val="FFFFFF"/>
                <w:sz w:val="21"/>
              </w:rPr>
              <w:t>Testahil  ·  Independent Valuation Study - Educational Analysis            Not investment advice</w:t>
            </w:r>
          </w:p>
        </w:tc>
      </w:tr>
    </w:tbl>
    <w:p>
      <w:pPr>
        <w:spacing w:line="264" w:lineRule="auto" w:before="160"/>
      </w:pPr>
      <w:r>
        <w:rPr>
          <w:b/>
          <w:i w:val="0"/>
          <w:color w:val="1C3A36"/>
          <w:sz w:val="26"/>
        </w:rPr>
        <w:t>Independent Valuation Study - Educational Analysis</w:t>
      </w:r>
    </w:p>
    <w:p>
      <w:pPr>
        <w:spacing w:line="264" w:lineRule="auto" w:before="160"/>
      </w:pPr>
      <w:r>
        <w:rPr>
          <w:b/>
          <w:i w:val="0"/>
          <w:color w:val="1C3A36"/>
          <w:sz w:val="30"/>
        </w:rPr>
        <w:t>EFG Holding S.A.E.  (EGX: HRHO)</w:t>
      </w:r>
    </w:p>
    <w:p>
      <w:pPr>
        <w:spacing w:line="264" w:lineRule="auto"/>
      </w:pPr>
      <w:r>
        <w:rPr>
          <w:b w:val="0"/>
          <w:i/>
          <w:color w:val="666666"/>
          <w:sz w:val="21"/>
        </w:rPr>
        <w:t>Fundamental analysis · Technical analysis · Monte Carlo simulation - one integrated read</w:t>
      </w:r>
    </w:p>
    <w:p>
      <w:pPr>
        <w:spacing w:line="264" w:lineRule="auto"/>
      </w:pPr>
      <w:r>
        <w:rPr>
          <w:b/>
          <w:i w:val="0"/>
          <w:color w:val="1C3A36"/>
          <w:sz w:val="21"/>
        </w:rPr>
        <w:t xml:space="preserve">Anchor: </w:t>
      </w:r>
      <w:r>
        <w:rPr>
          <w:b w:val="0"/>
          <w:i w:val="0"/>
          <w:sz w:val="21"/>
        </w:rPr>
        <w:t>EGP 26.83 (1 Jul 2026 close) · ~1,224.6 mn shares (per paid-in capital - confirm) · mkt cap ~EGP 32.9 bn · MENA's leading investment bank turned three-vertical financial holdco: EFG Hermes (IB), EFG Finance (NBFI incl. the listed Valu stake) and Bank NXT (commercial bank) · prices and probabilities computed 1 Jul 2026 from the attached daily history · primary lens: holdco sum-of-the-parts less a holding-company discount, with a discounted-earnings cross-check · swing factors: the holdco discount itself and the CBE rate cycle (brokerage/NBFI up, bank margin down).</w:t>
      </w:r>
    </w:p>
    <w:tbl>
      <w:tblPr>
        <w:tblStyle w:val="TableGrid"/>
        <w:tblW w:type="auto" w:w="0"/>
        <w:tblLook w:firstColumn="1" w:firstRow="1" w:lastColumn="0" w:lastRow="0" w:noHBand="0" w:noVBand="1" w:val="04A0"/>
      </w:tblPr>
      <w:tblGrid>
        <w:gridCol w:w="9936"/>
      </w:tblGrid>
      <w:tr>
        <w:tc>
          <w:tcPr>
            <w:tcW w:type="dxa" w:w="9936"/>
            <w:shd w:val="clear" w:fill="F6F1E6"/>
          </w:tcPr>
          <w:p>
            <w:pPr>
              <w:spacing w:line="264" w:lineRule="auto"/>
            </w:pPr>
            <w:r>
              <w:rPr>
                <w:b/>
                <w:i w:val="0"/>
                <w:color w:val="1C3A36"/>
                <w:sz w:val="19"/>
              </w:rPr>
              <w:t xml:space="preserve">READ FIRST - what this document is, and is not. </w:t>
            </w:r>
            <w:r>
              <w:rPr>
                <w:b w:val="0"/>
                <w:i w:val="0"/>
                <w:sz w:val="18"/>
              </w:rPr>
              <w:t>This study is a valuation exercise and an expression of personal analytical opinion, published free of charge for educational purposes. It is NOT investment advice, NOT a recommendation or solicitation to buy, sell or hold any security, and NOT directed at the circumstances of any reader. The preparer is not licensed by any securities regulator, manages no money, and accepts no fees, funds or clients. All values are model outputs presented as ranges and distributions because no single number should be relied on. Reported financials are the company's own disclosure (FY2025 earnings release, 18 Mar 2026; FY2023 release, 20 Mar 2024); FY2024 figures are derived from the FY2025 release's disclosed year-on-year moves (+7% revenue, +13% opex, -5% net profit) - flagged. The equity/minority split, holdco treasury, the share count and every SOTP mark are the preparer's estimates and judgments, flagged throughout. The factor library auto-classes HRHO as a bank; this study deliberately overrides that to the holding-company lens and factor set, per the company's actual three-vertical structure. See the Disclosure &amp; Disclaimer at the end.</w:t>
            </w:r>
          </w:p>
        </w:tc>
      </w:tr>
    </w:tbl>
    <w:p>
      <w:pPr>
        <w:spacing w:before="160" w:after="120" w:line="264" w:lineRule="auto"/>
      </w:pPr>
      <w:r>
        <w:rPr>
          <w:b/>
          <w:i w:val="0"/>
          <w:color w:val="1C3A36"/>
          <w:sz w:val="30"/>
        </w:rPr>
        <w:t>Headline</w:t>
      </w:r>
    </w:p>
    <w:p>
      <w:pPr>
        <w:spacing w:after="120" w:line="264" w:lineRule="auto"/>
      </w:pPr>
      <w:r>
        <w:rPr>
          <w:b w:val="0"/>
          <w:i w:val="0"/>
          <w:sz w:val="21"/>
        </w:rPr>
        <w:t>At EGP 26.83 the market is applying roughly a 17% discount to a gross sum-of-the-parts of ~EGP 32.2/share - comfortably inside the 15-25% band diversified holdcos normally trade at, and the weighted fundamental centre sits at ~EGP 27.7, within 3% of the price. FY2025's headline (revenue +7% to EGP 26.0 bn, net profit -5% to EGP 4.1 bn) hides the real story: a violent mix shift, with the Investment Bank normalizing hard off FY24's devaluation-gain base (-50% to EGP 1.3 bn) while Bank NXT (+77%) and the NBFI platform (+45%) took over the engine room. The stock is fairly valued; the live arguments are the right level of the holdco discount, how much of the EGP 4.1 bn actually recurs, and which way the CBE cycle nets out across three verticals that respond to it in opposite directions. The three-month probability map is symmetric: a 25-75% band of EGP 22.4-30.3 around a 26.1 median.</w:t>
      </w:r>
    </w:p>
    <w:p>
      <w:pPr>
        <w:spacing w:before="160" w:after="120" w:line="264" w:lineRule="auto"/>
      </w:pPr>
      <w:r>
        <w:rPr>
          <w:b/>
          <w:i w:val="0"/>
          <w:color w:val="1C3A36"/>
          <w:sz w:val="26"/>
        </w:rPr>
        <w:t>Valuation summary - every read at a glance</w:t>
      </w:r>
    </w:p>
    <w:p>
      <w:pPr>
        <w:spacing w:after="120" w:line="264" w:lineRule="auto"/>
      </w:pPr>
      <w:r>
        <w:rPr>
          <w:b w:val="0"/>
          <w:i w:val="0"/>
          <w:sz w:val="21"/>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Style w:val="TableGrid"/>
        <w:tblW w:type="auto" w:w="0"/>
        <w:tblLook w:firstColumn="1" w:firstRow="1" w:lastColumn="0" w:lastRow="0" w:noHBand="0" w:noVBand="1" w:val="04A0"/>
      </w:tblPr>
      <w:tblGrid>
        <w:gridCol w:w="2484"/>
        <w:gridCol w:w="2484"/>
        <w:gridCol w:w="2484"/>
        <w:gridCol w:w="2484"/>
      </w:tblGrid>
      <w:tr>
        <w:tc>
          <w:tcPr>
            <w:tcW w:type="dxa" w:w="2736"/>
            <w:shd w:val="clear" w:fill="1C3A36"/>
          </w:tcPr>
          <w:p>
            <w:pPr>
              <w:spacing w:line="264" w:lineRule="auto"/>
            </w:pPr>
            <w:r>
              <w:rPr>
                <w:b/>
                <w:i w:val="0"/>
                <w:color w:val="FFFFFF"/>
                <w:sz w:val="18"/>
              </w:rPr>
              <w:t>Lens / read</w:t>
            </w:r>
          </w:p>
        </w:tc>
        <w:tc>
          <w:tcPr>
            <w:tcW w:type="dxa" w:w="3744"/>
            <w:shd w:val="clear" w:fill="1C3A36"/>
          </w:tcPr>
          <w:p>
            <w:pPr>
              <w:spacing w:line="264" w:lineRule="auto"/>
              <w:jc w:val="right"/>
            </w:pPr>
            <w:r>
              <w:rPr>
                <w:b/>
                <w:i w:val="0"/>
                <w:color w:val="FFFFFF"/>
                <w:sz w:val="18"/>
              </w:rPr>
              <w:t>What it measures</w:t>
            </w:r>
          </w:p>
        </w:tc>
        <w:tc>
          <w:tcPr>
            <w:tcW w:type="dxa" w:w="1728"/>
            <w:shd w:val="clear" w:fill="1C3A36"/>
          </w:tcPr>
          <w:p>
            <w:pPr>
              <w:spacing w:line="264" w:lineRule="auto"/>
              <w:jc w:val="right"/>
            </w:pPr>
            <w:r>
              <w:rPr>
                <w:b/>
                <w:i w:val="0"/>
                <w:color w:val="FFFFFF"/>
                <w:sz w:val="18"/>
              </w:rPr>
              <w:t>Output</w:t>
            </w:r>
          </w:p>
        </w:tc>
        <w:tc>
          <w:tcPr>
            <w:tcW w:type="dxa" w:w="2304"/>
            <w:shd w:val="clear" w:fill="1C3A36"/>
          </w:tcPr>
          <w:p>
            <w:pPr>
              <w:spacing w:line="264" w:lineRule="auto"/>
              <w:jc w:val="right"/>
            </w:pPr>
            <w:r>
              <w:rPr>
                <w:b/>
                <w:i w:val="0"/>
                <w:color w:val="FFFFFF"/>
                <w:sz w:val="18"/>
              </w:rPr>
              <w:t>Takeaway</w:t>
            </w:r>
          </w:p>
        </w:tc>
      </w:tr>
      <w:tr>
        <w:tc>
          <w:tcPr>
            <w:tcW w:type="dxa" w:w="2304"/>
            <w:gridSpan w:val="4"/>
            <w:shd w:val="clear" w:fill="1C3A36"/>
          </w:tcPr>
          <w:p>
            <w:pPr>
              <w:spacing w:line="264" w:lineRule="auto"/>
            </w:pPr>
            <w:r>
              <w:rPr>
                <w:b/>
                <w:i w:val="0"/>
                <w:color w:val="FFFFFF"/>
                <w:sz w:val="19"/>
              </w:rPr>
              <w:t>FUNDAMENTAL - what the business is worth (the anchor)</w:t>
            </w:r>
          </w:p>
        </w:tc>
      </w:tr>
      <w:tr>
        <w:tc>
          <w:tcPr>
            <w:tcW w:type="dxa" w:w="2736"/>
            <w:shd w:val="clear" w:fill="EFF3F1"/>
          </w:tcPr>
          <w:p>
            <w:pPr>
              <w:spacing w:line="264" w:lineRule="auto"/>
            </w:pPr>
            <w:r>
              <w:rPr>
                <w:b w:val="0"/>
                <w:i w:val="0"/>
                <w:color w:val="1C3A36"/>
                <w:sz w:val="18"/>
              </w:rPr>
              <w:t>SOTP less discount (primary)</w:t>
            </w:r>
          </w:p>
        </w:tc>
        <w:tc>
          <w:tcPr>
            <w:tcW w:type="dxa" w:w="3744"/>
            <w:shd w:val="clear" w:fill="EFF3F1"/>
          </w:tcPr>
          <w:p>
            <w:pPr>
              <w:spacing w:line="264" w:lineRule="auto"/>
              <w:jc w:val="right"/>
            </w:pPr>
            <w:r>
              <w:rPr>
                <w:b w:val="0"/>
                <w:i w:val="0"/>
                <w:sz w:val="18"/>
              </w:rPr>
              <w:t>Three verticals + treasury, -20%</w:t>
            </w:r>
          </w:p>
        </w:tc>
        <w:tc>
          <w:tcPr>
            <w:tcW w:type="dxa" w:w="1728"/>
            <w:shd w:val="clear" w:fill="EFF3F1"/>
          </w:tcPr>
          <w:p>
            <w:pPr>
              <w:spacing w:line="264" w:lineRule="auto"/>
              <w:jc w:val="right"/>
            </w:pPr>
            <w:r>
              <w:rPr>
                <w:b w:val="0"/>
                <w:i w:val="0"/>
                <w:sz w:val="18"/>
              </w:rPr>
              <w:t>EGP 25.7</w:t>
            </w:r>
          </w:p>
        </w:tc>
        <w:tc>
          <w:tcPr>
            <w:tcW w:type="dxa" w:w="2304"/>
            <w:shd w:val="clear" w:fill="EFF3F1"/>
          </w:tcPr>
          <w:p>
            <w:pPr>
              <w:spacing w:line="264" w:lineRule="auto"/>
              <w:jc w:val="right"/>
            </w:pPr>
            <w:r>
              <w:rPr>
                <w:b w:val="0"/>
                <w:i w:val="0"/>
                <w:sz w:val="18"/>
              </w:rPr>
              <w:t>-4% vs spot</w:t>
            </w:r>
          </w:p>
        </w:tc>
      </w:tr>
      <w:tr>
        <w:tc>
          <w:tcPr>
            <w:tcW w:type="dxa" w:w="2736"/>
          </w:tcPr>
          <w:p>
            <w:pPr>
              <w:spacing w:line="264" w:lineRule="auto"/>
            </w:pPr>
            <w:r>
              <w:rPr>
                <w:b w:val="0"/>
                <w:i w:val="0"/>
                <w:color w:val="1C3A36"/>
                <w:sz w:val="18"/>
              </w:rPr>
              <w:t>Discounted earnings</w:t>
            </w:r>
          </w:p>
        </w:tc>
        <w:tc>
          <w:tcPr>
            <w:tcW w:type="dxa" w:w="3744"/>
          </w:tcPr>
          <w:p>
            <w:pPr>
              <w:spacing w:line="264" w:lineRule="auto"/>
              <w:jc w:val="right"/>
            </w:pPr>
            <w:r>
              <w:rPr>
                <w:b w:val="0"/>
                <w:i w:val="0"/>
                <w:sz w:val="18"/>
              </w:rPr>
              <w:t>5-yr NPAT at 24% cost of equity</w:t>
            </w:r>
          </w:p>
        </w:tc>
        <w:tc>
          <w:tcPr>
            <w:tcW w:type="dxa" w:w="1728"/>
          </w:tcPr>
          <w:p>
            <w:pPr>
              <w:spacing w:line="264" w:lineRule="auto"/>
              <w:jc w:val="right"/>
            </w:pPr>
            <w:r>
              <w:rPr>
                <w:b w:val="0"/>
                <w:i w:val="0"/>
                <w:sz w:val="18"/>
              </w:rPr>
              <w:t>EGP 33.6</w:t>
            </w:r>
          </w:p>
        </w:tc>
        <w:tc>
          <w:tcPr>
            <w:tcW w:type="dxa" w:w="2304"/>
          </w:tcPr>
          <w:p>
            <w:pPr>
              <w:spacing w:line="264" w:lineRule="auto"/>
              <w:jc w:val="right"/>
            </w:pPr>
            <w:r>
              <w:rPr>
                <w:b w:val="0"/>
                <w:i w:val="0"/>
                <w:sz w:val="18"/>
              </w:rPr>
              <w:t>+25% · the ceiling</w:t>
            </w:r>
          </w:p>
        </w:tc>
      </w:tr>
      <w:tr>
        <w:tc>
          <w:tcPr>
            <w:tcW w:type="dxa" w:w="2736"/>
            <w:shd w:val="clear" w:fill="EFF3F1"/>
          </w:tcPr>
          <w:p>
            <w:pPr>
              <w:spacing w:line="264" w:lineRule="auto"/>
            </w:pPr>
            <w:r>
              <w:rPr>
                <w:b w:val="0"/>
                <w:i w:val="0"/>
                <w:color w:val="1C3A36"/>
                <w:sz w:val="18"/>
              </w:rPr>
              <w:t>Relative multiples</w:t>
            </w:r>
          </w:p>
        </w:tc>
        <w:tc>
          <w:tcPr>
            <w:tcW w:type="dxa" w:w="3744"/>
            <w:shd w:val="clear" w:fill="EFF3F1"/>
          </w:tcPr>
          <w:p>
            <w:pPr>
              <w:spacing w:line="264" w:lineRule="auto"/>
              <w:jc w:val="right"/>
            </w:pPr>
            <w:r>
              <w:rPr>
                <w:b w:val="0"/>
                <w:i w:val="0"/>
                <w:sz w:val="18"/>
              </w:rPr>
              <w:t>7.5x FY26E EPS vs financial peers</w:t>
            </w:r>
          </w:p>
        </w:tc>
        <w:tc>
          <w:tcPr>
            <w:tcW w:type="dxa" w:w="1728"/>
            <w:shd w:val="clear" w:fill="EFF3F1"/>
          </w:tcPr>
          <w:p>
            <w:pPr>
              <w:spacing w:line="264" w:lineRule="auto"/>
              <w:jc w:val="right"/>
            </w:pPr>
            <w:r>
              <w:rPr>
                <w:b w:val="0"/>
                <w:i w:val="0"/>
                <w:sz w:val="18"/>
              </w:rPr>
              <w:t>EGP 29.9</w:t>
            </w:r>
          </w:p>
        </w:tc>
        <w:tc>
          <w:tcPr>
            <w:tcW w:type="dxa" w:w="2304"/>
            <w:shd w:val="clear" w:fill="EFF3F1"/>
          </w:tcPr>
          <w:p>
            <w:pPr>
              <w:spacing w:line="264" w:lineRule="auto"/>
              <w:jc w:val="right"/>
            </w:pPr>
            <w:r>
              <w:rPr>
                <w:b w:val="0"/>
                <w:i w:val="0"/>
                <w:sz w:val="18"/>
              </w:rPr>
              <w:t>+11%</w:t>
            </w:r>
          </w:p>
        </w:tc>
      </w:tr>
      <w:tr>
        <w:tc>
          <w:tcPr>
            <w:tcW w:type="dxa" w:w="2736"/>
          </w:tcPr>
          <w:p>
            <w:pPr>
              <w:spacing w:line="264" w:lineRule="auto"/>
            </w:pPr>
            <w:r>
              <w:rPr>
                <w:b w:val="0"/>
                <w:i w:val="0"/>
                <w:color w:val="1C3A36"/>
                <w:sz w:val="18"/>
              </w:rPr>
              <w:t>Normalized earnings</w:t>
            </w:r>
          </w:p>
        </w:tc>
        <w:tc>
          <w:tcPr>
            <w:tcW w:type="dxa" w:w="3744"/>
          </w:tcPr>
          <w:p>
            <w:pPr>
              <w:spacing w:line="264" w:lineRule="auto"/>
              <w:jc w:val="right"/>
            </w:pPr>
            <w:r>
              <w:rPr>
                <w:b w:val="0"/>
                <w:i w:val="0"/>
                <w:sz w:val="18"/>
              </w:rPr>
              <w:t>Recurring core x conglomerate P/E</w:t>
            </w:r>
          </w:p>
        </w:tc>
        <w:tc>
          <w:tcPr>
            <w:tcW w:type="dxa" w:w="1728"/>
          </w:tcPr>
          <w:p>
            <w:pPr>
              <w:spacing w:line="264" w:lineRule="auto"/>
              <w:jc w:val="right"/>
            </w:pPr>
            <w:r>
              <w:rPr>
                <w:b w:val="0"/>
                <w:i w:val="0"/>
                <w:sz w:val="18"/>
              </w:rPr>
              <w:t>EGP 24.8</w:t>
            </w:r>
          </w:p>
        </w:tc>
        <w:tc>
          <w:tcPr>
            <w:tcW w:type="dxa" w:w="2304"/>
          </w:tcPr>
          <w:p>
            <w:pPr>
              <w:spacing w:line="264" w:lineRule="auto"/>
              <w:jc w:val="right"/>
            </w:pPr>
            <w:r>
              <w:rPr>
                <w:b w:val="0"/>
                <w:i w:val="0"/>
                <w:sz w:val="18"/>
              </w:rPr>
              <w:t>-8% · the floor</w:t>
            </w:r>
          </w:p>
        </w:tc>
      </w:tr>
      <w:tr>
        <w:tc>
          <w:tcPr>
            <w:tcW w:type="dxa" w:w="2736"/>
            <w:shd w:val="clear" w:fill="EFF3F1"/>
          </w:tcPr>
          <w:p>
            <w:pPr>
              <w:spacing w:line="264" w:lineRule="auto"/>
            </w:pPr>
            <w:r>
              <w:rPr>
                <w:b/>
                <w:i w:val="0"/>
                <w:color w:val="1C3A36"/>
                <w:sz w:val="18"/>
              </w:rPr>
              <w:t>Weighted central</w:t>
            </w:r>
          </w:p>
        </w:tc>
        <w:tc>
          <w:tcPr>
            <w:tcW w:type="dxa" w:w="3744"/>
            <w:shd w:val="clear" w:fill="EFF3F1"/>
          </w:tcPr>
          <w:p>
            <w:pPr>
              <w:spacing w:line="264" w:lineRule="auto"/>
              <w:jc w:val="right"/>
            </w:pPr>
            <w:r>
              <w:rPr>
                <w:b/>
                <w:i w:val="0"/>
                <w:sz w:val="18"/>
              </w:rPr>
              <w:t>Blend 40 / 20 / 15 / 25</w:t>
            </w:r>
          </w:p>
        </w:tc>
        <w:tc>
          <w:tcPr>
            <w:tcW w:type="dxa" w:w="1728"/>
            <w:shd w:val="clear" w:fill="EFF3F1"/>
          </w:tcPr>
          <w:p>
            <w:pPr>
              <w:spacing w:line="264" w:lineRule="auto"/>
              <w:jc w:val="right"/>
            </w:pPr>
            <w:r>
              <w:rPr>
                <w:b/>
                <w:i w:val="0"/>
                <w:sz w:val="18"/>
              </w:rPr>
              <w:t>EGP 27.7</w:t>
            </w:r>
          </w:p>
        </w:tc>
        <w:tc>
          <w:tcPr>
            <w:tcW w:type="dxa" w:w="2304"/>
            <w:shd w:val="clear" w:fill="EFF3F1"/>
          </w:tcPr>
          <w:p>
            <w:pPr>
              <w:spacing w:line="264" w:lineRule="auto"/>
              <w:jc w:val="right"/>
            </w:pPr>
            <w:r>
              <w:rPr>
                <w:b/>
                <w:i w:val="0"/>
                <w:sz w:val="18"/>
              </w:rPr>
              <w:t>+3% vs 26.83 · fair</w:t>
            </w:r>
          </w:p>
        </w:tc>
      </w:tr>
      <w:tr>
        <w:tc>
          <w:tcPr>
            <w:tcW w:type="dxa" w:w="2304"/>
            <w:gridSpan w:val="4"/>
            <w:shd w:val="clear" w:fill="1C3A36"/>
          </w:tcPr>
          <w:p>
            <w:pPr>
              <w:spacing w:line="264" w:lineRule="auto"/>
            </w:pPr>
            <w:r>
              <w:rPr>
                <w:b/>
                <w:i w:val="0"/>
                <w:color w:val="FFFFFF"/>
                <w:sz w:val="19"/>
              </w:rPr>
              <w:t>TECHNICAL - what the tape is doing (timing, not value)</w:t>
            </w:r>
          </w:p>
        </w:tc>
      </w:tr>
      <w:tr>
        <w:tc>
          <w:tcPr>
            <w:tcW w:type="dxa" w:w="2736"/>
            <w:shd w:val="clear" w:fill="EFF3F1"/>
          </w:tcPr>
          <w:p>
            <w:pPr>
              <w:spacing w:line="264" w:lineRule="auto"/>
            </w:pPr>
            <w:r>
              <w:rPr>
                <w:b w:val="0"/>
                <w:i w:val="0"/>
                <w:color w:val="1C3A36"/>
                <w:sz w:val="18"/>
              </w:rPr>
              <w:t>Trend &amp; momentum</w:t>
            </w:r>
          </w:p>
        </w:tc>
        <w:tc>
          <w:tcPr>
            <w:tcW w:type="dxa" w:w="3744"/>
            <w:shd w:val="clear" w:fill="EFF3F1"/>
          </w:tcPr>
          <w:p>
            <w:pPr>
              <w:spacing w:line="264" w:lineRule="auto"/>
              <w:jc w:val="right"/>
            </w:pPr>
            <w:r>
              <w:rPr>
                <w:b w:val="0"/>
                <w:i w:val="0"/>
                <w:sz w:val="18"/>
              </w:rPr>
              <w:t>Price vs 20/50/100/200-day</w:t>
            </w:r>
          </w:p>
        </w:tc>
        <w:tc>
          <w:tcPr>
            <w:tcW w:type="dxa" w:w="1728"/>
            <w:shd w:val="clear" w:fill="EFF3F1"/>
          </w:tcPr>
          <w:p>
            <w:pPr>
              <w:spacing w:line="264" w:lineRule="auto"/>
              <w:jc w:val="right"/>
            </w:pPr>
            <w:r>
              <w:rPr>
                <w:b w:val="0"/>
                <w:i w:val="0"/>
                <w:sz w:val="18"/>
              </w:rPr>
              <w:t>All four MAs converged at 27</w:t>
            </w:r>
          </w:p>
        </w:tc>
        <w:tc>
          <w:tcPr>
            <w:tcW w:type="dxa" w:w="2304"/>
            <w:shd w:val="clear" w:fill="EFF3F1"/>
          </w:tcPr>
          <w:p>
            <w:pPr>
              <w:spacing w:line="264" w:lineRule="auto"/>
              <w:jc w:val="right"/>
            </w:pPr>
            <w:r>
              <w:rPr>
                <w:b w:val="0"/>
                <w:i w:val="0"/>
                <w:sz w:val="18"/>
              </w:rPr>
              <w:t>Tight range, no trend</w:t>
            </w:r>
          </w:p>
        </w:tc>
      </w:tr>
      <w:tr>
        <w:tc>
          <w:tcPr>
            <w:tcW w:type="dxa" w:w="2304"/>
            <w:gridSpan w:val="4"/>
            <w:shd w:val="clear" w:fill="1C3A36"/>
          </w:tcPr>
          <w:p>
            <w:pPr>
              <w:spacing w:line="264" w:lineRule="auto"/>
            </w:pPr>
            <w:r>
              <w:rPr>
                <w:b/>
                <w:i w:val="0"/>
                <w:color w:val="FFFFFF"/>
                <w:sz w:val="19"/>
              </w:rPr>
              <w:t>MONTE CARLO - where price could travel (3 months)</w:t>
            </w:r>
          </w:p>
        </w:tc>
      </w:tr>
      <w:tr>
        <w:tc>
          <w:tcPr>
            <w:tcW w:type="dxa" w:w="2736"/>
            <w:shd w:val="clear" w:fill="EFF3F1"/>
          </w:tcPr>
          <w:p>
            <w:pPr>
              <w:spacing w:line="264" w:lineRule="auto"/>
            </w:pPr>
            <w:r>
              <w:rPr>
                <w:b w:val="0"/>
                <w:i w:val="0"/>
                <w:color w:val="1C3A36"/>
                <w:sz w:val="18"/>
              </w:rPr>
              <w:t>T+60 distribution</w:t>
            </w:r>
          </w:p>
        </w:tc>
        <w:tc>
          <w:tcPr>
            <w:tcW w:type="dxa" w:w="3744"/>
            <w:shd w:val="clear" w:fill="EFF3F1"/>
          </w:tcPr>
          <w:p>
            <w:pPr>
              <w:spacing w:line="264" w:lineRule="auto"/>
              <w:jc w:val="right"/>
            </w:pPr>
            <w:r>
              <w:rPr>
                <w:b w:val="0"/>
                <w:i w:val="0"/>
                <w:sz w:val="18"/>
              </w:rPr>
              <w:t>16-factor, 50k paths, seed 42</w:t>
            </w:r>
          </w:p>
        </w:tc>
        <w:tc>
          <w:tcPr>
            <w:tcW w:type="dxa" w:w="1728"/>
            <w:shd w:val="clear" w:fill="EFF3F1"/>
          </w:tcPr>
          <w:p>
            <w:pPr>
              <w:spacing w:line="264" w:lineRule="auto"/>
              <w:jc w:val="right"/>
            </w:pPr>
            <w:r>
              <w:rPr>
                <w:b w:val="0"/>
                <w:i w:val="0"/>
                <w:sz w:val="18"/>
              </w:rPr>
              <w:t>P25-P75 EGP 22.4-30.3</w:t>
            </w:r>
          </w:p>
        </w:tc>
        <w:tc>
          <w:tcPr>
            <w:tcW w:type="dxa" w:w="2304"/>
            <w:shd w:val="clear" w:fill="EFF3F1"/>
          </w:tcPr>
          <w:p>
            <w:pPr>
              <w:spacing w:line="264" w:lineRule="auto"/>
              <w:jc w:val="right"/>
            </w:pPr>
            <w:r>
              <w:rPr>
                <w:b w:val="0"/>
                <w:i w:val="0"/>
                <w:sz w:val="18"/>
              </w:rPr>
              <w:t>Symmetric around spot</w:t>
            </w:r>
          </w:p>
        </w:tc>
      </w:tr>
      <w:tr>
        <w:tc>
          <w:tcPr>
            <w:tcW w:type="dxa" w:w="2304"/>
            <w:gridSpan w:val="4"/>
            <w:shd w:val="clear" w:fill="1C3A36"/>
          </w:tcPr>
          <w:p>
            <w:pPr>
              <w:spacing w:line="264" w:lineRule="auto"/>
            </w:pPr>
            <w:r>
              <w:rPr>
                <w:b/>
                <w:i w:val="0"/>
                <w:color w:val="FFFFFF"/>
                <w:sz w:val="19"/>
              </w:rPr>
              <w:t>EXPERT PANEL - three independent methods</w:t>
            </w:r>
          </w:p>
        </w:tc>
      </w:tr>
      <w:tr>
        <w:tc>
          <w:tcPr>
            <w:tcW w:type="dxa" w:w="2736"/>
            <w:shd w:val="clear" w:fill="EFF3F1"/>
          </w:tcPr>
          <w:p>
            <w:pPr>
              <w:spacing w:line="264" w:lineRule="auto"/>
            </w:pPr>
            <w:r>
              <w:rPr>
                <w:b w:val="0"/>
                <w:i w:val="0"/>
                <w:color w:val="1C3A36"/>
                <w:sz w:val="18"/>
              </w:rPr>
              <w:t>Expert 1 / 2 / 3</w:t>
            </w:r>
          </w:p>
        </w:tc>
        <w:tc>
          <w:tcPr>
            <w:tcW w:type="dxa" w:w="3744"/>
            <w:shd w:val="clear" w:fill="EFF3F1"/>
          </w:tcPr>
          <w:p>
            <w:pPr>
              <w:spacing w:line="264" w:lineRule="auto"/>
              <w:jc w:val="right"/>
            </w:pPr>
            <w:r>
              <w:rPr>
                <w:b w:val="0"/>
                <w:i w:val="0"/>
                <w:sz w:val="18"/>
              </w:rPr>
              <w:t>NAV-&amp;-discount · Earnings quality · Macro regime</w:t>
            </w:r>
          </w:p>
        </w:tc>
        <w:tc>
          <w:tcPr>
            <w:tcW w:type="dxa" w:w="1728"/>
            <w:shd w:val="clear" w:fill="EFF3F1"/>
          </w:tcPr>
          <w:p>
            <w:pPr>
              <w:spacing w:line="264" w:lineRule="auto"/>
              <w:jc w:val="right"/>
            </w:pPr>
            <w:r>
              <w:rPr>
                <w:b w:val="0"/>
                <w:i w:val="0"/>
                <w:sz w:val="18"/>
              </w:rPr>
              <w:t>EGP 25.7 / 23.0 / 27.0</w:t>
            </w:r>
          </w:p>
        </w:tc>
        <w:tc>
          <w:tcPr>
            <w:tcW w:type="dxa" w:w="2304"/>
            <w:shd w:val="clear" w:fill="EFF3F1"/>
          </w:tcPr>
          <w:p>
            <w:pPr>
              <w:spacing w:line="264" w:lineRule="auto"/>
              <w:jc w:val="right"/>
            </w:pPr>
            <w:r>
              <w:rPr>
                <w:b w:val="0"/>
                <w:i w:val="0"/>
                <w:sz w:val="18"/>
              </w:rPr>
              <w:t>Straddling spot</w:t>
            </w:r>
          </w:p>
        </w:tc>
      </w:tr>
    </w:tbl>
    <w:p>
      <w:pPr>
        <w:spacing w:after="40"/>
      </w:pPr>
    </w:p>
    <w:p>
      <w:pPr>
        <w:spacing w:before="160" w:after="120" w:line="264" w:lineRule="auto"/>
      </w:pPr>
      <w:r>
        <w:rPr>
          <w:b/>
          <w:i w:val="0"/>
          <w:color w:val="1C3A36"/>
          <w:sz w:val="26"/>
        </w:rPr>
        <w:t>Company overview - EFG Holding S.A.E. at a glance</w:t>
      </w:r>
    </w:p>
    <w:tbl>
      <w:tblPr>
        <w:tblStyle w:val="TableGrid"/>
        <w:tblW w:type="auto" w:w="0"/>
        <w:tblLook w:firstColumn="1" w:firstRow="1" w:lastColumn="0" w:lastRow="0" w:noHBand="0" w:noVBand="1" w:val="04A0"/>
      </w:tblPr>
      <w:tblGrid>
        <w:gridCol w:w="4968"/>
        <w:gridCol w:w="4968"/>
      </w:tblGrid>
      <w:tr>
        <w:tc>
          <w:tcPr>
            <w:tcW w:type="dxa" w:w="3456"/>
            <w:shd w:val="clear" w:fill="1C3A36"/>
          </w:tcPr>
          <w:p>
            <w:pPr>
              <w:spacing w:line="264" w:lineRule="auto"/>
            </w:pPr>
            <w:r>
              <w:rPr>
                <w:b/>
                <w:i w:val="0"/>
                <w:color w:val="FFFFFF"/>
                <w:sz w:val="18"/>
              </w:rPr>
              <w:t>Item</w:t>
            </w:r>
          </w:p>
        </w:tc>
        <w:tc>
          <w:tcPr>
            <w:tcW w:type="dxa" w:w="6336"/>
            <w:shd w:val="clear" w:fill="1C3A36"/>
          </w:tcPr>
          <w:p>
            <w:pPr>
              <w:spacing w:line="264" w:lineRule="auto"/>
              <w:jc w:val="right"/>
            </w:pPr>
            <w:r>
              <w:rPr>
                <w:b/>
                <w:i w:val="0"/>
                <w:color w:val="FFFFFF"/>
                <w:sz w:val="18"/>
              </w:rPr>
              <w:t>Value</w:t>
            </w:r>
          </w:p>
        </w:tc>
      </w:tr>
      <w:tr>
        <w:tc>
          <w:tcPr>
            <w:tcW w:type="dxa" w:w="3456"/>
          </w:tcPr>
          <w:p>
            <w:pPr>
              <w:spacing w:line="264" w:lineRule="auto"/>
            </w:pPr>
            <w:r>
              <w:rPr>
                <w:b w:val="0"/>
                <w:i w:val="0"/>
                <w:color w:val="1C3A36"/>
                <w:sz w:val="18"/>
              </w:rPr>
              <w:t>Exchange / ticker</w:t>
            </w:r>
          </w:p>
        </w:tc>
        <w:tc>
          <w:tcPr>
            <w:tcW w:type="dxa" w:w="6336"/>
          </w:tcPr>
          <w:p>
            <w:pPr>
              <w:spacing w:line="264" w:lineRule="auto"/>
              <w:jc w:val="right"/>
            </w:pPr>
            <w:r>
              <w:rPr>
                <w:b w:val="0"/>
                <w:i w:val="0"/>
                <w:sz w:val="18"/>
              </w:rPr>
              <w:t>EGX: HRHO (LSE GDR: EFGD)</w:t>
            </w:r>
          </w:p>
        </w:tc>
      </w:tr>
      <w:tr>
        <w:tc>
          <w:tcPr>
            <w:tcW w:type="dxa" w:w="3456"/>
            <w:shd w:val="clear" w:fill="EFF3F1"/>
          </w:tcPr>
          <w:p>
            <w:pPr>
              <w:spacing w:line="264" w:lineRule="auto"/>
            </w:pPr>
            <w:r>
              <w:rPr>
                <w:b w:val="0"/>
                <w:i w:val="0"/>
                <w:color w:val="1C3A36"/>
                <w:sz w:val="18"/>
              </w:rPr>
              <w:t>Structure</w:t>
            </w:r>
          </w:p>
        </w:tc>
        <w:tc>
          <w:tcPr>
            <w:tcW w:type="dxa" w:w="6336"/>
            <w:shd w:val="clear" w:fill="EFF3F1"/>
          </w:tcPr>
          <w:p>
            <w:pPr>
              <w:spacing w:line="264" w:lineRule="auto"/>
              <w:jc w:val="right"/>
            </w:pPr>
            <w:r>
              <w:rPr>
                <w:b w:val="0"/>
                <w:i w:val="0"/>
                <w:sz w:val="18"/>
              </w:rPr>
              <w:t>Financial holdco - three verticals</w:t>
            </w:r>
          </w:p>
        </w:tc>
      </w:tr>
      <w:tr>
        <w:tc>
          <w:tcPr>
            <w:tcW w:type="dxa" w:w="3456"/>
          </w:tcPr>
          <w:p>
            <w:pPr>
              <w:spacing w:line="264" w:lineRule="auto"/>
            </w:pPr>
            <w:r>
              <w:rPr>
                <w:b w:val="0"/>
                <w:i w:val="0"/>
                <w:color w:val="1C3A36"/>
                <w:sz w:val="18"/>
              </w:rPr>
              <w:t>Fiscal year-end</w:t>
            </w:r>
          </w:p>
        </w:tc>
        <w:tc>
          <w:tcPr>
            <w:tcW w:type="dxa" w:w="6336"/>
          </w:tcPr>
          <w:p>
            <w:pPr>
              <w:spacing w:line="264" w:lineRule="auto"/>
              <w:jc w:val="right"/>
            </w:pPr>
            <w:r>
              <w:rPr>
                <w:b w:val="0"/>
                <w:i w:val="0"/>
                <w:sz w:val="18"/>
              </w:rPr>
              <w:t>31 December</w:t>
            </w:r>
          </w:p>
        </w:tc>
      </w:tr>
      <w:tr>
        <w:tc>
          <w:tcPr>
            <w:tcW w:type="dxa" w:w="3456"/>
            <w:shd w:val="clear" w:fill="EFF3F1"/>
          </w:tcPr>
          <w:p>
            <w:pPr>
              <w:spacing w:line="264" w:lineRule="auto"/>
            </w:pPr>
            <w:r>
              <w:rPr>
                <w:b w:val="0"/>
                <w:i w:val="0"/>
                <w:color w:val="1C3A36"/>
                <w:sz w:val="18"/>
              </w:rPr>
              <w:t>Shares outstanding</w:t>
            </w:r>
          </w:p>
        </w:tc>
        <w:tc>
          <w:tcPr>
            <w:tcW w:type="dxa" w:w="6336"/>
            <w:shd w:val="clear" w:fill="EFF3F1"/>
          </w:tcPr>
          <w:p>
            <w:pPr>
              <w:spacing w:line="264" w:lineRule="auto"/>
              <w:jc w:val="right"/>
            </w:pPr>
            <w:r>
              <w:rPr>
                <w:b w:val="0"/>
                <w:i w:val="0"/>
                <w:sz w:val="18"/>
              </w:rPr>
              <w:t>~1,224.6 mn (per paid-in capital - confirm)</w:t>
            </w:r>
          </w:p>
        </w:tc>
      </w:tr>
      <w:tr>
        <w:tc>
          <w:tcPr>
            <w:tcW w:type="dxa" w:w="3456"/>
          </w:tcPr>
          <w:p>
            <w:pPr>
              <w:spacing w:line="264" w:lineRule="auto"/>
            </w:pPr>
            <w:r>
              <w:rPr>
                <w:b w:val="0"/>
                <w:i w:val="0"/>
                <w:color w:val="1C3A36"/>
                <w:sz w:val="18"/>
              </w:rPr>
              <w:t>Spot / market cap</w:t>
            </w:r>
          </w:p>
        </w:tc>
        <w:tc>
          <w:tcPr>
            <w:tcW w:type="dxa" w:w="6336"/>
          </w:tcPr>
          <w:p>
            <w:pPr>
              <w:spacing w:line="264" w:lineRule="auto"/>
              <w:jc w:val="right"/>
            </w:pPr>
            <w:r>
              <w:rPr>
                <w:b w:val="0"/>
                <w:i w:val="0"/>
                <w:sz w:val="18"/>
              </w:rPr>
              <w:t>EGP 26.83 / ~EGP 32.9 bn</w:t>
            </w:r>
          </w:p>
        </w:tc>
      </w:tr>
      <w:tr>
        <w:tc>
          <w:tcPr>
            <w:tcW w:type="dxa" w:w="3456"/>
            <w:shd w:val="clear" w:fill="EFF3F1"/>
          </w:tcPr>
          <w:p>
            <w:pPr>
              <w:spacing w:line="264" w:lineRule="auto"/>
            </w:pPr>
            <w:r>
              <w:rPr>
                <w:b w:val="0"/>
                <w:i w:val="0"/>
                <w:color w:val="1C3A36"/>
                <w:sz w:val="18"/>
              </w:rPr>
              <w:t>FY25 revenue / net profit</w:t>
            </w:r>
          </w:p>
        </w:tc>
        <w:tc>
          <w:tcPr>
            <w:tcW w:type="dxa" w:w="6336"/>
            <w:shd w:val="clear" w:fill="EFF3F1"/>
          </w:tcPr>
          <w:p>
            <w:pPr>
              <w:spacing w:line="264" w:lineRule="auto"/>
              <w:jc w:val="right"/>
            </w:pPr>
            <w:r>
              <w:rPr>
                <w:b w:val="0"/>
                <w:i w:val="0"/>
                <w:sz w:val="18"/>
              </w:rPr>
              <w:t>EGP 26.0 bn (+7%) / EGP 4.1 bn (-5%)</w:t>
            </w:r>
          </w:p>
        </w:tc>
      </w:tr>
      <w:tr>
        <w:tc>
          <w:tcPr>
            <w:tcW w:type="dxa" w:w="3456"/>
          </w:tcPr>
          <w:p>
            <w:pPr>
              <w:spacing w:line="264" w:lineRule="auto"/>
            </w:pPr>
            <w:r>
              <w:rPr>
                <w:b w:val="0"/>
                <w:i w:val="0"/>
                <w:color w:val="1C3A36"/>
                <w:sz w:val="18"/>
              </w:rPr>
              <w:t>FY25 by vertical (rev / NPAT)</w:t>
            </w:r>
          </w:p>
        </w:tc>
        <w:tc>
          <w:tcPr>
            <w:tcW w:type="dxa" w:w="6336"/>
          </w:tcPr>
          <w:p>
            <w:pPr>
              <w:spacing w:line="264" w:lineRule="auto"/>
              <w:jc w:val="right"/>
            </w:pPr>
            <w:r>
              <w:rPr>
                <w:b w:val="0"/>
                <w:i w:val="0"/>
                <w:sz w:val="18"/>
              </w:rPr>
              <w:t>IB 11.9/1.3 · NBFI 6.7/1.2 · Bank NXT 7.5/3.1 (grp 1.6)</w:t>
            </w:r>
          </w:p>
        </w:tc>
      </w:tr>
      <w:tr>
        <w:tc>
          <w:tcPr>
            <w:tcW w:type="dxa" w:w="3456"/>
            <w:shd w:val="clear" w:fill="EFF3F1"/>
          </w:tcPr>
          <w:p>
            <w:pPr>
              <w:spacing w:line="264" w:lineRule="auto"/>
            </w:pPr>
            <w:r>
              <w:rPr>
                <w:b w:val="0"/>
                <w:i w:val="0"/>
                <w:color w:val="1C3A36"/>
                <w:sz w:val="18"/>
              </w:rPr>
              <w:t>Total assets</w:t>
            </w:r>
          </w:p>
        </w:tc>
        <w:tc>
          <w:tcPr>
            <w:tcW w:type="dxa" w:w="6336"/>
            <w:shd w:val="clear" w:fill="EFF3F1"/>
          </w:tcPr>
          <w:p>
            <w:pPr>
              <w:spacing w:line="264" w:lineRule="auto"/>
              <w:jc w:val="right"/>
            </w:pPr>
            <w:r>
              <w:rPr>
                <w:b w:val="0"/>
                <w:i w:val="0"/>
                <w:sz w:val="18"/>
              </w:rPr>
              <w:t>EGP 230.6 bn</w:t>
            </w:r>
          </w:p>
        </w:tc>
      </w:tr>
      <w:tr>
        <w:tc>
          <w:tcPr>
            <w:tcW w:type="dxa" w:w="3456"/>
          </w:tcPr>
          <w:p>
            <w:pPr>
              <w:spacing w:line="264" w:lineRule="auto"/>
            </w:pPr>
            <w:r>
              <w:rPr>
                <w:b w:val="0"/>
                <w:i w:val="0"/>
                <w:color w:val="1C3A36"/>
                <w:sz w:val="18"/>
              </w:rPr>
              <w:t>Distribution policy</w:t>
            </w:r>
          </w:p>
        </w:tc>
        <w:tc>
          <w:tcPr>
            <w:tcW w:type="dxa" w:w="6336"/>
          </w:tcPr>
          <w:p>
            <w:pPr>
              <w:spacing w:line="264" w:lineRule="auto"/>
              <w:jc w:val="right"/>
            </w:pPr>
            <w:r>
              <w:rPr>
                <w:b w:val="0"/>
                <w:i w:val="0"/>
                <w:sz w:val="18"/>
              </w:rPr>
              <w:t>EGP 400 mn FY25 (dividend or buyback; mechanism at 2026 AGM)</w:t>
            </w:r>
          </w:p>
        </w:tc>
      </w:tr>
      <w:tr>
        <w:tc>
          <w:tcPr>
            <w:tcW w:type="dxa" w:w="3456"/>
            <w:shd w:val="clear" w:fill="EFF3F1"/>
          </w:tcPr>
          <w:p>
            <w:pPr>
              <w:spacing w:line="264" w:lineRule="auto"/>
            </w:pPr>
            <w:r>
              <w:rPr>
                <w:b w:val="0"/>
                <w:i w:val="0"/>
                <w:color w:val="1C3A36"/>
                <w:sz w:val="18"/>
              </w:rPr>
              <w:t>52-week range</w:t>
            </w:r>
          </w:p>
        </w:tc>
        <w:tc>
          <w:tcPr>
            <w:tcW w:type="dxa" w:w="6336"/>
            <w:shd w:val="clear" w:fill="EFF3F1"/>
          </w:tcPr>
          <w:p>
            <w:pPr>
              <w:spacing w:line="264" w:lineRule="auto"/>
              <w:jc w:val="right"/>
            </w:pPr>
            <w:r>
              <w:rPr>
                <w:b w:val="0"/>
                <w:i w:val="0"/>
                <w:sz w:val="18"/>
              </w:rPr>
              <w:t>EGP 23.11 - 30.86</w:t>
            </w:r>
          </w:p>
        </w:tc>
      </w:tr>
    </w:tbl>
    <w:p>
      <w:pPr>
        <w:spacing w:after="40"/>
      </w:pPr>
    </w:p>
    <w:p>
      <w:pPr>
        <w:spacing w:after="120" w:line="264" w:lineRule="auto"/>
      </w:pPr>
      <w:r>
        <w:rPr>
          <w:b w:val="0"/>
          <w:i/>
          <w:color w:val="666666"/>
          <w:sz w:val="16"/>
        </w:rPr>
        <w:t>Source: EFG Holding FY2025 earnings release (18 Mar 2026) and FY2023 release (20 Mar 2024), efgholding.com; FY2024 derived from disclosed YoY; prices from the attached daily history.</w:t>
      </w:r>
    </w:p>
    <w:p>
      <w:pPr>
        <w:spacing w:before="160" w:after="120" w:line="264" w:lineRule="auto"/>
      </w:pPr>
      <w:r>
        <w:rPr>
          <w:b/>
          <w:i w:val="0"/>
          <w:color w:val="1C3A36"/>
          <w:sz w:val="30"/>
        </w:rPr>
        <w:t>1  Fundamental valuation</w:t>
      </w:r>
    </w:p>
    <w:p>
      <w:pPr>
        <w:spacing w:before="160" w:after="120" w:line="264" w:lineRule="auto"/>
      </w:pPr>
      <w:r>
        <w:rPr>
          <w:b/>
          <w:i w:val="0"/>
          <w:color w:val="1C3A36"/>
          <w:sz w:val="24"/>
        </w:rPr>
        <w:t>1.1  Holdco sum-of-the-parts - the primary lens</w:t>
      </w:r>
    </w:p>
    <w:p>
      <w:pPr>
        <w:spacing w:after="120" w:line="264" w:lineRule="auto"/>
      </w:pPr>
      <w:r>
        <w:rPr>
          <w:b w:val="0"/>
          <w:i w:val="0"/>
          <w:sz w:val="21"/>
        </w:rPr>
        <w:t>The primary lens marks the three verticals separately and charges the bundle a holding-company discount. The Investment Bank at 8x normalized profit (~EGP 1.8 bn average of the FX-inflated FY24 and the normalized FY25) is ~EGP 14.4 bn; the NBFI platform, anchored by the listed Valu stake plus Tanmeyah, leasing, factoring and insurance, ~EGP 13.0 bn; Bank NXT's group share (EGP 1.6 bn of FY25 profit at ~5.6x) ~EGP 9.0 bn; holdco treasury and seed ~EGP 3.0 bn. Gross NAV ~EGP 39.4 bn, or EGP 32.2/share; less a 20% holdco discount = EGP 25.7/share.</w:t>
      </w:r>
    </w:p>
    <w:p>
      <w:pPr>
        <w:spacing w:after="120" w:line="264" w:lineRule="auto"/>
      </w:pPr>
      <w:r>
        <w:rPr>
          <w:b w:val="0"/>
          <w:i w:val="0"/>
          <w:sz w:val="21"/>
        </w:rPr>
        <w:t>Why NAV leads: consolidation makes the income statement a blend no single multiple fits - a fee-cyclical IB, a growth lender and a deposit-taking bank - while the parts each have natural pricing, and two of the three carry external marks (Valu's daily print; Bank NXT's fresh EGP 4.2 bn capital round). The subjectivity concentrates in the IB mark and the discount, both flagged blue in the model.</w:t>
      </w:r>
    </w:p>
    <w:p>
      <w:pPr>
        <w:spacing w:after="120" w:line="264" w:lineRule="auto"/>
      </w:pPr>
      <w:r>
        <w:rPr>
          <w:b w:val="0"/>
          <w:i w:val="0"/>
          <w:sz w:val="21"/>
        </w:rPr>
        <w:t>Every mark is a judgment and every judgment is a cell: change the IB multiple, the Valu stake value or the discount in Assumptions and the whole study reprices - that is the design.</w:t>
      </w:r>
    </w:p>
    <w:p>
      <w:pPr>
        <w:spacing w:after="120" w:line="264" w:lineRule="auto"/>
      </w:pPr>
      <w:r>
        <w:rPr>
          <w:b w:val="0"/>
          <w:sz w:val="21"/>
        </w:rPr>
        <w:t>A note on the treasury mark: the EGP 3.0 bn holdco line is the centre's own liquidity, distinct from Bank NXT's balance sheet - it is the pool the EGP 400 mn distribution policy draws on, which is why it enters the NAV at face rather than at a bank multiple.</w:t>
      </w:r>
    </w:p>
    <w:p>
      <w:pPr>
        <w:spacing w:before="160" w:after="120" w:line="264" w:lineRule="auto"/>
      </w:pPr>
      <w:r>
        <w:rPr>
          <w:b/>
          <w:i w:val="0"/>
          <w:color w:val="1C3A36"/>
          <w:sz w:val="24"/>
        </w:rPr>
        <w:t>1.2  Discounted-earnings cross-check</w:t>
      </w:r>
    </w:p>
    <w:p>
      <w:pPr>
        <w:spacing w:after="120" w:line="264" w:lineRule="auto"/>
      </w:pPr>
      <w:r>
        <w:rPr>
          <w:b w:val="0"/>
          <w:i w:val="0"/>
          <w:sz w:val="21"/>
        </w:rPr>
        <w:t>The cross-check discounts group net profit (after minorities) directly: FY26E EGP 4.9 bn growing to ~EGP 8.3 bn by FY30, at a 24% cost of equity with 11% terminal growth, values the equity at ~EGP 41.1 bn or EGP 33.6/share - deliberately un-haircut, so the gap between it and the SOTP (25.7) is a clean measure of what the 20% discount plus conservative marks cost: about EGP 8/share for the wrapper.</w:t>
      </w:r>
    </w:p>
    <w:p>
      <w:pPr>
        <w:spacing w:after="120" w:line="264" w:lineRule="auto"/>
      </w:pPr>
      <w:r>
        <w:rPr>
          <w:b w:val="0"/>
          <w:i w:val="0"/>
          <w:sz w:val="21"/>
        </w:rPr>
        <w:t>Reverse-engineered, spot 26.83 implies the levels in the table - the market sits mid-way between my two lenses, which is what fair looks like. Each row is watchable: the AGM's distribution mechanism and any monetization move the implied-discount row; the MPC moves the implied-Ke row.</w:t>
      </w:r>
    </w:p>
    <w:tbl>
      <w:tblPr>
        <w:tblStyle w:val="TableGrid"/>
        <w:tblW w:type="auto" w:w="0"/>
        <w:tblLook w:firstColumn="1" w:firstRow="1" w:lastColumn="0" w:lastRow="0" w:noHBand="0" w:noVBand="1" w:val="04A0"/>
      </w:tblPr>
      <w:tblGrid>
        <w:gridCol w:w="3312"/>
        <w:gridCol w:w="3312"/>
        <w:gridCol w:w="3312"/>
      </w:tblGrid>
      <w:tr>
        <w:tc>
          <w:tcPr>
            <w:tcW w:type="dxa" w:w="3168"/>
            <w:shd w:val="clear" w:fill="1C3A36"/>
          </w:tcPr>
          <w:p>
            <w:pPr>
              <w:spacing w:line="264" w:lineRule="auto"/>
            </w:pPr>
            <w:r>
              <w:rPr>
                <w:b/>
                <w:i w:val="0"/>
                <w:color w:val="FFFFFF"/>
                <w:sz w:val="18"/>
              </w:rPr>
              <w:t>What spot implies</w:t>
            </w:r>
          </w:p>
        </w:tc>
        <w:tc>
          <w:tcPr>
            <w:tcW w:type="dxa" w:w="3744"/>
            <w:shd w:val="clear" w:fill="1C3A36"/>
          </w:tcPr>
          <w:p>
            <w:pPr>
              <w:spacing w:line="264" w:lineRule="auto"/>
              <w:jc w:val="right"/>
            </w:pPr>
            <w:r>
              <w:rPr>
                <w:b/>
                <w:i w:val="0"/>
                <w:color w:val="FFFFFF"/>
                <w:sz w:val="18"/>
              </w:rPr>
              <w:t>Implied level</w:t>
            </w:r>
          </w:p>
        </w:tc>
        <w:tc>
          <w:tcPr>
            <w:tcW w:type="dxa" w:w="3600"/>
            <w:shd w:val="clear" w:fill="1C3A36"/>
          </w:tcPr>
          <w:p>
            <w:pPr>
              <w:spacing w:line="264" w:lineRule="auto"/>
              <w:jc w:val="right"/>
            </w:pPr>
            <w:r>
              <w:rPr>
                <w:b/>
                <w:i w:val="0"/>
                <w:color w:val="FFFFFF"/>
                <w:sz w:val="18"/>
              </w:rPr>
              <w:t>Base case</w:t>
            </w:r>
          </w:p>
        </w:tc>
      </w:tr>
      <w:tr>
        <w:tc>
          <w:tcPr>
            <w:tcW w:type="dxa" w:w="3168"/>
          </w:tcPr>
          <w:p>
            <w:pPr>
              <w:spacing w:line="264" w:lineRule="auto"/>
            </w:pPr>
            <w:r>
              <w:rPr>
                <w:b w:val="0"/>
                <w:i w:val="0"/>
                <w:color w:val="1C3A36"/>
                <w:sz w:val="18"/>
              </w:rPr>
              <w:t>Discount on gross NAV (32.2)</w:t>
            </w:r>
          </w:p>
        </w:tc>
        <w:tc>
          <w:tcPr>
            <w:tcW w:type="dxa" w:w="3744"/>
          </w:tcPr>
          <w:p>
            <w:pPr>
              <w:spacing w:line="264" w:lineRule="auto"/>
              <w:jc w:val="right"/>
            </w:pPr>
            <w:r>
              <w:rPr>
                <w:b w:val="0"/>
                <w:i w:val="0"/>
                <w:sz w:val="18"/>
              </w:rPr>
              <w:t>~17%</w:t>
            </w:r>
          </w:p>
        </w:tc>
        <w:tc>
          <w:tcPr>
            <w:tcW w:type="dxa" w:w="3600"/>
          </w:tcPr>
          <w:p>
            <w:pPr>
              <w:spacing w:line="264" w:lineRule="auto"/>
              <w:jc w:val="right"/>
            </w:pPr>
            <w:r>
              <w:rPr>
                <w:b w:val="0"/>
                <w:i w:val="0"/>
                <w:sz w:val="18"/>
              </w:rPr>
              <w:t>20%</w:t>
            </w:r>
          </w:p>
        </w:tc>
      </w:tr>
      <w:tr>
        <w:tc>
          <w:tcPr>
            <w:tcW w:type="dxa" w:w="3168"/>
            <w:shd w:val="clear" w:fill="EFF3F1"/>
          </w:tcPr>
          <w:p>
            <w:pPr>
              <w:spacing w:line="264" w:lineRule="auto"/>
            </w:pPr>
            <w:r>
              <w:rPr>
                <w:b w:val="0"/>
                <w:i w:val="0"/>
                <w:color w:val="1C3A36"/>
                <w:sz w:val="18"/>
              </w:rPr>
              <w:t>or cost of equity on the earnings stream</w:t>
            </w:r>
          </w:p>
        </w:tc>
        <w:tc>
          <w:tcPr>
            <w:tcW w:type="dxa" w:w="3744"/>
            <w:shd w:val="clear" w:fill="EFF3F1"/>
          </w:tcPr>
          <w:p>
            <w:pPr>
              <w:spacing w:line="264" w:lineRule="auto"/>
              <w:jc w:val="right"/>
            </w:pPr>
            <w:r>
              <w:rPr>
                <w:b w:val="0"/>
                <w:i w:val="0"/>
                <w:sz w:val="18"/>
              </w:rPr>
              <w:t>~27%</w:t>
            </w:r>
          </w:p>
        </w:tc>
        <w:tc>
          <w:tcPr>
            <w:tcW w:type="dxa" w:w="3600"/>
            <w:shd w:val="clear" w:fill="EFF3F1"/>
          </w:tcPr>
          <w:p>
            <w:pPr>
              <w:spacing w:line="264" w:lineRule="auto"/>
              <w:jc w:val="right"/>
            </w:pPr>
            <w:r>
              <w:rPr>
                <w:b w:val="0"/>
                <w:i w:val="0"/>
                <w:sz w:val="18"/>
              </w:rPr>
              <w:t>24%</w:t>
            </w:r>
          </w:p>
        </w:tc>
      </w:tr>
      <w:tr>
        <w:tc>
          <w:tcPr>
            <w:tcW w:type="dxa" w:w="3168"/>
          </w:tcPr>
          <w:p>
            <w:pPr>
              <w:spacing w:line="264" w:lineRule="auto"/>
            </w:pPr>
            <w:r>
              <w:rPr>
                <w:b w:val="0"/>
                <w:i w:val="0"/>
                <w:color w:val="1C3A36"/>
                <w:sz w:val="18"/>
              </w:rPr>
              <w:t>or aggregate marks</w:t>
            </w:r>
          </w:p>
        </w:tc>
        <w:tc>
          <w:tcPr>
            <w:tcW w:type="dxa" w:w="3744"/>
          </w:tcPr>
          <w:p>
            <w:pPr>
              <w:spacing w:line="264" w:lineRule="auto"/>
              <w:jc w:val="right"/>
            </w:pPr>
            <w:r>
              <w:rPr>
                <w:b w:val="0"/>
                <w:i w:val="0"/>
                <w:sz w:val="18"/>
              </w:rPr>
              <w:t>+25% above mine</w:t>
            </w:r>
          </w:p>
        </w:tc>
        <w:tc>
          <w:tcPr>
            <w:tcW w:type="dxa" w:w="3600"/>
          </w:tcPr>
          <w:p>
            <w:pPr>
              <w:spacing w:line="264" w:lineRule="auto"/>
              <w:jc w:val="right"/>
            </w:pPr>
            <w:r>
              <w:rPr>
                <w:b w:val="0"/>
                <w:i w:val="0"/>
                <w:sz w:val="18"/>
              </w:rPr>
              <w:t>as marked</w:t>
            </w:r>
          </w:p>
        </w:tc>
      </w:tr>
    </w:tbl>
    <w:p>
      <w:pPr>
        <w:spacing w:after="40"/>
      </w:pPr>
    </w:p>
    <w:p>
      <w:pPr>
        <w:spacing w:before="160" w:after="120" w:line="264" w:lineRule="auto"/>
      </w:pPr>
      <w:r>
        <w:rPr>
          <w:b/>
          <w:i w:val="0"/>
          <w:color w:val="1C3A36"/>
          <w:sz w:val="24"/>
        </w:rPr>
        <w:t>1.3  Relative multiples</w:t>
      </w:r>
    </w:p>
    <w:p>
      <w:pPr>
        <w:spacing w:after="120" w:line="264" w:lineRule="auto"/>
      </w:pPr>
      <w:r>
        <w:rPr>
          <w:b w:val="0"/>
          <w:i w:val="0"/>
          <w:sz w:val="21"/>
        </w:rPr>
        <w:t>On FY26E EPS of ~EGP 3.99 the stock trades at 6.7x, and ~8.0x FY25 reported - against CIB near 6-7x, e-finance well above 20x, and MENA IB peers in the 8-12x range. On an estimated FY25 book of ~EGP 34.2 bn, P/B is ~0.96x for a group earning a mid-teens ROE on the recurring core.</w:t>
      </w:r>
    </w:p>
    <w:p>
      <w:pPr>
        <w:spacing w:after="120" w:line="264" w:lineRule="auto"/>
      </w:pPr>
      <w:r>
        <w:rPr>
          <w:b w:val="0"/>
          <w:i w:val="0"/>
          <w:sz w:val="21"/>
        </w:rPr>
        <w:t>A blended 7.5x forward multiple supports ~EGP 29.9 - above spot, because the multiple lens ignores the conglomerate wrapper entirely; it prices EFG as if a shareholder could reach each vertical's earnings directly.</w:t>
      </w:r>
    </w:p>
    <w:p>
      <w:pPr>
        <w:spacing w:after="120" w:line="264" w:lineRule="auto"/>
      </w:pPr>
      <w:r>
        <w:rPr>
          <w:b w:val="0"/>
          <w:i w:val="0"/>
          <w:sz w:val="21"/>
        </w:rPr>
        <w:t>The LSE GDR (EFGD) adds a second tape worth watching: persistent GDR discounts or premia to the local line have historically flagged foreign-flow turns a week or two before the EGX price moved.</w:t>
      </w:r>
    </w:p>
    <w:p>
      <w:pPr>
        <w:spacing w:before="160" w:after="120" w:line="264" w:lineRule="auto"/>
      </w:pPr>
      <w:r>
        <w:rPr>
          <w:b/>
          <w:i w:val="0"/>
          <w:color w:val="1C3A36"/>
          <w:sz w:val="24"/>
        </w:rPr>
        <w:t>1.4  Normalized earnings power</w:t>
      </w:r>
    </w:p>
    <w:p>
      <w:pPr>
        <w:spacing w:after="120" w:line="264" w:lineRule="auto"/>
      </w:pPr>
      <w:r>
        <w:rPr>
          <w:b w:val="0"/>
          <w:i w:val="0"/>
          <w:sz w:val="21"/>
        </w:rPr>
        <w:t>Normalization strips FY24's devaluation FX/unrealized gains and FY25's EGP 656 mn tax-loss utilization at the IB: the recurring core is nearer EGP 3.6 bn than the printed 4.1 bn. At 7x plus the holdco treasury that supports ~EGP 24.8/share - the floor of the fundamental set, and the honest answer to 'what if the one-offs never repeat'.</w:t>
      </w:r>
    </w:p>
    <w:p>
      <w:pPr>
        <w:spacing w:after="120" w:line="264" w:lineRule="auto"/>
      </w:pPr>
      <w:r>
        <w:rPr>
          <w:b w:val="0"/>
          <w:i w:val="0"/>
          <w:sz w:val="21"/>
        </w:rPr>
        <w:t>Its virtue is symmetry: the same ledger adds back the Valu listing and pre-operating costs as one-offs, so the base is scrubbed in both directions before the multiple touches it.</w:t>
      </w:r>
    </w:p>
    <w:p>
      <w:pPr>
        <w:spacing w:after="120" w:line="264" w:lineRule="auto"/>
      </w:pPr>
      <w:r>
        <w:rPr>
          <w:b w:val="0"/>
          <w:sz w:val="21"/>
        </w:rPr>
        <w:t>The ledger below itemizes the scrub - the same arithmetic Expert 2 defends in Appendix D, reproduced here so the synthesis carries its own audit trail.</w:t>
      </w:r>
    </w:p>
    <w:tbl>
      <w:tblPr>
        <w:tblStyle w:val="TableGrid"/>
        <w:tblW w:type="auto" w:w="0"/>
        <w:tblLook w:firstColumn="1" w:firstRow="1" w:lastColumn="0" w:lastRow="0" w:noHBand="0" w:noVBand="1" w:val="04A0"/>
      </w:tblPr>
      <w:tblGrid>
        <w:gridCol w:w="4968"/>
        <w:gridCol w:w="4968"/>
      </w:tblGrid>
      <w:tr>
        <w:tc>
          <w:tcPr>
            <w:tcW w:type="dxa" w:w="5616"/>
            <w:shd w:val="clear" w:fill="1C3A36"/>
          </w:tcPr>
          <w:p>
            <w:pPr>
              <w:spacing w:line="264" w:lineRule="auto"/>
            </w:pPr>
            <w:r>
              <w:rPr>
                <w:b/>
                <w:i w:val="0"/>
                <w:color w:val="FFFFFF"/>
                <w:sz w:val="18"/>
              </w:rPr>
              <w:t>FY25 recurring-core bridge</w:t>
            </w:r>
          </w:p>
        </w:tc>
        <w:tc>
          <w:tcPr>
            <w:tcW w:type="dxa" w:w="2448"/>
            <w:shd w:val="clear" w:fill="1C3A36"/>
          </w:tcPr>
          <w:p>
            <w:pPr>
              <w:spacing w:line="264" w:lineRule="auto"/>
              <w:jc w:val="right"/>
            </w:pPr>
            <w:r>
              <w:rPr>
                <w:b/>
                <w:i w:val="0"/>
                <w:color w:val="FFFFFF"/>
                <w:sz w:val="18"/>
              </w:rPr>
              <w:t>EGP mn</w:t>
            </w:r>
          </w:p>
        </w:tc>
      </w:tr>
      <w:tr>
        <w:tc>
          <w:tcPr>
            <w:tcW w:type="dxa" w:w="5616"/>
          </w:tcPr>
          <w:p>
            <w:pPr>
              <w:spacing w:line="264" w:lineRule="auto"/>
            </w:pPr>
            <w:r>
              <w:rPr>
                <w:b w:val="0"/>
                <w:i w:val="0"/>
                <w:color w:val="1C3A36"/>
                <w:sz w:val="18"/>
              </w:rPr>
              <w:t>Reported NPAT (after minorities)</w:t>
            </w:r>
          </w:p>
        </w:tc>
        <w:tc>
          <w:tcPr>
            <w:tcW w:type="dxa" w:w="2448"/>
          </w:tcPr>
          <w:p>
            <w:pPr>
              <w:spacing w:line="264" w:lineRule="auto"/>
              <w:jc w:val="right"/>
            </w:pPr>
            <w:r>
              <w:rPr>
                <w:b w:val="0"/>
                <w:i w:val="0"/>
                <w:sz w:val="18"/>
              </w:rPr>
              <w:t>4,100</w:t>
            </w:r>
          </w:p>
        </w:tc>
      </w:tr>
      <w:tr>
        <w:tc>
          <w:tcPr>
            <w:tcW w:type="dxa" w:w="5616"/>
            <w:shd w:val="clear" w:fill="EFF3F1"/>
          </w:tcPr>
          <w:p>
            <w:pPr>
              <w:spacing w:line="264" w:lineRule="auto"/>
            </w:pPr>
            <w:r>
              <w:rPr>
                <w:b w:val="0"/>
                <w:i w:val="0"/>
                <w:color w:val="1C3A36"/>
                <w:sz w:val="18"/>
              </w:rPr>
              <w:t>- IB tax-loss utilization gain</w:t>
            </w:r>
          </w:p>
        </w:tc>
        <w:tc>
          <w:tcPr>
            <w:tcW w:type="dxa" w:w="2448"/>
            <w:shd w:val="clear" w:fill="EFF3F1"/>
          </w:tcPr>
          <w:p>
            <w:pPr>
              <w:spacing w:line="264" w:lineRule="auto"/>
              <w:jc w:val="right"/>
            </w:pPr>
            <w:r>
              <w:rPr>
                <w:b w:val="0"/>
                <w:i w:val="0"/>
                <w:sz w:val="18"/>
              </w:rPr>
              <w:t>(650)</w:t>
            </w:r>
          </w:p>
        </w:tc>
      </w:tr>
      <w:tr>
        <w:tc>
          <w:tcPr>
            <w:tcW w:type="dxa" w:w="5616"/>
          </w:tcPr>
          <w:p>
            <w:pPr>
              <w:spacing w:line="264" w:lineRule="auto"/>
            </w:pPr>
            <w:r>
              <w:rPr>
                <w:b w:val="0"/>
                <w:i w:val="0"/>
                <w:color w:val="1C3A36"/>
                <w:sz w:val="18"/>
              </w:rPr>
              <w:t>- other estimated one-off income</w:t>
            </w:r>
          </w:p>
        </w:tc>
        <w:tc>
          <w:tcPr>
            <w:tcW w:type="dxa" w:w="2448"/>
          </w:tcPr>
          <w:p>
            <w:pPr>
              <w:spacing w:line="264" w:lineRule="auto"/>
              <w:jc w:val="right"/>
            </w:pPr>
            <w:r>
              <w:rPr>
                <w:b w:val="0"/>
                <w:i w:val="0"/>
                <w:sz w:val="18"/>
              </w:rPr>
              <w:t>(200)</w:t>
            </w:r>
          </w:p>
        </w:tc>
      </w:tr>
      <w:tr>
        <w:tc>
          <w:tcPr>
            <w:tcW w:type="dxa" w:w="5616"/>
            <w:shd w:val="clear" w:fill="EFF3F1"/>
          </w:tcPr>
          <w:p>
            <w:pPr>
              <w:spacing w:line="264" w:lineRule="auto"/>
            </w:pPr>
            <w:r>
              <w:rPr>
                <w:b w:val="0"/>
                <w:i w:val="0"/>
                <w:color w:val="1C3A36"/>
                <w:sz w:val="18"/>
              </w:rPr>
              <w:t>+ one-off costs added back (Valu listing, pre-operating)</w:t>
            </w:r>
          </w:p>
        </w:tc>
        <w:tc>
          <w:tcPr>
            <w:tcW w:type="dxa" w:w="2448"/>
            <w:shd w:val="clear" w:fill="EFF3F1"/>
          </w:tcPr>
          <w:p>
            <w:pPr>
              <w:spacing w:line="264" w:lineRule="auto"/>
              <w:jc w:val="right"/>
            </w:pPr>
            <w:r>
              <w:rPr>
                <w:b w:val="0"/>
                <w:i w:val="0"/>
                <w:sz w:val="18"/>
              </w:rPr>
              <w:t>350</w:t>
            </w:r>
          </w:p>
        </w:tc>
      </w:tr>
      <w:tr>
        <w:tc>
          <w:tcPr>
            <w:tcW w:type="dxa" w:w="5616"/>
          </w:tcPr>
          <w:p>
            <w:pPr>
              <w:spacing w:line="264" w:lineRule="auto"/>
            </w:pPr>
            <w:r>
              <w:rPr>
                <w:b w:val="0"/>
                <w:i w:val="0"/>
                <w:color w:val="1C3A36"/>
                <w:sz w:val="18"/>
              </w:rPr>
              <w:t>Recurring core</w:t>
            </w:r>
          </w:p>
        </w:tc>
        <w:tc>
          <w:tcPr>
            <w:tcW w:type="dxa" w:w="2448"/>
          </w:tcPr>
          <w:p>
            <w:pPr>
              <w:spacing w:line="264" w:lineRule="auto"/>
              <w:jc w:val="right"/>
            </w:pPr>
            <w:r>
              <w:rPr>
                <w:b w:val="0"/>
                <w:i w:val="0"/>
                <w:sz w:val="18"/>
              </w:rPr>
              <w:t>~3,600</w:t>
            </w:r>
          </w:p>
        </w:tc>
      </w:tr>
      <w:tr>
        <w:tc>
          <w:tcPr>
            <w:tcW w:type="dxa" w:w="5616"/>
            <w:shd w:val="clear" w:fill="EFF3F1"/>
          </w:tcPr>
          <w:p>
            <w:pPr>
              <w:spacing w:line="264" w:lineRule="auto"/>
            </w:pPr>
            <w:r>
              <w:rPr>
                <w:b w:val="0"/>
                <w:i w:val="0"/>
                <w:color w:val="1C3A36"/>
                <w:sz w:val="18"/>
              </w:rPr>
              <w:t>x 7 (conglomerate multiple)</w:t>
            </w:r>
          </w:p>
        </w:tc>
        <w:tc>
          <w:tcPr>
            <w:tcW w:type="dxa" w:w="2448"/>
            <w:shd w:val="clear" w:fill="EFF3F1"/>
          </w:tcPr>
          <w:p>
            <w:pPr>
              <w:spacing w:line="264" w:lineRule="auto"/>
              <w:jc w:val="right"/>
            </w:pPr>
            <w:r>
              <w:rPr>
                <w:b w:val="0"/>
                <w:i w:val="0"/>
                <w:sz w:val="18"/>
              </w:rPr>
              <w:t>25,200</w:t>
            </w:r>
          </w:p>
        </w:tc>
      </w:tr>
      <w:tr>
        <w:tc>
          <w:tcPr>
            <w:tcW w:type="dxa" w:w="5616"/>
          </w:tcPr>
          <w:p>
            <w:pPr>
              <w:spacing w:line="264" w:lineRule="auto"/>
            </w:pPr>
            <w:r>
              <w:rPr>
                <w:b w:val="0"/>
                <w:i w:val="0"/>
                <w:color w:val="1C3A36"/>
                <w:sz w:val="18"/>
              </w:rPr>
              <w:t>+ holdco treasury</w:t>
            </w:r>
          </w:p>
        </w:tc>
        <w:tc>
          <w:tcPr>
            <w:tcW w:type="dxa" w:w="2448"/>
          </w:tcPr>
          <w:p>
            <w:pPr>
              <w:spacing w:line="264" w:lineRule="auto"/>
              <w:jc w:val="right"/>
            </w:pPr>
            <w:r>
              <w:rPr>
                <w:b w:val="0"/>
                <w:i w:val="0"/>
                <w:sz w:val="18"/>
              </w:rPr>
              <w:t>3,000</w:t>
            </w:r>
          </w:p>
        </w:tc>
      </w:tr>
      <w:tr>
        <w:tc>
          <w:tcPr>
            <w:tcW w:type="dxa" w:w="5616"/>
            <w:shd w:val="clear" w:fill="EFF3F1"/>
          </w:tcPr>
          <w:p>
            <w:pPr>
              <w:spacing w:line="264" w:lineRule="auto"/>
            </w:pPr>
            <w:r>
              <w:rPr>
                <w:b w:val="0"/>
                <w:i w:val="0"/>
                <w:color w:val="1C3A36"/>
                <w:sz w:val="18"/>
              </w:rPr>
              <w:t>Equity value / per share</w:t>
            </w:r>
          </w:p>
        </w:tc>
        <w:tc>
          <w:tcPr>
            <w:tcW w:type="dxa" w:w="2448"/>
            <w:shd w:val="clear" w:fill="EFF3F1"/>
          </w:tcPr>
          <w:p>
            <w:pPr>
              <w:spacing w:line="264" w:lineRule="auto"/>
              <w:jc w:val="right"/>
            </w:pPr>
            <w:r>
              <w:rPr>
                <w:b w:val="0"/>
                <w:i w:val="0"/>
                <w:sz w:val="18"/>
              </w:rPr>
              <w:t>28,200 / EGP 23.0</w:t>
            </w:r>
          </w:p>
        </w:tc>
      </w:tr>
    </w:tbl>
    <w:p>
      <w:pPr>
        <w:spacing w:before="160" w:after="120" w:line="264" w:lineRule="auto"/>
      </w:pPr>
      <w:r>
        <w:rPr>
          <w:b/>
          <w:i w:val="0"/>
          <w:color w:val="1C3A36"/>
          <w:sz w:val="24"/>
        </w:rPr>
        <w:t>1.5  Synthesis - five lenses</w:t>
      </w:r>
    </w:p>
    <w:p>
      <w:pPr>
        <w:spacing w:after="120" w:line="264" w:lineRule="auto"/>
      </w:pPr>
      <w:r>
        <w:rPr>
          <w:b w:val="0"/>
          <w:i w:val="0"/>
          <w:sz w:val="21"/>
        </w:rPr>
        <w:t>Five lenses, one field: the un-haircut earnings DCF tops it (33.6), relative multiples follow (29.9), the discounted SOTP (25.7) and normalized core (24.8) anchor the bottom. Weighting 40/20/15/25 puts the central fair value at ~EGP 27.7 - 3% above spot. Unlike single-business studies, the price here sits inside the cluster: the market has this one roughly right, and the debate is distributional, not directional.</w:t>
      </w:r>
    </w:p>
    <w:p>
      <w:pPr>
        <w:spacing w:after="120" w:line="264" w:lineRule="auto"/>
      </w:pPr>
      <w:r>
        <w:rPr>
          <w:b w:val="0"/>
          <w:i w:val="0"/>
          <w:sz w:val="21"/>
        </w:rPr>
        <w:t>The weights are declared, not fitted: the SOTP leads because the instrument is a holdco; the un-haircut DCF is capped at 20% precisely because it ignores the wrapper the other lenses price.</w:t>
      </w:r>
    </w:p>
    <w:tbl>
      <w:tblPr>
        <w:tblStyle w:val="TableGrid"/>
        <w:tblW w:type="auto" w:w="0"/>
        <w:tblLook w:firstColumn="1" w:firstRow="1" w:lastColumn="0" w:lastRow="0" w:noHBand="0" w:noVBand="1" w:val="04A0"/>
      </w:tblPr>
      <w:tblGrid>
        <w:gridCol w:w="3312"/>
        <w:gridCol w:w="3312"/>
        <w:gridCol w:w="3312"/>
      </w:tblGrid>
      <w:tr>
        <w:tc>
          <w:tcPr>
            <w:tcW w:type="dxa" w:w="4320"/>
            <w:shd w:val="clear" w:fill="1C3A36"/>
          </w:tcPr>
          <w:p>
            <w:pPr>
              <w:spacing w:line="264" w:lineRule="auto"/>
            </w:pPr>
            <w:r>
              <w:rPr>
                <w:b/>
                <w:i w:val="0"/>
                <w:color w:val="FFFFFF"/>
                <w:sz w:val="18"/>
              </w:rPr>
              <w:t>Lens</w:t>
            </w:r>
          </w:p>
        </w:tc>
        <w:tc>
          <w:tcPr>
            <w:tcW w:type="dxa" w:w="2880"/>
            <w:shd w:val="clear" w:fill="1C3A36"/>
          </w:tcPr>
          <w:p>
            <w:pPr>
              <w:spacing w:line="264" w:lineRule="auto"/>
              <w:jc w:val="right"/>
            </w:pPr>
            <w:r>
              <w:rPr>
                <w:b/>
                <w:i w:val="0"/>
                <w:color w:val="FFFFFF"/>
                <w:sz w:val="18"/>
              </w:rPr>
              <w:t>Fair value (EGP)</w:t>
            </w:r>
          </w:p>
        </w:tc>
        <w:tc>
          <w:tcPr>
            <w:tcW w:type="dxa" w:w="2592"/>
            <w:shd w:val="clear" w:fill="1C3A36"/>
          </w:tcPr>
          <w:p>
            <w:pPr>
              <w:spacing w:line="264" w:lineRule="auto"/>
              <w:jc w:val="right"/>
            </w:pPr>
            <w:r>
              <w:rPr>
                <w:b/>
                <w:i w:val="0"/>
                <w:color w:val="FFFFFF"/>
                <w:sz w:val="18"/>
              </w:rPr>
              <w:t>Weight</w:t>
            </w:r>
          </w:p>
        </w:tc>
      </w:tr>
      <w:tr>
        <w:tc>
          <w:tcPr>
            <w:tcW w:type="dxa" w:w="4320"/>
          </w:tcPr>
          <w:p>
            <w:pPr>
              <w:spacing w:line="264" w:lineRule="auto"/>
            </w:pPr>
            <w:r>
              <w:rPr>
                <w:b w:val="0"/>
                <w:i w:val="0"/>
                <w:color w:val="1C3A36"/>
                <w:sz w:val="18"/>
              </w:rPr>
              <w:t>SOTP less 20% discount (primary)</w:t>
            </w:r>
          </w:p>
        </w:tc>
        <w:tc>
          <w:tcPr>
            <w:tcW w:type="dxa" w:w="2880"/>
          </w:tcPr>
          <w:p>
            <w:pPr>
              <w:spacing w:line="264" w:lineRule="auto"/>
              <w:jc w:val="right"/>
            </w:pPr>
            <w:r>
              <w:rPr>
                <w:b w:val="0"/>
                <w:i w:val="0"/>
                <w:sz w:val="18"/>
              </w:rPr>
              <w:t>25.7</w:t>
            </w:r>
          </w:p>
        </w:tc>
        <w:tc>
          <w:tcPr>
            <w:tcW w:type="dxa" w:w="2592"/>
          </w:tcPr>
          <w:p>
            <w:pPr>
              <w:spacing w:line="264" w:lineRule="auto"/>
              <w:jc w:val="right"/>
            </w:pPr>
            <w:r>
              <w:rPr>
                <w:b w:val="0"/>
                <w:i w:val="0"/>
                <w:sz w:val="18"/>
              </w:rPr>
              <w:t>40%</w:t>
            </w:r>
          </w:p>
        </w:tc>
      </w:tr>
      <w:tr>
        <w:tc>
          <w:tcPr>
            <w:tcW w:type="dxa" w:w="4320"/>
            <w:shd w:val="clear" w:fill="EFF3F1"/>
          </w:tcPr>
          <w:p>
            <w:pPr>
              <w:spacing w:line="264" w:lineRule="auto"/>
            </w:pPr>
            <w:r>
              <w:rPr>
                <w:b w:val="0"/>
                <w:i w:val="0"/>
                <w:color w:val="1C3A36"/>
                <w:sz w:val="18"/>
              </w:rPr>
              <w:t>Discounted earnings</w:t>
            </w:r>
          </w:p>
        </w:tc>
        <w:tc>
          <w:tcPr>
            <w:tcW w:type="dxa" w:w="2880"/>
            <w:shd w:val="clear" w:fill="EFF3F1"/>
          </w:tcPr>
          <w:p>
            <w:pPr>
              <w:spacing w:line="264" w:lineRule="auto"/>
              <w:jc w:val="right"/>
            </w:pPr>
            <w:r>
              <w:rPr>
                <w:b w:val="0"/>
                <w:i w:val="0"/>
                <w:sz w:val="18"/>
              </w:rPr>
              <w:t>33.6</w:t>
            </w:r>
          </w:p>
        </w:tc>
        <w:tc>
          <w:tcPr>
            <w:tcW w:type="dxa" w:w="2592"/>
            <w:shd w:val="clear" w:fill="EFF3F1"/>
          </w:tcPr>
          <w:p>
            <w:pPr>
              <w:spacing w:line="264" w:lineRule="auto"/>
              <w:jc w:val="right"/>
            </w:pPr>
            <w:r>
              <w:rPr>
                <w:b w:val="0"/>
                <w:i w:val="0"/>
                <w:sz w:val="18"/>
              </w:rPr>
              <w:t>20%</w:t>
            </w:r>
          </w:p>
        </w:tc>
      </w:tr>
      <w:tr>
        <w:tc>
          <w:tcPr>
            <w:tcW w:type="dxa" w:w="4320"/>
          </w:tcPr>
          <w:p>
            <w:pPr>
              <w:spacing w:line="264" w:lineRule="auto"/>
            </w:pPr>
            <w:r>
              <w:rPr>
                <w:b w:val="0"/>
                <w:i w:val="0"/>
                <w:color w:val="1C3A36"/>
                <w:sz w:val="18"/>
              </w:rPr>
              <w:t>Relative multiples</w:t>
            </w:r>
          </w:p>
        </w:tc>
        <w:tc>
          <w:tcPr>
            <w:tcW w:type="dxa" w:w="2880"/>
          </w:tcPr>
          <w:p>
            <w:pPr>
              <w:spacing w:line="264" w:lineRule="auto"/>
              <w:jc w:val="right"/>
            </w:pPr>
            <w:r>
              <w:rPr>
                <w:b w:val="0"/>
                <w:i w:val="0"/>
                <w:sz w:val="18"/>
              </w:rPr>
              <w:t>29.9</w:t>
            </w:r>
          </w:p>
        </w:tc>
        <w:tc>
          <w:tcPr>
            <w:tcW w:type="dxa" w:w="2592"/>
          </w:tcPr>
          <w:p>
            <w:pPr>
              <w:spacing w:line="264" w:lineRule="auto"/>
              <w:jc w:val="right"/>
            </w:pPr>
            <w:r>
              <w:rPr>
                <w:b w:val="0"/>
                <w:i w:val="0"/>
                <w:sz w:val="18"/>
              </w:rPr>
              <w:t>15%</w:t>
            </w:r>
          </w:p>
        </w:tc>
      </w:tr>
      <w:tr>
        <w:tc>
          <w:tcPr>
            <w:tcW w:type="dxa" w:w="4320"/>
            <w:shd w:val="clear" w:fill="EFF3F1"/>
          </w:tcPr>
          <w:p>
            <w:pPr>
              <w:spacing w:line="264" w:lineRule="auto"/>
            </w:pPr>
            <w:r>
              <w:rPr>
                <w:b w:val="0"/>
                <w:i w:val="0"/>
                <w:color w:val="1C3A36"/>
                <w:sz w:val="18"/>
              </w:rPr>
              <w:t>Normalized earnings</w:t>
            </w:r>
          </w:p>
        </w:tc>
        <w:tc>
          <w:tcPr>
            <w:tcW w:type="dxa" w:w="2880"/>
            <w:shd w:val="clear" w:fill="EFF3F1"/>
          </w:tcPr>
          <w:p>
            <w:pPr>
              <w:spacing w:line="264" w:lineRule="auto"/>
              <w:jc w:val="right"/>
            </w:pPr>
            <w:r>
              <w:rPr>
                <w:b w:val="0"/>
                <w:i w:val="0"/>
                <w:sz w:val="18"/>
              </w:rPr>
              <w:t>24.8</w:t>
            </w:r>
          </w:p>
        </w:tc>
        <w:tc>
          <w:tcPr>
            <w:tcW w:type="dxa" w:w="2592"/>
            <w:shd w:val="clear" w:fill="EFF3F1"/>
          </w:tcPr>
          <w:p>
            <w:pPr>
              <w:spacing w:line="264" w:lineRule="auto"/>
              <w:jc w:val="right"/>
            </w:pPr>
            <w:r>
              <w:rPr>
                <w:b w:val="0"/>
                <w:i w:val="0"/>
                <w:sz w:val="18"/>
              </w:rPr>
              <w:t>25%</w:t>
            </w:r>
          </w:p>
        </w:tc>
      </w:tr>
      <w:tr>
        <w:tc>
          <w:tcPr>
            <w:tcW w:type="dxa" w:w="4320"/>
          </w:tcPr>
          <w:p>
            <w:pPr>
              <w:spacing w:line="264" w:lineRule="auto"/>
            </w:pPr>
            <w:r>
              <w:rPr>
                <w:b/>
                <w:i w:val="0"/>
                <w:color w:val="1C3A36"/>
                <w:sz w:val="18"/>
              </w:rPr>
              <w:t>Weighted central</w:t>
            </w:r>
          </w:p>
        </w:tc>
        <w:tc>
          <w:tcPr>
            <w:tcW w:type="dxa" w:w="2880"/>
          </w:tcPr>
          <w:p>
            <w:pPr>
              <w:spacing w:line="264" w:lineRule="auto"/>
              <w:jc w:val="right"/>
            </w:pPr>
            <w:r>
              <w:rPr>
                <w:b/>
                <w:i w:val="0"/>
                <w:sz w:val="18"/>
              </w:rPr>
              <w:t>27.7</w:t>
            </w:r>
          </w:p>
        </w:tc>
        <w:tc>
          <w:tcPr>
            <w:tcW w:type="dxa" w:w="2592"/>
          </w:tcPr>
          <w:p>
            <w:pPr>
              <w:spacing w:line="264" w:lineRule="auto"/>
              <w:jc w:val="right"/>
            </w:pPr>
            <w:r>
              <w:rPr>
                <w:b/>
                <w:i w:val="0"/>
                <w:sz w:val="18"/>
              </w:rPr>
              <w:t>100%</w:t>
            </w:r>
          </w:p>
        </w:tc>
      </w:tr>
    </w:tbl>
    <w:p>
      <w:pPr>
        <w:spacing w:after="40"/>
      </w:pPr>
    </w:p>
    <w:p>
      <w:pPr>
        <w:jc w:val="center"/>
      </w:pPr>
      <w:r>
        <w:drawing>
          <wp:inline xmlns:a="http://schemas.openxmlformats.org/drawingml/2006/main" xmlns:pic="http://schemas.openxmlformats.org/drawingml/2006/picture">
            <wp:extent cx="5943600" cy="2622176"/>
            <wp:docPr id="1" name="Picture 1"/>
            <wp:cNvGraphicFramePr>
              <a:graphicFrameLocks noChangeAspect="1"/>
            </wp:cNvGraphicFramePr>
            <a:graphic>
              <a:graphicData uri="http://schemas.openxmlformats.org/drawingml/2006/picture">
                <pic:pic>
                  <pic:nvPicPr>
                    <pic:cNvPr id="0" name="HRHO_football.png"/>
                    <pic:cNvPicPr/>
                  </pic:nvPicPr>
                  <pic:blipFill>
                    <a:blip r:embed="rId9"/>
                    <a:stretch>
                      <a:fillRect/>
                    </a:stretch>
                  </pic:blipFill>
                  <pic:spPr>
                    <a:xfrm>
                      <a:off x="0" y="0"/>
                      <a:ext cx="5943600" cy="2622176"/>
                    </a:xfrm>
                    <a:prstGeom prst="rect"/>
                  </pic:spPr>
                </pic:pic>
              </a:graphicData>
            </a:graphic>
          </wp:inline>
        </w:drawing>
      </w:r>
    </w:p>
    <w:p>
      <w:pPr>
        <w:spacing w:line="264" w:lineRule="auto"/>
        <w:jc w:val="center"/>
      </w:pPr>
      <w:r>
        <w:rPr>
          <w:b w:val="0"/>
          <w:i/>
          <w:color w:val="666666"/>
          <w:sz w:val="16"/>
        </w:rPr>
        <w:t>Valuation football field - lens ranges vs spot</w:t>
      </w:r>
    </w:p>
    <w:p>
      <w:pPr>
        <w:spacing w:before="160" w:after="120" w:line="264" w:lineRule="auto"/>
      </w:pPr>
      <w:r>
        <w:rPr>
          <w:b/>
          <w:i w:val="0"/>
          <w:color w:val="1C3A36"/>
          <w:sz w:val="24"/>
        </w:rPr>
        <w:t>1.6  The three verticals - a deeper look</w:t>
      </w:r>
    </w:p>
    <w:p>
      <w:pPr>
        <w:spacing w:after="120" w:line="264" w:lineRule="auto"/>
      </w:pPr>
      <w:r>
        <w:rPr>
          <w:b w:val="0"/>
          <w:i w:val="0"/>
          <w:sz w:val="21"/>
        </w:rPr>
        <w:t>FY25 by vertical: the Investment Bank (EGP 11.9 bn revenue, -19%) normalized off an FY24 swollen by post-devaluation FX and unrealized gains - Brokerage (+19%, USD 127.5 bn executions, +23%) and the Buy-Side (+42%) grew strongly while Holding &amp; Treasury collapsed 76%; NPAT EGP 1.3 bn. EFG Finance (EGP 6.7 bn, +39%) was led by Valu (EGP 3.0 bn, +56%, now separately listed after the FY24 share distribution); NPAT EGP 1.2 bn (+45%). Bank NXT (EGP 7.5 bn, +52%) grew net interest income 30% on a larger book plus non-core asset gains; NPAT EGP 3.1 bn (+77%), group share EGP 1.6 bn, and a fresh EGP 4.2 bn capital increase funds the next leg.</w:t>
      </w:r>
    </w:p>
    <w:p>
      <w:pPr>
        <w:spacing w:after="120" w:line="264" w:lineRule="auto"/>
      </w:pPr>
      <w:r>
        <w:rPr>
          <w:b w:val="0"/>
          <w:i w:val="0"/>
          <w:sz w:val="21"/>
        </w:rPr>
        <w:t>The scorecard's message is rotation: the engine has moved from the cyclical IB to the two balance-sheet businesses - which stabilizes the group print exactly when the flagship is weakest, and is why the consolidated -5% conceals rather than reveals.</w:t>
      </w:r>
    </w:p>
    <w:tbl>
      <w:tblPr>
        <w:tblStyle w:val="TableGrid"/>
        <w:tblW w:type="auto" w:w="0"/>
        <w:tblLook w:firstColumn="1" w:firstRow="1" w:lastColumn="0" w:lastRow="0" w:noHBand="0" w:noVBand="1" w:val="04A0"/>
      </w:tblPr>
      <w:tblGrid>
        <w:gridCol w:w="2484"/>
        <w:gridCol w:w="2484"/>
        <w:gridCol w:w="2484"/>
        <w:gridCol w:w="2484"/>
      </w:tblGrid>
      <w:tr>
        <w:tc>
          <w:tcPr>
            <w:tcW w:type="dxa" w:w="2304"/>
            <w:shd w:val="clear" w:fill="1C3A36"/>
          </w:tcPr>
          <w:p>
            <w:pPr>
              <w:spacing w:line="264" w:lineRule="auto"/>
            </w:pPr>
            <w:r>
              <w:rPr>
                <w:b/>
                <w:i w:val="0"/>
                <w:color w:val="FFFFFF"/>
                <w:sz w:val="18"/>
              </w:rPr>
              <w:t>Vertical</w:t>
            </w:r>
          </w:p>
        </w:tc>
        <w:tc>
          <w:tcPr>
            <w:tcW w:type="dxa" w:w="1872"/>
            <w:shd w:val="clear" w:fill="1C3A36"/>
          </w:tcPr>
          <w:p>
            <w:pPr>
              <w:spacing w:line="264" w:lineRule="auto"/>
              <w:jc w:val="right"/>
            </w:pPr>
            <w:r>
              <w:rPr>
                <w:b/>
                <w:i w:val="0"/>
                <w:color w:val="FFFFFF"/>
                <w:sz w:val="18"/>
              </w:rPr>
              <w:t>FY25 rev / NPAT</w:t>
            </w:r>
          </w:p>
        </w:tc>
        <w:tc>
          <w:tcPr>
            <w:tcW w:type="dxa" w:w="2736"/>
            <w:shd w:val="clear" w:fill="1C3A36"/>
          </w:tcPr>
          <w:p>
            <w:pPr>
              <w:spacing w:line="264" w:lineRule="auto"/>
              <w:jc w:val="right"/>
            </w:pPr>
            <w:r>
              <w:rPr>
                <w:b/>
                <w:i w:val="0"/>
                <w:color w:val="FFFFFF"/>
                <w:sz w:val="18"/>
              </w:rPr>
              <w:t>YoY</w:t>
            </w:r>
          </w:p>
        </w:tc>
        <w:tc>
          <w:tcPr>
            <w:tcW w:type="dxa" w:w="3600"/>
            <w:shd w:val="clear" w:fill="1C3A36"/>
          </w:tcPr>
          <w:p>
            <w:pPr>
              <w:spacing w:line="264" w:lineRule="auto"/>
              <w:jc w:val="right"/>
            </w:pPr>
            <w:r>
              <w:rPr>
                <w:b/>
                <w:i w:val="0"/>
                <w:color w:val="FFFFFF"/>
                <w:sz w:val="18"/>
              </w:rPr>
              <w:t>Read</w:t>
            </w:r>
          </w:p>
        </w:tc>
      </w:tr>
      <w:tr>
        <w:tc>
          <w:tcPr>
            <w:tcW w:type="dxa" w:w="2304"/>
          </w:tcPr>
          <w:p>
            <w:pPr>
              <w:spacing w:line="264" w:lineRule="auto"/>
            </w:pPr>
            <w:r>
              <w:rPr>
                <w:b w:val="0"/>
                <w:i w:val="0"/>
                <w:color w:val="1C3A36"/>
                <w:sz w:val="18"/>
              </w:rPr>
              <w:t>EFG Hermes (IB)</w:t>
            </w:r>
          </w:p>
        </w:tc>
        <w:tc>
          <w:tcPr>
            <w:tcW w:type="dxa" w:w="1872"/>
          </w:tcPr>
          <w:p>
            <w:pPr>
              <w:spacing w:line="264" w:lineRule="auto"/>
              <w:jc w:val="right"/>
            </w:pPr>
            <w:r>
              <w:rPr>
                <w:b w:val="0"/>
                <w:i w:val="0"/>
                <w:sz w:val="18"/>
              </w:rPr>
              <w:t>11.9 / 1.3 bn</w:t>
            </w:r>
          </w:p>
        </w:tc>
        <w:tc>
          <w:tcPr>
            <w:tcW w:type="dxa" w:w="2736"/>
          </w:tcPr>
          <w:p>
            <w:pPr>
              <w:spacing w:line="264" w:lineRule="auto"/>
              <w:jc w:val="right"/>
            </w:pPr>
            <w:r>
              <w:rPr>
                <w:b w:val="0"/>
                <w:i w:val="0"/>
                <w:sz w:val="18"/>
              </w:rPr>
              <w:t>-19% / -50%</w:t>
            </w:r>
          </w:p>
        </w:tc>
        <w:tc>
          <w:tcPr>
            <w:tcW w:type="dxa" w:w="3600"/>
          </w:tcPr>
          <w:p>
            <w:pPr>
              <w:spacing w:line="264" w:lineRule="auto"/>
              <w:jc w:val="right"/>
            </w:pPr>
            <w:r>
              <w:rPr>
                <w:b w:val="0"/>
                <w:i w:val="0"/>
                <w:sz w:val="18"/>
              </w:rPr>
              <w:t>Normalizing off the FY24 FX base; incl. 656 mn tax gain</w:t>
            </w:r>
          </w:p>
        </w:tc>
      </w:tr>
      <w:tr>
        <w:tc>
          <w:tcPr>
            <w:tcW w:type="dxa" w:w="2304"/>
            <w:shd w:val="clear" w:fill="EFF3F1"/>
          </w:tcPr>
          <w:p>
            <w:pPr>
              <w:spacing w:line="264" w:lineRule="auto"/>
            </w:pPr>
            <w:r>
              <w:rPr>
                <w:b w:val="0"/>
                <w:i w:val="0"/>
                <w:color w:val="1C3A36"/>
                <w:sz w:val="18"/>
              </w:rPr>
              <w:t>EFG Finance (NBFI)</w:t>
            </w:r>
          </w:p>
        </w:tc>
        <w:tc>
          <w:tcPr>
            <w:tcW w:type="dxa" w:w="1872"/>
            <w:shd w:val="clear" w:fill="EFF3F1"/>
          </w:tcPr>
          <w:p>
            <w:pPr>
              <w:spacing w:line="264" w:lineRule="auto"/>
              <w:jc w:val="right"/>
            </w:pPr>
            <w:r>
              <w:rPr>
                <w:b w:val="0"/>
                <w:i w:val="0"/>
                <w:sz w:val="18"/>
              </w:rPr>
              <w:t>6.7 / 1.2 bn</w:t>
            </w:r>
          </w:p>
        </w:tc>
        <w:tc>
          <w:tcPr>
            <w:tcW w:type="dxa" w:w="2736"/>
            <w:shd w:val="clear" w:fill="EFF3F1"/>
          </w:tcPr>
          <w:p>
            <w:pPr>
              <w:spacing w:line="264" w:lineRule="auto"/>
              <w:jc w:val="right"/>
            </w:pPr>
            <w:r>
              <w:rPr>
                <w:b w:val="0"/>
                <w:i w:val="0"/>
                <w:sz w:val="18"/>
              </w:rPr>
              <w:t>+39% / +45%</w:t>
            </w:r>
          </w:p>
        </w:tc>
        <w:tc>
          <w:tcPr>
            <w:tcW w:type="dxa" w:w="3600"/>
            <w:shd w:val="clear" w:fill="EFF3F1"/>
          </w:tcPr>
          <w:p>
            <w:pPr>
              <w:spacing w:line="264" w:lineRule="auto"/>
              <w:jc w:val="right"/>
            </w:pPr>
            <w:r>
              <w:rPr>
                <w:b w:val="0"/>
                <w:i w:val="0"/>
                <w:sz w:val="18"/>
              </w:rPr>
              <w:t>Valu 3.0 bn (+56%), listed Jun-25; growth engine</w:t>
            </w:r>
          </w:p>
        </w:tc>
      </w:tr>
      <w:tr>
        <w:tc>
          <w:tcPr>
            <w:tcW w:type="dxa" w:w="2304"/>
          </w:tcPr>
          <w:p>
            <w:pPr>
              <w:spacing w:line="264" w:lineRule="auto"/>
            </w:pPr>
            <w:r>
              <w:rPr>
                <w:b w:val="0"/>
                <w:i w:val="0"/>
                <w:color w:val="1C3A36"/>
                <w:sz w:val="18"/>
              </w:rPr>
              <w:t>Bank NXT</w:t>
            </w:r>
          </w:p>
        </w:tc>
        <w:tc>
          <w:tcPr>
            <w:tcW w:type="dxa" w:w="1872"/>
          </w:tcPr>
          <w:p>
            <w:pPr>
              <w:spacing w:line="264" w:lineRule="auto"/>
              <w:jc w:val="right"/>
            </w:pPr>
            <w:r>
              <w:rPr>
                <w:b w:val="0"/>
                <w:i w:val="0"/>
                <w:sz w:val="18"/>
              </w:rPr>
              <w:t>7.5 / 3.1 bn (grp 1.6)</w:t>
            </w:r>
          </w:p>
        </w:tc>
        <w:tc>
          <w:tcPr>
            <w:tcW w:type="dxa" w:w="2736"/>
          </w:tcPr>
          <w:p>
            <w:pPr>
              <w:spacing w:line="264" w:lineRule="auto"/>
              <w:jc w:val="right"/>
            </w:pPr>
            <w:r>
              <w:rPr>
                <w:b w:val="0"/>
                <w:i w:val="0"/>
                <w:sz w:val="18"/>
              </w:rPr>
              <w:t>+52% / +77%</w:t>
            </w:r>
          </w:p>
        </w:tc>
        <w:tc>
          <w:tcPr>
            <w:tcW w:type="dxa" w:w="3600"/>
          </w:tcPr>
          <w:p>
            <w:pPr>
              <w:spacing w:line="264" w:lineRule="auto"/>
              <w:jc w:val="right"/>
            </w:pPr>
            <w:r>
              <w:rPr>
                <w:b w:val="0"/>
                <w:i w:val="0"/>
                <w:sz w:val="18"/>
              </w:rPr>
              <w:t>Rate-carry winner; EGP 4.2 bn capital round</w:t>
            </w:r>
          </w:p>
        </w:tc>
      </w:tr>
      <w:tr>
        <w:tc>
          <w:tcPr>
            <w:tcW w:type="dxa" w:w="2304"/>
            <w:shd w:val="clear" w:fill="EFF3F1"/>
          </w:tcPr>
          <w:p>
            <w:pPr>
              <w:spacing w:line="264" w:lineRule="auto"/>
            </w:pPr>
            <w:r>
              <w:rPr>
                <w:b w:val="0"/>
                <w:i w:val="0"/>
                <w:color w:val="1C3A36"/>
                <w:sz w:val="18"/>
              </w:rPr>
              <w:t>Group (after min.)</w:t>
            </w:r>
          </w:p>
        </w:tc>
        <w:tc>
          <w:tcPr>
            <w:tcW w:type="dxa" w:w="1872"/>
            <w:shd w:val="clear" w:fill="EFF3F1"/>
          </w:tcPr>
          <w:p>
            <w:pPr>
              <w:spacing w:line="264" w:lineRule="auto"/>
              <w:jc w:val="right"/>
            </w:pPr>
            <w:r>
              <w:rPr>
                <w:b w:val="0"/>
                <w:i w:val="0"/>
                <w:sz w:val="18"/>
              </w:rPr>
              <w:t>26.0 / 4.1 bn</w:t>
            </w:r>
          </w:p>
        </w:tc>
        <w:tc>
          <w:tcPr>
            <w:tcW w:type="dxa" w:w="2736"/>
            <w:shd w:val="clear" w:fill="EFF3F1"/>
          </w:tcPr>
          <w:p>
            <w:pPr>
              <w:spacing w:line="264" w:lineRule="auto"/>
              <w:jc w:val="right"/>
            </w:pPr>
            <w:r>
              <w:rPr>
                <w:b w:val="0"/>
                <w:i w:val="0"/>
                <w:sz w:val="18"/>
              </w:rPr>
              <w:t>+7% / -5%</w:t>
            </w:r>
          </w:p>
        </w:tc>
        <w:tc>
          <w:tcPr>
            <w:tcW w:type="dxa" w:w="3600"/>
            <w:shd w:val="clear" w:fill="EFF3F1"/>
          </w:tcPr>
          <w:p>
            <w:pPr>
              <w:spacing w:line="264" w:lineRule="auto"/>
              <w:jc w:val="right"/>
            </w:pPr>
            <w:r>
              <w:rPr>
                <w:b w:val="0"/>
                <w:i w:val="0"/>
                <w:sz w:val="18"/>
              </w:rPr>
              <w:t>Mix shift, not contraction</w:t>
            </w:r>
          </w:p>
        </w:tc>
      </w:tr>
    </w:tbl>
    <w:p>
      <w:pPr>
        <w:spacing w:after="40"/>
      </w:pPr>
    </w:p>
    <w:p>
      <w:pPr>
        <w:spacing w:before="160" w:after="120" w:line="264" w:lineRule="auto"/>
      </w:pPr>
      <w:r>
        <w:rPr>
          <w:b/>
          <w:i w:val="0"/>
          <w:color w:val="1C3A36"/>
          <w:sz w:val="24"/>
        </w:rPr>
        <w:t>1.7  The holdco discount and the rate cycle - the crux</w:t>
      </w:r>
    </w:p>
    <w:p>
      <w:pPr>
        <w:spacing w:after="120" w:line="264" w:lineRule="auto"/>
      </w:pPr>
      <w:r>
        <w:rPr>
          <w:b w:val="0"/>
          <w:i w:val="0"/>
          <w:sz w:val="21"/>
        </w:rPr>
        <w:t>The crux is a pair. First, the discount: gross NAV ~EGP 32.2 vs spot 26.83 is a ~17% charge for the wrapper - each percentage point of discount is worth ~EGP 0.32/share, so the observed 15-25% band alone spans EGP 3.2 of value. Collapse it with monetizations (a further Valu sell-down, a Bank NXT transaction) and the same marks are worth EGP 29-32; let head-office drag or governance doubts widen it to 30% and they are worth 22.5.</w:t>
      </w:r>
    </w:p>
    <w:p>
      <w:pPr>
        <w:spacing w:after="120" w:line="264" w:lineRule="auto"/>
      </w:pPr>
      <w:r>
        <w:rPr>
          <w:b w:val="0"/>
          <w:i w:val="0"/>
          <w:sz w:val="21"/>
        </w:rPr>
        <w:t>Second, the rate cycle cuts across the verticals in opposite directions: CBE easing lifts brokerage turnover, IB pipelines, AUM and NBFI credit growth, but compresses Bank NXT's margin and treasury yields. The diversified mix deliberately flattens that beta - roughly +EGP 1/share per 200 bp of easing, net - which is why the honest macro answer lands near spot.</w:t>
      </w:r>
    </w:p>
    <w:p>
      <w:pPr>
        <w:spacing w:after="120" w:line="264" w:lineRule="auto"/>
      </w:pPr>
      <w:r>
        <w:rPr>
          <w:b w:val="0"/>
          <w:i w:val="0"/>
          <w:sz w:val="21"/>
        </w:rPr>
        <w:t>The two files interact: monetizations historically happen into strong tapes, so the discount's best friend and the macro bull case are the same window - a correlation the probability map's right tail quietly carries.</w:t>
      </w:r>
    </w:p>
    <w:p>
      <w:pPr>
        <w:spacing w:before="160" w:after="120" w:line="264" w:lineRule="auto"/>
      </w:pPr>
      <w:r>
        <w:rPr>
          <w:b/>
          <w:i w:val="0"/>
          <w:color w:val="1C3A36"/>
          <w:sz w:val="24"/>
        </w:rPr>
        <w:t>1.8  Macro and country</w:t>
      </w:r>
    </w:p>
    <w:p>
      <w:pPr>
        <w:spacing w:after="120" w:line="264" w:lineRule="auto"/>
      </w:pPr>
      <w:r>
        <w:rPr>
          <w:b w:val="0"/>
          <w:i w:val="0"/>
          <w:sz w:val="21"/>
        </w:rPr>
        <w:t>Macro: Egypt mid-easing-cycle, with EGX turnover and IPO pipelines (the group itself advised recent listings) the IB's oxygen; the EGP sets the translation of seven-country regional earnings and drove the FY24 one-off layer; inflation still feeds opex (+42% other G&amp;A in FY25).</w:t>
      </w:r>
    </w:p>
    <w:p>
      <w:pPr>
        <w:spacing w:after="120" w:line="264" w:lineRule="auto"/>
      </w:pPr>
      <w:r>
        <w:rPr>
          <w:b w:val="0"/>
          <w:i w:val="0"/>
          <w:sz w:val="21"/>
        </w:rPr>
        <w:t>Regionally, Kuwait and UAE drove brokerage executions - a reminder that a third of the franchise answers to GCC liquidity, not Cairo. Regulatory posture is supportive; the FRA framework and the standing distribution policy (EGP 400 mn FY25) anchor governance.</w:t>
      </w:r>
    </w:p>
    <w:p>
      <w:pPr>
        <w:spacing w:before="160" w:after="120" w:line="264" w:lineRule="auto"/>
      </w:pPr>
      <w:r>
        <w:rPr>
          <w:b/>
          <w:i w:val="0"/>
          <w:color w:val="1C3A36"/>
          <w:sz w:val="24"/>
        </w:rPr>
        <w:t>1.9  Discount x marks sensitivity</w:t>
      </w:r>
    </w:p>
    <w:p>
      <w:pPr>
        <w:spacing w:after="120" w:line="264" w:lineRule="auto"/>
      </w:pPr>
      <w:r>
        <w:rPr>
          <w:b w:val="0"/>
          <w:i w:val="0"/>
          <w:sz w:val="21"/>
        </w:rPr>
        <w:t>Two dials dominate. The holdco discount at 10/20/30% moves the NAV to EGP 28.9/25.7/22.5. The aggregate marks moving +/-10% (the IB multiple, the Valu print, the Bank NXT capitalization) shift it ~+/-EGP 2.6/share. The grid below crosses them; the interaction spans EGP 20.3-31.8 - wider than any single-business study in this series, which is the nature of pricing a bundle.</w:t>
      </w:r>
    </w:p>
    <w:tbl>
      <w:tblPr>
        <w:tblStyle w:val="TableGrid"/>
        <w:tblW w:type="auto" w:w="0"/>
        <w:tblLook w:firstColumn="1" w:firstRow="1" w:lastColumn="0" w:lastRow="0" w:noHBand="0" w:noVBand="1" w:val="04A0"/>
      </w:tblPr>
      <w:tblGrid>
        <w:gridCol w:w="2484"/>
        <w:gridCol w:w="2484"/>
        <w:gridCol w:w="2484"/>
        <w:gridCol w:w="2484"/>
      </w:tblGrid>
      <w:tr>
        <w:tc>
          <w:tcPr>
            <w:tcW w:type="dxa" w:w="2448"/>
            <w:shd w:val="clear" w:fill="1C3A36"/>
          </w:tcPr>
          <w:p>
            <w:pPr>
              <w:spacing w:line="264" w:lineRule="auto"/>
            </w:pPr>
            <w:r>
              <w:rPr>
                <w:b/>
                <w:i w:val="0"/>
                <w:color w:val="FFFFFF"/>
                <w:sz w:val="18"/>
              </w:rPr>
              <w:t>Discount \ marks</w:t>
            </w:r>
          </w:p>
        </w:tc>
        <w:tc>
          <w:tcPr>
            <w:tcW w:type="dxa" w:w="2016"/>
            <w:shd w:val="clear" w:fill="1C3A36"/>
          </w:tcPr>
          <w:p>
            <w:pPr>
              <w:spacing w:line="264" w:lineRule="auto"/>
              <w:jc w:val="right"/>
            </w:pPr>
            <w:r>
              <w:rPr>
                <w:b/>
                <w:i w:val="0"/>
                <w:color w:val="FFFFFF"/>
                <w:sz w:val="18"/>
              </w:rPr>
              <w:t>-10%</w:t>
            </w:r>
          </w:p>
        </w:tc>
        <w:tc>
          <w:tcPr>
            <w:tcW w:type="dxa" w:w="2016"/>
            <w:shd w:val="clear" w:fill="1C3A36"/>
          </w:tcPr>
          <w:p>
            <w:pPr>
              <w:spacing w:line="264" w:lineRule="auto"/>
              <w:jc w:val="right"/>
            </w:pPr>
            <w:r>
              <w:rPr>
                <w:b/>
                <w:i w:val="0"/>
                <w:color w:val="FFFFFF"/>
                <w:sz w:val="18"/>
              </w:rPr>
              <w:t>base</w:t>
            </w:r>
          </w:p>
        </w:tc>
        <w:tc>
          <w:tcPr>
            <w:tcW w:type="dxa" w:w="2016"/>
            <w:shd w:val="clear" w:fill="1C3A36"/>
          </w:tcPr>
          <w:p>
            <w:pPr>
              <w:spacing w:line="264" w:lineRule="auto"/>
              <w:jc w:val="right"/>
            </w:pPr>
            <w:r>
              <w:rPr>
                <w:b/>
                <w:i w:val="0"/>
                <w:color w:val="FFFFFF"/>
                <w:sz w:val="18"/>
              </w:rPr>
              <w:t>+10%</w:t>
            </w:r>
          </w:p>
        </w:tc>
      </w:tr>
      <w:tr>
        <w:tc>
          <w:tcPr>
            <w:tcW w:type="dxa" w:w="2448"/>
          </w:tcPr>
          <w:p>
            <w:pPr>
              <w:spacing w:line="264" w:lineRule="auto"/>
            </w:pPr>
            <w:r>
              <w:rPr>
                <w:b w:val="0"/>
                <w:i w:val="0"/>
                <w:color w:val="1C3A36"/>
                <w:sz w:val="18"/>
              </w:rPr>
              <w:t>10%</w:t>
            </w:r>
          </w:p>
        </w:tc>
        <w:tc>
          <w:tcPr>
            <w:tcW w:type="dxa" w:w="2016"/>
          </w:tcPr>
          <w:p>
            <w:pPr>
              <w:spacing w:line="264" w:lineRule="auto"/>
              <w:jc w:val="right"/>
            </w:pPr>
            <w:r>
              <w:rPr>
                <w:b w:val="0"/>
                <w:i w:val="0"/>
                <w:sz w:val="18"/>
              </w:rPr>
              <w:t>26.1</w:t>
            </w:r>
          </w:p>
        </w:tc>
        <w:tc>
          <w:tcPr>
            <w:tcW w:type="dxa" w:w="2016"/>
          </w:tcPr>
          <w:p>
            <w:pPr>
              <w:spacing w:line="264" w:lineRule="auto"/>
              <w:jc w:val="right"/>
            </w:pPr>
            <w:r>
              <w:rPr>
                <w:b w:val="0"/>
                <w:i w:val="0"/>
                <w:sz w:val="18"/>
              </w:rPr>
              <w:t>28.9</w:t>
            </w:r>
          </w:p>
        </w:tc>
        <w:tc>
          <w:tcPr>
            <w:tcW w:type="dxa" w:w="2016"/>
          </w:tcPr>
          <w:p>
            <w:pPr>
              <w:spacing w:line="264" w:lineRule="auto"/>
              <w:jc w:val="right"/>
            </w:pPr>
            <w:r>
              <w:rPr>
                <w:b w:val="0"/>
                <w:i w:val="0"/>
                <w:sz w:val="18"/>
              </w:rPr>
              <w:t>31.8</w:t>
            </w:r>
          </w:p>
        </w:tc>
      </w:tr>
      <w:tr>
        <w:tc>
          <w:tcPr>
            <w:tcW w:type="dxa" w:w="2448"/>
            <w:shd w:val="clear" w:fill="EFF3F1"/>
          </w:tcPr>
          <w:p>
            <w:pPr>
              <w:spacing w:line="264" w:lineRule="auto"/>
            </w:pPr>
            <w:r>
              <w:rPr>
                <w:b w:val="0"/>
                <w:i w:val="0"/>
                <w:color w:val="1C3A36"/>
                <w:sz w:val="18"/>
              </w:rPr>
              <w:t>20%</w:t>
            </w:r>
          </w:p>
        </w:tc>
        <w:tc>
          <w:tcPr>
            <w:tcW w:type="dxa" w:w="2016"/>
            <w:shd w:val="clear" w:fill="EFF3F1"/>
          </w:tcPr>
          <w:p>
            <w:pPr>
              <w:spacing w:line="264" w:lineRule="auto"/>
              <w:jc w:val="right"/>
            </w:pPr>
            <w:r>
              <w:rPr>
                <w:b w:val="0"/>
                <w:i w:val="0"/>
                <w:sz w:val="18"/>
              </w:rPr>
              <w:t>23.2</w:t>
            </w:r>
          </w:p>
        </w:tc>
        <w:tc>
          <w:tcPr>
            <w:tcW w:type="dxa" w:w="2016"/>
            <w:shd w:val="clear" w:fill="EFF3F1"/>
          </w:tcPr>
          <w:p>
            <w:pPr>
              <w:spacing w:line="264" w:lineRule="auto"/>
              <w:jc w:val="right"/>
            </w:pPr>
            <w:r>
              <w:rPr>
                <w:b w:val="0"/>
                <w:i w:val="0"/>
                <w:sz w:val="18"/>
              </w:rPr>
              <w:t>25.7</w:t>
            </w:r>
          </w:p>
        </w:tc>
        <w:tc>
          <w:tcPr>
            <w:tcW w:type="dxa" w:w="2016"/>
            <w:shd w:val="clear" w:fill="EFF3F1"/>
          </w:tcPr>
          <w:p>
            <w:pPr>
              <w:spacing w:line="264" w:lineRule="auto"/>
              <w:jc w:val="right"/>
            </w:pPr>
            <w:r>
              <w:rPr>
                <w:b w:val="0"/>
                <w:i w:val="0"/>
                <w:sz w:val="18"/>
              </w:rPr>
              <w:t>28.3</w:t>
            </w:r>
          </w:p>
        </w:tc>
      </w:tr>
      <w:tr>
        <w:tc>
          <w:tcPr>
            <w:tcW w:type="dxa" w:w="2448"/>
          </w:tcPr>
          <w:p>
            <w:pPr>
              <w:spacing w:line="264" w:lineRule="auto"/>
            </w:pPr>
            <w:r>
              <w:rPr>
                <w:b w:val="0"/>
                <w:i w:val="0"/>
                <w:color w:val="1C3A36"/>
                <w:sz w:val="18"/>
              </w:rPr>
              <w:t>30%</w:t>
            </w:r>
          </w:p>
        </w:tc>
        <w:tc>
          <w:tcPr>
            <w:tcW w:type="dxa" w:w="2016"/>
          </w:tcPr>
          <w:p>
            <w:pPr>
              <w:spacing w:line="264" w:lineRule="auto"/>
              <w:jc w:val="right"/>
            </w:pPr>
            <w:r>
              <w:rPr>
                <w:b w:val="0"/>
                <w:i w:val="0"/>
                <w:sz w:val="18"/>
              </w:rPr>
              <w:t>20.3</w:t>
            </w:r>
          </w:p>
        </w:tc>
        <w:tc>
          <w:tcPr>
            <w:tcW w:type="dxa" w:w="2016"/>
          </w:tcPr>
          <w:p>
            <w:pPr>
              <w:spacing w:line="264" w:lineRule="auto"/>
              <w:jc w:val="right"/>
            </w:pPr>
            <w:r>
              <w:rPr>
                <w:b w:val="0"/>
                <w:i w:val="0"/>
                <w:sz w:val="18"/>
              </w:rPr>
              <w:t>22.5</w:t>
            </w:r>
          </w:p>
        </w:tc>
        <w:tc>
          <w:tcPr>
            <w:tcW w:type="dxa" w:w="2016"/>
          </w:tcPr>
          <w:p>
            <w:pPr>
              <w:spacing w:line="264" w:lineRule="auto"/>
              <w:jc w:val="right"/>
            </w:pPr>
            <w:r>
              <w:rPr>
                <w:b w:val="0"/>
                <w:i w:val="0"/>
                <w:sz w:val="18"/>
              </w:rPr>
              <w:t>24.8</w:t>
            </w:r>
          </w:p>
        </w:tc>
      </w:tr>
    </w:tbl>
    <w:p>
      <w:pPr>
        <w:spacing w:after="40"/>
      </w:pPr>
    </w:p>
    <w:p>
      <w:pPr>
        <w:spacing w:before="160" w:after="120" w:line="264" w:lineRule="auto"/>
      </w:pPr>
      <w:r>
        <w:rPr>
          <w:b/>
          <w:i w:val="0"/>
          <w:color w:val="1C3A36"/>
          <w:sz w:val="30"/>
        </w:rPr>
        <w:t>2  Technical and price structure</w:t>
      </w:r>
    </w:p>
    <w:p>
      <w:pPr>
        <w:spacing w:after="120" w:line="264" w:lineRule="auto"/>
      </w:pPr>
      <w:r>
        <w:rPr>
          <w:b w:val="0"/>
          <w:i w:val="0"/>
          <w:sz w:val="21"/>
        </w:rPr>
        <w:t>Price EGP 26.83 sits fractionally below all four moving averages - 20-day 26.9, 50-day 27.5, 100-day 27.5, 200-day 27.1 - which have converged into a two-point band: a textbook compression after the 52-week 23.11-30.86 round trip. RSI(14) at ~59 is neutral-firm.</w:t>
      </w:r>
    </w:p>
    <w:p>
      <w:pPr>
        <w:spacing w:after="120" w:line="264" w:lineRule="auto"/>
      </w:pPr>
      <w:r>
        <w:rPr>
          <w:b w:val="0"/>
          <w:i w:val="0"/>
          <w:sz w:val="21"/>
        </w:rPr>
        <w:t>No trend to lean on; the tape is coiled and will follow the next catalyst (AGM distribution mechanism, 2Q26 print, or a monetization headline). Compressions this tight in HRHO's history have resolved with 15-20% moves within a quarter - direction unsignalled, energy stored.</w:t>
      </w:r>
    </w:p>
    <w:tbl>
      <w:tblPr>
        <w:tblStyle w:val="TableGrid"/>
        <w:tblW w:type="auto" w:w="0"/>
        <w:tblLook w:firstColumn="1" w:firstRow="1" w:lastColumn="0" w:lastRow="0" w:noHBand="0" w:noVBand="1" w:val="04A0"/>
      </w:tblPr>
      <w:tblGrid>
        <w:gridCol w:w="4968"/>
        <w:gridCol w:w="4968"/>
      </w:tblGrid>
      <w:tr>
        <w:tc>
          <w:tcPr>
            <w:tcW w:type="dxa" w:w="3744"/>
            <w:shd w:val="clear" w:fill="1C3A36"/>
          </w:tcPr>
          <w:p>
            <w:pPr>
              <w:spacing w:line="264" w:lineRule="auto"/>
            </w:pPr>
            <w:r>
              <w:rPr>
                <w:b/>
                <w:i w:val="0"/>
                <w:color w:val="FFFFFF"/>
                <w:sz w:val="18"/>
              </w:rPr>
              <w:t>Indicator</w:t>
            </w:r>
          </w:p>
        </w:tc>
        <w:tc>
          <w:tcPr>
            <w:tcW w:type="dxa" w:w="6048"/>
            <w:shd w:val="clear" w:fill="1C3A36"/>
          </w:tcPr>
          <w:p>
            <w:pPr>
              <w:spacing w:line="264" w:lineRule="auto"/>
              <w:jc w:val="right"/>
            </w:pPr>
            <w:r>
              <w:rPr>
                <w:b/>
                <w:i w:val="0"/>
                <w:color w:val="FFFFFF"/>
                <w:sz w:val="18"/>
              </w:rPr>
              <w:t>Reading</w:t>
            </w:r>
          </w:p>
        </w:tc>
      </w:tr>
      <w:tr>
        <w:tc>
          <w:tcPr>
            <w:tcW w:type="dxa" w:w="3744"/>
          </w:tcPr>
          <w:p>
            <w:pPr>
              <w:spacing w:line="264" w:lineRule="auto"/>
            </w:pPr>
            <w:r>
              <w:rPr>
                <w:b w:val="0"/>
                <w:i w:val="0"/>
                <w:color w:val="1C3A36"/>
                <w:sz w:val="18"/>
              </w:rPr>
              <w:t>Spot</w:t>
            </w:r>
          </w:p>
        </w:tc>
        <w:tc>
          <w:tcPr>
            <w:tcW w:type="dxa" w:w="6048"/>
          </w:tcPr>
          <w:p>
            <w:pPr>
              <w:spacing w:line="264" w:lineRule="auto"/>
              <w:jc w:val="right"/>
            </w:pPr>
            <w:r>
              <w:rPr>
                <w:b w:val="0"/>
                <w:i w:val="0"/>
                <w:sz w:val="18"/>
              </w:rPr>
              <w:t>EGP 26.83</w:t>
            </w:r>
          </w:p>
        </w:tc>
      </w:tr>
      <w:tr>
        <w:tc>
          <w:tcPr>
            <w:tcW w:type="dxa" w:w="3744"/>
            <w:shd w:val="clear" w:fill="EFF3F1"/>
          </w:tcPr>
          <w:p>
            <w:pPr>
              <w:spacing w:line="264" w:lineRule="auto"/>
            </w:pPr>
            <w:r>
              <w:rPr>
                <w:b w:val="0"/>
                <w:i w:val="0"/>
                <w:color w:val="1C3A36"/>
                <w:sz w:val="18"/>
              </w:rPr>
              <w:t>SMA 20 / 50 / 100 / 200</w:t>
            </w:r>
          </w:p>
        </w:tc>
        <w:tc>
          <w:tcPr>
            <w:tcW w:type="dxa" w:w="6048"/>
            <w:shd w:val="clear" w:fill="EFF3F1"/>
          </w:tcPr>
          <w:p>
            <w:pPr>
              <w:spacing w:line="264" w:lineRule="auto"/>
              <w:jc w:val="right"/>
            </w:pPr>
            <w:r>
              <w:rPr>
                <w:b w:val="0"/>
                <w:i w:val="0"/>
                <w:sz w:val="18"/>
              </w:rPr>
              <w:t>26.9 / 27.5 / 27.5 / 27.1</w:t>
            </w:r>
          </w:p>
        </w:tc>
      </w:tr>
      <w:tr>
        <w:tc>
          <w:tcPr>
            <w:tcW w:type="dxa" w:w="3744"/>
          </w:tcPr>
          <w:p>
            <w:pPr>
              <w:spacing w:line="264" w:lineRule="auto"/>
            </w:pPr>
            <w:r>
              <w:rPr>
                <w:b w:val="0"/>
                <w:i w:val="0"/>
                <w:color w:val="1C3A36"/>
                <w:sz w:val="18"/>
              </w:rPr>
              <w:t>RSI(14)</w:t>
            </w:r>
          </w:p>
        </w:tc>
        <w:tc>
          <w:tcPr>
            <w:tcW w:type="dxa" w:w="6048"/>
          </w:tcPr>
          <w:p>
            <w:pPr>
              <w:spacing w:line="264" w:lineRule="auto"/>
              <w:jc w:val="right"/>
            </w:pPr>
            <w:r>
              <w:rPr>
                <w:b w:val="0"/>
                <w:i w:val="0"/>
                <w:sz w:val="18"/>
              </w:rPr>
              <w:t>~59 (neutral-firm)</w:t>
            </w:r>
          </w:p>
        </w:tc>
      </w:tr>
      <w:tr>
        <w:tc>
          <w:tcPr>
            <w:tcW w:type="dxa" w:w="3744"/>
            <w:shd w:val="clear" w:fill="EFF3F1"/>
          </w:tcPr>
          <w:p>
            <w:pPr>
              <w:spacing w:line="264" w:lineRule="auto"/>
            </w:pPr>
            <w:r>
              <w:rPr>
                <w:b w:val="0"/>
                <w:i w:val="0"/>
                <w:color w:val="1C3A36"/>
                <w:sz w:val="18"/>
              </w:rPr>
              <w:t>52-week range</w:t>
            </w:r>
          </w:p>
        </w:tc>
        <w:tc>
          <w:tcPr>
            <w:tcW w:type="dxa" w:w="6048"/>
            <w:shd w:val="clear" w:fill="EFF3F1"/>
          </w:tcPr>
          <w:p>
            <w:pPr>
              <w:spacing w:line="264" w:lineRule="auto"/>
              <w:jc w:val="right"/>
            </w:pPr>
            <w:r>
              <w:rPr>
                <w:b w:val="0"/>
                <w:i w:val="0"/>
                <w:sz w:val="18"/>
              </w:rPr>
              <w:t>EGP 23.11 - 30.86</w:t>
            </w:r>
          </w:p>
        </w:tc>
      </w:tr>
      <w:tr>
        <w:tc>
          <w:tcPr>
            <w:tcW w:type="dxa" w:w="3744"/>
          </w:tcPr>
          <w:p>
            <w:pPr>
              <w:spacing w:line="264" w:lineRule="auto"/>
            </w:pPr>
            <w:r>
              <w:rPr>
                <w:b w:val="0"/>
                <w:i w:val="0"/>
                <w:color w:val="1C3A36"/>
                <w:sz w:val="18"/>
              </w:rPr>
              <w:t>Structure</w:t>
            </w:r>
          </w:p>
        </w:tc>
        <w:tc>
          <w:tcPr>
            <w:tcW w:type="dxa" w:w="6048"/>
          </w:tcPr>
          <w:p>
            <w:pPr>
              <w:spacing w:line="264" w:lineRule="auto"/>
              <w:jc w:val="right"/>
            </w:pPr>
            <w:r>
              <w:rPr>
                <w:b w:val="0"/>
                <w:i w:val="0"/>
                <w:sz w:val="18"/>
              </w:rPr>
              <w:t>All four MAs converged; tight coil, no trend</w:t>
            </w:r>
          </w:p>
        </w:tc>
      </w:tr>
    </w:tbl>
    <w:p>
      <w:pPr>
        <w:spacing w:after="40"/>
      </w:pPr>
    </w:p>
    <w:p>
      <w:pPr>
        <w:jc w:val="center"/>
      </w:pPr>
      <w:r>
        <w:drawing>
          <wp:inline xmlns:a="http://schemas.openxmlformats.org/drawingml/2006/main" xmlns:pic="http://schemas.openxmlformats.org/drawingml/2006/picture">
            <wp:extent cx="6035040" cy="2328276"/>
            <wp:docPr id="2" name="Picture 2"/>
            <wp:cNvGraphicFramePr>
              <a:graphicFrameLocks noChangeAspect="1"/>
            </wp:cNvGraphicFramePr>
            <a:graphic>
              <a:graphicData uri="http://schemas.openxmlformats.org/drawingml/2006/picture">
                <pic:pic>
                  <pic:nvPicPr>
                    <pic:cNvPr id="0" name="HRHO_mastack.png"/>
                    <pic:cNvPicPr/>
                  </pic:nvPicPr>
                  <pic:blipFill>
                    <a:blip r:embed="rId10"/>
                    <a:stretch>
                      <a:fillRect/>
                    </a:stretch>
                  </pic:blipFill>
                  <pic:spPr>
                    <a:xfrm>
                      <a:off x="0" y="0"/>
                      <a:ext cx="6035040" cy="2328276"/>
                    </a:xfrm>
                    <a:prstGeom prst="rect"/>
                  </pic:spPr>
                </pic:pic>
              </a:graphicData>
            </a:graphic>
          </wp:inline>
        </w:drawing>
      </w:r>
    </w:p>
    <w:p>
      <w:pPr>
        <w:spacing w:line="264" w:lineRule="auto"/>
        <w:jc w:val="center"/>
      </w:pPr>
      <w:r>
        <w:rPr>
          <w:b w:val="0"/>
          <w:i/>
          <w:color w:val="666666"/>
          <w:sz w:val="16"/>
        </w:rPr>
        <w:t>Price vs moving-average stack (last 260 sessions)</w:t>
      </w:r>
    </w:p>
    <w:p>
      <w:pPr>
        <w:spacing w:before="160" w:after="120" w:line="264" w:lineRule="auto"/>
      </w:pPr>
      <w:r>
        <w:rPr>
          <w:b/>
          <w:i w:val="0"/>
          <w:color w:val="1C3A36"/>
          <w:sz w:val="30"/>
        </w:rPr>
        <w:t>3  Monte Carlo - a probabilistic price map</w:t>
      </w:r>
    </w:p>
    <w:p>
      <w:pPr>
        <w:spacing w:after="120" w:line="264" w:lineRule="auto"/>
      </w:pPr>
      <w:r>
        <w:rPr>
          <w:b w:val="0"/>
          <w:i w:val="0"/>
          <w:sz w:val="21"/>
        </w:rPr>
        <w:t>Paths diffuse from spot; the §1 value gap is kept out of the drift, so the three lenses stay independent. 16-factor model - 7 continuous + 9 discrete - 50,000 paths, seed 42.</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2304"/>
            <w:shd w:val="clear" w:fill="1C3A36"/>
          </w:tcPr>
          <w:p>
            <w:pPr>
              <w:spacing w:line="264" w:lineRule="auto"/>
            </w:pPr>
            <w:r>
              <w:rPr>
                <w:b/>
                <w:i w:val="0"/>
                <w:color w:val="FFFFFF"/>
                <w:sz w:val="18"/>
              </w:rPr>
              <w:t>Horizon</w:t>
            </w:r>
          </w:p>
        </w:tc>
        <w:tc>
          <w:tcPr>
            <w:tcW w:type="dxa" w:w="1440"/>
            <w:shd w:val="clear" w:fill="1C3A36"/>
          </w:tcPr>
          <w:p>
            <w:pPr>
              <w:spacing w:line="264" w:lineRule="auto"/>
              <w:jc w:val="right"/>
            </w:pPr>
            <w:r>
              <w:rPr>
                <w:b/>
                <w:i w:val="0"/>
                <w:color w:val="FFFFFF"/>
                <w:sz w:val="18"/>
              </w:rPr>
              <w:t>P5</w:t>
            </w:r>
          </w:p>
        </w:tc>
        <w:tc>
          <w:tcPr>
            <w:tcW w:type="dxa" w:w="1440"/>
            <w:shd w:val="clear" w:fill="1C3A36"/>
          </w:tcPr>
          <w:p>
            <w:pPr>
              <w:spacing w:line="264" w:lineRule="auto"/>
              <w:jc w:val="right"/>
            </w:pPr>
            <w:r>
              <w:rPr>
                <w:b/>
                <w:i w:val="0"/>
                <w:color w:val="FFFFFF"/>
                <w:sz w:val="18"/>
              </w:rPr>
              <w:t>P25</w:t>
            </w:r>
          </w:p>
        </w:tc>
        <w:tc>
          <w:tcPr>
            <w:tcW w:type="dxa" w:w="1440"/>
            <w:shd w:val="clear" w:fill="1C3A36"/>
          </w:tcPr>
          <w:p>
            <w:pPr>
              <w:spacing w:line="264" w:lineRule="auto"/>
              <w:jc w:val="right"/>
            </w:pPr>
            <w:r>
              <w:rPr>
                <w:b/>
                <w:i w:val="0"/>
                <w:color w:val="FFFFFF"/>
                <w:sz w:val="18"/>
              </w:rPr>
              <w:t>P50</w:t>
            </w:r>
          </w:p>
        </w:tc>
        <w:tc>
          <w:tcPr>
            <w:tcW w:type="dxa" w:w="1440"/>
            <w:shd w:val="clear" w:fill="1C3A36"/>
          </w:tcPr>
          <w:p>
            <w:pPr>
              <w:spacing w:line="264" w:lineRule="auto"/>
              <w:jc w:val="right"/>
            </w:pPr>
            <w:r>
              <w:rPr>
                <w:b/>
                <w:i w:val="0"/>
                <w:color w:val="FFFFFF"/>
                <w:sz w:val="18"/>
              </w:rPr>
              <w:t>P75</w:t>
            </w:r>
          </w:p>
        </w:tc>
        <w:tc>
          <w:tcPr>
            <w:tcW w:type="dxa" w:w="1440"/>
            <w:shd w:val="clear" w:fill="1C3A36"/>
          </w:tcPr>
          <w:p>
            <w:pPr>
              <w:spacing w:line="264" w:lineRule="auto"/>
              <w:jc w:val="right"/>
            </w:pPr>
            <w:r>
              <w:rPr>
                <w:b/>
                <w:i w:val="0"/>
                <w:color w:val="FFFFFF"/>
                <w:sz w:val="18"/>
              </w:rPr>
              <w:t>P95</w:t>
            </w:r>
          </w:p>
        </w:tc>
      </w:tr>
      <w:tr>
        <w:tc>
          <w:tcPr>
            <w:tcW w:type="dxa" w:w="2304"/>
          </w:tcPr>
          <w:p>
            <w:pPr>
              <w:spacing w:line="264" w:lineRule="auto"/>
            </w:pPr>
            <w:r>
              <w:rPr>
                <w:b w:val="0"/>
                <w:i w:val="0"/>
                <w:color w:val="1C3A36"/>
                <w:sz w:val="18"/>
              </w:rPr>
              <w:t>T+20</w:t>
            </w:r>
          </w:p>
        </w:tc>
        <w:tc>
          <w:tcPr>
            <w:tcW w:type="dxa" w:w="1440"/>
          </w:tcPr>
          <w:p>
            <w:pPr>
              <w:spacing w:line="264" w:lineRule="auto"/>
              <w:jc w:val="right"/>
            </w:pPr>
            <w:r>
              <w:rPr>
                <w:b w:val="0"/>
                <w:i w:val="0"/>
                <w:sz w:val="18"/>
              </w:rPr>
              <w:t>21</w:t>
            </w:r>
          </w:p>
        </w:tc>
        <w:tc>
          <w:tcPr>
            <w:tcW w:type="dxa" w:w="1440"/>
          </w:tcPr>
          <w:p>
            <w:pPr>
              <w:spacing w:line="264" w:lineRule="auto"/>
              <w:jc w:val="right"/>
            </w:pPr>
            <w:r>
              <w:rPr>
                <w:b w:val="0"/>
                <w:i w:val="0"/>
                <w:sz w:val="18"/>
              </w:rPr>
              <w:t>24</w:t>
            </w:r>
          </w:p>
        </w:tc>
        <w:tc>
          <w:tcPr>
            <w:tcW w:type="dxa" w:w="1440"/>
          </w:tcPr>
          <w:p>
            <w:pPr>
              <w:spacing w:line="264" w:lineRule="auto"/>
              <w:jc w:val="right"/>
            </w:pPr>
            <w:r>
              <w:rPr>
                <w:b w:val="0"/>
                <w:i w:val="0"/>
                <w:sz w:val="18"/>
              </w:rPr>
              <w:t>27</w:t>
            </w:r>
          </w:p>
        </w:tc>
        <w:tc>
          <w:tcPr>
            <w:tcW w:type="dxa" w:w="1440"/>
          </w:tcPr>
          <w:p>
            <w:pPr>
              <w:spacing w:line="264" w:lineRule="auto"/>
              <w:jc w:val="right"/>
            </w:pPr>
            <w:r>
              <w:rPr>
                <w:b w:val="0"/>
                <w:i w:val="0"/>
                <w:sz w:val="18"/>
              </w:rPr>
              <w:t>29</w:t>
            </w:r>
          </w:p>
        </w:tc>
        <w:tc>
          <w:tcPr>
            <w:tcW w:type="dxa" w:w="1440"/>
          </w:tcPr>
          <w:p>
            <w:pPr>
              <w:spacing w:line="264" w:lineRule="auto"/>
              <w:jc w:val="right"/>
            </w:pPr>
            <w:r>
              <w:rPr>
                <w:b w:val="0"/>
                <w:i w:val="0"/>
                <w:sz w:val="18"/>
              </w:rPr>
              <w:t>33</w:t>
            </w:r>
          </w:p>
        </w:tc>
      </w:tr>
      <w:tr>
        <w:tc>
          <w:tcPr>
            <w:tcW w:type="dxa" w:w="2304"/>
            <w:shd w:val="clear" w:fill="EFF3F1"/>
          </w:tcPr>
          <w:p>
            <w:pPr>
              <w:spacing w:line="264" w:lineRule="auto"/>
            </w:pPr>
            <w:r>
              <w:rPr>
                <w:b w:val="0"/>
                <w:i w:val="0"/>
                <w:color w:val="1C3A36"/>
                <w:sz w:val="18"/>
              </w:rPr>
              <w:t>T+60</w:t>
            </w:r>
          </w:p>
        </w:tc>
        <w:tc>
          <w:tcPr>
            <w:tcW w:type="dxa" w:w="1440"/>
            <w:shd w:val="clear" w:fill="EFF3F1"/>
          </w:tcPr>
          <w:p>
            <w:pPr>
              <w:spacing w:line="264" w:lineRule="auto"/>
              <w:jc w:val="right"/>
            </w:pPr>
            <w:r>
              <w:rPr>
                <w:b w:val="0"/>
                <w:i w:val="0"/>
                <w:sz w:val="18"/>
              </w:rPr>
              <w:t>18</w:t>
            </w:r>
          </w:p>
        </w:tc>
        <w:tc>
          <w:tcPr>
            <w:tcW w:type="dxa" w:w="1440"/>
            <w:shd w:val="clear" w:fill="EFF3F1"/>
          </w:tcPr>
          <w:p>
            <w:pPr>
              <w:spacing w:line="264" w:lineRule="auto"/>
              <w:jc w:val="right"/>
            </w:pPr>
            <w:r>
              <w:rPr>
                <w:b w:val="0"/>
                <w:i w:val="0"/>
                <w:sz w:val="18"/>
              </w:rPr>
              <w:t>22</w:t>
            </w:r>
          </w:p>
        </w:tc>
        <w:tc>
          <w:tcPr>
            <w:tcW w:type="dxa" w:w="1440"/>
            <w:shd w:val="clear" w:fill="EFF3F1"/>
          </w:tcPr>
          <w:p>
            <w:pPr>
              <w:spacing w:line="264" w:lineRule="auto"/>
              <w:jc w:val="right"/>
            </w:pPr>
            <w:r>
              <w:rPr>
                <w:b w:val="0"/>
                <w:i w:val="0"/>
                <w:sz w:val="18"/>
              </w:rPr>
              <w:t>26</w:t>
            </w:r>
          </w:p>
        </w:tc>
        <w:tc>
          <w:tcPr>
            <w:tcW w:type="dxa" w:w="1440"/>
            <w:shd w:val="clear" w:fill="EFF3F1"/>
          </w:tcPr>
          <w:p>
            <w:pPr>
              <w:spacing w:line="264" w:lineRule="auto"/>
              <w:jc w:val="right"/>
            </w:pPr>
            <w:r>
              <w:rPr>
                <w:b w:val="0"/>
                <w:i w:val="0"/>
                <w:sz w:val="18"/>
              </w:rPr>
              <w:t>30</w:t>
            </w:r>
          </w:p>
        </w:tc>
        <w:tc>
          <w:tcPr>
            <w:tcW w:type="dxa" w:w="1440"/>
            <w:shd w:val="clear" w:fill="EFF3F1"/>
          </w:tcPr>
          <w:p>
            <w:pPr>
              <w:spacing w:line="264" w:lineRule="auto"/>
              <w:jc w:val="right"/>
            </w:pPr>
            <w:r>
              <w:rPr>
                <w:b w:val="0"/>
                <w:i w:val="0"/>
                <w:sz w:val="18"/>
              </w:rPr>
              <w:t>38</w:t>
            </w:r>
          </w:p>
        </w:tc>
      </w:tr>
    </w:tbl>
    <w:p>
      <w:pPr>
        <w:spacing w:after="40"/>
      </w:pPr>
    </w:p>
    <w:p>
      <w:pPr>
        <w:jc w:val="center"/>
      </w:pPr>
      <w:r>
        <w:drawing>
          <wp:inline xmlns:a="http://schemas.openxmlformats.org/drawingml/2006/main" xmlns:pic="http://schemas.openxmlformats.org/drawingml/2006/picture">
            <wp:extent cx="5943600" cy="2809053"/>
            <wp:docPr id="3" name="Picture 3"/>
            <wp:cNvGraphicFramePr>
              <a:graphicFrameLocks noChangeAspect="1"/>
            </wp:cNvGraphicFramePr>
            <a:graphic>
              <a:graphicData uri="http://schemas.openxmlformats.org/drawingml/2006/picture">
                <pic:pic>
                  <pic:nvPicPr>
                    <pic:cNvPr id="0" name="HRHO_fan.png"/>
                    <pic:cNvPicPr/>
                  </pic:nvPicPr>
                  <pic:blipFill>
                    <a:blip r:embed="rId11"/>
                    <a:stretch>
                      <a:fillRect/>
                    </a:stretch>
                  </pic:blipFill>
                  <pic:spPr>
                    <a:xfrm>
                      <a:off x="0" y="0"/>
                      <a:ext cx="5943600" cy="2809053"/>
                    </a:xfrm>
                    <a:prstGeom prst="rect"/>
                  </pic:spPr>
                </pic:pic>
              </a:graphicData>
            </a:graphic>
          </wp:inline>
        </w:drawing>
      </w:r>
    </w:p>
    <w:p>
      <w:pPr>
        <w:spacing w:line="264" w:lineRule="auto"/>
        <w:jc w:val="center"/>
      </w:pPr>
      <w:r>
        <w:rPr>
          <w:b w:val="0"/>
          <w:i/>
          <w:color w:val="666666"/>
          <w:sz w:val="16"/>
        </w:rPr>
        <w:t>Forward price cone (3 months)</w:t>
      </w:r>
    </w:p>
    <w:p>
      <w:pPr>
        <w:jc w:val="center"/>
      </w:pPr>
      <w:r>
        <w:drawing>
          <wp:inline xmlns:a="http://schemas.openxmlformats.org/drawingml/2006/main" xmlns:pic="http://schemas.openxmlformats.org/drawingml/2006/picture">
            <wp:extent cx="4937760" cy="2824565"/>
            <wp:docPr id="4" name="Picture 4"/>
            <wp:cNvGraphicFramePr>
              <a:graphicFrameLocks noChangeAspect="1"/>
            </wp:cNvGraphicFramePr>
            <a:graphic>
              <a:graphicData uri="http://schemas.openxmlformats.org/drawingml/2006/picture">
                <pic:pic>
                  <pic:nvPicPr>
                    <pic:cNvPr id="0" name="HRHO_dist20.png"/>
                    <pic:cNvPicPr/>
                  </pic:nvPicPr>
                  <pic:blipFill>
                    <a:blip r:embed="rId12"/>
                    <a:stretch>
                      <a:fillRect/>
                    </a:stretch>
                  </pic:blipFill>
                  <pic:spPr>
                    <a:xfrm>
                      <a:off x="0" y="0"/>
                      <a:ext cx="4937760" cy="2824565"/>
                    </a:xfrm>
                    <a:prstGeom prst="rect"/>
                  </pic:spPr>
                </pic:pic>
              </a:graphicData>
            </a:graphic>
          </wp:inline>
        </w:drawing>
      </w:r>
    </w:p>
    <w:p>
      <w:pPr>
        <w:spacing w:line="264" w:lineRule="auto"/>
        <w:jc w:val="center"/>
      </w:pPr>
      <w:r>
        <w:rPr>
          <w:b w:val="0"/>
          <w:i/>
          <w:color w:val="666666"/>
          <w:sz w:val="16"/>
        </w:rPr>
        <w:t>Price distribution at T+20</w:t>
      </w:r>
    </w:p>
    <w:p>
      <w:pPr>
        <w:jc w:val="center"/>
      </w:pPr>
      <w:r>
        <w:drawing>
          <wp:inline xmlns:a="http://schemas.openxmlformats.org/drawingml/2006/main" xmlns:pic="http://schemas.openxmlformats.org/drawingml/2006/picture">
            <wp:extent cx="4937760" cy="2824565"/>
            <wp:docPr id="5" name="Picture 5"/>
            <wp:cNvGraphicFramePr>
              <a:graphicFrameLocks noChangeAspect="1"/>
            </wp:cNvGraphicFramePr>
            <a:graphic>
              <a:graphicData uri="http://schemas.openxmlformats.org/drawingml/2006/picture">
                <pic:pic>
                  <pic:nvPicPr>
                    <pic:cNvPr id="0" name="HRHO_dist60.png"/>
                    <pic:cNvPicPr/>
                  </pic:nvPicPr>
                  <pic:blipFill>
                    <a:blip r:embed="rId13"/>
                    <a:stretch>
                      <a:fillRect/>
                    </a:stretch>
                  </pic:blipFill>
                  <pic:spPr>
                    <a:xfrm>
                      <a:off x="0" y="0"/>
                      <a:ext cx="4937760" cy="2824565"/>
                    </a:xfrm>
                    <a:prstGeom prst="rect"/>
                  </pic:spPr>
                </pic:pic>
              </a:graphicData>
            </a:graphic>
          </wp:inline>
        </w:drawing>
      </w:r>
    </w:p>
    <w:p>
      <w:pPr>
        <w:spacing w:line="264" w:lineRule="auto"/>
        <w:jc w:val="center"/>
      </w:pPr>
      <w:r>
        <w:rPr>
          <w:b w:val="0"/>
          <w:i/>
          <w:color w:val="666666"/>
          <w:sz w:val="16"/>
        </w:rPr>
        <w:t>Price distribution at T+60</w:t>
      </w:r>
    </w:p>
    <w:p>
      <w:pPr>
        <w:jc w:val="center"/>
      </w:pPr>
      <w:r>
        <w:drawing>
          <wp:inline xmlns:a="http://schemas.openxmlformats.org/drawingml/2006/main" xmlns:pic="http://schemas.openxmlformats.org/drawingml/2006/picture">
            <wp:extent cx="5669280" cy="3128257"/>
            <wp:docPr id="6" name="Picture 6"/>
            <wp:cNvGraphicFramePr>
              <a:graphicFrameLocks noChangeAspect="1"/>
            </wp:cNvGraphicFramePr>
            <a:graphic>
              <a:graphicData uri="http://schemas.openxmlformats.org/drawingml/2006/picture">
                <pic:pic>
                  <pic:nvPicPr>
                    <pic:cNvPr id="0" name="HRHO_touch.png"/>
                    <pic:cNvPicPr/>
                  </pic:nvPicPr>
                  <pic:blipFill>
                    <a:blip r:embed="rId14"/>
                    <a:stretch>
                      <a:fillRect/>
                    </a:stretch>
                  </pic:blipFill>
                  <pic:spPr>
                    <a:xfrm>
                      <a:off x="0" y="0"/>
                      <a:ext cx="5669280" cy="3128257"/>
                    </a:xfrm>
                    <a:prstGeom prst="rect"/>
                  </pic:spPr>
                </pic:pic>
              </a:graphicData>
            </a:graphic>
          </wp:inline>
        </w:drawing>
      </w:r>
    </w:p>
    <w:p>
      <w:pPr>
        <w:spacing w:line="264" w:lineRule="auto"/>
        <w:jc w:val="center"/>
      </w:pPr>
      <w:r>
        <w:rPr>
          <w:b w:val="0"/>
          <w:i/>
          <w:color w:val="666666"/>
          <w:sz w:val="16"/>
        </w:rPr>
        <w:t>Touch-probability ladder by T+60</w:t>
      </w:r>
    </w:p>
    <w:p>
      <w:pPr>
        <w:jc w:val="center"/>
      </w:pPr>
      <w:r>
        <w:drawing>
          <wp:inline xmlns:a="http://schemas.openxmlformats.org/drawingml/2006/main" xmlns:pic="http://schemas.openxmlformats.org/drawingml/2006/picture">
            <wp:extent cx="5669280" cy="3128257"/>
            <wp:docPr id="7" name="Picture 7"/>
            <wp:cNvGraphicFramePr>
              <a:graphicFrameLocks noChangeAspect="1"/>
            </wp:cNvGraphicFramePr>
            <a:graphic>
              <a:graphicData uri="http://schemas.openxmlformats.org/drawingml/2006/picture">
                <pic:pic>
                  <pic:nvPicPr>
                    <pic:cNvPr id="0" name="HRHO_touch20.png"/>
                    <pic:cNvPicPr/>
                  </pic:nvPicPr>
                  <pic:blipFill>
                    <a:blip r:embed="rId15"/>
                    <a:stretch>
                      <a:fillRect/>
                    </a:stretch>
                  </pic:blipFill>
                  <pic:spPr>
                    <a:xfrm>
                      <a:off x="0" y="0"/>
                      <a:ext cx="5669280" cy="3128257"/>
                    </a:xfrm>
                    <a:prstGeom prst="rect"/>
                  </pic:spPr>
                </pic:pic>
              </a:graphicData>
            </a:graphic>
          </wp:inline>
        </w:drawing>
      </w:r>
    </w:p>
    <w:p>
      <w:pPr>
        <w:spacing w:line="264" w:lineRule="auto"/>
        <w:jc w:val="center"/>
      </w:pPr>
      <w:r>
        <w:rPr>
          <w:b w:val="0"/>
          <w:i/>
          <w:color w:val="666666"/>
          <w:sz w:val="16"/>
        </w:rPr>
        <w:t>Touch-probability ladder by T+20</w:t>
      </w:r>
    </w:p>
    <w:p>
      <w:pPr>
        <w:spacing w:after="120" w:line="264" w:lineRule="auto"/>
      </w:pPr>
      <w:r>
        <w:rPr>
          <w:b w:val="0"/>
          <w:i w:val="0"/>
          <w:sz w:val="21"/>
        </w:rPr>
        <w:t>The distribution is near-symmetric around spot (median 26.1) with a modest upside tail - P95 EGP 37.7 vs P5 17.9 - from the holdco event factors (subsidiary listing/monetization, risk-appetite flows).</w:t>
      </w:r>
    </w:p>
    <w:p>
      <w:pPr>
        <w:spacing w:after="120" w:line="264" w:lineRule="auto"/>
      </w:pPr>
      <w:r>
        <w:rPr>
          <w:b w:val="0"/>
          <w:i w:val="0"/>
          <w:sz w:val="21"/>
        </w:rPr>
        <w:t>Touch probabilities by T+60: EGP 26 ~72%, EGP 28 ~76%, EGP 30 ~64%, EGP 32 ~35%; downside, EGP 24 ~60% and EGP 22 ~29%. By T+20 the same ladder runs ~50/62/43/13% up and ~33/6% down - the coil in the tape shows up as a one-month map hugging spot.</w:t>
      </w:r>
    </w:p>
    <w:p>
      <w:pPr>
        <w:spacing w:before="160" w:after="120" w:line="264" w:lineRule="auto"/>
      </w:pPr>
      <w:r>
        <w:rPr>
          <w:b/>
          <w:i w:val="0"/>
          <w:color w:val="1C3A36"/>
          <w:sz w:val="30"/>
        </w:rPr>
        <w:t>4  Comparison of the lenses, and a verdict</w:t>
      </w:r>
    </w:p>
    <w:p>
      <w:pPr>
        <w:spacing w:after="120" w:line="264" w:lineRule="auto"/>
      </w:pPr>
      <w:r>
        <w:rPr>
          <w:b w:val="0"/>
          <w:i w:val="0"/>
          <w:sz w:val="21"/>
        </w:rPr>
        <w:t>The lenses straddle the price rather than sit on one side of it: the discounted SOTP and normalized core bracket spot from below (25.7, 24.8), the multiple and un-haircut earnings lenses from above (29.9, 33.6), and the weighted centre lands at 27.7 - within 3%.</w:t>
      </w:r>
    </w:p>
    <w:p>
      <w:pPr>
        <w:spacing w:after="120" w:line="264" w:lineRule="auto"/>
      </w:pPr>
      <w:r>
        <w:rPr>
          <w:b w:val="0"/>
          <w:i w:val="0"/>
          <w:sz w:val="21"/>
        </w:rPr>
        <w:t>Verdict: fairly valued. The stock is not an argument about direction but about composition - how much of the 4.1 bn recurs, and what discount the wrapper deserves - and both arguments are currently priced near their middles. The asymmetry, such as it is, lives in the event calendar: monetizations and the AGM mechanism can only shrink the discount from here faster than drift can widen it.</w:t>
      </w:r>
    </w:p>
    <w:p>
      <w:pPr>
        <w:spacing w:before="160" w:after="120" w:line="264" w:lineRule="auto"/>
      </w:pPr>
      <w:r>
        <w:rPr>
          <w:b/>
          <w:i w:val="0"/>
          <w:color w:val="1C3A36"/>
          <w:sz w:val="30"/>
        </w:rPr>
        <w:t>5  Catalysts to watch</w:t>
      </w:r>
    </w:p>
    <w:p>
      <w:pPr>
        <w:pStyle w:val="ListBullet"/>
        <w:spacing w:line="264" w:lineRule="auto"/>
      </w:pPr>
      <w:r>
        <w:rPr>
          <w:b w:val="0"/>
          <w:i w:val="0"/>
          <w:sz w:val="21"/>
        </w:rPr>
        <w:t>The 2026 AGM distribution decision - cash dividend vs buyback for the EGP 400 mn, and any upsizing.</w:t>
      </w:r>
    </w:p>
    <w:p>
      <w:pPr>
        <w:pStyle w:val="ListBullet"/>
        <w:spacing w:line="264" w:lineRule="auto"/>
      </w:pPr>
      <w:r>
        <w:rPr>
          <w:b w:val="0"/>
          <w:i w:val="0"/>
          <w:sz w:val="21"/>
        </w:rPr>
        <w:t>Quarterly cadence - the 2Q26 print (Aug 2026): does the IB's recurring core hold above EGP 400 mn NPAT without one-offs?</w:t>
      </w:r>
    </w:p>
    <w:p>
      <w:pPr>
        <w:pStyle w:val="ListBullet"/>
        <w:spacing w:line="264" w:lineRule="auto"/>
      </w:pPr>
      <w:r>
        <w:rPr>
          <w:b w:val="0"/>
          <w:i w:val="0"/>
          <w:sz w:val="21"/>
        </w:rPr>
        <w:t>CBE rate path - easing lifts brokerage/IB/NBFI but squeezes Bank NXT's margin; the net is the macro read.</w:t>
      </w:r>
    </w:p>
    <w:p>
      <w:pPr>
        <w:pStyle w:val="ListBullet"/>
        <w:spacing w:line="264" w:lineRule="auto"/>
      </w:pPr>
      <w:r>
        <w:rPr>
          <w:b w:val="0"/>
          <w:i w:val="0"/>
          <w:sz w:val="21"/>
        </w:rPr>
        <w:t>The Valu share price - a live, daily mark on the largest NBFI asset - and any further sell-down.</w:t>
      </w:r>
    </w:p>
    <w:p>
      <w:pPr>
        <w:pStyle w:val="ListBullet"/>
        <w:spacing w:line="264" w:lineRule="auto"/>
      </w:pPr>
      <w:r>
        <w:rPr>
          <w:b w:val="0"/>
          <w:i w:val="0"/>
          <w:sz w:val="21"/>
        </w:rPr>
        <w:t>Monetization headlines: a Bank NXT stake transaction or new vertical listing would reprice the holdco discount directly.</w:t>
      </w:r>
    </w:p>
    <w:p>
      <w:pPr>
        <w:pStyle w:val="ListBullet"/>
        <w:spacing w:line="264" w:lineRule="auto"/>
      </w:pPr>
      <w:r>
        <w:rPr>
          <w:b w:val="0"/>
          <w:i w:val="0"/>
          <w:sz w:val="21"/>
        </w:rPr>
        <w:t>EGX turnover and the IPO pipeline, the Investment Bank's revenue oxygen.</w:t>
      </w:r>
    </w:p>
    <w:p>
      <w:pPr>
        <w:spacing w:before="160" w:after="120" w:line="264" w:lineRule="auto"/>
      </w:pPr>
      <w:r>
        <w:rPr>
          <w:b/>
          <w:i w:val="0"/>
          <w:color w:val="1C3A36"/>
          <w:sz w:val="30"/>
        </w:rPr>
        <w:t>6  Reading the probability zones</w:t>
      </w:r>
    </w:p>
    <w:p>
      <w:pPr>
        <w:spacing w:after="120" w:line="264" w:lineRule="auto"/>
      </w:pPr>
      <w:r>
        <w:rPr>
          <w:b w:val="0"/>
          <w:i w:val="0"/>
          <w:sz w:val="21"/>
        </w:rPr>
        <w:t>Below ~EGP 22.4 (P25) the stock trades at a &gt;30% discount to gross NAV - cheap on every lens including the strictest quality-of-earnings read. EGP 24-29 is the fair band where all five lenses interleave; spot sits in its middle. EGP 30-32 prices the discount toward 10% and needs a monetization or an EGX bull tape. Above ~EGP 32.2 the market pays a premium to gross NAV - historically the sell-the-wrapper zone; P95 is EGP 37.7.</w:t>
      </w:r>
    </w:p>
    <w:tbl>
      <w:tblPr>
        <w:tblStyle w:val="TableGrid"/>
        <w:tblW w:type="auto" w:w="0"/>
        <w:tblLook w:firstColumn="1" w:firstRow="1" w:lastColumn="0" w:lastRow="0" w:noHBand="0" w:noVBand="1" w:val="04A0"/>
      </w:tblPr>
      <w:tblGrid>
        <w:gridCol w:w="3312"/>
        <w:gridCol w:w="3312"/>
        <w:gridCol w:w="3312"/>
      </w:tblGrid>
      <w:tr>
        <w:tc>
          <w:tcPr>
            <w:tcW w:type="dxa" w:w="2160"/>
            <w:shd w:val="clear" w:fill="1C3A36"/>
          </w:tcPr>
          <w:p>
            <w:pPr>
              <w:spacing w:line="264" w:lineRule="auto"/>
            </w:pPr>
            <w:r>
              <w:rPr>
                <w:b/>
                <w:i w:val="0"/>
                <w:color w:val="FFFFFF"/>
                <w:sz w:val="18"/>
              </w:rPr>
              <w:t>Zone</w:t>
            </w:r>
          </w:p>
        </w:tc>
        <w:tc>
          <w:tcPr>
            <w:tcW w:type="dxa" w:w="2304"/>
            <w:shd w:val="clear" w:fill="1C3A36"/>
          </w:tcPr>
          <w:p>
            <w:pPr>
              <w:spacing w:line="264" w:lineRule="auto"/>
              <w:jc w:val="right"/>
            </w:pPr>
            <w:r>
              <w:rPr>
                <w:b/>
                <w:i w:val="0"/>
                <w:color w:val="FFFFFF"/>
                <w:sz w:val="18"/>
              </w:rPr>
              <w:t>Range (EGP)</w:t>
            </w:r>
          </w:p>
        </w:tc>
        <w:tc>
          <w:tcPr>
            <w:tcW w:type="dxa" w:w="5616"/>
            <w:shd w:val="clear" w:fill="1C3A36"/>
          </w:tcPr>
          <w:p>
            <w:pPr>
              <w:spacing w:line="264" w:lineRule="auto"/>
              <w:jc w:val="right"/>
            </w:pPr>
            <w:r>
              <w:rPr>
                <w:b/>
                <w:i w:val="0"/>
                <w:color w:val="FFFFFF"/>
                <w:sz w:val="18"/>
              </w:rPr>
              <w:t>What it means</w:t>
            </w:r>
          </w:p>
        </w:tc>
      </w:tr>
      <w:tr>
        <w:tc>
          <w:tcPr>
            <w:tcW w:type="dxa" w:w="2160"/>
          </w:tcPr>
          <w:p>
            <w:pPr>
              <w:spacing w:line="264" w:lineRule="auto"/>
            </w:pPr>
            <w:r>
              <w:rPr>
                <w:b w:val="0"/>
                <w:i w:val="0"/>
                <w:color w:val="1C3A36"/>
                <w:sz w:val="18"/>
              </w:rPr>
              <w:t>Cheap on all lenses</w:t>
            </w:r>
          </w:p>
        </w:tc>
        <w:tc>
          <w:tcPr>
            <w:tcW w:type="dxa" w:w="2304"/>
          </w:tcPr>
          <w:p>
            <w:pPr>
              <w:spacing w:line="264" w:lineRule="auto"/>
              <w:jc w:val="right"/>
            </w:pPr>
            <w:r>
              <w:rPr>
                <w:b w:val="0"/>
                <w:i w:val="0"/>
                <w:sz w:val="18"/>
              </w:rPr>
              <w:t>&lt; 22.4</w:t>
            </w:r>
          </w:p>
        </w:tc>
        <w:tc>
          <w:tcPr>
            <w:tcW w:type="dxa" w:w="5616"/>
          </w:tcPr>
          <w:p>
            <w:pPr>
              <w:spacing w:line="264" w:lineRule="auto"/>
              <w:jc w:val="right"/>
            </w:pPr>
            <w:r>
              <w:rPr>
                <w:b w:val="0"/>
                <w:i w:val="0"/>
                <w:sz w:val="18"/>
              </w:rPr>
              <w:t>&gt;30% discount to gross NAV; P25 floor</w:t>
            </w:r>
          </w:p>
        </w:tc>
      </w:tr>
      <w:tr>
        <w:tc>
          <w:tcPr>
            <w:tcW w:type="dxa" w:w="2160"/>
            <w:shd w:val="clear" w:fill="EFF3F1"/>
          </w:tcPr>
          <w:p>
            <w:pPr>
              <w:spacing w:line="264" w:lineRule="auto"/>
            </w:pPr>
            <w:r>
              <w:rPr>
                <w:b w:val="0"/>
                <w:i w:val="0"/>
                <w:color w:val="1C3A36"/>
                <w:sz w:val="18"/>
              </w:rPr>
              <w:t>Fair band</w:t>
            </w:r>
          </w:p>
        </w:tc>
        <w:tc>
          <w:tcPr>
            <w:tcW w:type="dxa" w:w="2304"/>
            <w:shd w:val="clear" w:fill="EFF3F1"/>
          </w:tcPr>
          <w:p>
            <w:pPr>
              <w:spacing w:line="264" w:lineRule="auto"/>
              <w:jc w:val="right"/>
            </w:pPr>
            <w:r>
              <w:rPr>
                <w:b w:val="0"/>
                <w:i w:val="0"/>
                <w:sz w:val="18"/>
              </w:rPr>
              <w:t>24 - 29</w:t>
            </w:r>
          </w:p>
        </w:tc>
        <w:tc>
          <w:tcPr>
            <w:tcW w:type="dxa" w:w="5616"/>
            <w:shd w:val="clear" w:fill="EFF3F1"/>
          </w:tcPr>
          <w:p>
            <w:pPr>
              <w:spacing w:line="264" w:lineRule="auto"/>
              <w:jc w:val="right"/>
            </w:pPr>
            <w:r>
              <w:rPr>
                <w:b w:val="0"/>
                <w:i w:val="0"/>
                <w:sz w:val="18"/>
              </w:rPr>
              <w:t>All five lenses interleave; spot mid-band</w:t>
            </w:r>
          </w:p>
        </w:tc>
      </w:tr>
      <w:tr>
        <w:tc>
          <w:tcPr>
            <w:tcW w:type="dxa" w:w="2160"/>
          </w:tcPr>
          <w:p>
            <w:pPr>
              <w:spacing w:line="264" w:lineRule="auto"/>
            </w:pPr>
            <w:r>
              <w:rPr>
                <w:b w:val="0"/>
                <w:i w:val="0"/>
                <w:color w:val="1C3A36"/>
                <w:sz w:val="18"/>
              </w:rPr>
              <w:t>Discount toward 10%</w:t>
            </w:r>
          </w:p>
        </w:tc>
        <w:tc>
          <w:tcPr>
            <w:tcW w:type="dxa" w:w="2304"/>
          </w:tcPr>
          <w:p>
            <w:pPr>
              <w:spacing w:line="264" w:lineRule="auto"/>
              <w:jc w:val="right"/>
            </w:pPr>
            <w:r>
              <w:rPr>
                <w:b w:val="0"/>
                <w:i w:val="0"/>
                <w:sz w:val="18"/>
              </w:rPr>
              <w:t>30 - 32</w:t>
            </w:r>
          </w:p>
        </w:tc>
        <w:tc>
          <w:tcPr>
            <w:tcW w:type="dxa" w:w="5616"/>
          </w:tcPr>
          <w:p>
            <w:pPr>
              <w:spacing w:line="264" w:lineRule="auto"/>
              <w:jc w:val="right"/>
            </w:pPr>
            <w:r>
              <w:rPr>
                <w:b w:val="0"/>
                <w:i w:val="0"/>
                <w:sz w:val="18"/>
              </w:rPr>
              <w:t>Needs monetization or EGX bull tape</w:t>
            </w:r>
          </w:p>
        </w:tc>
      </w:tr>
      <w:tr>
        <w:tc>
          <w:tcPr>
            <w:tcW w:type="dxa" w:w="2160"/>
            <w:shd w:val="clear" w:fill="EFF3F1"/>
          </w:tcPr>
          <w:p>
            <w:pPr>
              <w:spacing w:line="264" w:lineRule="auto"/>
            </w:pPr>
            <w:r>
              <w:rPr>
                <w:b w:val="0"/>
                <w:i w:val="0"/>
                <w:color w:val="1C3A36"/>
                <w:sz w:val="18"/>
              </w:rPr>
              <w:t>Premium to gross NAV</w:t>
            </w:r>
          </w:p>
        </w:tc>
        <w:tc>
          <w:tcPr>
            <w:tcW w:type="dxa" w:w="2304"/>
            <w:shd w:val="clear" w:fill="EFF3F1"/>
          </w:tcPr>
          <w:p>
            <w:pPr>
              <w:spacing w:line="264" w:lineRule="auto"/>
              <w:jc w:val="right"/>
            </w:pPr>
            <w:r>
              <w:rPr>
                <w:b w:val="0"/>
                <w:i w:val="0"/>
                <w:sz w:val="18"/>
              </w:rPr>
              <w:t>&gt; 32.2</w:t>
            </w:r>
          </w:p>
        </w:tc>
        <w:tc>
          <w:tcPr>
            <w:tcW w:type="dxa" w:w="5616"/>
            <w:shd w:val="clear" w:fill="EFF3F1"/>
          </w:tcPr>
          <w:p>
            <w:pPr>
              <w:spacing w:line="264" w:lineRule="auto"/>
              <w:jc w:val="right"/>
            </w:pPr>
            <w:r>
              <w:rPr>
                <w:b w:val="0"/>
                <w:i w:val="0"/>
                <w:sz w:val="18"/>
              </w:rPr>
              <w:t>Historically the sell-the-wrapper zone; P95 37.7</w:t>
            </w:r>
          </w:p>
        </w:tc>
      </w:tr>
    </w:tbl>
    <w:p>
      <w:pPr>
        <w:spacing w:after="40"/>
      </w:pPr>
    </w:p>
    <w:p>
      <w:pPr>
        <w:spacing w:before="160" w:after="120" w:line="264" w:lineRule="auto"/>
      </w:pPr>
      <w:r>
        <w:rPr>
          <w:b/>
          <w:i w:val="0"/>
          <w:color w:val="1C3A36"/>
          <w:sz w:val="30"/>
        </w:rPr>
        <w:t>7  Caveats and what would change our mind</w:t>
      </w:r>
    </w:p>
    <w:p>
      <w:pPr>
        <w:spacing w:after="120" w:line="264" w:lineRule="auto"/>
      </w:pPr>
      <w:r>
        <w:rPr>
          <w:b w:val="0"/>
          <w:i w:val="0"/>
          <w:sz w:val="21"/>
        </w:rPr>
        <w:t>FY2024 figures are derived from the FY2025 release's disclosed YoY moves, not read from the FY24 statements; the equity/minority split, holdco treasury, and the 1,224.6 mn share count are estimates pending the audited financials; every SOTP mark is a judgment (only Valu has a market print); the classify map's 'bank' label was overridden to holdco - flag; the earnings DCF is deliberately un-haircut and should be read as a ceiling; minority leakage (Bank NXT ~48%, Valu minorities) is modelled only through the residual tax-and-minorities line; and Bank NXT consolidation makes group 'revenue' a mixed banking/fee aggregate - segment NPATs are the cleaner read.</w:t>
      </w:r>
    </w:p>
    <w:p>
      <w:pPr>
        <w:spacing w:before="160" w:after="120" w:line="264" w:lineRule="auto"/>
      </w:pPr>
      <w:r>
        <w:rPr>
          <w:b/>
          <w:i w:val="0"/>
          <w:color w:val="1C3A36"/>
          <w:sz w:val="30"/>
        </w:rPr>
        <w:t>Appendix A  Financial statements</w:t>
      </w:r>
    </w:p>
    <w:p>
      <w:pPr>
        <w:spacing w:before="160" w:after="120" w:line="264" w:lineRule="auto"/>
      </w:pPr>
      <w:r>
        <w:rPr>
          <w:b/>
          <w:i w:val="0"/>
          <w:color w:val="1C3A36"/>
          <w:sz w:val="24"/>
        </w:rPr>
        <w:t>A.1  Income statement - 3 years historical + 5-year forecast</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Operating revenue</w:t>
            </w:r>
          </w:p>
        </w:tc>
        <w:tc>
          <w:tcPr>
            <w:tcW w:type="dxa" w:w="893"/>
          </w:tcPr>
          <w:p>
            <w:pPr>
              <w:spacing w:line="264" w:lineRule="auto"/>
              <w:jc w:val="right"/>
            </w:pPr>
            <w:r>
              <w:rPr>
                <w:b w:val="0"/>
                <w:i w:val="0"/>
                <w:sz w:val="18"/>
              </w:rPr>
              <w:t>14,700</w:t>
            </w:r>
          </w:p>
        </w:tc>
        <w:tc>
          <w:tcPr>
            <w:tcW w:type="dxa" w:w="893"/>
          </w:tcPr>
          <w:p>
            <w:pPr>
              <w:spacing w:line="264" w:lineRule="auto"/>
              <w:jc w:val="right"/>
            </w:pPr>
            <w:r>
              <w:rPr>
                <w:b w:val="0"/>
                <w:i w:val="0"/>
                <w:sz w:val="18"/>
              </w:rPr>
              <w:t>24,300</w:t>
            </w:r>
          </w:p>
        </w:tc>
        <w:tc>
          <w:tcPr>
            <w:tcW w:type="dxa" w:w="893"/>
          </w:tcPr>
          <w:p>
            <w:pPr>
              <w:spacing w:line="264" w:lineRule="auto"/>
              <w:jc w:val="right"/>
            </w:pPr>
            <w:r>
              <w:rPr>
                <w:b w:val="0"/>
                <w:i w:val="0"/>
                <w:sz w:val="18"/>
              </w:rPr>
              <w:t>26,000</w:t>
            </w:r>
          </w:p>
        </w:tc>
        <w:tc>
          <w:tcPr>
            <w:tcW w:type="dxa" w:w="893"/>
          </w:tcPr>
          <w:p>
            <w:pPr>
              <w:spacing w:line="264" w:lineRule="auto"/>
              <w:jc w:val="right"/>
            </w:pPr>
            <w:r>
              <w:rPr>
                <w:b w:val="0"/>
                <w:i w:val="0"/>
                <w:sz w:val="18"/>
              </w:rPr>
              <w:t>29,640</w:t>
            </w:r>
          </w:p>
        </w:tc>
        <w:tc>
          <w:tcPr>
            <w:tcW w:type="dxa" w:w="893"/>
          </w:tcPr>
          <w:p>
            <w:pPr>
              <w:spacing w:line="264" w:lineRule="auto"/>
              <w:jc w:val="right"/>
            </w:pPr>
            <w:r>
              <w:rPr>
                <w:b w:val="0"/>
                <w:i w:val="0"/>
                <w:sz w:val="18"/>
              </w:rPr>
              <w:t>33,493</w:t>
            </w:r>
          </w:p>
        </w:tc>
        <w:tc>
          <w:tcPr>
            <w:tcW w:type="dxa" w:w="893"/>
          </w:tcPr>
          <w:p>
            <w:pPr>
              <w:spacing w:line="264" w:lineRule="auto"/>
              <w:jc w:val="right"/>
            </w:pPr>
            <w:r>
              <w:rPr>
                <w:b w:val="0"/>
                <w:i w:val="0"/>
                <w:sz w:val="18"/>
              </w:rPr>
              <w:t>37,512</w:t>
            </w:r>
          </w:p>
        </w:tc>
        <w:tc>
          <w:tcPr>
            <w:tcW w:type="dxa" w:w="893"/>
          </w:tcPr>
          <w:p>
            <w:pPr>
              <w:spacing w:line="264" w:lineRule="auto"/>
              <w:jc w:val="right"/>
            </w:pPr>
            <w:r>
              <w:rPr>
                <w:b w:val="0"/>
                <w:i w:val="0"/>
                <w:sz w:val="18"/>
              </w:rPr>
              <w:t>42,014</w:t>
            </w:r>
          </w:p>
        </w:tc>
        <w:tc>
          <w:tcPr>
            <w:tcW w:type="dxa" w:w="893"/>
          </w:tcPr>
          <w:p>
            <w:pPr>
              <w:spacing w:line="264" w:lineRule="auto"/>
              <w:jc w:val="right"/>
            </w:pPr>
            <w:r>
              <w:rPr>
                <w:b w:val="0"/>
                <w:i w:val="0"/>
                <w:sz w:val="18"/>
              </w:rPr>
              <w:t>46,635</w:t>
            </w:r>
          </w:p>
        </w:tc>
      </w:tr>
      <w:tr>
        <w:tc>
          <w:tcPr>
            <w:tcW w:type="dxa" w:w="2736"/>
            <w:shd w:val="clear" w:fill="EFF3F1"/>
          </w:tcPr>
          <w:p>
            <w:pPr>
              <w:spacing w:line="264" w:lineRule="auto"/>
            </w:pPr>
            <w:r>
              <w:rPr>
                <w:b w:val="0"/>
                <w:i w:val="0"/>
                <w:color w:val="1C3A36"/>
                <w:sz w:val="18"/>
              </w:rPr>
              <w:t>Operating expenses (incl. provisions &amp; ECL)</w:t>
            </w:r>
          </w:p>
        </w:tc>
        <w:tc>
          <w:tcPr>
            <w:tcW w:type="dxa" w:w="893"/>
            <w:shd w:val="clear" w:fill="EFF3F1"/>
          </w:tcPr>
          <w:p>
            <w:pPr>
              <w:spacing w:line="264" w:lineRule="auto"/>
              <w:jc w:val="right"/>
            </w:pPr>
            <w:r>
              <w:rPr>
                <w:b w:val="0"/>
                <w:i w:val="0"/>
                <w:sz w:val="18"/>
              </w:rPr>
              <w:t>9,800</w:t>
            </w:r>
          </w:p>
        </w:tc>
        <w:tc>
          <w:tcPr>
            <w:tcW w:type="dxa" w:w="893"/>
            <w:shd w:val="clear" w:fill="EFF3F1"/>
          </w:tcPr>
          <w:p>
            <w:pPr>
              <w:spacing w:line="264" w:lineRule="auto"/>
              <w:jc w:val="right"/>
            </w:pPr>
            <w:r>
              <w:rPr>
                <w:b w:val="0"/>
                <w:i w:val="0"/>
                <w:sz w:val="18"/>
              </w:rPr>
              <w:t>15,500</w:t>
            </w:r>
          </w:p>
        </w:tc>
        <w:tc>
          <w:tcPr>
            <w:tcW w:type="dxa" w:w="893"/>
            <w:shd w:val="clear" w:fill="EFF3F1"/>
          </w:tcPr>
          <w:p>
            <w:pPr>
              <w:spacing w:line="264" w:lineRule="auto"/>
              <w:jc w:val="right"/>
            </w:pPr>
            <w:r>
              <w:rPr>
                <w:b w:val="0"/>
                <w:i w:val="0"/>
                <w:sz w:val="18"/>
              </w:rPr>
              <w:t>17,500</w:t>
            </w:r>
          </w:p>
        </w:tc>
        <w:tc>
          <w:tcPr>
            <w:tcW w:type="dxa" w:w="893"/>
            <w:shd w:val="clear" w:fill="EFF3F1"/>
          </w:tcPr>
          <w:p>
            <w:pPr>
              <w:spacing w:line="264" w:lineRule="auto"/>
              <w:jc w:val="right"/>
            </w:pPr>
            <w:r>
              <w:rPr>
                <w:b w:val="0"/>
                <w:i w:val="0"/>
                <w:sz w:val="18"/>
              </w:rPr>
              <w:t>19,859</w:t>
            </w:r>
          </w:p>
        </w:tc>
        <w:tc>
          <w:tcPr>
            <w:tcW w:type="dxa" w:w="893"/>
            <w:shd w:val="clear" w:fill="EFF3F1"/>
          </w:tcPr>
          <w:p>
            <w:pPr>
              <w:spacing w:line="264" w:lineRule="auto"/>
              <w:jc w:val="right"/>
            </w:pPr>
            <w:r>
              <w:rPr>
                <w:b w:val="0"/>
                <w:i w:val="0"/>
                <w:sz w:val="18"/>
              </w:rPr>
              <w:t>22,106</w:t>
            </w:r>
          </w:p>
        </w:tc>
        <w:tc>
          <w:tcPr>
            <w:tcW w:type="dxa" w:w="893"/>
            <w:shd w:val="clear" w:fill="EFF3F1"/>
          </w:tcPr>
          <w:p>
            <w:pPr>
              <w:spacing w:line="264" w:lineRule="auto"/>
              <w:jc w:val="right"/>
            </w:pPr>
            <w:r>
              <w:rPr>
                <w:b w:val="0"/>
                <w:i w:val="0"/>
                <w:sz w:val="18"/>
              </w:rPr>
              <w:t>24,571</w:t>
            </w:r>
          </w:p>
        </w:tc>
        <w:tc>
          <w:tcPr>
            <w:tcW w:type="dxa" w:w="893"/>
            <w:shd w:val="clear" w:fill="EFF3F1"/>
          </w:tcPr>
          <w:p>
            <w:pPr>
              <w:spacing w:line="264" w:lineRule="auto"/>
              <w:jc w:val="right"/>
            </w:pPr>
            <w:r>
              <w:rPr>
                <w:b w:val="0"/>
                <w:i w:val="0"/>
                <w:sz w:val="18"/>
              </w:rPr>
              <w:t>27,309</w:t>
            </w:r>
          </w:p>
        </w:tc>
        <w:tc>
          <w:tcPr>
            <w:tcW w:type="dxa" w:w="893"/>
            <w:shd w:val="clear" w:fill="EFF3F1"/>
          </w:tcPr>
          <w:p>
            <w:pPr>
              <w:spacing w:line="264" w:lineRule="auto"/>
              <w:jc w:val="right"/>
            </w:pPr>
            <w:r>
              <w:rPr>
                <w:b w:val="0"/>
                <w:i w:val="0"/>
                <w:sz w:val="18"/>
              </w:rPr>
              <w:t>30,080</w:t>
            </w:r>
          </w:p>
        </w:tc>
      </w:tr>
      <w:tr>
        <w:tc>
          <w:tcPr>
            <w:tcW w:type="dxa" w:w="2736"/>
          </w:tcPr>
          <w:p>
            <w:pPr>
              <w:spacing w:line="264" w:lineRule="auto"/>
            </w:pPr>
            <w:r>
              <w:rPr>
                <w:b w:val="0"/>
                <w:i w:val="0"/>
                <w:color w:val="1C3A36"/>
                <w:sz w:val="18"/>
              </w:rPr>
              <w:t>Operating profit</w:t>
            </w:r>
          </w:p>
        </w:tc>
        <w:tc>
          <w:tcPr>
            <w:tcW w:type="dxa" w:w="893"/>
          </w:tcPr>
          <w:p>
            <w:pPr>
              <w:spacing w:line="264" w:lineRule="auto"/>
              <w:jc w:val="right"/>
            </w:pPr>
            <w:r>
              <w:rPr>
                <w:b w:val="0"/>
                <w:i w:val="0"/>
                <w:sz w:val="18"/>
              </w:rPr>
              <w:t>4,900</w:t>
            </w:r>
          </w:p>
        </w:tc>
        <w:tc>
          <w:tcPr>
            <w:tcW w:type="dxa" w:w="893"/>
          </w:tcPr>
          <w:p>
            <w:pPr>
              <w:spacing w:line="264" w:lineRule="auto"/>
              <w:jc w:val="right"/>
            </w:pPr>
            <w:r>
              <w:rPr>
                <w:b w:val="0"/>
                <w:i w:val="0"/>
                <w:sz w:val="18"/>
              </w:rPr>
              <w:t>8,800</w:t>
            </w:r>
          </w:p>
        </w:tc>
        <w:tc>
          <w:tcPr>
            <w:tcW w:type="dxa" w:w="893"/>
          </w:tcPr>
          <w:p>
            <w:pPr>
              <w:spacing w:line="264" w:lineRule="auto"/>
              <w:jc w:val="right"/>
            </w:pPr>
            <w:r>
              <w:rPr>
                <w:b w:val="0"/>
                <w:i w:val="0"/>
                <w:sz w:val="18"/>
              </w:rPr>
              <w:t>8,500</w:t>
            </w:r>
          </w:p>
        </w:tc>
        <w:tc>
          <w:tcPr>
            <w:tcW w:type="dxa" w:w="893"/>
          </w:tcPr>
          <w:p>
            <w:pPr>
              <w:spacing w:line="264" w:lineRule="auto"/>
              <w:jc w:val="right"/>
            </w:pPr>
            <w:r>
              <w:rPr>
                <w:b w:val="0"/>
                <w:i w:val="0"/>
                <w:sz w:val="18"/>
              </w:rPr>
              <w:t>9,781</w:t>
            </w:r>
          </w:p>
        </w:tc>
        <w:tc>
          <w:tcPr>
            <w:tcW w:type="dxa" w:w="893"/>
          </w:tcPr>
          <w:p>
            <w:pPr>
              <w:spacing w:line="264" w:lineRule="auto"/>
              <w:jc w:val="right"/>
            </w:pPr>
            <w:r>
              <w:rPr>
                <w:b w:val="0"/>
                <w:i w:val="0"/>
                <w:sz w:val="18"/>
              </w:rPr>
              <w:t>11,388</w:t>
            </w:r>
          </w:p>
        </w:tc>
        <w:tc>
          <w:tcPr>
            <w:tcW w:type="dxa" w:w="893"/>
          </w:tcPr>
          <w:p>
            <w:pPr>
              <w:spacing w:line="264" w:lineRule="auto"/>
              <w:jc w:val="right"/>
            </w:pPr>
            <w:r>
              <w:rPr>
                <w:b w:val="0"/>
                <w:i w:val="0"/>
                <w:sz w:val="18"/>
              </w:rPr>
              <w:t>12,942</w:t>
            </w:r>
          </w:p>
        </w:tc>
        <w:tc>
          <w:tcPr>
            <w:tcW w:type="dxa" w:w="893"/>
          </w:tcPr>
          <w:p>
            <w:pPr>
              <w:spacing w:line="264" w:lineRule="auto"/>
              <w:jc w:val="right"/>
            </w:pPr>
            <w:r>
              <w:rPr>
                <w:b w:val="0"/>
                <w:i w:val="0"/>
                <w:sz w:val="18"/>
              </w:rPr>
              <w:t>14,705</w:t>
            </w:r>
          </w:p>
        </w:tc>
        <w:tc>
          <w:tcPr>
            <w:tcW w:type="dxa" w:w="893"/>
          </w:tcPr>
          <w:p>
            <w:pPr>
              <w:spacing w:line="264" w:lineRule="auto"/>
              <w:jc w:val="right"/>
            </w:pPr>
            <w:r>
              <w:rPr>
                <w:b w:val="0"/>
                <w:i w:val="0"/>
                <w:sz w:val="18"/>
              </w:rPr>
              <w:t>16,556</w:t>
            </w:r>
          </w:p>
        </w:tc>
      </w:tr>
      <w:tr>
        <w:tc>
          <w:tcPr>
            <w:tcW w:type="dxa" w:w="2736"/>
            <w:shd w:val="clear" w:fill="EFF3F1"/>
          </w:tcPr>
          <w:p>
            <w:pPr>
              <w:spacing w:line="264" w:lineRule="auto"/>
            </w:pPr>
            <w:r>
              <w:rPr>
                <w:b w:val="0"/>
                <w:i w:val="0"/>
                <w:color w:val="1C3A36"/>
                <w:sz w:val="18"/>
              </w:rPr>
              <w:t>Other / associates</w:t>
            </w:r>
          </w:p>
        </w:tc>
        <w:tc>
          <w:tcPr>
            <w:tcW w:type="dxa" w:w="893"/>
            <w:shd w:val="clear" w:fill="EFF3F1"/>
          </w:tcPr>
          <w:p>
            <w:pPr>
              <w:spacing w:line="264" w:lineRule="auto"/>
              <w:jc w:val="right"/>
            </w:pPr>
            <w:r>
              <w:rPr>
                <w:b w:val="0"/>
                <w:i w:val="0"/>
                <w:sz w:val="18"/>
              </w:rPr>
              <w:t>0</w:t>
            </w:r>
          </w:p>
        </w:tc>
        <w:tc>
          <w:tcPr>
            <w:tcW w:type="dxa" w:w="893"/>
            <w:shd w:val="clear" w:fill="EFF3F1"/>
          </w:tcPr>
          <w:p>
            <w:pPr>
              <w:spacing w:line="264" w:lineRule="auto"/>
              <w:jc w:val="right"/>
            </w:pPr>
            <w:r>
              <w:rPr>
                <w:b w:val="0"/>
                <w:i w:val="0"/>
                <w:sz w:val="18"/>
              </w:rPr>
              <w:t>0</w:t>
            </w:r>
          </w:p>
        </w:tc>
        <w:tc>
          <w:tcPr>
            <w:tcW w:type="dxa" w:w="893"/>
            <w:shd w:val="clear" w:fill="EFF3F1"/>
          </w:tcPr>
          <w:p>
            <w:pPr>
              <w:spacing w:line="264" w:lineRule="auto"/>
              <w:jc w:val="right"/>
            </w:pPr>
            <w:r>
              <w:rPr>
                <w:b w:val="0"/>
                <w:i w:val="0"/>
                <w:sz w:val="18"/>
              </w:rPr>
              <w:t>0</w:t>
            </w:r>
          </w:p>
        </w:tc>
        <w:tc>
          <w:tcPr>
            <w:tcW w:type="dxa" w:w="893"/>
            <w:shd w:val="clear" w:fill="EFF3F1"/>
          </w:tcPr>
          <w:p>
            <w:pPr>
              <w:spacing w:line="264" w:lineRule="auto"/>
              <w:jc w:val="right"/>
            </w:pPr>
            <w:r>
              <w:rPr>
                <w:b w:val="0"/>
                <w:i w:val="0"/>
                <w:sz w:val="18"/>
              </w:rPr>
              <w:t>0</w:t>
            </w:r>
          </w:p>
        </w:tc>
        <w:tc>
          <w:tcPr>
            <w:tcW w:type="dxa" w:w="893"/>
            <w:shd w:val="clear" w:fill="EFF3F1"/>
          </w:tcPr>
          <w:p>
            <w:pPr>
              <w:spacing w:line="264" w:lineRule="auto"/>
              <w:jc w:val="right"/>
            </w:pPr>
            <w:r>
              <w:rPr>
                <w:b w:val="0"/>
                <w:i w:val="0"/>
                <w:sz w:val="18"/>
              </w:rPr>
              <w:t>0</w:t>
            </w:r>
          </w:p>
        </w:tc>
        <w:tc>
          <w:tcPr>
            <w:tcW w:type="dxa" w:w="893"/>
            <w:shd w:val="clear" w:fill="EFF3F1"/>
          </w:tcPr>
          <w:p>
            <w:pPr>
              <w:spacing w:line="264" w:lineRule="auto"/>
              <w:jc w:val="right"/>
            </w:pPr>
            <w:r>
              <w:rPr>
                <w:b w:val="0"/>
                <w:i w:val="0"/>
                <w:sz w:val="18"/>
              </w:rPr>
              <w:t>0</w:t>
            </w:r>
          </w:p>
        </w:tc>
        <w:tc>
          <w:tcPr>
            <w:tcW w:type="dxa" w:w="893"/>
            <w:shd w:val="clear" w:fill="EFF3F1"/>
          </w:tcPr>
          <w:p>
            <w:pPr>
              <w:spacing w:line="264" w:lineRule="auto"/>
              <w:jc w:val="right"/>
            </w:pPr>
            <w:r>
              <w:rPr>
                <w:b w:val="0"/>
                <w:i w:val="0"/>
                <w:sz w:val="18"/>
              </w:rPr>
              <w:t>0</w:t>
            </w:r>
          </w:p>
        </w:tc>
        <w:tc>
          <w:tcPr>
            <w:tcW w:type="dxa" w:w="893"/>
            <w:shd w:val="clear" w:fill="EFF3F1"/>
          </w:tcPr>
          <w:p>
            <w:pPr>
              <w:spacing w:line="264" w:lineRule="auto"/>
              <w:jc w:val="right"/>
            </w:pPr>
            <w:r>
              <w:rPr>
                <w:b w:val="0"/>
                <w:i w:val="0"/>
                <w:sz w:val="18"/>
              </w:rPr>
              <w:t>0</w:t>
            </w:r>
          </w:p>
        </w:tc>
      </w:tr>
      <w:tr>
        <w:tc>
          <w:tcPr>
            <w:tcW w:type="dxa" w:w="2736"/>
          </w:tcPr>
          <w:p>
            <w:pPr>
              <w:spacing w:line="264" w:lineRule="auto"/>
            </w:pPr>
            <w:r>
              <w:rPr>
                <w:b w:val="0"/>
                <w:i w:val="0"/>
                <w:color w:val="1C3A36"/>
                <w:sz w:val="18"/>
              </w:rPr>
              <w:t>PBT (proxy)</w:t>
            </w:r>
          </w:p>
        </w:tc>
        <w:tc>
          <w:tcPr>
            <w:tcW w:type="dxa" w:w="893"/>
          </w:tcPr>
          <w:p>
            <w:pPr>
              <w:spacing w:line="264" w:lineRule="auto"/>
              <w:jc w:val="right"/>
            </w:pPr>
            <w:r>
              <w:rPr>
                <w:b w:val="0"/>
                <w:i w:val="0"/>
                <w:sz w:val="18"/>
              </w:rPr>
              <w:t>4,900</w:t>
            </w:r>
          </w:p>
        </w:tc>
        <w:tc>
          <w:tcPr>
            <w:tcW w:type="dxa" w:w="893"/>
          </w:tcPr>
          <w:p>
            <w:pPr>
              <w:spacing w:line="264" w:lineRule="auto"/>
              <w:jc w:val="right"/>
            </w:pPr>
            <w:r>
              <w:rPr>
                <w:b w:val="0"/>
                <w:i w:val="0"/>
                <w:sz w:val="18"/>
              </w:rPr>
              <w:t>8,800</w:t>
            </w:r>
          </w:p>
        </w:tc>
        <w:tc>
          <w:tcPr>
            <w:tcW w:type="dxa" w:w="893"/>
          </w:tcPr>
          <w:p>
            <w:pPr>
              <w:spacing w:line="264" w:lineRule="auto"/>
              <w:jc w:val="right"/>
            </w:pPr>
            <w:r>
              <w:rPr>
                <w:b w:val="0"/>
                <w:i w:val="0"/>
                <w:sz w:val="18"/>
              </w:rPr>
              <w:t>8,500</w:t>
            </w:r>
          </w:p>
        </w:tc>
        <w:tc>
          <w:tcPr>
            <w:tcW w:type="dxa" w:w="893"/>
          </w:tcPr>
          <w:p>
            <w:pPr>
              <w:spacing w:line="264" w:lineRule="auto"/>
              <w:jc w:val="right"/>
            </w:pPr>
            <w:r>
              <w:rPr>
                <w:b w:val="0"/>
                <w:i w:val="0"/>
                <w:sz w:val="18"/>
              </w:rPr>
              <w:t>9,781</w:t>
            </w:r>
          </w:p>
        </w:tc>
        <w:tc>
          <w:tcPr>
            <w:tcW w:type="dxa" w:w="893"/>
          </w:tcPr>
          <w:p>
            <w:pPr>
              <w:spacing w:line="264" w:lineRule="auto"/>
              <w:jc w:val="right"/>
            </w:pPr>
            <w:r>
              <w:rPr>
                <w:b w:val="0"/>
                <w:i w:val="0"/>
                <w:sz w:val="18"/>
              </w:rPr>
              <w:t>11,388</w:t>
            </w:r>
          </w:p>
        </w:tc>
        <w:tc>
          <w:tcPr>
            <w:tcW w:type="dxa" w:w="893"/>
          </w:tcPr>
          <w:p>
            <w:pPr>
              <w:spacing w:line="264" w:lineRule="auto"/>
              <w:jc w:val="right"/>
            </w:pPr>
            <w:r>
              <w:rPr>
                <w:b w:val="0"/>
                <w:i w:val="0"/>
                <w:sz w:val="18"/>
              </w:rPr>
              <w:t>12,942</w:t>
            </w:r>
          </w:p>
        </w:tc>
        <w:tc>
          <w:tcPr>
            <w:tcW w:type="dxa" w:w="893"/>
          </w:tcPr>
          <w:p>
            <w:pPr>
              <w:spacing w:line="264" w:lineRule="auto"/>
              <w:jc w:val="right"/>
            </w:pPr>
            <w:r>
              <w:rPr>
                <w:b w:val="0"/>
                <w:i w:val="0"/>
                <w:sz w:val="18"/>
              </w:rPr>
              <w:t>14,705</w:t>
            </w:r>
          </w:p>
        </w:tc>
        <w:tc>
          <w:tcPr>
            <w:tcW w:type="dxa" w:w="893"/>
          </w:tcPr>
          <w:p>
            <w:pPr>
              <w:spacing w:line="264" w:lineRule="auto"/>
              <w:jc w:val="right"/>
            </w:pPr>
            <w:r>
              <w:rPr>
                <w:b w:val="0"/>
                <w:i w:val="0"/>
                <w:sz w:val="18"/>
              </w:rPr>
              <w:t>16,556</w:t>
            </w:r>
          </w:p>
        </w:tc>
      </w:tr>
      <w:tr>
        <w:tc>
          <w:tcPr>
            <w:tcW w:type="dxa" w:w="2736"/>
            <w:shd w:val="clear" w:fill="EFF3F1"/>
          </w:tcPr>
          <w:p>
            <w:pPr>
              <w:spacing w:line="264" w:lineRule="auto"/>
            </w:pPr>
            <w:r>
              <w:rPr>
                <w:b w:val="0"/>
                <w:i w:val="0"/>
                <w:color w:val="1C3A36"/>
                <w:sz w:val="18"/>
              </w:rPr>
              <w:t>Tax &amp; minority interest</w:t>
            </w:r>
          </w:p>
        </w:tc>
        <w:tc>
          <w:tcPr>
            <w:tcW w:type="dxa" w:w="893"/>
            <w:shd w:val="clear" w:fill="EFF3F1"/>
          </w:tcPr>
          <w:p>
            <w:pPr>
              <w:spacing w:line="264" w:lineRule="auto"/>
              <w:jc w:val="right"/>
            </w:pPr>
            <w:r>
              <w:rPr>
                <w:b w:val="0"/>
                <w:i w:val="0"/>
                <w:sz w:val="18"/>
              </w:rPr>
              <w:t>2,400</w:t>
            </w:r>
          </w:p>
        </w:tc>
        <w:tc>
          <w:tcPr>
            <w:tcW w:type="dxa" w:w="893"/>
            <w:shd w:val="clear" w:fill="EFF3F1"/>
          </w:tcPr>
          <w:p>
            <w:pPr>
              <w:spacing w:line="264" w:lineRule="auto"/>
              <w:jc w:val="right"/>
            </w:pPr>
            <w:r>
              <w:rPr>
                <w:b w:val="0"/>
                <w:i w:val="0"/>
                <w:sz w:val="18"/>
              </w:rPr>
              <w:t>4,480</w:t>
            </w:r>
          </w:p>
        </w:tc>
        <w:tc>
          <w:tcPr>
            <w:tcW w:type="dxa" w:w="893"/>
            <w:shd w:val="clear" w:fill="EFF3F1"/>
          </w:tcPr>
          <w:p>
            <w:pPr>
              <w:spacing w:line="264" w:lineRule="auto"/>
              <w:jc w:val="right"/>
            </w:pPr>
            <w:r>
              <w:rPr>
                <w:b w:val="0"/>
                <w:i w:val="0"/>
                <w:sz w:val="18"/>
              </w:rPr>
              <w:t>4,400</w:t>
            </w:r>
          </w:p>
        </w:tc>
        <w:tc>
          <w:tcPr>
            <w:tcW w:type="dxa" w:w="893"/>
            <w:shd w:val="clear" w:fill="EFF3F1"/>
          </w:tcPr>
          <w:p>
            <w:pPr>
              <w:spacing w:line="264" w:lineRule="auto"/>
              <w:jc w:val="right"/>
            </w:pPr>
            <w:r>
              <w:rPr>
                <w:b w:val="0"/>
                <w:i w:val="0"/>
                <w:sz w:val="18"/>
              </w:rPr>
              <w:t>4,891</w:t>
            </w:r>
          </w:p>
        </w:tc>
        <w:tc>
          <w:tcPr>
            <w:tcW w:type="dxa" w:w="893"/>
            <w:shd w:val="clear" w:fill="EFF3F1"/>
          </w:tcPr>
          <w:p>
            <w:pPr>
              <w:spacing w:line="264" w:lineRule="auto"/>
              <w:jc w:val="right"/>
            </w:pPr>
            <w:r>
              <w:rPr>
                <w:b w:val="0"/>
                <w:i w:val="0"/>
                <w:sz w:val="18"/>
              </w:rPr>
              <w:t>5,694</w:t>
            </w:r>
          </w:p>
        </w:tc>
        <w:tc>
          <w:tcPr>
            <w:tcW w:type="dxa" w:w="893"/>
            <w:shd w:val="clear" w:fill="EFF3F1"/>
          </w:tcPr>
          <w:p>
            <w:pPr>
              <w:spacing w:line="264" w:lineRule="auto"/>
              <w:jc w:val="right"/>
            </w:pPr>
            <w:r>
              <w:rPr>
                <w:b w:val="0"/>
                <w:i w:val="0"/>
                <w:sz w:val="18"/>
              </w:rPr>
              <w:t>6,471</w:t>
            </w:r>
          </w:p>
        </w:tc>
        <w:tc>
          <w:tcPr>
            <w:tcW w:type="dxa" w:w="893"/>
            <w:shd w:val="clear" w:fill="EFF3F1"/>
          </w:tcPr>
          <w:p>
            <w:pPr>
              <w:spacing w:line="264" w:lineRule="auto"/>
              <w:jc w:val="right"/>
            </w:pPr>
            <w:r>
              <w:rPr>
                <w:b w:val="0"/>
                <w:i w:val="0"/>
                <w:sz w:val="18"/>
              </w:rPr>
              <w:t>7,352</w:t>
            </w:r>
          </w:p>
        </w:tc>
        <w:tc>
          <w:tcPr>
            <w:tcW w:type="dxa" w:w="893"/>
            <w:shd w:val="clear" w:fill="EFF3F1"/>
          </w:tcPr>
          <w:p>
            <w:pPr>
              <w:spacing w:line="264" w:lineRule="auto"/>
              <w:jc w:val="right"/>
            </w:pPr>
            <w:r>
              <w:rPr>
                <w:b w:val="0"/>
                <w:i w:val="0"/>
                <w:sz w:val="18"/>
              </w:rPr>
              <w:t>8,278</w:t>
            </w:r>
          </w:p>
        </w:tc>
      </w:tr>
      <w:tr>
        <w:tc>
          <w:tcPr>
            <w:tcW w:type="dxa" w:w="2736"/>
          </w:tcPr>
          <w:p>
            <w:pPr>
              <w:spacing w:line="264" w:lineRule="auto"/>
            </w:pPr>
            <w:r>
              <w:rPr>
                <w:b w:val="0"/>
                <w:i w:val="0"/>
                <w:color w:val="1C3A36"/>
                <w:sz w:val="18"/>
              </w:rPr>
              <w:t>Net profit (after tax &amp; minorities)</w:t>
            </w:r>
          </w:p>
        </w:tc>
        <w:tc>
          <w:tcPr>
            <w:tcW w:type="dxa" w:w="893"/>
          </w:tcPr>
          <w:p>
            <w:pPr>
              <w:spacing w:line="264" w:lineRule="auto"/>
              <w:jc w:val="right"/>
            </w:pPr>
            <w:r>
              <w:rPr>
                <w:b w:val="0"/>
                <w:i w:val="0"/>
                <w:sz w:val="18"/>
              </w:rPr>
              <w:t>2,500</w:t>
            </w:r>
          </w:p>
        </w:tc>
        <w:tc>
          <w:tcPr>
            <w:tcW w:type="dxa" w:w="893"/>
          </w:tcPr>
          <w:p>
            <w:pPr>
              <w:spacing w:line="264" w:lineRule="auto"/>
              <w:jc w:val="right"/>
            </w:pPr>
            <w:r>
              <w:rPr>
                <w:b w:val="0"/>
                <w:i w:val="0"/>
                <w:sz w:val="18"/>
              </w:rPr>
              <w:t>4,320</w:t>
            </w:r>
          </w:p>
        </w:tc>
        <w:tc>
          <w:tcPr>
            <w:tcW w:type="dxa" w:w="893"/>
          </w:tcPr>
          <w:p>
            <w:pPr>
              <w:spacing w:line="264" w:lineRule="auto"/>
              <w:jc w:val="right"/>
            </w:pPr>
            <w:r>
              <w:rPr>
                <w:b w:val="0"/>
                <w:i w:val="0"/>
                <w:sz w:val="18"/>
              </w:rPr>
              <w:t>4,100</w:t>
            </w:r>
          </w:p>
        </w:tc>
        <w:tc>
          <w:tcPr>
            <w:tcW w:type="dxa" w:w="893"/>
          </w:tcPr>
          <w:p>
            <w:pPr>
              <w:spacing w:line="264" w:lineRule="auto"/>
              <w:jc w:val="right"/>
            </w:pPr>
            <w:r>
              <w:rPr>
                <w:b w:val="0"/>
                <w:i w:val="0"/>
                <w:sz w:val="18"/>
              </w:rPr>
              <w:t>4,891</w:t>
            </w:r>
          </w:p>
        </w:tc>
        <w:tc>
          <w:tcPr>
            <w:tcW w:type="dxa" w:w="893"/>
          </w:tcPr>
          <w:p>
            <w:pPr>
              <w:spacing w:line="264" w:lineRule="auto"/>
              <w:jc w:val="right"/>
            </w:pPr>
            <w:r>
              <w:rPr>
                <w:b w:val="0"/>
                <w:i w:val="0"/>
                <w:sz w:val="18"/>
              </w:rPr>
              <w:t>5,694</w:t>
            </w:r>
          </w:p>
        </w:tc>
        <w:tc>
          <w:tcPr>
            <w:tcW w:type="dxa" w:w="893"/>
          </w:tcPr>
          <w:p>
            <w:pPr>
              <w:spacing w:line="264" w:lineRule="auto"/>
              <w:jc w:val="right"/>
            </w:pPr>
            <w:r>
              <w:rPr>
                <w:b w:val="0"/>
                <w:i w:val="0"/>
                <w:sz w:val="18"/>
              </w:rPr>
              <w:t>6,471</w:t>
            </w:r>
          </w:p>
        </w:tc>
        <w:tc>
          <w:tcPr>
            <w:tcW w:type="dxa" w:w="893"/>
          </w:tcPr>
          <w:p>
            <w:pPr>
              <w:spacing w:line="264" w:lineRule="auto"/>
              <w:jc w:val="right"/>
            </w:pPr>
            <w:r>
              <w:rPr>
                <w:b w:val="0"/>
                <w:i w:val="0"/>
                <w:sz w:val="18"/>
              </w:rPr>
              <w:t>7,352</w:t>
            </w:r>
          </w:p>
        </w:tc>
        <w:tc>
          <w:tcPr>
            <w:tcW w:type="dxa" w:w="893"/>
          </w:tcPr>
          <w:p>
            <w:pPr>
              <w:spacing w:line="264" w:lineRule="auto"/>
              <w:jc w:val="right"/>
            </w:pPr>
            <w:r>
              <w:rPr>
                <w:b w:val="0"/>
                <w:i w:val="0"/>
                <w:sz w:val="18"/>
              </w:rPr>
              <w:t>8,278</w:t>
            </w:r>
          </w:p>
        </w:tc>
      </w:tr>
    </w:tbl>
    <w:p>
      <w:pPr>
        <w:spacing w:after="40"/>
      </w:pPr>
    </w:p>
    <w:p>
      <w:pPr>
        <w:spacing w:before="160" w:after="120" w:line="264" w:lineRule="auto"/>
      </w:pPr>
      <w:r>
        <w:rPr>
          <w:b/>
          <w:i w:val="0"/>
          <w:color w:val="1C3A36"/>
          <w:sz w:val="24"/>
        </w:rPr>
        <w:t>A.2  Balance sheet</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Total assets</w:t>
            </w:r>
          </w:p>
        </w:tc>
        <w:tc>
          <w:tcPr>
            <w:tcW w:type="dxa" w:w="893"/>
          </w:tcPr>
          <w:p>
            <w:pPr>
              <w:spacing w:line="264" w:lineRule="auto"/>
              <w:jc w:val="right"/>
            </w:pPr>
            <w:r>
              <w:rPr>
                <w:b w:val="0"/>
                <w:i w:val="0"/>
                <w:sz w:val="18"/>
              </w:rPr>
              <w:t>121,900</w:t>
            </w:r>
          </w:p>
        </w:tc>
        <w:tc>
          <w:tcPr>
            <w:tcW w:type="dxa" w:w="893"/>
          </w:tcPr>
          <w:p>
            <w:pPr>
              <w:spacing w:line="264" w:lineRule="auto"/>
              <w:jc w:val="right"/>
            </w:pPr>
            <w:r>
              <w:rPr>
                <w:b w:val="0"/>
                <w:i w:val="0"/>
                <w:sz w:val="18"/>
              </w:rPr>
              <w:t>185,000</w:t>
            </w:r>
          </w:p>
        </w:tc>
        <w:tc>
          <w:tcPr>
            <w:tcW w:type="dxa" w:w="893"/>
          </w:tcPr>
          <w:p>
            <w:pPr>
              <w:spacing w:line="264" w:lineRule="auto"/>
              <w:jc w:val="right"/>
            </w:pPr>
            <w:r>
              <w:rPr>
                <w:b w:val="0"/>
                <w:i w:val="0"/>
                <w:sz w:val="18"/>
              </w:rPr>
              <w:t>230,600</w:t>
            </w:r>
          </w:p>
        </w:tc>
        <w:tc>
          <w:tcPr>
            <w:tcW w:type="dxa" w:w="893"/>
          </w:tcPr>
          <w:p>
            <w:pPr>
              <w:spacing w:line="264" w:lineRule="auto"/>
              <w:jc w:val="right"/>
            </w:pPr>
            <w:r>
              <w:rPr>
                <w:b w:val="0"/>
                <w:i w:val="0"/>
                <w:sz w:val="18"/>
              </w:rPr>
              <w:t>265,190</w:t>
            </w:r>
          </w:p>
        </w:tc>
        <w:tc>
          <w:tcPr>
            <w:tcW w:type="dxa" w:w="893"/>
          </w:tcPr>
          <w:p>
            <w:pPr>
              <w:spacing w:line="264" w:lineRule="auto"/>
              <w:jc w:val="right"/>
            </w:pPr>
            <w:r>
              <w:rPr>
                <w:b w:val="0"/>
                <w:i w:val="0"/>
                <w:sz w:val="18"/>
              </w:rPr>
              <w:t>304,968</w:t>
            </w:r>
          </w:p>
        </w:tc>
        <w:tc>
          <w:tcPr>
            <w:tcW w:type="dxa" w:w="893"/>
          </w:tcPr>
          <w:p>
            <w:pPr>
              <w:spacing w:line="264" w:lineRule="auto"/>
              <w:jc w:val="right"/>
            </w:pPr>
            <w:r>
              <w:rPr>
                <w:b w:val="0"/>
                <w:i w:val="0"/>
                <w:sz w:val="18"/>
              </w:rPr>
              <w:t>350,714</w:t>
            </w:r>
          </w:p>
        </w:tc>
        <w:tc>
          <w:tcPr>
            <w:tcW w:type="dxa" w:w="893"/>
          </w:tcPr>
          <w:p>
            <w:pPr>
              <w:spacing w:line="264" w:lineRule="auto"/>
              <w:jc w:val="right"/>
            </w:pPr>
            <w:r>
              <w:rPr>
                <w:b w:val="0"/>
                <w:i w:val="0"/>
                <w:sz w:val="18"/>
              </w:rPr>
              <w:t>403,321</w:t>
            </w:r>
          </w:p>
        </w:tc>
        <w:tc>
          <w:tcPr>
            <w:tcW w:type="dxa" w:w="893"/>
          </w:tcPr>
          <w:p>
            <w:pPr>
              <w:spacing w:line="264" w:lineRule="auto"/>
              <w:jc w:val="right"/>
            </w:pPr>
            <w:r>
              <w:rPr>
                <w:b w:val="0"/>
                <w:i w:val="0"/>
                <w:sz w:val="18"/>
              </w:rPr>
              <w:t>463,819</w:t>
            </w:r>
          </w:p>
        </w:tc>
      </w:tr>
      <w:tr>
        <w:tc>
          <w:tcPr>
            <w:tcW w:type="dxa" w:w="2736"/>
            <w:shd w:val="clear" w:fill="EFF3F1"/>
          </w:tcPr>
          <w:p>
            <w:pPr>
              <w:spacing w:line="264" w:lineRule="auto"/>
            </w:pPr>
            <w:r>
              <w:rPr>
                <w:b w:val="0"/>
                <w:i w:val="0"/>
                <w:color w:val="1C3A36"/>
                <w:sz w:val="18"/>
              </w:rPr>
              <w:t>Attributable shareholders' equity (est.)</w:t>
            </w:r>
          </w:p>
        </w:tc>
        <w:tc>
          <w:tcPr>
            <w:tcW w:type="dxa" w:w="893"/>
            <w:shd w:val="clear" w:fill="EFF3F1"/>
          </w:tcPr>
          <w:p>
            <w:pPr>
              <w:spacing w:line="264" w:lineRule="auto"/>
              <w:jc w:val="right"/>
            </w:pPr>
            <w:r>
              <w:rPr>
                <w:b w:val="0"/>
                <w:i w:val="0"/>
                <w:sz w:val="18"/>
              </w:rPr>
              <w:t>26,500</w:t>
            </w:r>
          </w:p>
        </w:tc>
        <w:tc>
          <w:tcPr>
            <w:tcW w:type="dxa" w:w="893"/>
            <w:shd w:val="clear" w:fill="EFF3F1"/>
          </w:tcPr>
          <w:p>
            <w:pPr>
              <w:spacing w:line="264" w:lineRule="auto"/>
              <w:jc w:val="right"/>
            </w:pPr>
            <w:r>
              <w:rPr>
                <w:b w:val="0"/>
                <w:i w:val="0"/>
                <w:sz w:val="18"/>
              </w:rPr>
              <w:t>30,500</w:t>
            </w:r>
          </w:p>
        </w:tc>
        <w:tc>
          <w:tcPr>
            <w:tcW w:type="dxa" w:w="893"/>
            <w:shd w:val="clear" w:fill="EFF3F1"/>
          </w:tcPr>
          <w:p>
            <w:pPr>
              <w:spacing w:line="264" w:lineRule="auto"/>
              <w:jc w:val="right"/>
            </w:pPr>
            <w:r>
              <w:rPr>
                <w:b w:val="0"/>
                <w:i w:val="0"/>
                <w:sz w:val="18"/>
              </w:rPr>
              <w:t>34,200</w:t>
            </w:r>
          </w:p>
        </w:tc>
        <w:tc>
          <w:tcPr>
            <w:tcW w:type="dxa" w:w="893"/>
            <w:shd w:val="clear" w:fill="EFF3F1"/>
          </w:tcPr>
          <w:p>
            <w:pPr>
              <w:spacing w:line="264" w:lineRule="auto"/>
              <w:jc w:val="right"/>
            </w:pPr>
            <w:r>
              <w:rPr>
                <w:b w:val="0"/>
                <w:i w:val="0"/>
                <w:sz w:val="18"/>
              </w:rPr>
              <w:t>38,691</w:t>
            </w:r>
          </w:p>
        </w:tc>
        <w:tc>
          <w:tcPr>
            <w:tcW w:type="dxa" w:w="893"/>
            <w:shd w:val="clear" w:fill="EFF3F1"/>
          </w:tcPr>
          <w:p>
            <w:pPr>
              <w:spacing w:line="264" w:lineRule="auto"/>
              <w:jc w:val="right"/>
            </w:pPr>
            <w:r>
              <w:rPr>
                <w:b w:val="0"/>
                <w:i w:val="0"/>
                <w:sz w:val="18"/>
              </w:rPr>
              <w:t>43,784</w:t>
            </w:r>
          </w:p>
        </w:tc>
        <w:tc>
          <w:tcPr>
            <w:tcW w:type="dxa" w:w="893"/>
            <w:shd w:val="clear" w:fill="EFF3F1"/>
          </w:tcPr>
          <w:p>
            <w:pPr>
              <w:spacing w:line="264" w:lineRule="auto"/>
              <w:jc w:val="right"/>
            </w:pPr>
            <w:r>
              <w:rPr>
                <w:b w:val="0"/>
                <w:i w:val="0"/>
                <w:sz w:val="18"/>
              </w:rPr>
              <w:t>49,455</w:t>
            </w:r>
          </w:p>
        </w:tc>
        <w:tc>
          <w:tcPr>
            <w:tcW w:type="dxa" w:w="893"/>
            <w:shd w:val="clear" w:fill="EFF3F1"/>
          </w:tcPr>
          <w:p>
            <w:pPr>
              <w:spacing w:line="264" w:lineRule="auto"/>
              <w:jc w:val="right"/>
            </w:pPr>
            <w:r>
              <w:rPr>
                <w:b w:val="0"/>
                <w:i w:val="0"/>
                <w:sz w:val="18"/>
              </w:rPr>
              <w:t>55,808</w:t>
            </w:r>
          </w:p>
        </w:tc>
        <w:tc>
          <w:tcPr>
            <w:tcW w:type="dxa" w:w="893"/>
            <w:shd w:val="clear" w:fill="EFF3F1"/>
          </w:tcPr>
          <w:p>
            <w:pPr>
              <w:spacing w:line="264" w:lineRule="auto"/>
              <w:jc w:val="right"/>
            </w:pPr>
            <w:r>
              <w:rPr>
                <w:b w:val="0"/>
                <w:i w:val="0"/>
                <w:sz w:val="18"/>
              </w:rPr>
              <w:t>62,886</w:t>
            </w:r>
          </w:p>
        </w:tc>
      </w:tr>
      <w:tr>
        <w:tc>
          <w:tcPr>
            <w:tcW w:type="dxa" w:w="2736"/>
          </w:tcPr>
          <w:p>
            <w:pPr>
              <w:spacing w:line="264" w:lineRule="auto"/>
            </w:pPr>
            <w:r>
              <w:rPr>
                <w:b w:val="0"/>
                <w:i w:val="0"/>
                <w:color w:val="1C3A36"/>
                <w:sz w:val="18"/>
              </w:rPr>
              <w:t>Minority interests (est.)</w:t>
            </w:r>
          </w:p>
        </w:tc>
        <w:tc>
          <w:tcPr>
            <w:tcW w:type="dxa" w:w="893"/>
          </w:tcPr>
          <w:p>
            <w:pPr>
              <w:spacing w:line="264" w:lineRule="auto"/>
              <w:jc w:val="right"/>
            </w:pPr>
            <w:r>
              <w:rPr>
                <w:b w:val="0"/>
                <w:i w:val="0"/>
                <w:sz w:val="18"/>
              </w:rPr>
              <w:t>8,000</w:t>
            </w:r>
          </w:p>
        </w:tc>
        <w:tc>
          <w:tcPr>
            <w:tcW w:type="dxa" w:w="893"/>
          </w:tcPr>
          <w:p>
            <w:pPr>
              <w:spacing w:line="264" w:lineRule="auto"/>
              <w:jc w:val="right"/>
            </w:pPr>
            <w:r>
              <w:rPr>
                <w:b w:val="0"/>
                <w:i w:val="0"/>
                <w:sz w:val="18"/>
              </w:rPr>
              <w:t>10,000</w:t>
            </w:r>
          </w:p>
        </w:tc>
        <w:tc>
          <w:tcPr>
            <w:tcW w:type="dxa" w:w="893"/>
          </w:tcPr>
          <w:p>
            <w:pPr>
              <w:spacing w:line="264" w:lineRule="auto"/>
              <w:jc w:val="right"/>
            </w:pPr>
            <w:r>
              <w:rPr>
                <w:b w:val="0"/>
                <w:i w:val="0"/>
                <w:sz w:val="18"/>
              </w:rPr>
              <w:t>12,000</w:t>
            </w:r>
          </w:p>
        </w:tc>
        <w:tc>
          <w:tcPr>
            <w:tcW w:type="dxa" w:w="893"/>
          </w:tcPr>
          <w:p>
            <w:pPr>
              <w:spacing w:line="264" w:lineRule="auto"/>
              <w:jc w:val="right"/>
            </w:pPr>
            <w:r>
              <w:rPr>
                <w:b w:val="0"/>
                <w:i w:val="0"/>
                <w:sz w:val="18"/>
              </w:rPr>
              <w:t>13,800</w:t>
            </w:r>
          </w:p>
        </w:tc>
        <w:tc>
          <w:tcPr>
            <w:tcW w:type="dxa" w:w="893"/>
          </w:tcPr>
          <w:p>
            <w:pPr>
              <w:spacing w:line="264" w:lineRule="auto"/>
              <w:jc w:val="right"/>
            </w:pPr>
            <w:r>
              <w:rPr>
                <w:b w:val="0"/>
                <w:i w:val="0"/>
                <w:sz w:val="18"/>
              </w:rPr>
              <w:t>15,870</w:t>
            </w:r>
          </w:p>
        </w:tc>
        <w:tc>
          <w:tcPr>
            <w:tcW w:type="dxa" w:w="893"/>
          </w:tcPr>
          <w:p>
            <w:pPr>
              <w:spacing w:line="264" w:lineRule="auto"/>
              <w:jc w:val="right"/>
            </w:pPr>
            <w:r>
              <w:rPr>
                <w:b w:val="0"/>
                <w:i w:val="0"/>
                <w:sz w:val="18"/>
              </w:rPr>
              <w:t>18,250</w:t>
            </w:r>
          </w:p>
        </w:tc>
        <w:tc>
          <w:tcPr>
            <w:tcW w:type="dxa" w:w="893"/>
          </w:tcPr>
          <w:p>
            <w:pPr>
              <w:spacing w:line="264" w:lineRule="auto"/>
              <w:jc w:val="right"/>
            </w:pPr>
            <w:r>
              <w:rPr>
                <w:b w:val="0"/>
                <w:i w:val="0"/>
                <w:sz w:val="18"/>
              </w:rPr>
              <w:t>20,988</w:t>
            </w:r>
          </w:p>
        </w:tc>
        <w:tc>
          <w:tcPr>
            <w:tcW w:type="dxa" w:w="893"/>
          </w:tcPr>
          <w:p>
            <w:pPr>
              <w:spacing w:line="264" w:lineRule="auto"/>
              <w:jc w:val="right"/>
            </w:pPr>
            <w:r>
              <w:rPr>
                <w:b w:val="0"/>
                <w:i w:val="0"/>
                <w:sz w:val="18"/>
              </w:rPr>
              <w:t>24,136</w:t>
            </w:r>
          </w:p>
        </w:tc>
      </w:tr>
      <w:tr>
        <w:tc>
          <w:tcPr>
            <w:tcW w:type="dxa" w:w="2736"/>
            <w:shd w:val="clear" w:fill="EFF3F1"/>
          </w:tcPr>
          <w:p>
            <w:pPr>
              <w:spacing w:line="264" w:lineRule="auto"/>
            </w:pPr>
            <w:r>
              <w:rPr>
                <w:b w:val="0"/>
                <w:i w:val="0"/>
                <w:color w:val="1C3A36"/>
                <w:sz w:val="18"/>
              </w:rPr>
              <w:t>Holdco net treasury &amp; seed</w:t>
            </w:r>
          </w:p>
        </w:tc>
        <w:tc>
          <w:tcPr>
            <w:tcW w:type="dxa" w:w="893"/>
            <w:shd w:val="clear" w:fill="EFF3F1"/>
          </w:tcPr>
          <w:p>
            <w:pPr>
              <w:spacing w:line="264" w:lineRule="auto"/>
              <w:jc w:val="right"/>
            </w:pPr>
            <w:r>
              <w:rPr>
                <w:b w:val="0"/>
                <w:i w:val="0"/>
                <w:sz w:val="18"/>
              </w:rPr>
              <w:t>3,000</w:t>
            </w:r>
          </w:p>
        </w:tc>
        <w:tc>
          <w:tcPr>
            <w:tcW w:type="dxa" w:w="893"/>
            <w:shd w:val="clear" w:fill="EFF3F1"/>
          </w:tcPr>
          <w:p>
            <w:pPr>
              <w:spacing w:line="264" w:lineRule="auto"/>
              <w:jc w:val="right"/>
            </w:pPr>
            <w:r>
              <w:rPr>
                <w:b w:val="0"/>
                <w:i w:val="0"/>
                <w:sz w:val="18"/>
              </w:rPr>
              <w:t>3,000</w:t>
            </w:r>
          </w:p>
        </w:tc>
        <w:tc>
          <w:tcPr>
            <w:tcW w:type="dxa" w:w="893"/>
            <w:shd w:val="clear" w:fill="EFF3F1"/>
          </w:tcPr>
          <w:p>
            <w:pPr>
              <w:spacing w:line="264" w:lineRule="auto"/>
              <w:jc w:val="right"/>
            </w:pPr>
            <w:r>
              <w:rPr>
                <w:b w:val="0"/>
                <w:i w:val="0"/>
                <w:sz w:val="18"/>
              </w:rPr>
              <w:t>3,000</w:t>
            </w:r>
          </w:p>
        </w:tc>
        <w:tc>
          <w:tcPr>
            <w:tcW w:type="dxa" w:w="893"/>
            <w:shd w:val="clear" w:fill="EFF3F1"/>
          </w:tcPr>
          <w:p>
            <w:pPr>
              <w:spacing w:line="264" w:lineRule="auto"/>
              <w:jc w:val="right"/>
            </w:pPr>
            <w:r>
              <w:rPr>
                <w:b w:val="0"/>
                <w:i w:val="0"/>
                <w:sz w:val="18"/>
              </w:rPr>
              <w:t>3,000</w:t>
            </w:r>
          </w:p>
        </w:tc>
        <w:tc>
          <w:tcPr>
            <w:tcW w:type="dxa" w:w="893"/>
            <w:shd w:val="clear" w:fill="EFF3F1"/>
          </w:tcPr>
          <w:p>
            <w:pPr>
              <w:spacing w:line="264" w:lineRule="auto"/>
              <w:jc w:val="right"/>
            </w:pPr>
            <w:r>
              <w:rPr>
                <w:b w:val="0"/>
                <w:i w:val="0"/>
                <w:sz w:val="18"/>
              </w:rPr>
              <w:t>3,000</w:t>
            </w:r>
          </w:p>
        </w:tc>
        <w:tc>
          <w:tcPr>
            <w:tcW w:type="dxa" w:w="893"/>
            <w:shd w:val="clear" w:fill="EFF3F1"/>
          </w:tcPr>
          <w:p>
            <w:pPr>
              <w:spacing w:line="264" w:lineRule="auto"/>
              <w:jc w:val="right"/>
            </w:pPr>
            <w:r>
              <w:rPr>
                <w:b w:val="0"/>
                <w:i w:val="0"/>
                <w:sz w:val="18"/>
              </w:rPr>
              <w:t>3,000</w:t>
            </w:r>
          </w:p>
        </w:tc>
        <w:tc>
          <w:tcPr>
            <w:tcW w:type="dxa" w:w="893"/>
            <w:shd w:val="clear" w:fill="EFF3F1"/>
          </w:tcPr>
          <w:p>
            <w:pPr>
              <w:spacing w:line="264" w:lineRule="auto"/>
              <w:jc w:val="right"/>
            </w:pPr>
            <w:r>
              <w:rPr>
                <w:b w:val="0"/>
                <w:i w:val="0"/>
                <w:sz w:val="18"/>
              </w:rPr>
              <w:t>3,000</w:t>
            </w:r>
          </w:p>
        </w:tc>
        <w:tc>
          <w:tcPr>
            <w:tcW w:type="dxa" w:w="893"/>
            <w:shd w:val="clear" w:fill="EFF3F1"/>
          </w:tcPr>
          <w:p>
            <w:pPr>
              <w:spacing w:line="264" w:lineRule="auto"/>
              <w:jc w:val="right"/>
            </w:pPr>
            <w:r>
              <w:rPr>
                <w:b w:val="0"/>
                <w:i w:val="0"/>
                <w:sz w:val="18"/>
              </w:rPr>
              <w:t>3,000</w:t>
            </w:r>
          </w:p>
        </w:tc>
      </w:tr>
    </w:tbl>
    <w:p>
      <w:pPr>
        <w:spacing w:after="40"/>
      </w:pPr>
    </w:p>
    <w:p>
      <w:pPr>
        <w:spacing w:before="160" w:after="120" w:line="264" w:lineRule="auto"/>
      </w:pPr>
      <w:r>
        <w:rPr>
          <w:b/>
          <w:i w:val="0"/>
          <w:color w:val="1C3A36"/>
          <w:sz w:val="24"/>
        </w:rPr>
        <w:t>A.3  Cash flow</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Net profit (after minorities)</w:t>
            </w:r>
          </w:p>
        </w:tc>
        <w:tc>
          <w:tcPr>
            <w:tcW w:type="dxa" w:w="893"/>
          </w:tcPr>
          <w:p>
            <w:pPr>
              <w:spacing w:line="264" w:lineRule="auto"/>
              <w:jc w:val="right"/>
            </w:pPr>
            <w:r>
              <w:rPr>
                <w:b w:val="0"/>
                <w:i w:val="0"/>
                <w:sz w:val="18"/>
              </w:rPr>
              <w:t>2,500</w:t>
            </w:r>
          </w:p>
        </w:tc>
        <w:tc>
          <w:tcPr>
            <w:tcW w:type="dxa" w:w="893"/>
          </w:tcPr>
          <w:p>
            <w:pPr>
              <w:spacing w:line="264" w:lineRule="auto"/>
              <w:jc w:val="right"/>
            </w:pPr>
            <w:r>
              <w:rPr>
                <w:b w:val="0"/>
                <w:i w:val="0"/>
                <w:sz w:val="18"/>
              </w:rPr>
              <w:t>4,320</w:t>
            </w:r>
          </w:p>
        </w:tc>
        <w:tc>
          <w:tcPr>
            <w:tcW w:type="dxa" w:w="893"/>
          </w:tcPr>
          <w:p>
            <w:pPr>
              <w:spacing w:line="264" w:lineRule="auto"/>
              <w:jc w:val="right"/>
            </w:pPr>
            <w:r>
              <w:rPr>
                <w:b w:val="0"/>
                <w:i w:val="0"/>
                <w:sz w:val="18"/>
              </w:rPr>
              <w:t>4,100</w:t>
            </w:r>
          </w:p>
        </w:tc>
        <w:tc>
          <w:tcPr>
            <w:tcW w:type="dxa" w:w="893"/>
          </w:tcPr>
          <w:p>
            <w:pPr>
              <w:spacing w:line="264" w:lineRule="auto"/>
              <w:jc w:val="right"/>
            </w:pPr>
            <w:r>
              <w:rPr>
                <w:b w:val="0"/>
                <w:i w:val="0"/>
                <w:sz w:val="18"/>
              </w:rPr>
              <w:t>4,891</w:t>
            </w:r>
          </w:p>
        </w:tc>
        <w:tc>
          <w:tcPr>
            <w:tcW w:type="dxa" w:w="893"/>
          </w:tcPr>
          <w:p>
            <w:pPr>
              <w:spacing w:line="264" w:lineRule="auto"/>
              <w:jc w:val="right"/>
            </w:pPr>
            <w:r>
              <w:rPr>
                <w:b w:val="0"/>
                <w:i w:val="0"/>
                <w:sz w:val="18"/>
              </w:rPr>
              <w:t>5,694</w:t>
            </w:r>
          </w:p>
        </w:tc>
        <w:tc>
          <w:tcPr>
            <w:tcW w:type="dxa" w:w="893"/>
          </w:tcPr>
          <w:p>
            <w:pPr>
              <w:spacing w:line="264" w:lineRule="auto"/>
              <w:jc w:val="right"/>
            </w:pPr>
            <w:r>
              <w:rPr>
                <w:b w:val="0"/>
                <w:i w:val="0"/>
                <w:sz w:val="18"/>
              </w:rPr>
              <w:t>6,471</w:t>
            </w:r>
          </w:p>
        </w:tc>
        <w:tc>
          <w:tcPr>
            <w:tcW w:type="dxa" w:w="893"/>
          </w:tcPr>
          <w:p>
            <w:pPr>
              <w:spacing w:line="264" w:lineRule="auto"/>
              <w:jc w:val="right"/>
            </w:pPr>
            <w:r>
              <w:rPr>
                <w:b w:val="0"/>
                <w:i w:val="0"/>
                <w:sz w:val="18"/>
              </w:rPr>
              <w:t>7,352</w:t>
            </w:r>
          </w:p>
        </w:tc>
        <w:tc>
          <w:tcPr>
            <w:tcW w:type="dxa" w:w="893"/>
          </w:tcPr>
          <w:p>
            <w:pPr>
              <w:spacing w:line="264" w:lineRule="auto"/>
              <w:jc w:val="right"/>
            </w:pPr>
            <w:r>
              <w:rPr>
                <w:b w:val="0"/>
                <w:i w:val="0"/>
                <w:sz w:val="18"/>
              </w:rPr>
              <w:t>8,278</w:t>
            </w:r>
          </w:p>
        </w:tc>
      </w:tr>
      <w:tr>
        <w:tc>
          <w:tcPr>
            <w:tcW w:type="dxa" w:w="2736"/>
            <w:shd w:val="clear" w:fill="EFF3F1"/>
          </w:tcPr>
          <w:p>
            <w:pPr>
              <w:spacing w:line="264" w:lineRule="auto"/>
            </w:pPr>
            <w:r>
              <w:rPr>
                <w:b w:val="0"/>
                <w:i w:val="0"/>
                <w:color w:val="1C3A36"/>
                <w:sz w:val="18"/>
              </w:rPr>
              <w:t>+ Provisions &amp; D&amp;A addback</w:t>
            </w:r>
          </w:p>
        </w:tc>
        <w:tc>
          <w:tcPr>
            <w:tcW w:type="dxa" w:w="893"/>
            <w:shd w:val="clear" w:fill="EFF3F1"/>
          </w:tcPr>
          <w:p>
            <w:pPr>
              <w:spacing w:line="264" w:lineRule="auto"/>
              <w:jc w:val="right"/>
            </w:pPr>
            <w:r>
              <w:rPr>
                <w:b w:val="0"/>
                <w:i w:val="0"/>
                <w:sz w:val="18"/>
              </w:rPr>
              <w:t>1,200</w:t>
            </w:r>
          </w:p>
        </w:tc>
        <w:tc>
          <w:tcPr>
            <w:tcW w:type="dxa" w:w="893"/>
            <w:shd w:val="clear" w:fill="EFF3F1"/>
          </w:tcPr>
          <w:p>
            <w:pPr>
              <w:spacing w:line="264" w:lineRule="auto"/>
              <w:jc w:val="right"/>
            </w:pPr>
            <w:r>
              <w:rPr>
                <w:b w:val="0"/>
                <w:i w:val="0"/>
                <w:sz w:val="18"/>
              </w:rPr>
              <w:t>1,600</w:t>
            </w:r>
          </w:p>
        </w:tc>
        <w:tc>
          <w:tcPr>
            <w:tcW w:type="dxa" w:w="893"/>
            <w:shd w:val="clear" w:fill="EFF3F1"/>
          </w:tcPr>
          <w:p>
            <w:pPr>
              <w:spacing w:line="264" w:lineRule="auto"/>
              <w:jc w:val="right"/>
            </w:pPr>
            <w:r>
              <w:rPr>
                <w:b w:val="0"/>
                <w:i w:val="0"/>
                <w:sz w:val="18"/>
              </w:rPr>
              <w:t>2,000</w:t>
            </w:r>
          </w:p>
        </w:tc>
        <w:tc>
          <w:tcPr>
            <w:tcW w:type="dxa" w:w="893"/>
            <w:shd w:val="clear" w:fill="EFF3F1"/>
          </w:tcPr>
          <w:p>
            <w:pPr>
              <w:spacing w:line="264" w:lineRule="auto"/>
              <w:jc w:val="right"/>
            </w:pPr>
            <w:r>
              <w:rPr>
                <w:b w:val="0"/>
                <w:i w:val="0"/>
                <w:sz w:val="18"/>
              </w:rPr>
              <w:t>2,371</w:t>
            </w:r>
          </w:p>
        </w:tc>
        <w:tc>
          <w:tcPr>
            <w:tcW w:type="dxa" w:w="893"/>
            <w:shd w:val="clear" w:fill="EFF3F1"/>
          </w:tcPr>
          <w:p>
            <w:pPr>
              <w:spacing w:line="264" w:lineRule="auto"/>
              <w:jc w:val="right"/>
            </w:pPr>
            <w:r>
              <w:rPr>
                <w:b w:val="0"/>
                <w:i w:val="0"/>
                <w:sz w:val="18"/>
              </w:rPr>
              <w:t>2,679</w:t>
            </w:r>
          </w:p>
        </w:tc>
        <w:tc>
          <w:tcPr>
            <w:tcW w:type="dxa" w:w="893"/>
            <w:shd w:val="clear" w:fill="EFF3F1"/>
          </w:tcPr>
          <w:p>
            <w:pPr>
              <w:spacing w:line="264" w:lineRule="auto"/>
              <w:jc w:val="right"/>
            </w:pPr>
            <w:r>
              <w:rPr>
                <w:b w:val="0"/>
                <w:i w:val="0"/>
                <w:sz w:val="18"/>
              </w:rPr>
              <w:t>3,001</w:t>
            </w:r>
          </w:p>
        </w:tc>
        <w:tc>
          <w:tcPr>
            <w:tcW w:type="dxa" w:w="893"/>
            <w:shd w:val="clear" w:fill="EFF3F1"/>
          </w:tcPr>
          <w:p>
            <w:pPr>
              <w:spacing w:line="264" w:lineRule="auto"/>
              <w:jc w:val="right"/>
            </w:pPr>
            <w:r>
              <w:rPr>
                <w:b w:val="0"/>
                <w:i w:val="0"/>
                <w:sz w:val="18"/>
              </w:rPr>
              <w:t>3,361</w:t>
            </w:r>
          </w:p>
        </w:tc>
        <w:tc>
          <w:tcPr>
            <w:tcW w:type="dxa" w:w="893"/>
            <w:shd w:val="clear" w:fill="EFF3F1"/>
          </w:tcPr>
          <w:p>
            <w:pPr>
              <w:spacing w:line="264" w:lineRule="auto"/>
              <w:jc w:val="right"/>
            </w:pPr>
            <w:r>
              <w:rPr>
                <w:b w:val="0"/>
                <w:i w:val="0"/>
                <w:sz w:val="18"/>
              </w:rPr>
              <w:t>3,731</w:t>
            </w:r>
          </w:p>
        </w:tc>
      </w:tr>
      <w:tr>
        <w:tc>
          <w:tcPr>
            <w:tcW w:type="dxa" w:w="2736"/>
          </w:tcPr>
          <w:p>
            <w:pPr>
              <w:spacing w:line="264" w:lineRule="auto"/>
            </w:pPr>
            <w:r>
              <w:rPr>
                <w:b w:val="0"/>
                <w:i w:val="0"/>
                <w:color w:val="1C3A36"/>
                <w:sz w:val="18"/>
              </w:rPr>
              <w:t>Cash from operations (proxy)</w:t>
            </w:r>
          </w:p>
        </w:tc>
        <w:tc>
          <w:tcPr>
            <w:tcW w:type="dxa" w:w="893"/>
          </w:tcPr>
          <w:p>
            <w:pPr>
              <w:spacing w:line="264" w:lineRule="auto"/>
              <w:jc w:val="right"/>
            </w:pPr>
            <w:r>
              <w:rPr>
                <w:b w:val="0"/>
                <w:i w:val="0"/>
                <w:sz w:val="18"/>
              </w:rPr>
              <w:t>3,700</w:t>
            </w:r>
          </w:p>
        </w:tc>
        <w:tc>
          <w:tcPr>
            <w:tcW w:type="dxa" w:w="893"/>
          </w:tcPr>
          <w:p>
            <w:pPr>
              <w:spacing w:line="264" w:lineRule="auto"/>
              <w:jc w:val="right"/>
            </w:pPr>
            <w:r>
              <w:rPr>
                <w:b w:val="0"/>
                <w:i w:val="0"/>
                <w:sz w:val="18"/>
              </w:rPr>
              <w:t>5,920</w:t>
            </w:r>
          </w:p>
        </w:tc>
        <w:tc>
          <w:tcPr>
            <w:tcW w:type="dxa" w:w="893"/>
          </w:tcPr>
          <w:p>
            <w:pPr>
              <w:spacing w:line="264" w:lineRule="auto"/>
              <w:jc w:val="right"/>
            </w:pPr>
            <w:r>
              <w:rPr>
                <w:b w:val="0"/>
                <w:i w:val="0"/>
                <w:sz w:val="18"/>
              </w:rPr>
              <w:t>6,100</w:t>
            </w:r>
          </w:p>
        </w:tc>
        <w:tc>
          <w:tcPr>
            <w:tcW w:type="dxa" w:w="893"/>
          </w:tcPr>
          <w:p>
            <w:pPr>
              <w:spacing w:line="264" w:lineRule="auto"/>
              <w:jc w:val="right"/>
            </w:pPr>
            <w:r>
              <w:rPr>
                <w:b w:val="0"/>
                <w:i w:val="0"/>
                <w:sz w:val="18"/>
              </w:rPr>
              <w:t>7,262</w:t>
            </w:r>
          </w:p>
        </w:tc>
        <w:tc>
          <w:tcPr>
            <w:tcW w:type="dxa" w:w="893"/>
          </w:tcPr>
          <w:p>
            <w:pPr>
              <w:spacing w:line="264" w:lineRule="auto"/>
              <w:jc w:val="right"/>
            </w:pPr>
            <w:r>
              <w:rPr>
                <w:b w:val="0"/>
                <w:i w:val="0"/>
                <w:sz w:val="18"/>
              </w:rPr>
              <w:t>8,373</w:t>
            </w:r>
          </w:p>
        </w:tc>
        <w:tc>
          <w:tcPr>
            <w:tcW w:type="dxa" w:w="893"/>
          </w:tcPr>
          <w:p>
            <w:pPr>
              <w:spacing w:line="264" w:lineRule="auto"/>
              <w:jc w:val="right"/>
            </w:pPr>
            <w:r>
              <w:rPr>
                <w:b w:val="0"/>
                <w:i w:val="0"/>
                <w:sz w:val="18"/>
              </w:rPr>
              <w:t>9,472</w:t>
            </w:r>
          </w:p>
        </w:tc>
        <w:tc>
          <w:tcPr>
            <w:tcW w:type="dxa" w:w="893"/>
          </w:tcPr>
          <w:p>
            <w:pPr>
              <w:spacing w:line="264" w:lineRule="auto"/>
              <w:jc w:val="right"/>
            </w:pPr>
            <w:r>
              <w:rPr>
                <w:b w:val="0"/>
                <w:i w:val="0"/>
                <w:sz w:val="18"/>
              </w:rPr>
              <w:t>10,714</w:t>
            </w:r>
          </w:p>
        </w:tc>
        <w:tc>
          <w:tcPr>
            <w:tcW w:type="dxa" w:w="893"/>
          </w:tcPr>
          <w:p>
            <w:pPr>
              <w:spacing w:line="264" w:lineRule="auto"/>
              <w:jc w:val="right"/>
            </w:pPr>
            <w:r>
              <w:rPr>
                <w:b w:val="0"/>
                <w:i w:val="0"/>
                <w:sz w:val="18"/>
              </w:rPr>
              <w:t>12,009</w:t>
            </w:r>
          </w:p>
        </w:tc>
      </w:tr>
      <w:tr>
        <w:tc>
          <w:tcPr>
            <w:tcW w:type="dxa" w:w="2736"/>
            <w:shd w:val="clear" w:fill="EFF3F1"/>
          </w:tcPr>
          <w:p>
            <w:pPr>
              <w:spacing w:line="264" w:lineRule="auto"/>
            </w:pPr>
            <w:r>
              <w:rPr>
                <w:b w:val="0"/>
                <w:i w:val="0"/>
                <w:color w:val="1C3A36"/>
                <w:sz w:val="18"/>
              </w:rPr>
              <w:t>- Capex</w:t>
            </w:r>
          </w:p>
        </w:tc>
        <w:tc>
          <w:tcPr>
            <w:tcW w:type="dxa" w:w="893"/>
            <w:shd w:val="clear" w:fill="EFF3F1"/>
          </w:tcPr>
          <w:p>
            <w:pPr>
              <w:spacing w:line="264" w:lineRule="auto"/>
              <w:jc w:val="right"/>
            </w:pPr>
            <w:r>
              <w:rPr>
                <w:b w:val="0"/>
                <w:i w:val="0"/>
                <w:sz w:val="18"/>
              </w:rPr>
              <w:t>-500</w:t>
            </w:r>
          </w:p>
        </w:tc>
        <w:tc>
          <w:tcPr>
            <w:tcW w:type="dxa" w:w="893"/>
            <w:shd w:val="clear" w:fill="EFF3F1"/>
          </w:tcPr>
          <w:p>
            <w:pPr>
              <w:spacing w:line="264" w:lineRule="auto"/>
              <w:jc w:val="right"/>
            </w:pPr>
            <w:r>
              <w:rPr>
                <w:b w:val="0"/>
                <w:i w:val="0"/>
                <w:sz w:val="18"/>
              </w:rPr>
              <w:t>-550</w:t>
            </w:r>
          </w:p>
        </w:tc>
        <w:tc>
          <w:tcPr>
            <w:tcW w:type="dxa" w:w="893"/>
            <w:shd w:val="clear" w:fill="EFF3F1"/>
          </w:tcPr>
          <w:p>
            <w:pPr>
              <w:spacing w:line="264" w:lineRule="auto"/>
              <w:jc w:val="right"/>
            </w:pPr>
            <w:r>
              <w:rPr>
                <w:b w:val="0"/>
                <w:i w:val="0"/>
                <w:sz w:val="18"/>
              </w:rPr>
              <w:t>-600</w:t>
            </w:r>
          </w:p>
        </w:tc>
        <w:tc>
          <w:tcPr>
            <w:tcW w:type="dxa" w:w="893"/>
            <w:shd w:val="clear" w:fill="EFF3F1"/>
          </w:tcPr>
          <w:p>
            <w:pPr>
              <w:spacing w:line="264" w:lineRule="auto"/>
              <w:jc w:val="right"/>
            </w:pPr>
            <w:r>
              <w:rPr>
                <w:b w:val="0"/>
                <w:i w:val="0"/>
                <w:sz w:val="18"/>
              </w:rPr>
              <w:t>-600</w:t>
            </w:r>
          </w:p>
        </w:tc>
        <w:tc>
          <w:tcPr>
            <w:tcW w:type="dxa" w:w="893"/>
            <w:shd w:val="clear" w:fill="EFF3F1"/>
          </w:tcPr>
          <w:p>
            <w:pPr>
              <w:spacing w:line="264" w:lineRule="auto"/>
              <w:jc w:val="right"/>
            </w:pPr>
            <w:r>
              <w:rPr>
                <w:b w:val="0"/>
                <w:i w:val="0"/>
                <w:sz w:val="18"/>
              </w:rPr>
              <w:t>-650</w:t>
            </w:r>
          </w:p>
        </w:tc>
        <w:tc>
          <w:tcPr>
            <w:tcW w:type="dxa" w:w="893"/>
            <w:shd w:val="clear" w:fill="EFF3F1"/>
          </w:tcPr>
          <w:p>
            <w:pPr>
              <w:spacing w:line="264" w:lineRule="auto"/>
              <w:jc w:val="right"/>
            </w:pPr>
            <w:r>
              <w:rPr>
                <w:b w:val="0"/>
                <w:i w:val="0"/>
                <w:sz w:val="18"/>
              </w:rPr>
              <w:t>-700</w:t>
            </w:r>
          </w:p>
        </w:tc>
        <w:tc>
          <w:tcPr>
            <w:tcW w:type="dxa" w:w="893"/>
            <w:shd w:val="clear" w:fill="EFF3F1"/>
          </w:tcPr>
          <w:p>
            <w:pPr>
              <w:spacing w:line="264" w:lineRule="auto"/>
              <w:jc w:val="right"/>
            </w:pPr>
            <w:r>
              <w:rPr>
                <w:b w:val="0"/>
                <w:i w:val="0"/>
                <w:sz w:val="18"/>
              </w:rPr>
              <w:t>-750</w:t>
            </w:r>
          </w:p>
        </w:tc>
        <w:tc>
          <w:tcPr>
            <w:tcW w:type="dxa" w:w="893"/>
            <w:shd w:val="clear" w:fill="EFF3F1"/>
          </w:tcPr>
          <w:p>
            <w:pPr>
              <w:spacing w:line="264" w:lineRule="auto"/>
              <w:jc w:val="right"/>
            </w:pPr>
            <w:r>
              <w:rPr>
                <w:b w:val="0"/>
                <w:i w:val="0"/>
                <w:sz w:val="18"/>
              </w:rPr>
              <w:t>-800</w:t>
            </w:r>
          </w:p>
        </w:tc>
      </w:tr>
      <w:tr>
        <w:tc>
          <w:tcPr>
            <w:tcW w:type="dxa" w:w="2736"/>
          </w:tcPr>
          <w:p>
            <w:pPr>
              <w:spacing w:line="264" w:lineRule="auto"/>
            </w:pPr>
            <w:r>
              <w:rPr>
                <w:b w:val="0"/>
                <w:i w:val="0"/>
                <w:color w:val="1C3A36"/>
                <w:sz w:val="18"/>
              </w:rPr>
              <w:t>- Shareholder distributions</w:t>
            </w:r>
          </w:p>
        </w:tc>
        <w:tc>
          <w:tcPr>
            <w:tcW w:type="dxa" w:w="893"/>
          </w:tcPr>
          <w:p>
            <w:pPr>
              <w:spacing w:line="264" w:lineRule="auto"/>
              <w:jc w:val="right"/>
            </w:pPr>
            <w:r>
              <w:rPr>
                <w:b w:val="0"/>
                <w:i w:val="0"/>
                <w:sz w:val="18"/>
              </w:rPr>
              <w:t>-1,300</w:t>
            </w:r>
          </w:p>
        </w:tc>
        <w:tc>
          <w:tcPr>
            <w:tcW w:type="dxa" w:w="893"/>
          </w:tcPr>
          <w:p>
            <w:pPr>
              <w:spacing w:line="264" w:lineRule="auto"/>
              <w:jc w:val="right"/>
            </w:pPr>
            <w:r>
              <w:rPr>
                <w:b w:val="0"/>
                <w:i w:val="0"/>
                <w:sz w:val="18"/>
              </w:rPr>
              <w:t>0</w:t>
            </w:r>
          </w:p>
        </w:tc>
        <w:tc>
          <w:tcPr>
            <w:tcW w:type="dxa" w:w="893"/>
          </w:tcPr>
          <w:p>
            <w:pPr>
              <w:spacing w:line="264" w:lineRule="auto"/>
              <w:jc w:val="right"/>
            </w:pPr>
            <w:r>
              <w:rPr>
                <w:b w:val="0"/>
                <w:i w:val="0"/>
                <w:sz w:val="18"/>
              </w:rPr>
              <w:t>0</w:t>
            </w:r>
          </w:p>
        </w:tc>
        <w:tc>
          <w:tcPr>
            <w:tcW w:type="dxa" w:w="893"/>
          </w:tcPr>
          <w:p>
            <w:pPr>
              <w:spacing w:line="264" w:lineRule="auto"/>
              <w:jc w:val="right"/>
            </w:pPr>
            <w:r>
              <w:rPr>
                <w:b w:val="0"/>
                <w:i w:val="0"/>
                <w:sz w:val="18"/>
              </w:rPr>
              <w:t>-400</w:t>
            </w:r>
          </w:p>
        </w:tc>
        <w:tc>
          <w:tcPr>
            <w:tcW w:type="dxa" w:w="893"/>
          </w:tcPr>
          <w:p>
            <w:pPr>
              <w:spacing w:line="264" w:lineRule="auto"/>
              <w:jc w:val="right"/>
            </w:pPr>
            <w:r>
              <w:rPr>
                <w:b w:val="0"/>
                <w:i w:val="0"/>
                <w:sz w:val="18"/>
              </w:rPr>
              <w:t>-600</w:t>
            </w:r>
          </w:p>
        </w:tc>
        <w:tc>
          <w:tcPr>
            <w:tcW w:type="dxa" w:w="893"/>
          </w:tcPr>
          <w:p>
            <w:pPr>
              <w:spacing w:line="264" w:lineRule="auto"/>
              <w:jc w:val="right"/>
            </w:pPr>
            <w:r>
              <w:rPr>
                <w:b w:val="0"/>
                <w:i w:val="0"/>
                <w:sz w:val="18"/>
              </w:rPr>
              <w:t>-800</w:t>
            </w:r>
          </w:p>
        </w:tc>
        <w:tc>
          <w:tcPr>
            <w:tcW w:type="dxa" w:w="893"/>
          </w:tcPr>
          <w:p>
            <w:pPr>
              <w:spacing w:line="264" w:lineRule="auto"/>
              <w:jc w:val="right"/>
            </w:pPr>
            <w:r>
              <w:rPr>
                <w:b w:val="0"/>
                <w:i w:val="0"/>
                <w:sz w:val="18"/>
              </w:rPr>
              <w:t>-1,000</w:t>
            </w:r>
          </w:p>
        </w:tc>
        <w:tc>
          <w:tcPr>
            <w:tcW w:type="dxa" w:w="893"/>
          </w:tcPr>
          <w:p>
            <w:pPr>
              <w:spacing w:line="264" w:lineRule="auto"/>
              <w:jc w:val="right"/>
            </w:pPr>
            <w:r>
              <w:rPr>
                <w:b w:val="0"/>
                <w:i w:val="0"/>
                <w:sz w:val="18"/>
              </w:rPr>
              <w:t>-1,200</w:t>
            </w:r>
          </w:p>
        </w:tc>
      </w:tr>
      <w:tr>
        <w:tc>
          <w:tcPr>
            <w:tcW w:type="dxa" w:w="2736"/>
            <w:shd w:val="clear" w:fill="EFF3F1"/>
          </w:tcPr>
          <w:p>
            <w:pPr>
              <w:spacing w:line="264" w:lineRule="auto"/>
            </w:pPr>
            <w:r>
              <w:rPr>
                <w:b w:val="0"/>
                <w:i w:val="0"/>
                <w:color w:val="1C3A36"/>
                <w:sz w:val="18"/>
              </w:rPr>
              <w:t>Net change (proxy)</w:t>
            </w:r>
          </w:p>
        </w:tc>
        <w:tc>
          <w:tcPr>
            <w:tcW w:type="dxa" w:w="893"/>
            <w:shd w:val="clear" w:fill="EFF3F1"/>
          </w:tcPr>
          <w:p>
            <w:pPr>
              <w:spacing w:line="264" w:lineRule="auto"/>
              <w:jc w:val="right"/>
            </w:pPr>
            <w:r>
              <w:rPr>
                <w:b w:val="0"/>
                <w:i w:val="0"/>
                <w:sz w:val="18"/>
              </w:rPr>
              <w:t>1,900</w:t>
            </w:r>
          </w:p>
        </w:tc>
        <w:tc>
          <w:tcPr>
            <w:tcW w:type="dxa" w:w="893"/>
            <w:shd w:val="clear" w:fill="EFF3F1"/>
          </w:tcPr>
          <w:p>
            <w:pPr>
              <w:spacing w:line="264" w:lineRule="auto"/>
              <w:jc w:val="right"/>
            </w:pPr>
            <w:r>
              <w:rPr>
                <w:b w:val="0"/>
                <w:i w:val="0"/>
                <w:sz w:val="18"/>
              </w:rPr>
              <w:t>5,370</w:t>
            </w:r>
          </w:p>
        </w:tc>
        <w:tc>
          <w:tcPr>
            <w:tcW w:type="dxa" w:w="893"/>
            <w:shd w:val="clear" w:fill="EFF3F1"/>
          </w:tcPr>
          <w:p>
            <w:pPr>
              <w:spacing w:line="264" w:lineRule="auto"/>
              <w:jc w:val="right"/>
            </w:pPr>
            <w:r>
              <w:rPr>
                <w:b w:val="0"/>
                <w:i w:val="0"/>
                <w:sz w:val="18"/>
              </w:rPr>
              <w:t>5,500</w:t>
            </w:r>
          </w:p>
        </w:tc>
        <w:tc>
          <w:tcPr>
            <w:tcW w:type="dxa" w:w="893"/>
            <w:shd w:val="clear" w:fill="EFF3F1"/>
          </w:tcPr>
          <w:p>
            <w:pPr>
              <w:spacing w:line="264" w:lineRule="auto"/>
              <w:jc w:val="right"/>
            </w:pPr>
            <w:r>
              <w:rPr>
                <w:b w:val="0"/>
                <w:i w:val="0"/>
                <w:sz w:val="18"/>
              </w:rPr>
              <w:t>6,262</w:t>
            </w:r>
          </w:p>
        </w:tc>
        <w:tc>
          <w:tcPr>
            <w:tcW w:type="dxa" w:w="893"/>
            <w:shd w:val="clear" w:fill="EFF3F1"/>
          </w:tcPr>
          <w:p>
            <w:pPr>
              <w:spacing w:line="264" w:lineRule="auto"/>
              <w:jc w:val="right"/>
            </w:pPr>
            <w:r>
              <w:rPr>
                <w:b w:val="0"/>
                <w:i w:val="0"/>
                <w:sz w:val="18"/>
              </w:rPr>
              <w:t>7,123</w:t>
            </w:r>
          </w:p>
        </w:tc>
        <w:tc>
          <w:tcPr>
            <w:tcW w:type="dxa" w:w="893"/>
            <w:shd w:val="clear" w:fill="EFF3F1"/>
          </w:tcPr>
          <w:p>
            <w:pPr>
              <w:spacing w:line="264" w:lineRule="auto"/>
              <w:jc w:val="right"/>
            </w:pPr>
            <w:r>
              <w:rPr>
                <w:b w:val="0"/>
                <w:i w:val="0"/>
                <w:sz w:val="18"/>
              </w:rPr>
              <w:t>7,972</w:t>
            </w:r>
          </w:p>
        </w:tc>
        <w:tc>
          <w:tcPr>
            <w:tcW w:type="dxa" w:w="893"/>
            <w:shd w:val="clear" w:fill="EFF3F1"/>
          </w:tcPr>
          <w:p>
            <w:pPr>
              <w:spacing w:line="264" w:lineRule="auto"/>
              <w:jc w:val="right"/>
            </w:pPr>
            <w:r>
              <w:rPr>
                <w:b w:val="0"/>
                <w:i w:val="0"/>
                <w:sz w:val="18"/>
              </w:rPr>
              <w:t>8,964</w:t>
            </w:r>
          </w:p>
        </w:tc>
        <w:tc>
          <w:tcPr>
            <w:tcW w:type="dxa" w:w="893"/>
            <w:shd w:val="clear" w:fill="EFF3F1"/>
          </w:tcPr>
          <w:p>
            <w:pPr>
              <w:spacing w:line="264" w:lineRule="auto"/>
              <w:jc w:val="right"/>
            </w:pPr>
            <w:r>
              <w:rPr>
                <w:b w:val="0"/>
                <w:i w:val="0"/>
                <w:sz w:val="18"/>
              </w:rPr>
              <w:t>10,009</w:t>
            </w:r>
          </w:p>
        </w:tc>
      </w:tr>
    </w:tbl>
    <w:p>
      <w:pPr>
        <w:spacing w:after="40"/>
      </w:pPr>
    </w:p>
    <w:p>
      <w:pPr>
        <w:spacing w:before="160" w:after="120" w:line="264" w:lineRule="auto"/>
      </w:pPr>
      <w:r>
        <w:rPr>
          <w:b/>
          <w:i w:val="0"/>
          <w:color w:val="1C3A36"/>
          <w:sz w:val="24"/>
        </w:rPr>
        <w:t>A.4  Discounted cash flow (5-year forecast)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2736"/>
            <w:shd w:val="clear" w:fill="1C3A36"/>
          </w:tcPr>
          <w:p>
            <w:pPr>
              <w:spacing w:line="264" w:lineRule="auto"/>
            </w:pPr>
            <w:r>
              <w:rPr>
                <w:b/>
                <w:i w:val="0"/>
                <w:color w:val="FFFFFF"/>
                <w:sz w:val="18"/>
              </w:rPr>
              <w:t>Line</w:t>
            </w:r>
          </w:p>
        </w:tc>
        <w:tc>
          <w:tcPr>
            <w:tcW w:type="dxa" w:w="1440"/>
            <w:shd w:val="clear" w:fill="1C3A36"/>
          </w:tcPr>
          <w:p>
            <w:pPr>
              <w:spacing w:line="264" w:lineRule="auto"/>
              <w:jc w:val="right"/>
            </w:pPr>
            <w:r>
              <w:rPr>
                <w:b/>
                <w:i w:val="0"/>
                <w:color w:val="FFFFFF"/>
                <w:sz w:val="18"/>
              </w:rPr>
              <w:t>FY26E</w:t>
            </w:r>
          </w:p>
        </w:tc>
        <w:tc>
          <w:tcPr>
            <w:tcW w:type="dxa" w:w="1440"/>
            <w:shd w:val="clear" w:fill="1C3A36"/>
          </w:tcPr>
          <w:p>
            <w:pPr>
              <w:spacing w:line="264" w:lineRule="auto"/>
              <w:jc w:val="right"/>
            </w:pPr>
            <w:r>
              <w:rPr>
                <w:b/>
                <w:i w:val="0"/>
                <w:color w:val="FFFFFF"/>
                <w:sz w:val="18"/>
              </w:rPr>
              <w:t>FY27E</w:t>
            </w:r>
          </w:p>
        </w:tc>
        <w:tc>
          <w:tcPr>
            <w:tcW w:type="dxa" w:w="1440"/>
            <w:shd w:val="clear" w:fill="1C3A36"/>
          </w:tcPr>
          <w:p>
            <w:pPr>
              <w:spacing w:line="264" w:lineRule="auto"/>
              <w:jc w:val="right"/>
            </w:pPr>
            <w:r>
              <w:rPr>
                <w:b/>
                <w:i w:val="0"/>
                <w:color w:val="FFFFFF"/>
                <w:sz w:val="18"/>
              </w:rPr>
              <w:t>FY28E</w:t>
            </w:r>
          </w:p>
        </w:tc>
        <w:tc>
          <w:tcPr>
            <w:tcW w:type="dxa" w:w="1440"/>
            <w:shd w:val="clear" w:fill="1C3A36"/>
          </w:tcPr>
          <w:p>
            <w:pPr>
              <w:spacing w:line="264" w:lineRule="auto"/>
              <w:jc w:val="right"/>
            </w:pPr>
            <w:r>
              <w:rPr>
                <w:b/>
                <w:i w:val="0"/>
                <w:color w:val="FFFFFF"/>
                <w:sz w:val="18"/>
              </w:rPr>
              <w:t>FY29E</w:t>
            </w:r>
          </w:p>
        </w:tc>
        <w:tc>
          <w:tcPr>
            <w:tcW w:type="dxa" w:w="1440"/>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Net profit (after minorities)</w:t>
            </w:r>
          </w:p>
        </w:tc>
        <w:tc>
          <w:tcPr>
            <w:tcW w:type="dxa" w:w="1440"/>
          </w:tcPr>
          <w:p>
            <w:pPr>
              <w:spacing w:line="264" w:lineRule="auto"/>
              <w:jc w:val="right"/>
            </w:pPr>
            <w:r>
              <w:rPr>
                <w:b w:val="0"/>
                <w:i w:val="0"/>
                <w:sz w:val="18"/>
              </w:rPr>
              <w:t>4,891</w:t>
            </w:r>
          </w:p>
        </w:tc>
        <w:tc>
          <w:tcPr>
            <w:tcW w:type="dxa" w:w="1440"/>
          </w:tcPr>
          <w:p>
            <w:pPr>
              <w:spacing w:line="264" w:lineRule="auto"/>
              <w:jc w:val="right"/>
            </w:pPr>
            <w:r>
              <w:rPr>
                <w:b w:val="0"/>
                <w:i w:val="0"/>
                <w:sz w:val="18"/>
              </w:rPr>
              <w:t>5,694</w:t>
            </w:r>
          </w:p>
        </w:tc>
        <w:tc>
          <w:tcPr>
            <w:tcW w:type="dxa" w:w="1440"/>
          </w:tcPr>
          <w:p>
            <w:pPr>
              <w:spacing w:line="264" w:lineRule="auto"/>
              <w:jc w:val="right"/>
            </w:pPr>
            <w:r>
              <w:rPr>
                <w:b w:val="0"/>
                <w:i w:val="0"/>
                <w:sz w:val="18"/>
              </w:rPr>
              <w:t>6,471</w:t>
            </w:r>
          </w:p>
        </w:tc>
        <w:tc>
          <w:tcPr>
            <w:tcW w:type="dxa" w:w="1440"/>
          </w:tcPr>
          <w:p>
            <w:pPr>
              <w:spacing w:line="264" w:lineRule="auto"/>
              <w:jc w:val="right"/>
            </w:pPr>
            <w:r>
              <w:rPr>
                <w:b w:val="0"/>
                <w:i w:val="0"/>
                <w:sz w:val="18"/>
              </w:rPr>
              <w:t>7,352</w:t>
            </w:r>
          </w:p>
        </w:tc>
        <w:tc>
          <w:tcPr>
            <w:tcW w:type="dxa" w:w="1440"/>
          </w:tcPr>
          <w:p>
            <w:pPr>
              <w:spacing w:line="264" w:lineRule="auto"/>
              <w:jc w:val="right"/>
            </w:pPr>
            <w:r>
              <w:rPr>
                <w:b w:val="0"/>
                <w:i w:val="0"/>
                <w:sz w:val="18"/>
              </w:rPr>
              <w:t>8,278</w:t>
            </w:r>
          </w:p>
        </w:tc>
      </w:tr>
      <w:tr>
        <w:tc>
          <w:tcPr>
            <w:tcW w:type="dxa" w:w="2736"/>
            <w:shd w:val="clear" w:fill="EFF3F1"/>
          </w:tcPr>
          <w:p>
            <w:pPr>
              <w:spacing w:line="264" w:lineRule="auto"/>
            </w:pPr>
            <w:r>
              <w:rPr>
                <w:b w:val="0"/>
                <w:i w:val="0"/>
                <w:color w:val="1C3A36"/>
                <w:sz w:val="18"/>
              </w:rPr>
              <w:t>Discount factor</w:t>
            </w:r>
          </w:p>
        </w:tc>
        <w:tc>
          <w:tcPr>
            <w:tcW w:type="dxa" w:w="1440"/>
            <w:shd w:val="clear" w:fill="EFF3F1"/>
          </w:tcPr>
          <w:p>
            <w:pPr>
              <w:spacing w:line="264" w:lineRule="auto"/>
              <w:jc w:val="right"/>
            </w:pPr>
            <w:r>
              <w:rPr>
                <w:b w:val="0"/>
                <w:i w:val="0"/>
                <w:sz w:val="18"/>
              </w:rPr>
              <w:t>0.806</w:t>
            </w:r>
          </w:p>
        </w:tc>
        <w:tc>
          <w:tcPr>
            <w:tcW w:type="dxa" w:w="1440"/>
            <w:shd w:val="clear" w:fill="EFF3F1"/>
          </w:tcPr>
          <w:p>
            <w:pPr>
              <w:spacing w:line="264" w:lineRule="auto"/>
              <w:jc w:val="right"/>
            </w:pPr>
            <w:r>
              <w:rPr>
                <w:b w:val="0"/>
                <w:i w:val="0"/>
                <w:sz w:val="18"/>
              </w:rPr>
              <w:t>0.650</w:t>
            </w:r>
          </w:p>
        </w:tc>
        <w:tc>
          <w:tcPr>
            <w:tcW w:type="dxa" w:w="1440"/>
            <w:shd w:val="clear" w:fill="EFF3F1"/>
          </w:tcPr>
          <w:p>
            <w:pPr>
              <w:spacing w:line="264" w:lineRule="auto"/>
              <w:jc w:val="right"/>
            </w:pPr>
            <w:r>
              <w:rPr>
                <w:b w:val="0"/>
                <w:i w:val="0"/>
                <w:sz w:val="18"/>
              </w:rPr>
              <w:t>0.524</w:t>
            </w:r>
          </w:p>
        </w:tc>
        <w:tc>
          <w:tcPr>
            <w:tcW w:type="dxa" w:w="1440"/>
            <w:shd w:val="clear" w:fill="EFF3F1"/>
          </w:tcPr>
          <w:p>
            <w:pPr>
              <w:spacing w:line="264" w:lineRule="auto"/>
              <w:jc w:val="right"/>
            </w:pPr>
            <w:r>
              <w:rPr>
                <w:b w:val="0"/>
                <w:i w:val="0"/>
                <w:sz w:val="18"/>
              </w:rPr>
              <w:t>0.423</w:t>
            </w:r>
          </w:p>
        </w:tc>
        <w:tc>
          <w:tcPr>
            <w:tcW w:type="dxa" w:w="1440"/>
            <w:shd w:val="clear" w:fill="EFF3F1"/>
          </w:tcPr>
          <w:p>
            <w:pPr>
              <w:spacing w:line="264" w:lineRule="auto"/>
              <w:jc w:val="right"/>
            </w:pPr>
            <w:r>
              <w:rPr>
                <w:b w:val="0"/>
                <w:i w:val="0"/>
                <w:sz w:val="18"/>
              </w:rPr>
              <w:t>0.341</w:t>
            </w:r>
          </w:p>
        </w:tc>
      </w:tr>
      <w:tr>
        <w:tc>
          <w:tcPr>
            <w:tcW w:type="dxa" w:w="2736"/>
          </w:tcPr>
          <w:p>
            <w:pPr>
              <w:spacing w:line="264" w:lineRule="auto"/>
            </w:pPr>
            <w:r>
              <w:rPr>
                <w:b w:val="0"/>
                <w:i w:val="0"/>
                <w:color w:val="1C3A36"/>
                <w:sz w:val="18"/>
              </w:rPr>
              <w:t>PV of profits</w:t>
            </w:r>
          </w:p>
        </w:tc>
        <w:tc>
          <w:tcPr>
            <w:tcW w:type="dxa" w:w="1440"/>
          </w:tcPr>
          <w:p>
            <w:pPr>
              <w:spacing w:line="264" w:lineRule="auto"/>
              <w:jc w:val="right"/>
            </w:pPr>
            <w:r>
              <w:rPr>
                <w:b w:val="0"/>
                <w:i w:val="0"/>
                <w:sz w:val="18"/>
              </w:rPr>
              <w:t>3,944</w:t>
            </w:r>
          </w:p>
        </w:tc>
        <w:tc>
          <w:tcPr>
            <w:tcW w:type="dxa" w:w="1440"/>
          </w:tcPr>
          <w:p>
            <w:pPr>
              <w:spacing w:line="264" w:lineRule="auto"/>
              <w:jc w:val="right"/>
            </w:pPr>
            <w:r>
              <w:rPr>
                <w:b w:val="0"/>
                <w:i w:val="0"/>
                <w:sz w:val="18"/>
              </w:rPr>
              <w:t>3,703</w:t>
            </w:r>
          </w:p>
        </w:tc>
        <w:tc>
          <w:tcPr>
            <w:tcW w:type="dxa" w:w="1440"/>
          </w:tcPr>
          <w:p>
            <w:pPr>
              <w:spacing w:line="264" w:lineRule="auto"/>
              <w:jc w:val="right"/>
            </w:pPr>
            <w:r>
              <w:rPr>
                <w:b w:val="0"/>
                <w:i w:val="0"/>
                <w:sz w:val="18"/>
              </w:rPr>
              <w:t>3,394</w:t>
            </w:r>
          </w:p>
        </w:tc>
        <w:tc>
          <w:tcPr>
            <w:tcW w:type="dxa" w:w="1440"/>
          </w:tcPr>
          <w:p>
            <w:pPr>
              <w:spacing w:line="264" w:lineRule="auto"/>
              <w:jc w:val="right"/>
            </w:pPr>
            <w:r>
              <w:rPr>
                <w:b w:val="0"/>
                <w:i w:val="0"/>
                <w:sz w:val="18"/>
              </w:rPr>
              <w:t>3,110</w:t>
            </w:r>
          </w:p>
        </w:tc>
        <w:tc>
          <w:tcPr>
            <w:tcW w:type="dxa" w:w="1440"/>
          </w:tcPr>
          <w:p>
            <w:pPr>
              <w:spacing w:line="264" w:lineRule="auto"/>
              <w:jc w:val="right"/>
            </w:pPr>
            <w:r>
              <w:rPr>
                <w:b w:val="0"/>
                <w:i w:val="0"/>
                <w:sz w:val="18"/>
              </w:rPr>
              <w:t>2,824</w:t>
            </w:r>
          </w:p>
        </w:tc>
      </w:tr>
    </w:tbl>
    <w:p>
      <w:pPr>
        <w:spacing w:after="40"/>
      </w:pPr>
    </w:p>
    <w:tbl>
      <w:tblPr>
        <w:tblStyle w:val="TableGrid"/>
        <w:tblW w:type="auto" w:w="0"/>
        <w:tblLook w:firstColumn="1" w:firstRow="1" w:lastColumn="0" w:lastRow="0" w:noHBand="0" w:noVBand="1" w:val="04A0"/>
      </w:tblPr>
      <w:tblGrid>
        <w:gridCol w:w="4968"/>
        <w:gridCol w:w="4968"/>
      </w:tblGrid>
      <w:tr>
        <w:tc>
          <w:tcPr>
            <w:tcW w:type="dxa" w:w="4608"/>
            <w:shd w:val="clear" w:fill="1C3A36"/>
          </w:tcPr>
          <w:p>
            <w:pPr>
              <w:spacing w:line="264" w:lineRule="auto"/>
            </w:pPr>
            <w:r>
              <w:rPr>
                <w:b/>
                <w:i w:val="0"/>
                <w:color w:val="FFFFFF"/>
                <w:sz w:val="18"/>
              </w:rPr>
              <w:t>DCF build</w:t>
            </w:r>
          </w:p>
        </w:tc>
        <w:tc>
          <w:tcPr>
            <w:tcW w:type="dxa" w:w="2880"/>
            <w:shd w:val="clear" w:fill="1C3A36"/>
          </w:tcPr>
          <w:p>
            <w:pPr>
              <w:spacing w:line="264" w:lineRule="auto"/>
              <w:jc w:val="right"/>
            </w:pPr>
            <w:r>
              <w:rPr>
                <w:b/>
                <w:i w:val="0"/>
                <w:color w:val="FFFFFF"/>
                <w:sz w:val="18"/>
              </w:rPr>
              <w:t>Value</w:t>
            </w:r>
          </w:p>
        </w:tc>
      </w:tr>
      <w:tr>
        <w:tc>
          <w:tcPr>
            <w:tcW w:type="dxa" w:w="4608"/>
          </w:tcPr>
          <w:p>
            <w:pPr>
              <w:spacing w:line="264" w:lineRule="auto"/>
            </w:pPr>
            <w:r>
              <w:rPr>
                <w:b w:val="0"/>
                <w:i w:val="0"/>
                <w:color w:val="1C3A36"/>
                <w:sz w:val="18"/>
              </w:rPr>
              <w:t>Sum PV of explicit profits</w:t>
            </w:r>
          </w:p>
        </w:tc>
        <w:tc>
          <w:tcPr>
            <w:tcW w:type="dxa" w:w="2880"/>
          </w:tcPr>
          <w:p>
            <w:pPr>
              <w:spacing w:line="264" w:lineRule="auto"/>
              <w:jc w:val="right"/>
            </w:pPr>
            <w:r>
              <w:rPr>
                <w:b w:val="0"/>
                <w:i w:val="0"/>
                <w:sz w:val="18"/>
              </w:rPr>
              <w:t>16,975</w:t>
            </w:r>
          </w:p>
        </w:tc>
      </w:tr>
      <w:tr>
        <w:tc>
          <w:tcPr>
            <w:tcW w:type="dxa" w:w="4608"/>
            <w:shd w:val="clear" w:fill="EFF3F1"/>
          </w:tcPr>
          <w:p>
            <w:pPr>
              <w:spacing w:line="264" w:lineRule="auto"/>
            </w:pPr>
            <w:r>
              <w:rPr>
                <w:b w:val="0"/>
                <w:i w:val="0"/>
                <w:color w:val="1C3A36"/>
                <w:sz w:val="18"/>
              </w:rPr>
              <w:t>Terminal value (Gordon)</w:t>
            </w:r>
          </w:p>
        </w:tc>
        <w:tc>
          <w:tcPr>
            <w:tcW w:type="dxa" w:w="2880"/>
            <w:shd w:val="clear" w:fill="EFF3F1"/>
          </w:tcPr>
          <w:p>
            <w:pPr>
              <w:spacing w:line="264" w:lineRule="auto"/>
              <w:jc w:val="right"/>
            </w:pPr>
            <w:r>
              <w:rPr>
                <w:b w:val="0"/>
                <w:i w:val="0"/>
                <w:sz w:val="18"/>
              </w:rPr>
              <w:t>70,680</w:t>
            </w:r>
          </w:p>
        </w:tc>
      </w:tr>
      <w:tr>
        <w:tc>
          <w:tcPr>
            <w:tcW w:type="dxa" w:w="4608"/>
          </w:tcPr>
          <w:p>
            <w:pPr>
              <w:spacing w:line="264" w:lineRule="auto"/>
            </w:pPr>
            <w:r>
              <w:rPr>
                <w:b w:val="0"/>
                <w:i w:val="0"/>
                <w:color w:val="1C3A36"/>
                <w:sz w:val="18"/>
              </w:rPr>
              <w:t>PV of terminal value</w:t>
            </w:r>
          </w:p>
        </w:tc>
        <w:tc>
          <w:tcPr>
            <w:tcW w:type="dxa" w:w="2880"/>
          </w:tcPr>
          <w:p>
            <w:pPr>
              <w:spacing w:line="264" w:lineRule="auto"/>
              <w:jc w:val="right"/>
            </w:pPr>
            <w:r>
              <w:rPr>
                <w:b w:val="0"/>
                <w:i w:val="0"/>
                <w:sz w:val="18"/>
              </w:rPr>
              <w:t>24,109</w:t>
            </w:r>
          </w:p>
        </w:tc>
      </w:tr>
      <w:tr>
        <w:tc>
          <w:tcPr>
            <w:tcW w:type="dxa" w:w="4608"/>
            <w:shd w:val="clear" w:fill="EFF3F1"/>
          </w:tcPr>
          <w:p>
            <w:pPr>
              <w:spacing w:line="264" w:lineRule="auto"/>
            </w:pPr>
            <w:r>
              <w:rPr>
                <w:b w:val="0"/>
                <w:i w:val="0"/>
                <w:color w:val="1C3A36"/>
                <w:sz w:val="18"/>
              </w:rPr>
              <w:t>Equity value (DCF)</w:t>
            </w:r>
          </w:p>
        </w:tc>
        <w:tc>
          <w:tcPr>
            <w:tcW w:type="dxa" w:w="2880"/>
            <w:shd w:val="clear" w:fill="EFF3F1"/>
          </w:tcPr>
          <w:p>
            <w:pPr>
              <w:spacing w:line="264" w:lineRule="auto"/>
              <w:jc w:val="right"/>
            </w:pPr>
            <w:r>
              <w:rPr>
                <w:b w:val="0"/>
                <w:i w:val="0"/>
                <w:sz w:val="18"/>
              </w:rPr>
              <w:t>41,084</w:t>
            </w:r>
          </w:p>
        </w:tc>
      </w:tr>
      <w:tr>
        <w:tc>
          <w:tcPr>
            <w:tcW w:type="dxa" w:w="4608"/>
          </w:tcPr>
          <w:p>
            <w:pPr>
              <w:spacing w:line="264" w:lineRule="auto"/>
            </w:pPr>
            <w:r>
              <w:rPr>
                <w:b/>
                <w:i w:val="0"/>
                <w:color w:val="1C3A36"/>
                <w:sz w:val="18"/>
              </w:rPr>
              <w:t>Fair value per share</w:t>
            </w:r>
          </w:p>
        </w:tc>
        <w:tc>
          <w:tcPr>
            <w:tcW w:type="dxa" w:w="2880"/>
          </w:tcPr>
          <w:p>
            <w:pPr>
              <w:spacing w:line="264" w:lineRule="auto"/>
              <w:jc w:val="right"/>
            </w:pPr>
            <w:r>
              <w:rPr>
                <w:b/>
                <w:i w:val="0"/>
                <w:sz w:val="18"/>
              </w:rPr>
              <w:t>33.55</w:t>
            </w:r>
          </w:p>
        </w:tc>
      </w:tr>
    </w:tbl>
    <w:p>
      <w:pPr>
        <w:spacing w:after="40"/>
      </w:pPr>
    </w:p>
    <w:p>
      <w:pPr>
        <w:spacing w:before="160" w:after="120" w:line="264" w:lineRule="auto"/>
      </w:pPr>
      <w:r>
        <w:rPr>
          <w:b/>
          <w:i w:val="0"/>
          <w:color w:val="1C3A36"/>
          <w:sz w:val="30"/>
        </w:rPr>
        <w:t>Appendix B  Step 0 - calibration backtest</w:t>
      </w:r>
    </w:p>
    <w:p>
      <w:pPr>
        <w:spacing w:after="120" w:line="264" w:lineRule="auto"/>
      </w:pPr>
      <w:r>
        <w:rPr>
          <w:b w:val="0"/>
          <w:i w:val="0"/>
          <w:sz w:val="21"/>
        </w:rPr>
        <w:t>Step 0 replayed non-overlapping quarterly 3-month forecasts across the full five years. With the volatility multiplier at 1.30, the 50/80/90% bands covered 59 / 76 / 88% of realized outcomes and the PIT histogram is approximately uniform - calibration passes (n = 17 quarterly windows).</w:t>
      </w:r>
    </w:p>
    <w:tbl>
      <w:tblPr>
        <w:tblStyle w:val="TableGrid"/>
        <w:tblW w:type="auto" w:w="0"/>
        <w:tblLook w:firstColumn="1" w:firstRow="1" w:lastColumn="0" w:lastRow="0" w:noHBand="0" w:noVBand="1" w:val="04A0"/>
      </w:tblPr>
      <w:tblGrid>
        <w:gridCol w:w="3312"/>
        <w:gridCol w:w="3312"/>
        <w:gridCol w:w="3312"/>
      </w:tblGrid>
      <w:tr>
        <w:tc>
          <w:tcPr>
            <w:tcW w:type="dxa" w:w="2880"/>
            <w:shd w:val="clear" w:fill="1C3A36"/>
          </w:tcPr>
          <w:p>
            <w:pPr>
              <w:spacing w:line="264" w:lineRule="auto"/>
            </w:pPr>
            <w:r>
              <w:rPr>
                <w:b/>
                <w:i w:val="0"/>
                <w:color w:val="FFFFFF"/>
                <w:sz w:val="18"/>
              </w:rPr>
              <w:t>Band</w:t>
            </w:r>
          </w:p>
        </w:tc>
        <w:tc>
          <w:tcPr>
            <w:tcW w:type="dxa" w:w="2880"/>
            <w:shd w:val="clear" w:fill="1C3A36"/>
          </w:tcPr>
          <w:p>
            <w:pPr>
              <w:spacing w:line="264" w:lineRule="auto"/>
              <w:jc w:val="right"/>
            </w:pPr>
            <w:r>
              <w:rPr>
                <w:b/>
                <w:i w:val="0"/>
                <w:color w:val="FFFFFF"/>
                <w:sz w:val="18"/>
              </w:rPr>
              <w:t>Target</w:t>
            </w:r>
          </w:p>
        </w:tc>
        <w:tc>
          <w:tcPr>
            <w:tcW w:type="dxa" w:w="2880"/>
            <w:shd w:val="clear" w:fill="1C3A36"/>
          </w:tcPr>
          <w:p>
            <w:pPr>
              <w:spacing w:line="264" w:lineRule="auto"/>
              <w:jc w:val="right"/>
            </w:pPr>
            <w:r>
              <w:rPr>
                <w:b/>
                <w:i w:val="0"/>
                <w:color w:val="FFFFFF"/>
                <w:sz w:val="18"/>
              </w:rPr>
              <w:t>Realized</w:t>
            </w:r>
          </w:p>
        </w:tc>
      </w:tr>
      <w:tr>
        <w:tc>
          <w:tcPr>
            <w:tcW w:type="dxa" w:w="2880"/>
          </w:tcPr>
          <w:p>
            <w:pPr>
              <w:spacing w:line="264" w:lineRule="auto"/>
            </w:pPr>
            <w:r>
              <w:rPr>
                <w:b w:val="0"/>
                <w:i w:val="0"/>
                <w:color w:val="1C3A36"/>
                <w:sz w:val="18"/>
              </w:rPr>
              <w:t>50%</w:t>
            </w:r>
          </w:p>
        </w:tc>
        <w:tc>
          <w:tcPr>
            <w:tcW w:type="dxa" w:w="2880"/>
          </w:tcPr>
          <w:p>
            <w:pPr>
              <w:spacing w:line="264" w:lineRule="auto"/>
              <w:jc w:val="right"/>
            </w:pPr>
            <w:r>
              <w:rPr>
                <w:b w:val="0"/>
                <w:i w:val="0"/>
                <w:sz w:val="18"/>
              </w:rPr>
              <w:t>50%</w:t>
            </w:r>
          </w:p>
        </w:tc>
        <w:tc>
          <w:tcPr>
            <w:tcW w:type="dxa" w:w="2880"/>
          </w:tcPr>
          <w:p>
            <w:pPr>
              <w:spacing w:line="264" w:lineRule="auto"/>
              <w:jc w:val="right"/>
            </w:pPr>
            <w:r>
              <w:rPr>
                <w:b w:val="0"/>
                <w:i w:val="0"/>
                <w:sz w:val="18"/>
              </w:rPr>
              <w:t>59%</w:t>
            </w:r>
          </w:p>
        </w:tc>
      </w:tr>
      <w:tr>
        <w:tc>
          <w:tcPr>
            <w:tcW w:type="dxa" w:w="2880"/>
            <w:shd w:val="clear" w:fill="EFF3F1"/>
          </w:tcPr>
          <w:p>
            <w:pPr>
              <w:spacing w:line="264" w:lineRule="auto"/>
            </w:pPr>
            <w:r>
              <w:rPr>
                <w:b w:val="0"/>
                <w:i w:val="0"/>
                <w:color w:val="1C3A36"/>
                <w:sz w:val="18"/>
              </w:rPr>
              <w:t>80%</w:t>
            </w:r>
          </w:p>
        </w:tc>
        <w:tc>
          <w:tcPr>
            <w:tcW w:type="dxa" w:w="2880"/>
            <w:shd w:val="clear" w:fill="EFF3F1"/>
          </w:tcPr>
          <w:p>
            <w:pPr>
              <w:spacing w:line="264" w:lineRule="auto"/>
              <w:jc w:val="right"/>
            </w:pPr>
            <w:r>
              <w:rPr>
                <w:b w:val="0"/>
                <w:i w:val="0"/>
                <w:sz w:val="18"/>
              </w:rPr>
              <w:t>80%</w:t>
            </w:r>
          </w:p>
        </w:tc>
        <w:tc>
          <w:tcPr>
            <w:tcW w:type="dxa" w:w="2880"/>
            <w:shd w:val="clear" w:fill="EFF3F1"/>
          </w:tcPr>
          <w:p>
            <w:pPr>
              <w:spacing w:line="264" w:lineRule="auto"/>
              <w:jc w:val="right"/>
            </w:pPr>
            <w:r>
              <w:rPr>
                <w:b w:val="0"/>
                <w:i w:val="0"/>
                <w:sz w:val="18"/>
              </w:rPr>
              <w:t>76%</w:t>
            </w:r>
          </w:p>
        </w:tc>
      </w:tr>
      <w:tr>
        <w:tc>
          <w:tcPr>
            <w:tcW w:type="dxa" w:w="2880"/>
          </w:tcPr>
          <w:p>
            <w:pPr>
              <w:spacing w:line="264" w:lineRule="auto"/>
            </w:pPr>
            <w:r>
              <w:rPr>
                <w:b w:val="0"/>
                <w:i w:val="0"/>
                <w:color w:val="1C3A36"/>
                <w:sz w:val="18"/>
              </w:rPr>
              <w:t>90%</w:t>
            </w:r>
          </w:p>
        </w:tc>
        <w:tc>
          <w:tcPr>
            <w:tcW w:type="dxa" w:w="2880"/>
          </w:tcPr>
          <w:p>
            <w:pPr>
              <w:spacing w:line="264" w:lineRule="auto"/>
              <w:jc w:val="right"/>
            </w:pPr>
            <w:r>
              <w:rPr>
                <w:b w:val="0"/>
                <w:i w:val="0"/>
                <w:sz w:val="18"/>
              </w:rPr>
              <w:t>90%</w:t>
            </w:r>
          </w:p>
        </w:tc>
        <w:tc>
          <w:tcPr>
            <w:tcW w:type="dxa" w:w="2880"/>
          </w:tcPr>
          <w:p>
            <w:pPr>
              <w:spacing w:line="264" w:lineRule="auto"/>
              <w:jc w:val="right"/>
            </w:pPr>
            <w:r>
              <w:rPr>
                <w:b w:val="0"/>
                <w:i w:val="0"/>
                <w:sz w:val="18"/>
              </w:rPr>
              <w:t>88%</w:t>
            </w:r>
          </w:p>
        </w:tc>
      </w:tr>
    </w:tbl>
    <w:p>
      <w:pPr>
        <w:spacing w:after="40"/>
      </w:pPr>
    </w:p>
    <w:p>
      <w:pPr>
        <w:jc w:val="center"/>
      </w:pPr>
      <w:r>
        <w:drawing>
          <wp:inline xmlns:a="http://schemas.openxmlformats.org/drawingml/2006/main" xmlns:pic="http://schemas.openxmlformats.org/drawingml/2006/picture">
            <wp:extent cx="6217920" cy="1920382"/>
            <wp:docPr id="8" name="Picture 8"/>
            <wp:cNvGraphicFramePr>
              <a:graphicFrameLocks noChangeAspect="1"/>
            </wp:cNvGraphicFramePr>
            <a:graphic>
              <a:graphicData uri="http://schemas.openxmlformats.org/drawingml/2006/picture">
                <pic:pic>
                  <pic:nvPicPr>
                    <pic:cNvPr id="0" name="HRHO_calibration.png"/>
                    <pic:cNvPicPr/>
                  </pic:nvPicPr>
                  <pic:blipFill>
                    <a:blip r:embed="rId16"/>
                    <a:stretch>
                      <a:fillRect/>
                    </a:stretch>
                  </pic:blipFill>
                  <pic:spPr>
                    <a:xfrm>
                      <a:off x="0" y="0"/>
                      <a:ext cx="6217920" cy="1920382"/>
                    </a:xfrm>
                    <a:prstGeom prst="rect"/>
                  </pic:spPr>
                </pic:pic>
              </a:graphicData>
            </a:graphic>
          </wp:inline>
        </w:drawing>
      </w:r>
    </w:p>
    <w:p>
      <w:pPr>
        <w:spacing w:line="264" w:lineRule="auto"/>
        <w:jc w:val="center"/>
      </w:pPr>
      <w:r>
        <w:rPr>
          <w:b w:val="0"/>
          <w:i/>
          <w:color w:val="666666"/>
          <w:sz w:val="16"/>
        </w:rPr>
        <w:t>Calibration backtest - cone replay, PIT histogram, interval coverage</w:t>
      </w:r>
    </w:p>
    <w:p>
      <w:pPr>
        <w:spacing w:before="160" w:after="120" w:line="264" w:lineRule="auto"/>
      </w:pPr>
      <w:r>
        <w:rPr>
          <w:b/>
          <w:i w:val="0"/>
          <w:color w:val="1C3A36"/>
          <w:sz w:val="30"/>
        </w:rPr>
        <w:t>Appendix C  Peer set, sector structure, and risks</w:t>
      </w:r>
    </w:p>
    <w:p>
      <w:pPr>
        <w:spacing w:after="120" w:line="264" w:lineRule="auto"/>
      </w:pPr>
      <w:r>
        <w:rPr>
          <w:b w:val="0"/>
          <w:i w:val="0"/>
          <w:sz w:val="21"/>
        </w:rPr>
        <w:t>Peers: CIB (the EGX financial bellwether, 6-7x), e-finance (growth-scarcity multiple), the group's own listed Valu, and MENA investment-banking franchises (8-12x). Sector structure: EGX turnover and the IPO cycle drive the IB; the CBE corridor drives Bank NXT's margin and NBFI funding costs; the EGP translates seven countries of regional earnings.</w:t>
      </w:r>
    </w:p>
    <w:p>
      <w:pPr>
        <w:spacing w:after="120" w:line="264" w:lineRule="auto"/>
      </w:pPr>
      <w:r>
        <w:rPr>
          <w:b w:val="0"/>
          <w:i w:val="0"/>
          <w:sz w:val="21"/>
        </w:rPr>
        <w:t>Principal risks: holdco-discount widening, IB revenue cyclicality, credit quality in Tanmeyah/Valu consumer books, Bank NXT margin compression into cuts, minority leakage, and key-man/governance risk at the centre.</w:t>
      </w:r>
    </w:p>
    <w:p>
      <w:pPr>
        <w:spacing w:before="160" w:after="120" w:line="264" w:lineRule="auto"/>
      </w:pPr>
      <w:r>
        <w:rPr>
          <w:b/>
          <w:i w:val="0"/>
          <w:color w:val="1C3A36"/>
          <w:sz w:val="30"/>
        </w:rPr>
        <w:t>Appendix D  The expert valuation panel</w:t>
      </w:r>
    </w:p>
    <w:p>
      <w:pPr>
        <w:spacing w:before="160" w:after="120" w:line="264" w:lineRule="auto"/>
      </w:pPr>
      <w:r>
        <w:rPr>
          <w:b/>
          <w:i w:val="0"/>
          <w:color w:val="1C3A36"/>
          <w:sz w:val="24"/>
        </w:rPr>
        <w:t>D.1  Expert 1 - holdco NAV and the discount - marking the three verticals</w:t>
      </w:r>
    </w:p>
    <w:p>
      <w:pPr>
        <w:spacing w:after="120" w:line="264" w:lineRule="auto"/>
      </w:pPr>
      <w:r>
        <w:rPr>
          <w:b/>
          <w:i w:val="0"/>
          <w:color w:val="1C3A36"/>
          <w:sz w:val="21"/>
        </w:rPr>
        <w:t xml:space="preserve">Worldview and tradition. </w:t>
      </w:r>
      <w:r>
        <w:rPr>
          <w:b w:val="0"/>
          <w:i w:val="0"/>
          <w:sz w:val="21"/>
        </w:rPr>
        <w:t>A holding company is worth its parts, marked honestly, less the discount the market rightly charges for a bundle it cannot unbundle - the cost of trapped capital, cross-holdings, head-office drag and the option the centre keeps to reallocate against you.</w:t>
      </w:r>
    </w:p>
    <w:p>
      <w:pPr>
        <w:spacing w:after="120" w:line="264" w:lineRule="auto"/>
      </w:pPr>
      <w:r>
        <w:rPr>
          <w:b w:val="0"/>
          <w:i w:val="0"/>
          <w:sz w:val="21"/>
        </w:rPr>
        <w:t>The tradition is the conglomerate-NAV school: value flows from the assets, not the consolidated income statement, because consolidation mixes a fee business, a lender and a deposit-taking bank into one line that no multiple fits. Mark each at what its own market pays, then argue only about the wrapper.</w:t>
      </w:r>
    </w:p>
    <w:p>
      <w:pPr>
        <w:spacing w:after="120" w:line="264" w:lineRule="auto"/>
      </w:pPr>
      <w:r>
        <w:rPr>
          <w:b w:val="0"/>
          <w:i w:val="0"/>
          <w:sz w:val="21"/>
        </w:rPr>
        <w:t>The discipline here is unusually well-served: two of the three verticals carry external marks - Valu prints a price on the EGX daily, and Bank NXT just cleared a EGP 4.2 bn capital round - so the subjectivity is concentrated in one mark (the Investment Bank) and one number (the discount).</w:t>
      </w:r>
    </w:p>
    <w:p>
      <w:pPr>
        <w:spacing w:after="120" w:line="264" w:lineRule="auto"/>
      </w:pPr>
      <w:r>
        <w:rPr>
          <w:b/>
          <w:i w:val="0"/>
          <w:color w:val="1C3A36"/>
          <w:sz w:val="21"/>
        </w:rPr>
        <w:t xml:space="preserve">When it works / when it fails. </w:t>
      </w:r>
      <w:r>
        <w:rPr>
          <w:b w:val="0"/>
          <w:i w:val="0"/>
          <w:sz w:val="21"/>
        </w:rPr>
        <w:t>Works when the parts are separable and markable, and EFG's are: distinct regulated entities, segment disclosure, and live external reference points. Fails when the discount stops being analysis and becomes a mood - the same NAV supports 22 or 29 depending on a number nobody can derive from first principles.</w:t>
      </w:r>
    </w:p>
    <w:p>
      <w:pPr>
        <w:spacing w:after="120" w:line="264" w:lineRule="auto"/>
      </w:pPr>
      <w:r>
        <w:rPr>
          <w:b w:val="0"/>
          <w:i w:val="0"/>
          <w:sz w:val="21"/>
        </w:rPr>
        <w:t>It is also silent on timing: a NAV says nothing about when the gap closes, and holdco discounts have persisted on the EGX for years absent a monetization event.</w:t>
      </w:r>
    </w:p>
    <w:p>
      <w:pPr>
        <w:spacing w:after="120" w:line="264" w:lineRule="auto"/>
      </w:pPr>
      <w:r>
        <w:rPr>
          <w:b w:val="0"/>
          <w:i w:val="0"/>
          <w:sz w:val="21"/>
        </w:rPr>
        <w:t>My control for both weaknesses is empirical: I set the discount from observed EGX holdco behaviour (a persistent 15-25% band, mean near 20%) rather than argument, and I name the events that historically closed it - listings, stake sales, special distributions.</w:t>
      </w:r>
    </w:p>
    <w:p>
      <w:pPr>
        <w:spacing w:after="120" w:line="264" w:lineRule="auto"/>
      </w:pPr>
      <w:r>
        <w:rPr>
          <w:b/>
          <w:i w:val="0"/>
          <w:color w:val="1C3A36"/>
          <w:sz w:val="21"/>
        </w:rPr>
        <w:t xml:space="preserve">Standard workings. </w:t>
      </w:r>
      <w:r>
        <w:rPr>
          <w:b w:val="0"/>
          <w:i w:val="0"/>
          <w:sz w:val="21"/>
        </w:rPr>
        <w:t>Mark the three verticals plus the centre's treasury, sum, then charge the wrapper.</w:t>
      </w:r>
    </w:p>
    <w:p>
      <w:pPr>
        <w:spacing w:after="120" w:line="264" w:lineRule="auto"/>
      </w:pPr>
      <w:r>
        <w:rPr>
          <w:b w:val="0"/>
          <w:i w:val="0"/>
          <w:sz w:val="21"/>
        </w:rPr>
        <w:t>The marks: the Investment Bank at 8x normalized profit (the FY24-25 average of ~EGP 1.8 bn, smoothing the FX-inflated FY24 against the one-off-assisted FY25); the NBFI platform at the listed Valu stake plus conservative multiples on Tanmeyah, leasing, factoring and insurance; Bank NXT at ~5.6x the group's EGP 1.6 bn profit share, consistent with its fresh capital round; treasury and seed at face.</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Component</w:t>
            </w:r>
          </w:p>
        </w:tc>
        <w:tc>
          <w:tcPr>
            <w:tcW w:type="dxa" w:w="3168"/>
            <w:shd w:val="clear" w:fill="1C3A36"/>
          </w:tcPr>
          <w:p>
            <w:pPr>
              <w:spacing w:line="264" w:lineRule="auto"/>
              <w:jc w:val="right"/>
            </w:pPr>
            <w:r>
              <w:rPr>
                <w:b/>
                <w:i w:val="0"/>
                <w:color w:val="FFFFFF"/>
                <w:sz w:val="18"/>
              </w:rPr>
              <w:t>EGP mn</w:t>
            </w:r>
          </w:p>
        </w:tc>
      </w:tr>
      <w:tr>
        <w:tc>
          <w:tcPr>
            <w:tcW w:type="dxa" w:w="4896"/>
          </w:tcPr>
          <w:p>
            <w:pPr>
              <w:spacing w:line="264" w:lineRule="auto"/>
            </w:pPr>
            <w:r>
              <w:rPr>
                <w:b w:val="0"/>
                <w:i w:val="0"/>
                <w:color w:val="1C3A36"/>
                <w:sz w:val="18"/>
              </w:rPr>
              <w:t>Investment Bank (EFG Hermes) - 8x normalized</w:t>
            </w:r>
          </w:p>
        </w:tc>
        <w:tc>
          <w:tcPr>
            <w:tcW w:type="dxa" w:w="3168"/>
          </w:tcPr>
          <w:p>
            <w:pPr>
              <w:spacing w:line="264" w:lineRule="auto"/>
              <w:jc w:val="right"/>
            </w:pPr>
            <w:r>
              <w:rPr>
                <w:b w:val="0"/>
                <w:i w:val="0"/>
                <w:sz w:val="18"/>
              </w:rPr>
              <w:t>14,400</w:t>
            </w:r>
          </w:p>
        </w:tc>
      </w:tr>
      <w:tr>
        <w:tc>
          <w:tcPr>
            <w:tcW w:type="dxa" w:w="4896"/>
            <w:shd w:val="clear" w:fill="EFF3F1"/>
          </w:tcPr>
          <w:p>
            <w:pPr>
              <w:spacing w:line="264" w:lineRule="auto"/>
            </w:pPr>
            <w:r>
              <w:rPr>
                <w:b w:val="0"/>
                <w:i w:val="0"/>
                <w:color w:val="1C3A36"/>
                <w:sz w:val="18"/>
              </w:rPr>
              <w:t>NBFI platform incl. listed Valu stake</w:t>
            </w:r>
          </w:p>
        </w:tc>
        <w:tc>
          <w:tcPr>
            <w:tcW w:type="dxa" w:w="3168"/>
            <w:shd w:val="clear" w:fill="EFF3F1"/>
          </w:tcPr>
          <w:p>
            <w:pPr>
              <w:spacing w:line="264" w:lineRule="auto"/>
              <w:jc w:val="right"/>
            </w:pPr>
            <w:r>
              <w:rPr>
                <w:b w:val="0"/>
                <w:i w:val="0"/>
                <w:sz w:val="18"/>
              </w:rPr>
              <w:t>13,000</w:t>
            </w:r>
          </w:p>
        </w:tc>
      </w:tr>
      <w:tr>
        <w:tc>
          <w:tcPr>
            <w:tcW w:type="dxa" w:w="4896"/>
          </w:tcPr>
          <w:p>
            <w:pPr>
              <w:spacing w:line="264" w:lineRule="auto"/>
            </w:pPr>
            <w:r>
              <w:rPr>
                <w:b w:val="0"/>
                <w:i w:val="0"/>
                <w:color w:val="1C3A36"/>
                <w:sz w:val="18"/>
              </w:rPr>
              <w:t>Bank NXT (group share, ~5.6x)</w:t>
            </w:r>
          </w:p>
        </w:tc>
        <w:tc>
          <w:tcPr>
            <w:tcW w:type="dxa" w:w="3168"/>
          </w:tcPr>
          <w:p>
            <w:pPr>
              <w:spacing w:line="264" w:lineRule="auto"/>
              <w:jc w:val="right"/>
            </w:pPr>
            <w:r>
              <w:rPr>
                <w:b w:val="0"/>
                <w:i w:val="0"/>
                <w:sz w:val="18"/>
              </w:rPr>
              <w:t>9,000</w:t>
            </w:r>
          </w:p>
        </w:tc>
      </w:tr>
      <w:tr>
        <w:tc>
          <w:tcPr>
            <w:tcW w:type="dxa" w:w="4896"/>
            <w:shd w:val="clear" w:fill="EFF3F1"/>
          </w:tcPr>
          <w:p>
            <w:pPr>
              <w:spacing w:line="264" w:lineRule="auto"/>
            </w:pPr>
            <w:r>
              <w:rPr>
                <w:b w:val="0"/>
                <w:i w:val="0"/>
                <w:color w:val="1C3A36"/>
                <w:sz w:val="18"/>
              </w:rPr>
              <w:t>Holdco treasury &amp; seed</w:t>
            </w:r>
          </w:p>
        </w:tc>
        <w:tc>
          <w:tcPr>
            <w:tcW w:type="dxa" w:w="3168"/>
            <w:shd w:val="clear" w:fill="EFF3F1"/>
          </w:tcPr>
          <w:p>
            <w:pPr>
              <w:spacing w:line="264" w:lineRule="auto"/>
              <w:jc w:val="right"/>
            </w:pPr>
            <w:r>
              <w:rPr>
                <w:b w:val="0"/>
                <w:i w:val="0"/>
                <w:sz w:val="18"/>
              </w:rPr>
              <w:t>3,000</w:t>
            </w:r>
          </w:p>
        </w:tc>
      </w:tr>
      <w:tr>
        <w:tc>
          <w:tcPr>
            <w:tcW w:type="dxa" w:w="4896"/>
          </w:tcPr>
          <w:p>
            <w:pPr>
              <w:spacing w:line="264" w:lineRule="auto"/>
            </w:pPr>
            <w:r>
              <w:rPr>
                <w:b w:val="0"/>
                <w:i w:val="0"/>
                <w:color w:val="1C3A36"/>
                <w:sz w:val="18"/>
              </w:rPr>
              <w:t>Gross NAV</w:t>
            </w:r>
          </w:p>
        </w:tc>
        <w:tc>
          <w:tcPr>
            <w:tcW w:type="dxa" w:w="3168"/>
          </w:tcPr>
          <w:p>
            <w:pPr>
              <w:spacing w:line="264" w:lineRule="auto"/>
              <w:jc w:val="right"/>
            </w:pPr>
            <w:r>
              <w:rPr>
                <w:b w:val="0"/>
                <w:i w:val="0"/>
                <w:sz w:val="18"/>
              </w:rPr>
              <w:t>39,400</w:t>
            </w:r>
          </w:p>
        </w:tc>
      </w:tr>
      <w:tr>
        <w:tc>
          <w:tcPr>
            <w:tcW w:type="dxa" w:w="4896"/>
            <w:shd w:val="clear" w:fill="EFF3F1"/>
          </w:tcPr>
          <w:p>
            <w:pPr>
              <w:spacing w:line="264" w:lineRule="auto"/>
            </w:pPr>
            <w:r>
              <w:rPr>
                <w:b w:val="0"/>
                <w:i w:val="0"/>
                <w:color w:val="1C3A36"/>
                <w:sz w:val="18"/>
              </w:rPr>
              <w:t>Gross NAV per share</w:t>
            </w:r>
          </w:p>
        </w:tc>
        <w:tc>
          <w:tcPr>
            <w:tcW w:type="dxa" w:w="3168"/>
            <w:shd w:val="clear" w:fill="EFF3F1"/>
          </w:tcPr>
          <w:p>
            <w:pPr>
              <w:spacing w:line="264" w:lineRule="auto"/>
              <w:jc w:val="right"/>
            </w:pPr>
            <w:r>
              <w:rPr>
                <w:b w:val="0"/>
                <w:i w:val="0"/>
                <w:sz w:val="18"/>
              </w:rPr>
              <w:t>EGP 32.17</w:t>
            </w:r>
          </w:p>
        </w:tc>
      </w:tr>
      <w:tr>
        <w:tc>
          <w:tcPr>
            <w:tcW w:type="dxa" w:w="4896"/>
          </w:tcPr>
          <w:p>
            <w:pPr>
              <w:spacing w:line="264" w:lineRule="auto"/>
            </w:pPr>
            <w:r>
              <w:rPr>
                <w:b w:val="0"/>
                <w:i w:val="0"/>
                <w:color w:val="1C3A36"/>
                <w:sz w:val="18"/>
              </w:rPr>
              <w:t>- 20% holdco discount</w:t>
            </w:r>
          </w:p>
        </w:tc>
        <w:tc>
          <w:tcPr>
            <w:tcW w:type="dxa" w:w="3168"/>
          </w:tcPr>
          <w:p>
            <w:pPr>
              <w:spacing w:line="264" w:lineRule="auto"/>
              <w:jc w:val="right"/>
            </w:pPr>
            <w:r>
              <w:rPr>
                <w:b w:val="0"/>
                <w:i w:val="0"/>
                <w:sz w:val="18"/>
              </w:rPr>
              <w:t>(7,880)</w:t>
            </w:r>
          </w:p>
        </w:tc>
      </w:tr>
      <w:tr>
        <w:tc>
          <w:tcPr>
            <w:tcW w:type="dxa" w:w="4896"/>
            <w:shd w:val="clear" w:fill="EFF3F1"/>
          </w:tcPr>
          <w:p>
            <w:pPr>
              <w:spacing w:line="264" w:lineRule="auto"/>
            </w:pPr>
            <w:r>
              <w:rPr>
                <w:b w:val="0"/>
                <w:i w:val="0"/>
                <w:color w:val="1C3A36"/>
                <w:sz w:val="18"/>
              </w:rPr>
              <w:t>Equity NAV / per share</w:t>
            </w:r>
          </w:p>
        </w:tc>
        <w:tc>
          <w:tcPr>
            <w:tcW w:type="dxa" w:w="3168"/>
            <w:shd w:val="clear" w:fill="EFF3F1"/>
          </w:tcPr>
          <w:p>
            <w:pPr>
              <w:spacing w:line="264" w:lineRule="auto"/>
              <w:jc w:val="right"/>
            </w:pPr>
            <w:r>
              <w:rPr>
                <w:b w:val="0"/>
                <w:i w:val="0"/>
                <w:sz w:val="18"/>
              </w:rPr>
              <w:t>31,520 / EGP 25.74</w:t>
            </w:r>
          </w:p>
        </w:tc>
      </w:tr>
    </w:tbl>
    <w:p>
      <w:pPr>
        <w:spacing w:after="40"/>
      </w:pPr>
    </w:p>
    <w:p>
      <w:pPr>
        <w:spacing w:after="120" w:line="264" w:lineRule="auto"/>
      </w:pPr>
      <w:r>
        <w:rPr>
          <w:b/>
          <w:i w:val="0"/>
          <w:color w:val="1C3A36"/>
          <w:sz w:val="21"/>
        </w:rPr>
        <w:t xml:space="preserve">Worked example. </w:t>
      </w:r>
      <w:r>
        <w:rPr>
          <w:b w:val="0"/>
          <w:i w:val="0"/>
          <w:sz w:val="21"/>
        </w:rPr>
        <w:t>Gross NAV EGP 39.4 bn over 1,224.6 mn shares is EGP 32.2. At the observed 15-25% discount band that spans EGP 27.3 down to 24.1; my 20% centre gives EGP 25.7.</w:t>
      </w:r>
    </w:p>
    <w:p>
      <w:pPr>
        <w:spacing w:after="120" w:line="264" w:lineRule="auto"/>
      </w:pPr>
      <w:r>
        <w:rPr>
          <w:b w:val="0"/>
          <w:i w:val="0"/>
          <w:sz w:val="21"/>
        </w:rPr>
        <w:t>Read against the tape: spot 26.83 implies the market is already at a benign ~17% - inside the band, nearer its friendly edge.</w:t>
      </w:r>
    </w:p>
    <w:p>
      <w:pPr>
        <w:spacing w:after="120" w:line="264" w:lineRule="auto"/>
      </w:pPr>
      <w:r>
        <w:rPr>
          <w:b w:val="0"/>
          <w:i w:val="0"/>
          <w:sz w:val="21"/>
        </w:rPr>
        <w:t>And the zero-discount case is worth stating: EGP 32.2 is what these parts are worth to an owner who can reach them - the ceiling any monetization program is working toward, and the number the two falsification events in section 5 would move the price toward.</w:t>
      </w:r>
    </w:p>
    <w:p>
      <w:pPr>
        <w:spacing w:after="120" w:line="264" w:lineRule="auto"/>
      </w:pPr>
      <w:r>
        <w:rPr>
          <w:b/>
          <w:i w:val="0"/>
          <w:color w:val="1C3A36"/>
          <w:sz w:val="21"/>
        </w:rPr>
        <w:t xml:space="preserve">Sensitivity on the swing input. </w:t>
      </w:r>
      <w:r>
        <w:rPr>
          <w:b w:val="0"/>
          <w:i w:val="0"/>
          <w:sz w:val="21"/>
        </w:rPr>
        <w:t>The discount dominates; the aggregate marks are second; no single mark moves the answer much on its own.</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Holdco discount 10 / 20 / 30%</w:t>
            </w:r>
          </w:p>
        </w:tc>
        <w:tc>
          <w:tcPr>
            <w:tcW w:type="dxa" w:w="3168"/>
          </w:tcPr>
          <w:p>
            <w:pPr>
              <w:spacing w:line="264" w:lineRule="auto"/>
              <w:jc w:val="right"/>
            </w:pPr>
            <w:r>
              <w:rPr>
                <w:b w:val="0"/>
                <w:i w:val="0"/>
                <w:sz w:val="18"/>
              </w:rPr>
              <w:t>28.9 / 25.7 / 22.5</w:t>
            </w:r>
          </w:p>
        </w:tc>
      </w:tr>
      <w:tr>
        <w:tc>
          <w:tcPr>
            <w:tcW w:type="dxa" w:w="4896"/>
            <w:shd w:val="clear" w:fill="EFF3F1"/>
          </w:tcPr>
          <w:p>
            <w:pPr>
              <w:spacing w:line="264" w:lineRule="auto"/>
            </w:pPr>
            <w:r>
              <w:rPr>
                <w:b w:val="0"/>
                <w:i w:val="0"/>
                <w:color w:val="1C3A36"/>
                <w:sz w:val="18"/>
              </w:rPr>
              <w:t>Aggregate marks +/-10%</w:t>
            </w:r>
          </w:p>
        </w:tc>
        <w:tc>
          <w:tcPr>
            <w:tcW w:type="dxa" w:w="3168"/>
            <w:shd w:val="clear" w:fill="EFF3F1"/>
          </w:tcPr>
          <w:p>
            <w:pPr>
              <w:spacing w:line="264" w:lineRule="auto"/>
              <w:jc w:val="right"/>
            </w:pPr>
            <w:r>
              <w:rPr>
                <w:b w:val="0"/>
                <w:i w:val="0"/>
                <w:sz w:val="18"/>
              </w:rPr>
              <w:t>+/- ~2.6</w:t>
            </w:r>
          </w:p>
        </w:tc>
      </w:tr>
      <w:tr>
        <w:tc>
          <w:tcPr>
            <w:tcW w:type="dxa" w:w="4896"/>
          </w:tcPr>
          <w:p>
            <w:pPr>
              <w:spacing w:line="264" w:lineRule="auto"/>
            </w:pPr>
            <w:r>
              <w:rPr>
                <w:b w:val="0"/>
                <w:i w:val="0"/>
                <w:color w:val="1C3A36"/>
                <w:sz w:val="18"/>
              </w:rPr>
              <w:t>IB multiple 6x / 8x / 10x</w:t>
            </w:r>
          </w:p>
        </w:tc>
        <w:tc>
          <w:tcPr>
            <w:tcW w:type="dxa" w:w="3168"/>
          </w:tcPr>
          <w:p>
            <w:pPr>
              <w:spacing w:line="264" w:lineRule="auto"/>
              <w:jc w:val="right"/>
            </w:pPr>
            <w:r>
              <w:rPr>
                <w:b w:val="0"/>
                <w:i w:val="0"/>
                <w:sz w:val="18"/>
              </w:rPr>
              <w:t>-1.5 / base / +1.5</w:t>
            </w:r>
          </w:p>
        </w:tc>
      </w:tr>
    </w:tbl>
    <w:p>
      <w:pPr>
        <w:spacing w:after="40"/>
      </w:pPr>
    </w:p>
    <w:p>
      <w:pPr>
        <w:spacing w:after="120" w:line="264" w:lineRule="auto"/>
      </w:pPr>
      <w:r>
        <w:rPr>
          <w:b/>
          <w:i w:val="0"/>
          <w:color w:val="1C3A36"/>
          <w:sz w:val="21"/>
        </w:rPr>
        <w:t xml:space="preserve">Cross-examination. </w:t>
      </w:r>
      <w:r>
        <w:rPr>
          <w:b w:val="0"/>
          <w:i w:val="0"/>
          <w:sz w:val="21"/>
        </w:rPr>
        <w:t>To Expert 2: your normalization strips the FX gains but keeps the FX losses' base year - one-offs cut both ways at a franchise this cyclical, and half my NAV needs no earnings opinion at all because the market prices it directly. Your 7x on a scrubbed number and my 8x on a smoothed one differ by less than either of us pretends.</w:t>
      </w:r>
    </w:p>
    <w:p>
      <w:pPr>
        <w:spacing w:after="120" w:line="264" w:lineRule="auto"/>
      </w:pPr>
      <w:r>
        <w:rPr>
          <w:b w:val="0"/>
          <w:i w:val="0"/>
          <w:sz w:val="21"/>
        </w:rPr>
        <w:t>To Expert 3: your rate scenarios all flow through my marks anyway - Valu's print, NXT's book, the IB's pipeline - so you are running my model with weather attached. The only number you cannot move that I can is the discount itself, and monetization events, not the MPC, move that.</w:t>
      </w:r>
    </w:p>
    <w:p>
      <w:pPr>
        <w:spacing w:after="120" w:line="264" w:lineRule="auto"/>
      </w:pPr>
      <w:r>
        <w:rPr>
          <w:b/>
          <w:i w:val="0"/>
          <w:color w:val="1C3A36"/>
          <w:sz w:val="21"/>
        </w:rPr>
        <w:t xml:space="preserve">Verdict, falsification, and what the price implies. </w:t>
      </w:r>
      <w:r>
        <w:rPr>
          <w:b w:val="0"/>
          <w:i w:val="0"/>
          <w:sz w:val="21"/>
        </w:rPr>
        <w:t>Fair ~EGP 25.7 (22.5-28.9). Spot sits at a ~17% implied discount: fair, with the cheap tail opening only below EGP 24.</w:t>
      </w:r>
    </w:p>
    <w:p>
      <w:pPr>
        <w:spacing w:after="120" w:line="264" w:lineRule="auto"/>
      </w:pPr>
      <w:r>
        <w:rPr>
          <w:b w:val="0"/>
          <w:i w:val="0"/>
          <w:sz w:val="21"/>
        </w:rPr>
        <w:t>Price-implied: the market is paying the friendly end of the historical discount band without a monetization announcement in hand - reasonable given the Valu precedent, but the next leg needs an event, not just patience. Falsification: a monetization event - a further Valu sell-down or a Bank NXT stake transaction at or above my marks - collapsing the discount below 10%, or a new head-office cash drain widening it past 30%.</w:t>
      </w:r>
    </w:p>
    <w:p>
      <w:pPr>
        <w:spacing w:before="160" w:after="120" w:line="264" w:lineRule="auto"/>
      </w:pPr>
      <w:r>
        <w:rPr>
          <w:b/>
          <w:i w:val="0"/>
          <w:color w:val="1C3A36"/>
          <w:sz w:val="24"/>
        </w:rPr>
        <w:t>D.2  Expert 2 - quality of earnings - what the EGP 4.1 bn is actually made of</w:t>
      </w:r>
    </w:p>
    <w:p>
      <w:pPr>
        <w:spacing w:after="120" w:line="264" w:lineRule="auto"/>
      </w:pPr>
      <w:r>
        <w:rPr>
          <w:b/>
          <w:i w:val="0"/>
          <w:color w:val="1C3A36"/>
          <w:sz w:val="21"/>
        </w:rPr>
        <w:t xml:space="preserve">Worldview and tradition. </w:t>
      </w:r>
      <w:r>
        <w:rPr>
          <w:b w:val="0"/>
          <w:i w:val="0"/>
          <w:sz w:val="21"/>
        </w:rPr>
        <w:t>Pay for the earnings that recur. A financial group's printed bottom line is a layer cake of franchise profit, balance-sheet luck and accounting timing - FY24's number was inflated by devaluation FX and unrealized gains, FY25's by a EGP 656 mn tax-loss utilization at the Investment Bank. Strip both before you multiply anything.</w:t>
      </w:r>
    </w:p>
    <w:p>
      <w:pPr>
        <w:spacing w:after="120" w:line="264" w:lineRule="auto"/>
      </w:pPr>
      <w:r>
        <w:rPr>
          <w:b w:val="0"/>
          <w:i w:val="0"/>
          <w:sz w:val="21"/>
        </w:rPr>
        <w:t>The tradition is the quality-of-earnings ledger: itemize every non-recurring pound in both directions, rebuild the base, and only then choose a multiple. The method's authority comes from its symmetry - it removes flattering one-offs and adds back punitive ones with the same pen.</w:t>
      </w:r>
    </w:p>
    <w:p>
      <w:pPr>
        <w:spacing w:after="120" w:line="264" w:lineRule="auto"/>
      </w:pPr>
      <w:r>
        <w:rPr>
          <w:b w:val="0"/>
          <w:i w:val="0"/>
          <w:sz w:val="21"/>
        </w:rPr>
        <w:t>Applied to EFG the ledger is short but heavy: two devaluation-era FX layers, one tax asset, some listing and pre-operating costs - perhaps EGP 700-900 mn of net air in a 4.1 bn print.</w:t>
      </w:r>
    </w:p>
    <w:p>
      <w:pPr>
        <w:spacing w:after="120" w:line="264" w:lineRule="auto"/>
      </w:pPr>
      <w:r>
        <w:rPr>
          <w:b/>
          <w:i w:val="0"/>
          <w:color w:val="1C3A36"/>
          <w:sz w:val="21"/>
        </w:rPr>
        <w:t xml:space="preserve">When it works / when it fails. </w:t>
      </w:r>
      <w:r>
        <w:rPr>
          <w:b w:val="0"/>
          <w:i w:val="0"/>
          <w:sz w:val="21"/>
        </w:rPr>
        <w:t>Works whenever headline profit swings on items that will not repeat - exactly EFG's last two years, where the same franchise printed +53% then -5% without the underlying businesses moving anything like that much. Fails when applied mechanically to a genuinely improving mix: Bank NXT's +77% and the NBFI's +45% are real operating growth, and my base credits them in full.</w:t>
      </w:r>
    </w:p>
    <w:p>
      <w:pPr>
        <w:spacing w:after="120" w:line="264" w:lineRule="auto"/>
      </w:pPr>
      <w:r>
        <w:rPr>
          <w:b w:val="0"/>
          <w:i w:val="0"/>
          <w:sz w:val="21"/>
        </w:rPr>
        <w:t>Its blind spot is optionality - the licence pipeline, the monetization calendar - which it prices at zero on principle: options are bought cheaply or not at all.</w:t>
      </w:r>
    </w:p>
    <w:p>
      <w:pPr>
        <w:spacing w:after="120" w:line="264" w:lineRule="auto"/>
      </w:pPr>
      <w:r>
        <w:rPr>
          <w:b/>
          <w:i w:val="0"/>
          <w:color w:val="1C3A36"/>
          <w:sz w:val="21"/>
        </w:rPr>
        <w:t xml:space="preserve">Standard workings. </w:t>
      </w:r>
      <w:r>
        <w:rPr>
          <w:b w:val="0"/>
          <w:i w:val="0"/>
          <w:sz w:val="21"/>
        </w:rPr>
        <w:t>Rebuild the recurring base, then capitalize at a conglomerate multiple.</w:t>
      </w:r>
    </w:p>
    <w:p>
      <w:pPr>
        <w:spacing w:after="120" w:line="264" w:lineRule="auto"/>
      </w:pPr>
      <w:r>
        <w:rPr>
          <w:b w:val="0"/>
          <w:i w:val="0"/>
          <w:sz w:val="21"/>
        </w:rPr>
        <w:t>The 7x is chosen deliberately between the bank's 5-6x and the investment bank's 8-9x - a blended financial-conglomerate rate that concedes the mix has improved while refusing platform pricing for a cyclical fee engine.</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Quality-of-earnings ledger</w:t>
            </w:r>
          </w:p>
        </w:tc>
        <w:tc>
          <w:tcPr>
            <w:tcW w:type="dxa" w:w="3168"/>
            <w:shd w:val="clear" w:fill="1C3A36"/>
          </w:tcPr>
          <w:p>
            <w:pPr>
              <w:spacing w:line="264" w:lineRule="auto"/>
              <w:jc w:val="right"/>
            </w:pPr>
            <w:r>
              <w:rPr>
                <w:b/>
                <w:i w:val="0"/>
                <w:color w:val="FFFFFF"/>
                <w:sz w:val="18"/>
              </w:rPr>
              <w:t>EGP mn</w:t>
            </w:r>
          </w:p>
        </w:tc>
      </w:tr>
      <w:tr>
        <w:tc>
          <w:tcPr>
            <w:tcW w:type="dxa" w:w="4896"/>
          </w:tcPr>
          <w:p>
            <w:pPr>
              <w:spacing w:line="264" w:lineRule="auto"/>
            </w:pPr>
            <w:r>
              <w:rPr>
                <w:b w:val="0"/>
                <w:i w:val="0"/>
                <w:color w:val="1C3A36"/>
                <w:sz w:val="18"/>
              </w:rPr>
              <w:t>FY25 reported NPAT (after minorities)</w:t>
            </w:r>
          </w:p>
        </w:tc>
        <w:tc>
          <w:tcPr>
            <w:tcW w:type="dxa" w:w="3168"/>
          </w:tcPr>
          <w:p>
            <w:pPr>
              <w:spacing w:line="264" w:lineRule="auto"/>
              <w:jc w:val="right"/>
            </w:pPr>
            <w:r>
              <w:rPr>
                <w:b w:val="0"/>
                <w:i w:val="0"/>
                <w:sz w:val="18"/>
              </w:rPr>
              <w:t>4,100</w:t>
            </w:r>
          </w:p>
        </w:tc>
      </w:tr>
      <w:tr>
        <w:tc>
          <w:tcPr>
            <w:tcW w:type="dxa" w:w="4896"/>
            <w:shd w:val="clear" w:fill="EFF3F1"/>
          </w:tcPr>
          <w:p>
            <w:pPr>
              <w:spacing w:line="264" w:lineRule="auto"/>
            </w:pPr>
            <w:r>
              <w:rPr>
                <w:b w:val="0"/>
                <w:i w:val="0"/>
                <w:color w:val="1C3A36"/>
                <w:sz w:val="18"/>
              </w:rPr>
              <w:t>- IB tax-loss utilization gain</w:t>
            </w:r>
          </w:p>
        </w:tc>
        <w:tc>
          <w:tcPr>
            <w:tcW w:type="dxa" w:w="3168"/>
            <w:shd w:val="clear" w:fill="EFF3F1"/>
          </w:tcPr>
          <w:p>
            <w:pPr>
              <w:spacing w:line="264" w:lineRule="auto"/>
              <w:jc w:val="right"/>
            </w:pPr>
            <w:r>
              <w:rPr>
                <w:b w:val="0"/>
                <w:i w:val="0"/>
                <w:sz w:val="18"/>
              </w:rPr>
              <w:t>(650)</w:t>
            </w:r>
          </w:p>
        </w:tc>
      </w:tr>
      <w:tr>
        <w:tc>
          <w:tcPr>
            <w:tcW w:type="dxa" w:w="4896"/>
          </w:tcPr>
          <w:p>
            <w:pPr>
              <w:spacing w:line="264" w:lineRule="auto"/>
            </w:pPr>
            <w:r>
              <w:rPr>
                <w:b w:val="0"/>
                <w:i w:val="0"/>
                <w:color w:val="1C3A36"/>
                <w:sz w:val="18"/>
              </w:rPr>
              <w:t>- other est. one-off income</w:t>
            </w:r>
          </w:p>
        </w:tc>
        <w:tc>
          <w:tcPr>
            <w:tcW w:type="dxa" w:w="3168"/>
          </w:tcPr>
          <w:p>
            <w:pPr>
              <w:spacing w:line="264" w:lineRule="auto"/>
              <w:jc w:val="right"/>
            </w:pPr>
            <w:r>
              <w:rPr>
                <w:b w:val="0"/>
                <w:i w:val="0"/>
                <w:sz w:val="18"/>
              </w:rPr>
              <w:t>(200)</w:t>
            </w:r>
          </w:p>
        </w:tc>
      </w:tr>
      <w:tr>
        <w:tc>
          <w:tcPr>
            <w:tcW w:type="dxa" w:w="4896"/>
            <w:shd w:val="clear" w:fill="EFF3F1"/>
          </w:tcPr>
          <w:p>
            <w:pPr>
              <w:spacing w:line="264" w:lineRule="auto"/>
            </w:pPr>
            <w:r>
              <w:rPr>
                <w:b w:val="0"/>
                <w:i w:val="0"/>
                <w:color w:val="1C3A36"/>
                <w:sz w:val="18"/>
              </w:rPr>
              <w:t>+ arguably one-off costs (Valu listing, pre-op)</w:t>
            </w:r>
          </w:p>
        </w:tc>
        <w:tc>
          <w:tcPr>
            <w:tcW w:type="dxa" w:w="3168"/>
            <w:shd w:val="clear" w:fill="EFF3F1"/>
          </w:tcPr>
          <w:p>
            <w:pPr>
              <w:spacing w:line="264" w:lineRule="auto"/>
              <w:jc w:val="right"/>
            </w:pPr>
            <w:r>
              <w:rPr>
                <w:b w:val="0"/>
                <w:i w:val="0"/>
                <w:sz w:val="18"/>
              </w:rPr>
              <w:t>350</w:t>
            </w:r>
          </w:p>
        </w:tc>
      </w:tr>
      <w:tr>
        <w:tc>
          <w:tcPr>
            <w:tcW w:type="dxa" w:w="4896"/>
          </w:tcPr>
          <w:p>
            <w:pPr>
              <w:spacing w:line="264" w:lineRule="auto"/>
            </w:pPr>
            <w:r>
              <w:rPr>
                <w:b w:val="0"/>
                <w:i w:val="0"/>
                <w:color w:val="1C3A36"/>
                <w:sz w:val="18"/>
              </w:rPr>
              <w:t>Recurring core</w:t>
            </w:r>
          </w:p>
        </w:tc>
        <w:tc>
          <w:tcPr>
            <w:tcW w:type="dxa" w:w="3168"/>
          </w:tcPr>
          <w:p>
            <w:pPr>
              <w:spacing w:line="264" w:lineRule="auto"/>
              <w:jc w:val="right"/>
            </w:pPr>
            <w:r>
              <w:rPr>
                <w:b w:val="0"/>
                <w:i w:val="0"/>
                <w:sz w:val="18"/>
              </w:rPr>
              <w:t>~3,600</w:t>
            </w:r>
          </w:p>
        </w:tc>
      </w:tr>
      <w:tr>
        <w:tc>
          <w:tcPr>
            <w:tcW w:type="dxa" w:w="4896"/>
            <w:shd w:val="clear" w:fill="EFF3F1"/>
          </w:tcPr>
          <w:p>
            <w:pPr>
              <w:spacing w:line="264" w:lineRule="auto"/>
            </w:pPr>
            <w:r>
              <w:rPr>
                <w:b w:val="0"/>
                <w:i w:val="0"/>
                <w:color w:val="1C3A36"/>
                <w:sz w:val="18"/>
              </w:rPr>
              <w:t>x 7 (conglomerate multiple)</w:t>
            </w:r>
          </w:p>
        </w:tc>
        <w:tc>
          <w:tcPr>
            <w:tcW w:type="dxa" w:w="3168"/>
            <w:shd w:val="clear" w:fill="EFF3F1"/>
          </w:tcPr>
          <w:p>
            <w:pPr>
              <w:spacing w:line="264" w:lineRule="auto"/>
              <w:jc w:val="right"/>
            </w:pPr>
            <w:r>
              <w:rPr>
                <w:b w:val="0"/>
                <w:i w:val="0"/>
                <w:sz w:val="18"/>
              </w:rPr>
              <w:t>25,200</w:t>
            </w:r>
          </w:p>
        </w:tc>
      </w:tr>
      <w:tr>
        <w:tc>
          <w:tcPr>
            <w:tcW w:type="dxa" w:w="4896"/>
          </w:tcPr>
          <w:p>
            <w:pPr>
              <w:spacing w:line="264" w:lineRule="auto"/>
            </w:pPr>
            <w:r>
              <w:rPr>
                <w:b w:val="0"/>
                <w:i w:val="0"/>
                <w:color w:val="1C3A36"/>
                <w:sz w:val="18"/>
              </w:rPr>
              <w:t>+ holdco treasury</w:t>
            </w:r>
          </w:p>
        </w:tc>
        <w:tc>
          <w:tcPr>
            <w:tcW w:type="dxa" w:w="3168"/>
          </w:tcPr>
          <w:p>
            <w:pPr>
              <w:spacing w:line="264" w:lineRule="auto"/>
              <w:jc w:val="right"/>
            </w:pPr>
            <w:r>
              <w:rPr>
                <w:b w:val="0"/>
                <w:i w:val="0"/>
                <w:sz w:val="18"/>
              </w:rPr>
              <w:t>3,000</w:t>
            </w:r>
          </w:p>
        </w:tc>
      </w:tr>
      <w:tr>
        <w:tc>
          <w:tcPr>
            <w:tcW w:type="dxa" w:w="4896"/>
            <w:shd w:val="clear" w:fill="EFF3F1"/>
          </w:tcPr>
          <w:p>
            <w:pPr>
              <w:spacing w:line="264" w:lineRule="auto"/>
            </w:pPr>
            <w:r>
              <w:rPr>
                <w:b w:val="0"/>
                <w:i w:val="0"/>
                <w:color w:val="1C3A36"/>
                <w:sz w:val="18"/>
              </w:rPr>
              <w:t>Equity value / per share</w:t>
            </w:r>
          </w:p>
        </w:tc>
        <w:tc>
          <w:tcPr>
            <w:tcW w:type="dxa" w:w="3168"/>
            <w:shd w:val="clear" w:fill="EFF3F1"/>
          </w:tcPr>
          <w:p>
            <w:pPr>
              <w:spacing w:line="264" w:lineRule="auto"/>
              <w:jc w:val="right"/>
            </w:pPr>
            <w:r>
              <w:rPr>
                <w:b w:val="0"/>
                <w:i w:val="0"/>
                <w:sz w:val="18"/>
              </w:rPr>
              <w:t>28,200 / EGP 23.0</w:t>
            </w:r>
          </w:p>
        </w:tc>
      </w:tr>
    </w:tbl>
    <w:p>
      <w:pPr>
        <w:spacing w:after="40"/>
      </w:pPr>
    </w:p>
    <w:p>
      <w:pPr>
        <w:spacing w:after="120" w:line="264" w:lineRule="auto"/>
      </w:pPr>
      <w:r>
        <w:rPr>
          <w:b/>
          <w:i w:val="0"/>
          <w:color w:val="1C3A36"/>
          <w:sz w:val="21"/>
        </w:rPr>
        <w:t xml:space="preserve">Worked example. </w:t>
      </w:r>
      <w:r>
        <w:rPr>
          <w:b w:val="0"/>
          <w:i w:val="0"/>
          <w:sz w:val="21"/>
        </w:rPr>
        <w:t>3,600 x 7 = EGP 25.2 bn; + 3.0 bn treasury = 28.2 bn; / 1,224.6 mn = EGP 23.0. Even granting 8x, the answer is EGP 25.9 - still below spot.</w:t>
      </w:r>
    </w:p>
    <w:p>
      <w:pPr>
        <w:spacing w:after="120" w:line="264" w:lineRule="auto"/>
      </w:pPr>
      <w:r>
        <w:rPr>
          <w:b w:val="0"/>
          <w:i w:val="0"/>
          <w:sz w:val="21"/>
        </w:rPr>
        <w:t>The reverse read is the sharper one: spot 26.83 caps the reported 4.1 bn at ~8x as if every pound recurs; on my recurring 3.6 bn that is ~9.1x - a full multiple for a conglomerate whose flagship vertical just halved.</w:t>
      </w:r>
    </w:p>
    <w:p>
      <w:pPr>
        <w:spacing w:after="120" w:line="264" w:lineRule="auto"/>
      </w:pPr>
      <w:r>
        <w:rPr>
          <w:b w:val="0"/>
          <w:i w:val="0"/>
          <w:sz w:val="21"/>
        </w:rPr>
        <w:t>One fairness note: if the IB's recurring core proves nearer EGP 1.8 bn than my implied ~1.1 bn - two clean quarters would show it - my base rises ~EGP 700 mn and my value ~EGP 4/share. The ledger is falsifiable on a calendar.</w:t>
      </w:r>
    </w:p>
    <w:p>
      <w:pPr>
        <w:spacing w:after="120" w:line="264" w:lineRule="auto" w:before="160"/>
      </w:pPr>
      <w:r>
        <w:rPr>
          <w:b/>
          <w:i w:val="0"/>
          <w:color w:val="1C3A36"/>
          <w:sz w:val="21"/>
        </w:rPr>
        <w:t xml:space="preserve">Sensitivity on the swing input. </w:t>
      </w:r>
      <w:r>
        <w:rPr>
          <w:b w:val="0"/>
          <w:i w:val="0"/>
          <w:sz w:val="21"/>
        </w:rPr>
        <w:t>The recurring base and the multiple are the dials.</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Recurring NPAT 3.3 / 3.6 / 3.9 bn</w:t>
            </w:r>
          </w:p>
        </w:tc>
        <w:tc>
          <w:tcPr>
            <w:tcW w:type="dxa" w:w="3168"/>
          </w:tcPr>
          <w:p>
            <w:pPr>
              <w:spacing w:line="264" w:lineRule="auto"/>
              <w:jc w:val="right"/>
            </w:pPr>
            <w:r>
              <w:rPr>
                <w:b w:val="0"/>
                <w:i w:val="0"/>
                <w:sz w:val="18"/>
              </w:rPr>
              <w:t>21.3 / 23.0 / 24.7</w:t>
            </w:r>
          </w:p>
        </w:tc>
      </w:tr>
      <w:tr>
        <w:tc>
          <w:tcPr>
            <w:tcW w:type="dxa" w:w="4896"/>
            <w:shd w:val="clear" w:fill="EFF3F1"/>
          </w:tcPr>
          <w:p>
            <w:pPr>
              <w:spacing w:line="264" w:lineRule="auto"/>
            </w:pPr>
            <w:r>
              <w:rPr>
                <w:b w:val="0"/>
                <w:i w:val="0"/>
                <w:color w:val="1C3A36"/>
                <w:sz w:val="18"/>
              </w:rPr>
              <w:t>Multiple 6 / 7 / 8x</w:t>
            </w:r>
          </w:p>
        </w:tc>
        <w:tc>
          <w:tcPr>
            <w:tcW w:type="dxa" w:w="3168"/>
            <w:shd w:val="clear" w:fill="EFF3F1"/>
          </w:tcPr>
          <w:p>
            <w:pPr>
              <w:spacing w:line="264" w:lineRule="auto"/>
              <w:jc w:val="right"/>
            </w:pPr>
            <w:r>
              <w:rPr>
                <w:b w:val="0"/>
                <w:i w:val="0"/>
                <w:sz w:val="18"/>
              </w:rPr>
              <w:t>20.1 / 23.0 / 25.9</w:t>
            </w:r>
          </w:p>
        </w:tc>
      </w:tr>
      <w:tr>
        <w:tc>
          <w:tcPr>
            <w:tcW w:type="dxa" w:w="4896"/>
          </w:tcPr>
          <w:p>
            <w:pPr>
              <w:spacing w:line="264" w:lineRule="auto"/>
            </w:pPr>
            <w:r>
              <w:rPr>
                <w:b w:val="0"/>
                <w:i w:val="0"/>
                <w:color w:val="1C3A36"/>
                <w:sz w:val="18"/>
              </w:rPr>
              <w:t>Treasury 2 / 3 / 4 bn</w:t>
            </w:r>
          </w:p>
        </w:tc>
        <w:tc>
          <w:tcPr>
            <w:tcW w:type="dxa" w:w="3168"/>
          </w:tcPr>
          <w:p>
            <w:pPr>
              <w:spacing w:line="264" w:lineRule="auto"/>
              <w:jc w:val="right"/>
            </w:pPr>
            <w:r>
              <w:rPr>
                <w:b w:val="0"/>
                <w:i w:val="0"/>
                <w:sz w:val="18"/>
              </w:rPr>
              <w:t>-0.8 / base / +0.8</w:t>
            </w:r>
          </w:p>
        </w:tc>
      </w:tr>
    </w:tbl>
    <w:p>
      <w:pPr>
        <w:spacing w:after="40"/>
      </w:pPr>
    </w:p>
    <w:p>
      <w:pPr>
        <w:spacing w:after="120" w:line="264" w:lineRule="auto"/>
      </w:pPr>
      <w:r>
        <w:rPr>
          <w:b/>
          <w:i w:val="0"/>
          <w:color w:val="1C3A36"/>
          <w:sz w:val="21"/>
        </w:rPr>
        <w:t xml:space="preserve">Cross-examination. </w:t>
      </w:r>
      <w:r>
        <w:rPr>
          <w:b w:val="0"/>
          <w:i w:val="0"/>
          <w:sz w:val="21"/>
        </w:rPr>
        <w:t>To Expert 1: half your NAV is your own multiples wearing a costume - only Valu has a real print, and your 'external' Bank NXT mark is a primary round the group itself anchored. Strip those to my earnings-based marks and your gross NAV lands within a pound of my answer before you even choose a discount.</w:t>
      </w:r>
    </w:p>
    <w:p>
      <w:pPr>
        <w:spacing w:after="120" w:line="264" w:lineRule="auto"/>
      </w:pPr>
      <w:r>
        <w:rPr>
          <w:b w:val="0"/>
          <w:i w:val="0"/>
          <w:sz w:val="21"/>
        </w:rPr>
        <w:t>To Expert 3: your bull case double-counts - EGX turnover lifting brokerage AND the multiple re-rating are the same easing arriving through two doors, and your stress case forgets that a third of the group's profit now comes from a deposit-funded bank that likes high rates.</w:t>
      </w:r>
    </w:p>
    <w:p>
      <w:pPr>
        <w:spacing w:after="120" w:line="264" w:lineRule="auto"/>
      </w:pPr>
      <w:r>
        <w:rPr>
          <w:b/>
          <w:i w:val="0"/>
          <w:color w:val="1C3A36"/>
          <w:sz w:val="21"/>
        </w:rPr>
        <w:t xml:space="preserve">Verdict, falsification, and what the price implies. </w:t>
      </w:r>
      <w:r>
        <w:rPr>
          <w:b w:val="0"/>
          <w:i w:val="0"/>
          <w:sz w:val="21"/>
        </w:rPr>
        <w:t>Fair ~EGP 23.0 (20.5-25.5). At 26.83 the market pays ~9x the recurring core - full for a conglomerate, cheap only against the print.</w:t>
      </w:r>
    </w:p>
    <w:p>
      <w:pPr>
        <w:spacing w:after="120" w:line="264" w:lineRule="auto"/>
      </w:pPr>
      <w:r>
        <w:rPr>
          <w:b w:val="0"/>
          <w:i w:val="0"/>
          <w:sz w:val="21"/>
        </w:rPr>
        <w:t>Price-implied: the tape has accepted the 4.1 bn at face. My lens exists for the quarter the one-offs stop arriving - and it converts to the bull side the moment the IB proves a clean 400 mn run-rate. Falsification: two consecutive quarters of Investment Bank NPAT at or above EGP 400 mn with no FX, revaluation or tax one-offs - proving the recurring core is nearer 4.5 bn than 3.6 bn.</w:t>
      </w:r>
    </w:p>
    <w:p>
      <w:pPr>
        <w:spacing w:before="160" w:after="120" w:line="264" w:lineRule="auto"/>
      </w:pPr>
      <w:r>
        <w:rPr>
          <w:b/>
          <w:i w:val="0"/>
          <w:color w:val="1C3A36"/>
          <w:sz w:val="24"/>
        </w:rPr>
        <w:t>D.3  Expert 3 - the rate cycle and the EGX tape - value as a macro regime</w:t>
      </w:r>
    </w:p>
    <w:p>
      <w:pPr>
        <w:spacing w:after="120" w:line="264" w:lineRule="auto"/>
      </w:pPr>
      <w:r>
        <w:rPr>
          <w:b/>
          <w:i w:val="0"/>
          <w:color w:val="1C3A36"/>
          <w:sz w:val="21"/>
        </w:rPr>
        <w:t xml:space="preserve">Worldview and tradition. </w:t>
      </w:r>
      <w:r>
        <w:rPr>
          <w:b w:val="0"/>
          <w:i w:val="0"/>
          <w:sz w:val="21"/>
        </w:rPr>
        <w:t>EFG is a geared play on Egyptian financial conditions: CBE easing lifts brokerage volumes, investment-banking pipelines, AUM and NBFI credit growth, while compressing Bank NXT's deposit-funded margin and treasury yields. The pound sets the translation of the regional franchise. Price the regime, and the verticals price themselves.</w:t>
      </w:r>
    </w:p>
    <w:p>
      <w:pPr>
        <w:spacing w:after="120" w:line="264" w:lineRule="auto"/>
      </w:pPr>
      <w:r>
        <w:rPr>
          <w:b w:val="0"/>
          <w:i w:val="0"/>
          <w:sz w:val="21"/>
        </w:rPr>
        <w:t>The tradition is macro-regime valuation for rate-geared financials: identify the offices whose decisions move the earnings - the MPC (the corridor), the EGX tape (turnover and the IPO window), the central bank's FX desk (the pound) - and refuse point estimates that pretend those desks are closed.</w:t>
      </w:r>
    </w:p>
    <w:p>
      <w:pPr>
        <w:spacing w:after="120" w:line="264" w:lineRule="auto"/>
      </w:pPr>
      <w:r>
        <w:rPr>
          <w:b w:val="0"/>
          <w:i w:val="0"/>
          <w:sz w:val="21"/>
        </w:rPr>
        <w:t>What makes EFG unusual is the internal hedge: the 2021-24 diversification deliberately bought assets that profit from the opposite regimes, so the group's macro beta is flatter than any of its parts.</w:t>
      </w:r>
    </w:p>
    <w:p>
      <w:pPr>
        <w:spacing w:after="120" w:line="264" w:lineRule="auto"/>
      </w:pPr>
      <w:r>
        <w:rPr>
          <w:b/>
          <w:i w:val="0"/>
          <w:color w:val="1C3A36"/>
          <w:sz w:val="21"/>
        </w:rPr>
        <w:t xml:space="preserve">When it works / when it fails. </w:t>
      </w:r>
      <w:r>
        <w:rPr>
          <w:b w:val="0"/>
          <w:i w:val="0"/>
          <w:sz w:val="21"/>
        </w:rPr>
        <w:t>Works when the macro swing dwarfs execution - Egypt mid-easing-cycle qualifies, and every EFG vertical is a rate instrument of some polarity. Fails on the idiosyncratic layer: the holdco discount, governance and monetization timing answer to no rate path, and they are worth EGP 6/share of the argument here.</w:t>
      </w:r>
    </w:p>
    <w:p>
      <w:pPr>
        <w:spacing w:after="120" w:line="264" w:lineRule="auto"/>
      </w:pPr>
      <w:r>
        <w:rPr>
          <w:b w:val="0"/>
          <w:i w:val="0"/>
          <w:sz w:val="21"/>
        </w:rPr>
        <w:t>I anchor the probabilities on checkable things - the inflation glide path, EGX turnover trends, the IPO pipeline the group itself advises - and publish them to be argued with.</w:t>
      </w:r>
    </w:p>
    <w:p>
      <w:pPr>
        <w:spacing w:after="120" w:line="264" w:lineRule="auto"/>
      </w:pPr>
      <w:r>
        <w:rPr>
          <w:b w:val="0"/>
          <w:i w:val="0"/>
          <w:sz w:val="21"/>
        </w:rPr>
        <w:t>The method's humility: because the verticals net against each other, my tree is narrower per unit of macro uncertainty than it would be for a pure broker - which is itself the strategy working.</w:t>
      </w:r>
    </w:p>
    <w:p>
      <w:pPr>
        <w:spacing w:after="120" w:line="264" w:lineRule="auto"/>
      </w:pPr>
      <w:r>
        <w:rPr>
          <w:b/>
          <w:i w:val="0"/>
          <w:color w:val="1C3A36"/>
          <w:sz w:val="21"/>
        </w:rPr>
        <w:t xml:space="preserve">Standard workings. </w:t>
      </w:r>
      <w:r>
        <w:rPr>
          <w:b w:val="0"/>
          <w:i w:val="0"/>
          <w:sz w:val="21"/>
        </w:rPr>
        <w:t>Three regimes, each a full re-solve of the marks (brokerage/IB revenue, NBFI book growth, NXT margin, Valu's print) - no branch borrows a convenient multiple.</w:t>
      </w:r>
    </w:p>
    <w:p>
      <w:pPr>
        <w:spacing w:after="120" w:line="264" w:lineRule="auto"/>
      </w:pPr>
      <w:r>
        <w:rPr>
          <w:b w:val="0"/>
          <w:i w:val="0"/>
          <w:sz w:val="21"/>
        </w:rPr>
        <w:t>The internal netting is explicit: scenario A's brokerage surge is partly paid for by NXT margin compression; scenario C's IB freeze is cushioned by the bank's rate carry.</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Scenario</w:t>
            </w:r>
          </w:p>
        </w:tc>
        <w:tc>
          <w:tcPr>
            <w:tcW w:type="dxa" w:w="3168"/>
            <w:shd w:val="clear" w:fill="1C3A36"/>
          </w:tcPr>
          <w:p>
            <w:pPr>
              <w:spacing w:line="264" w:lineRule="auto"/>
              <w:jc w:val="right"/>
            </w:pPr>
            <w:r>
              <w:rPr>
                <w:b/>
                <w:i w:val="0"/>
                <w:color w:val="FFFFFF"/>
                <w:sz w:val="18"/>
              </w:rPr>
              <w:t>Value / prob.</w:t>
            </w:r>
          </w:p>
        </w:tc>
      </w:tr>
      <w:tr>
        <w:tc>
          <w:tcPr>
            <w:tcW w:type="dxa" w:w="4896"/>
          </w:tcPr>
          <w:p>
            <w:pPr>
              <w:spacing w:line="264" w:lineRule="auto"/>
            </w:pPr>
            <w:r>
              <w:rPr>
                <w:b w:val="0"/>
                <w:i w:val="0"/>
                <w:color w:val="1C3A36"/>
                <w:sz w:val="18"/>
              </w:rPr>
              <w:t>A - easing + EGX bull: turnover, pipelines, NBFI compound</w:t>
            </w:r>
          </w:p>
        </w:tc>
        <w:tc>
          <w:tcPr>
            <w:tcW w:type="dxa" w:w="3168"/>
          </w:tcPr>
          <w:p>
            <w:pPr>
              <w:spacing w:line="264" w:lineRule="auto"/>
              <w:jc w:val="right"/>
            </w:pPr>
            <w:r>
              <w:rPr>
                <w:b w:val="0"/>
                <w:i w:val="0"/>
                <w:sz w:val="18"/>
              </w:rPr>
              <w:t>~EGP 30 / 30%</w:t>
            </w:r>
          </w:p>
        </w:tc>
      </w:tr>
      <w:tr>
        <w:tc>
          <w:tcPr>
            <w:tcW w:type="dxa" w:w="4896"/>
            <w:shd w:val="clear" w:fill="EFF3F1"/>
          </w:tcPr>
          <w:p>
            <w:pPr>
              <w:spacing w:line="264" w:lineRule="auto"/>
            </w:pPr>
            <w:r>
              <w:rPr>
                <w:b w:val="0"/>
                <w:i w:val="0"/>
                <w:color w:val="1C3A36"/>
                <w:sz w:val="18"/>
              </w:rPr>
              <w:t>B - base: gradual cuts, mixed tape</w:t>
            </w:r>
          </w:p>
        </w:tc>
        <w:tc>
          <w:tcPr>
            <w:tcW w:type="dxa" w:w="3168"/>
            <w:shd w:val="clear" w:fill="EFF3F1"/>
          </w:tcPr>
          <w:p>
            <w:pPr>
              <w:spacing w:line="264" w:lineRule="auto"/>
              <w:jc w:val="right"/>
            </w:pPr>
            <w:r>
              <w:rPr>
                <w:b w:val="0"/>
                <w:i w:val="0"/>
                <w:sz w:val="18"/>
              </w:rPr>
              <w:t>~EGP 27 / 45%</w:t>
            </w:r>
          </w:p>
        </w:tc>
      </w:tr>
      <w:tr>
        <w:tc>
          <w:tcPr>
            <w:tcW w:type="dxa" w:w="4896"/>
          </w:tcPr>
          <w:p>
            <w:pPr>
              <w:spacing w:line="264" w:lineRule="auto"/>
            </w:pPr>
            <w:r>
              <w:rPr>
                <w:b w:val="0"/>
                <w:i w:val="0"/>
                <w:color w:val="1C3A36"/>
                <w:sz w:val="18"/>
              </w:rPr>
              <w:t>C - EGP stress / cuts stall: pipeline freeze, credit costs</w:t>
            </w:r>
          </w:p>
        </w:tc>
        <w:tc>
          <w:tcPr>
            <w:tcW w:type="dxa" w:w="3168"/>
          </w:tcPr>
          <w:p>
            <w:pPr>
              <w:spacing w:line="264" w:lineRule="auto"/>
              <w:jc w:val="right"/>
            </w:pPr>
            <w:r>
              <w:rPr>
                <w:b w:val="0"/>
                <w:i w:val="0"/>
                <w:sz w:val="18"/>
              </w:rPr>
              <w:t>~EGP 20 / 25%</w:t>
            </w:r>
          </w:p>
        </w:tc>
      </w:tr>
      <w:tr>
        <w:tc>
          <w:tcPr>
            <w:tcW w:type="dxa" w:w="4896"/>
            <w:shd w:val="clear" w:fill="EFF3F1"/>
          </w:tcPr>
          <w:p>
            <w:pPr>
              <w:spacing w:line="264" w:lineRule="auto"/>
            </w:pPr>
            <w:r>
              <w:rPr>
                <w:b w:val="0"/>
                <w:i w:val="0"/>
                <w:color w:val="1C3A36"/>
                <w:sz w:val="18"/>
              </w:rPr>
              <w:t>Probability-weighted</w:t>
            </w:r>
          </w:p>
        </w:tc>
        <w:tc>
          <w:tcPr>
            <w:tcW w:type="dxa" w:w="3168"/>
            <w:shd w:val="clear" w:fill="EFF3F1"/>
          </w:tcPr>
          <w:p>
            <w:pPr>
              <w:spacing w:line="264" w:lineRule="auto"/>
              <w:jc w:val="right"/>
            </w:pPr>
            <w:r>
              <w:rPr>
                <w:b w:val="0"/>
                <w:i w:val="0"/>
                <w:sz w:val="18"/>
              </w:rPr>
              <w:t>~EGP 26.2 -&gt; call it 27 with the distribution floor</w:t>
            </w:r>
          </w:p>
        </w:tc>
      </w:tr>
    </w:tbl>
    <w:p>
      <w:pPr>
        <w:spacing w:after="40"/>
      </w:pPr>
    </w:p>
    <w:p>
      <w:pPr>
        <w:spacing w:after="120" w:line="264" w:lineRule="auto"/>
      </w:pPr>
      <w:r>
        <w:rPr>
          <w:b/>
          <w:i w:val="0"/>
          <w:color w:val="1C3A36"/>
          <w:sz w:val="21"/>
        </w:rPr>
        <w:t xml:space="preserve">Worked example. </w:t>
      </w:r>
      <w:r>
        <w:rPr>
          <w:b w:val="0"/>
          <w:i w:val="0"/>
          <w:sz w:val="21"/>
        </w:rPr>
        <w:t>0.30x30 + 0.45x27 + 0.25x20 = EGP 26.2/share - almost exactly spot; I round to ~27 allowing for the EGP 400 mn distribution policy's floor effect. The market is pricing my base case, not either tail.</w:t>
      </w:r>
    </w:p>
    <w:p>
      <w:pPr>
        <w:spacing w:after="120" w:line="264" w:lineRule="auto"/>
      </w:pPr>
      <w:r>
        <w:rPr>
          <w:b w:val="0"/>
          <w:i w:val="0"/>
          <w:sz w:val="21"/>
        </w:rPr>
        <w:t>The per-unit arithmetic: each 200 bp of easing is worth roughly +EGP 1.5-2 through brokerage/IB/NBFI but -EGP 0.5-1 through Bank NXT's margin - a net ~+EGP 1/share per 200 bp, far flatter than a pure broker, and the reason my range (20-33) is narrower than the group's history would suggest.</w:t>
      </w:r>
    </w:p>
    <w:p>
      <w:pPr>
        <w:spacing w:after="120" w:line="264" w:lineRule="auto"/>
      </w:pPr>
      <w:r>
        <w:rPr>
          <w:b w:val="0"/>
          <w:i w:val="0"/>
          <w:sz w:val="21"/>
        </w:rPr>
        <w:t>Width read: 13 pounds of span on a 27 price says the regime question is real but hedged - the diversification bought exactly this.</w:t>
      </w:r>
    </w:p>
    <w:p>
      <w:pPr>
        <w:spacing w:after="120" w:line="264" w:lineRule="auto"/>
      </w:pPr>
      <w:r>
        <w:rPr>
          <w:b/>
          <w:i w:val="0"/>
          <w:color w:val="1C3A36"/>
          <w:sz w:val="21"/>
        </w:rPr>
        <w:t xml:space="preserve">Sensitivity on the swing input. </w:t>
      </w:r>
      <w:r>
        <w:rPr>
          <w:b w:val="0"/>
          <w:i w:val="0"/>
          <w:sz w:val="21"/>
        </w:rPr>
        <w:t>The corridor and the tape are the swings; the pound is the amplifier.</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Each 200bp of CBE easing (net)</w:t>
            </w:r>
          </w:p>
        </w:tc>
        <w:tc>
          <w:tcPr>
            <w:tcW w:type="dxa" w:w="3168"/>
          </w:tcPr>
          <w:p>
            <w:pPr>
              <w:spacing w:line="264" w:lineRule="auto"/>
              <w:jc w:val="right"/>
            </w:pPr>
            <w:r>
              <w:rPr>
                <w:b w:val="0"/>
                <w:i w:val="0"/>
                <w:sz w:val="18"/>
              </w:rPr>
              <w:t>+ ~1.0</w:t>
            </w:r>
          </w:p>
        </w:tc>
      </w:tr>
      <w:tr>
        <w:tc>
          <w:tcPr>
            <w:tcW w:type="dxa" w:w="4896"/>
            <w:shd w:val="clear" w:fill="EFF3F1"/>
          </w:tcPr>
          <w:p>
            <w:pPr>
              <w:spacing w:line="264" w:lineRule="auto"/>
            </w:pPr>
            <w:r>
              <w:rPr>
                <w:b w:val="0"/>
                <w:i w:val="0"/>
                <w:color w:val="1C3A36"/>
                <w:sz w:val="18"/>
              </w:rPr>
              <w:t>EGX turnover +/-25%</w:t>
            </w:r>
          </w:p>
        </w:tc>
        <w:tc>
          <w:tcPr>
            <w:tcW w:type="dxa" w:w="3168"/>
            <w:shd w:val="clear" w:fill="EFF3F1"/>
          </w:tcPr>
          <w:p>
            <w:pPr>
              <w:spacing w:line="264" w:lineRule="auto"/>
              <w:jc w:val="right"/>
            </w:pPr>
            <w:r>
              <w:rPr>
                <w:b w:val="0"/>
                <w:i w:val="0"/>
                <w:sz w:val="18"/>
              </w:rPr>
              <w:t>+/- ~1.5</w:t>
            </w:r>
          </w:p>
        </w:tc>
      </w:tr>
      <w:tr>
        <w:tc>
          <w:tcPr>
            <w:tcW w:type="dxa" w:w="4896"/>
          </w:tcPr>
          <w:p>
            <w:pPr>
              <w:spacing w:line="264" w:lineRule="auto"/>
            </w:pPr>
            <w:r>
              <w:rPr>
                <w:b w:val="0"/>
                <w:i w:val="0"/>
                <w:color w:val="1C3A36"/>
                <w:sz w:val="18"/>
              </w:rPr>
              <w:t>EGP -15% (translation + FX layer)</w:t>
            </w:r>
          </w:p>
        </w:tc>
        <w:tc>
          <w:tcPr>
            <w:tcW w:type="dxa" w:w="3168"/>
          </w:tcPr>
          <w:p>
            <w:pPr>
              <w:spacing w:line="264" w:lineRule="auto"/>
              <w:jc w:val="right"/>
            </w:pPr>
            <w:r>
              <w:rPr>
                <w:b w:val="0"/>
                <w:i w:val="0"/>
                <w:sz w:val="18"/>
              </w:rPr>
              <w:t>+ ~1.0-1.5, quality-flagged</w:t>
            </w:r>
          </w:p>
        </w:tc>
      </w:tr>
    </w:tbl>
    <w:p>
      <w:pPr>
        <w:spacing w:after="40"/>
      </w:pPr>
    </w:p>
    <w:p>
      <w:pPr>
        <w:spacing w:after="120" w:line="264" w:lineRule="auto"/>
      </w:pPr>
      <w:r>
        <w:rPr>
          <w:b/>
          <w:i w:val="0"/>
          <w:color w:val="1C3A36"/>
          <w:sz w:val="21"/>
        </w:rPr>
        <w:t xml:space="preserve">Cross-examination. </w:t>
      </w:r>
      <w:r>
        <w:rPr>
          <w:b w:val="0"/>
          <w:i w:val="0"/>
          <w:sz w:val="21"/>
        </w:rPr>
        <w:t>To Expert 1: monetizations do not happen in a vacuum - Valu listed into a bull tape; your discount-collapse catalyst IS my scenario A wearing a corporate-finance suit, so our bull cases are one trade.</w:t>
      </w:r>
    </w:p>
    <w:p>
      <w:pPr>
        <w:spacing w:after="120" w:line="264" w:lineRule="auto"/>
      </w:pPr>
      <w:r>
        <w:rPr>
          <w:b w:val="0"/>
          <w:i w:val="0"/>
          <w:sz w:val="21"/>
        </w:rPr>
        <w:t>To Expert 2: your 'recurring' core is itself regime-dependent - the brokerage commissions you bless as clean halve if EGX turnover mean-reverts, and the NXT profit you fully credit is a high-rate artifact by your own logic. A quality ledger that ignores the regime is a photograph of weather.</w:t>
      </w:r>
    </w:p>
    <w:p>
      <w:pPr>
        <w:spacing w:after="120" w:line="264" w:lineRule="auto"/>
      </w:pPr>
      <w:r>
        <w:rPr>
          <w:b/>
          <w:i w:val="0"/>
          <w:color w:val="1C3A36"/>
          <w:sz w:val="21"/>
        </w:rPr>
        <w:t xml:space="preserve">Verdict, falsification, and what the price implies. </w:t>
      </w:r>
      <w:r>
        <w:rPr>
          <w:b w:val="0"/>
          <w:i w:val="0"/>
          <w:sz w:val="21"/>
        </w:rPr>
        <w:t>Fair ~EGP 27.0 (20-33, widest). Spot sits on the base case: the diversified mix has flattened the macro beta, which is precisely the strategy working.</w:t>
      </w:r>
    </w:p>
    <w:p>
      <w:pPr>
        <w:spacing w:after="120" w:line="264" w:lineRule="auto"/>
      </w:pPr>
      <w:r>
        <w:rPr>
          <w:b w:val="0"/>
          <w:i w:val="0"/>
          <w:sz w:val="21"/>
        </w:rPr>
        <w:t>Price-implied: the market weights my scenarios almost exactly as I do - the rare stock where the tape and the tree agree - so the alpha here is in the discount and the ledger, not the macro. Falsification: the regime print: EGX turnover and CBE cuts both accelerating for two quarters confirms scenario A; renewed EGP pressure with cuts on hold confirms C.</w:t>
      </w:r>
    </w:p>
    <w:p>
      <w:pPr>
        <w:spacing w:before="160" w:after="120" w:line="264" w:lineRule="auto"/>
      </w:pPr>
      <w:r>
        <w:rPr>
          <w:b/>
          <w:i w:val="0"/>
          <w:color w:val="1C3A36"/>
          <w:sz w:val="24"/>
        </w:rPr>
        <w:t>D.5  The three in one room</w:t>
      </w:r>
    </w:p>
    <w:p>
      <w:pPr>
        <w:spacing w:after="120" w:line="264" w:lineRule="auto"/>
      </w:pPr>
      <w:r>
        <w:rPr>
          <w:b w:val="0"/>
          <w:i w:val="0"/>
          <w:sz w:val="21"/>
        </w:rPr>
        <w:t>Put in one room, the three converge on one exhibit: the EGP 4.1 bn. Expert 2 lays out the layers - 656 mn of tax gains, the FY24 FX base - and says the recurring core is 3.6, price that or price a memory. Expert 1 shrugs: my marks never used the print; the parts are worth 32 gross and the only fight is the wrapper's 20% - argue with Valu's tape, not with me. Expert 3 turns the exhibit over: both your numbers are regime outputs - the brokerage line Expert 2 blesses and the bank multiple Expert 1 applies both flip sign when the CBE moves, and the monetization Expert 1 prays for only happens in my scenario A. Three readings of one income statement; the price sits, almost smugly, between them - and the AGM calendar, not the debate, will move it first.</w:t>
      </w:r>
    </w:p>
    <w:p>
      <w:pPr>
        <w:spacing w:before="160" w:after="120" w:line="264" w:lineRule="auto"/>
      </w:pPr>
      <w:r>
        <w:rPr>
          <w:b/>
          <w:i w:val="0"/>
          <w:color w:val="1C3A36"/>
          <w:sz w:val="24"/>
        </w:rPr>
        <w:t>D.6  Reading the divergence</w:t>
      </w:r>
    </w:p>
    <w:p>
      <w:pPr>
        <w:spacing w:after="120" w:line="264" w:lineRule="auto"/>
      </w:pPr>
      <w:r>
        <w:rPr>
          <w:b w:val="0"/>
          <w:i w:val="0"/>
          <w:sz w:val="21"/>
        </w:rPr>
        <w:t>Base fair values of EGP 25.7 / 23.0 / 27.0 against spot 26.83 - the tightest expert spread of the series, straddling the price. The spread here does not measure mispricing - it measures the three legitimate ways to read a conglomerate's income statement, and the market is currently paying the average of all three.</w:t>
      </w:r>
    </w:p>
    <w:p>
      <w:pPr>
        <w:spacing w:after="120" w:line="264" w:lineRule="auto"/>
      </w:pPr>
      <w:r>
        <w:rPr>
          <w:b w:val="0"/>
          <w:i w:val="0"/>
          <w:sz w:val="21"/>
        </w:rPr>
        <w:t>What closes it has a calendar: the AGM mechanism and any monetization arbitrate Expert 1's discount; two clean IB quarters arbitrate Expert 2's ledger; the MPC arbitrates Expert 3's tree - every leg expires within the year.</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1C3A36"/>
          </w:tcPr>
          <w:p>
            <w:pPr>
              <w:spacing w:line="264" w:lineRule="auto"/>
            </w:pPr>
            <w:r>
              <w:rPr>
                <w:b/>
                <w:i w:val="0"/>
                <w:color w:val="FFFFFF"/>
                <w:sz w:val="18"/>
              </w:rPr>
              <w:t>Expert</w:t>
            </w:r>
          </w:p>
        </w:tc>
        <w:tc>
          <w:tcPr>
            <w:tcW w:type="dxa" w:w="2592"/>
            <w:shd w:val="clear" w:fill="1C3A36"/>
          </w:tcPr>
          <w:p>
            <w:pPr>
              <w:spacing w:line="264" w:lineRule="auto"/>
              <w:jc w:val="right"/>
            </w:pPr>
            <w:r>
              <w:rPr>
                <w:b/>
                <w:i w:val="0"/>
                <w:color w:val="FFFFFF"/>
                <w:sz w:val="18"/>
              </w:rPr>
              <w:t>Method</w:t>
            </w:r>
          </w:p>
        </w:tc>
        <w:tc>
          <w:tcPr>
            <w:tcW w:type="dxa" w:w="2304"/>
            <w:shd w:val="clear" w:fill="1C3A36"/>
          </w:tcPr>
          <w:p>
            <w:pPr>
              <w:spacing w:line="264" w:lineRule="auto"/>
              <w:jc w:val="right"/>
            </w:pPr>
            <w:r>
              <w:rPr>
                <w:b/>
                <w:i w:val="0"/>
                <w:color w:val="FFFFFF"/>
                <w:sz w:val="18"/>
              </w:rPr>
              <w:t>Fair value (EGP)</w:t>
            </w:r>
          </w:p>
        </w:tc>
        <w:tc>
          <w:tcPr>
            <w:tcW w:type="dxa" w:w="3168"/>
            <w:shd w:val="clear" w:fill="1C3A36"/>
          </w:tcPr>
          <w:p>
            <w:pPr>
              <w:spacing w:line="264" w:lineRule="auto"/>
              <w:jc w:val="right"/>
            </w:pPr>
            <w:r>
              <w:rPr>
                <w:b/>
                <w:i w:val="0"/>
                <w:color w:val="FFFFFF"/>
                <w:sz w:val="18"/>
              </w:rPr>
              <w:t>Swing assumption</w:t>
            </w:r>
          </w:p>
        </w:tc>
      </w:tr>
      <w:tr>
        <w:tc>
          <w:tcPr>
            <w:tcW w:type="dxa" w:w="1728"/>
          </w:tcPr>
          <w:p>
            <w:pPr>
              <w:spacing w:line="264" w:lineRule="auto"/>
            </w:pPr>
            <w:r>
              <w:rPr>
                <w:b w:val="0"/>
                <w:i w:val="0"/>
                <w:color w:val="1C3A36"/>
                <w:sz w:val="18"/>
              </w:rPr>
              <w:t>Expert 1</w:t>
            </w:r>
          </w:p>
        </w:tc>
        <w:tc>
          <w:tcPr>
            <w:tcW w:type="dxa" w:w="2592"/>
          </w:tcPr>
          <w:p>
            <w:pPr>
              <w:spacing w:line="264" w:lineRule="auto"/>
              <w:jc w:val="right"/>
            </w:pPr>
            <w:r>
              <w:rPr>
                <w:b w:val="0"/>
                <w:i w:val="0"/>
                <w:sz w:val="18"/>
              </w:rPr>
              <w:t>NAV &amp; discount</w:t>
            </w:r>
          </w:p>
        </w:tc>
        <w:tc>
          <w:tcPr>
            <w:tcW w:type="dxa" w:w="2304"/>
          </w:tcPr>
          <w:p>
            <w:pPr>
              <w:spacing w:line="264" w:lineRule="auto"/>
              <w:jc w:val="right"/>
            </w:pPr>
            <w:r>
              <w:rPr>
                <w:b w:val="0"/>
                <w:i w:val="0"/>
                <w:sz w:val="18"/>
              </w:rPr>
              <w:t>25.7 (22.5-28.9)</w:t>
            </w:r>
          </w:p>
        </w:tc>
        <w:tc>
          <w:tcPr>
            <w:tcW w:type="dxa" w:w="3168"/>
          </w:tcPr>
          <w:p>
            <w:pPr>
              <w:spacing w:line="264" w:lineRule="auto"/>
              <w:jc w:val="right"/>
            </w:pPr>
            <w:r>
              <w:rPr>
                <w:b w:val="0"/>
                <w:i w:val="0"/>
                <w:sz w:val="18"/>
              </w:rPr>
              <w:t>The holdco discount (10-30%)</w:t>
            </w:r>
          </w:p>
        </w:tc>
      </w:tr>
      <w:tr>
        <w:tc>
          <w:tcPr>
            <w:tcW w:type="dxa" w:w="1728"/>
            <w:shd w:val="clear" w:fill="EFF3F1"/>
          </w:tcPr>
          <w:p>
            <w:pPr>
              <w:spacing w:line="264" w:lineRule="auto"/>
            </w:pPr>
            <w:r>
              <w:rPr>
                <w:b w:val="0"/>
                <w:i w:val="0"/>
                <w:color w:val="1C3A36"/>
                <w:sz w:val="18"/>
              </w:rPr>
              <w:t>Expert 2</w:t>
            </w:r>
          </w:p>
        </w:tc>
        <w:tc>
          <w:tcPr>
            <w:tcW w:type="dxa" w:w="2592"/>
            <w:shd w:val="clear" w:fill="EFF3F1"/>
          </w:tcPr>
          <w:p>
            <w:pPr>
              <w:spacing w:line="264" w:lineRule="auto"/>
              <w:jc w:val="right"/>
            </w:pPr>
            <w:r>
              <w:rPr>
                <w:b w:val="0"/>
                <w:i w:val="0"/>
                <w:sz w:val="18"/>
              </w:rPr>
              <w:t>Earnings quality</w:t>
            </w:r>
          </w:p>
        </w:tc>
        <w:tc>
          <w:tcPr>
            <w:tcW w:type="dxa" w:w="2304"/>
            <w:shd w:val="clear" w:fill="EFF3F1"/>
          </w:tcPr>
          <w:p>
            <w:pPr>
              <w:spacing w:line="264" w:lineRule="auto"/>
              <w:jc w:val="right"/>
            </w:pPr>
            <w:r>
              <w:rPr>
                <w:b w:val="0"/>
                <w:i w:val="0"/>
                <w:sz w:val="18"/>
              </w:rPr>
              <w:t>23.0 (20.5-25.5)</w:t>
            </w:r>
          </w:p>
        </w:tc>
        <w:tc>
          <w:tcPr>
            <w:tcW w:type="dxa" w:w="3168"/>
            <w:shd w:val="clear" w:fill="EFF3F1"/>
          </w:tcPr>
          <w:p>
            <w:pPr>
              <w:spacing w:line="264" w:lineRule="auto"/>
              <w:jc w:val="right"/>
            </w:pPr>
            <w:r>
              <w:rPr>
                <w:b w:val="0"/>
                <w:i w:val="0"/>
                <w:sz w:val="18"/>
              </w:rPr>
              <w:t>The recurring core of the 4.1 bn</w:t>
            </w:r>
          </w:p>
        </w:tc>
      </w:tr>
      <w:tr>
        <w:tc>
          <w:tcPr>
            <w:tcW w:type="dxa" w:w="1728"/>
          </w:tcPr>
          <w:p>
            <w:pPr>
              <w:spacing w:line="264" w:lineRule="auto"/>
            </w:pPr>
            <w:r>
              <w:rPr>
                <w:b w:val="0"/>
                <w:i w:val="0"/>
                <w:color w:val="1C3A36"/>
                <w:sz w:val="18"/>
              </w:rPr>
              <w:t>Expert 3</w:t>
            </w:r>
          </w:p>
        </w:tc>
        <w:tc>
          <w:tcPr>
            <w:tcW w:type="dxa" w:w="2592"/>
          </w:tcPr>
          <w:p>
            <w:pPr>
              <w:spacing w:line="264" w:lineRule="auto"/>
              <w:jc w:val="right"/>
            </w:pPr>
            <w:r>
              <w:rPr>
                <w:b w:val="0"/>
                <w:i w:val="0"/>
                <w:sz w:val="18"/>
              </w:rPr>
              <w:t>Macro regime</w:t>
            </w:r>
          </w:p>
        </w:tc>
        <w:tc>
          <w:tcPr>
            <w:tcW w:type="dxa" w:w="2304"/>
          </w:tcPr>
          <w:p>
            <w:pPr>
              <w:spacing w:line="264" w:lineRule="auto"/>
              <w:jc w:val="right"/>
            </w:pPr>
            <w:r>
              <w:rPr>
                <w:b w:val="0"/>
                <w:i w:val="0"/>
                <w:sz w:val="18"/>
              </w:rPr>
              <w:t>27.0 (20-33)</w:t>
            </w:r>
          </w:p>
        </w:tc>
        <w:tc>
          <w:tcPr>
            <w:tcW w:type="dxa" w:w="3168"/>
          </w:tcPr>
          <w:p>
            <w:pPr>
              <w:spacing w:line="264" w:lineRule="auto"/>
              <w:jc w:val="right"/>
            </w:pPr>
            <w:r>
              <w:rPr>
                <w:b w:val="0"/>
                <w:i w:val="0"/>
                <w:sz w:val="18"/>
              </w:rPr>
              <w:t>The CBE path x EGX tape</w:t>
            </w:r>
          </w:p>
        </w:tc>
      </w:tr>
    </w:tbl>
    <w:p>
      <w:pPr>
        <w:spacing w:after="40"/>
      </w:pPr>
    </w:p>
    <w:p>
      <w:pPr>
        <w:jc w:val="center"/>
      </w:pPr>
      <w:r>
        <w:drawing>
          <wp:inline xmlns:a="http://schemas.openxmlformats.org/drawingml/2006/main" xmlns:pic="http://schemas.openxmlformats.org/drawingml/2006/picture">
            <wp:extent cx="5760720" cy="2541493"/>
            <wp:docPr id="9" name="Picture 9"/>
            <wp:cNvGraphicFramePr>
              <a:graphicFrameLocks noChangeAspect="1"/>
            </wp:cNvGraphicFramePr>
            <a:graphic>
              <a:graphicData uri="http://schemas.openxmlformats.org/drawingml/2006/picture">
                <pic:pic>
                  <pic:nvPicPr>
                    <pic:cNvPr id="0" name="HRHO_football.png"/>
                    <pic:cNvPicPr/>
                  </pic:nvPicPr>
                  <pic:blipFill>
                    <a:blip r:embed="rId9"/>
                    <a:stretch>
                      <a:fillRect/>
                    </a:stretch>
                  </pic:blipFill>
                  <pic:spPr>
                    <a:xfrm>
                      <a:off x="0" y="0"/>
                      <a:ext cx="5760720" cy="2541493"/>
                    </a:xfrm>
                    <a:prstGeom prst="rect"/>
                  </pic:spPr>
                </pic:pic>
              </a:graphicData>
            </a:graphic>
          </wp:inline>
        </w:drawing>
      </w:r>
    </w:p>
    <w:p>
      <w:pPr>
        <w:spacing w:line="264" w:lineRule="auto"/>
        <w:jc w:val="center"/>
      </w:pPr>
      <w:r>
        <w:rPr>
          <w:b w:val="0"/>
          <w:i/>
          <w:color w:val="666666"/>
          <w:sz w:val="16"/>
        </w:rPr>
        <w:t>Expert fair values vs spot</w:t>
      </w:r>
    </w:p>
    <w:p>
      <w:pPr>
        <w:spacing w:before="160" w:after="120" w:line="264" w:lineRule="auto"/>
      </w:pPr>
      <w:r>
        <w:rPr>
          <w:b/>
          <w:i w:val="0"/>
          <w:color w:val="1C3A36"/>
          <w:sz w:val="30"/>
        </w:rPr>
        <w:t>About this series</w:t>
      </w:r>
    </w:p>
    <w:p>
      <w:pPr>
        <w:spacing w:after="120" w:line="264" w:lineRule="auto"/>
      </w:pPr>
      <w:r>
        <w:rPr>
          <w:b w:val="0"/>
          <w:i w:val="0"/>
          <w:sz w:val="21"/>
        </w:rPr>
        <w:t>Testahil publishes independent, educational valuation studies. The house style is distributions, not tips: we describe ranges and probabilities, not targets. Studies are framed as educational analysis, the preparer is not licensed by any securities regulator, and holdings are disclosed.</w:t>
      </w:r>
    </w:p>
    <w:p>
      <w:pPr>
        <w:spacing w:before="160" w:after="120" w:line="264" w:lineRule="auto"/>
      </w:pPr>
      <w:r>
        <w:rPr>
          <w:b/>
          <w:i w:val="0"/>
          <w:color w:val="1C3A36"/>
          <w:sz w:val="30"/>
        </w:rPr>
        <w:t>Disclosure &amp; Disclaimer</w:t>
      </w:r>
    </w:p>
    <w:p>
      <w:pPr>
        <w:spacing w:after="120" w:line="264" w:lineRule="auto"/>
      </w:pPr>
      <w:r>
        <w:rPr>
          <w:b/>
          <w:i w:val="0"/>
          <w:color w:val="1C3A36"/>
          <w:sz w:val="18"/>
        </w:rPr>
        <w:t xml:space="preserve">Not investment advice. </w:t>
      </w:r>
      <w:r>
        <w:rPr>
          <w:b w:val="0"/>
          <w:i w:val="0"/>
          <w:sz w:val="18"/>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20" w:line="264" w:lineRule="auto"/>
      </w:pPr>
      <w:r>
        <w:rPr>
          <w:b/>
          <w:i w:val="0"/>
          <w:color w:val="1C3A36"/>
          <w:sz w:val="18"/>
        </w:rPr>
        <w:t xml:space="preserve">No licence; no advisory relationship. </w:t>
      </w:r>
      <w:r>
        <w:rPr>
          <w:b w:val="0"/>
          <w:i w:val="0"/>
          <w:sz w:val="18"/>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20" w:line="264" w:lineRule="auto"/>
      </w:pPr>
      <w:r>
        <w:rPr>
          <w:b/>
          <w:i w:val="0"/>
          <w:color w:val="1C3A36"/>
          <w:sz w:val="18"/>
        </w:rPr>
        <w:t xml:space="preserve">Holdings disclosure. </w:t>
      </w:r>
      <w:r>
        <w:rPr>
          <w:b w:val="0"/>
          <w:i w:val="0"/>
          <w:sz w:val="18"/>
        </w:rPr>
        <w:t>The preparer may hold, and may in the future take or dispose of, a position in the security discussed in this report, and may transact at any time without notice. This is a potential conflict of interest you should weigh.</w:t>
      </w:r>
    </w:p>
    <w:p>
      <w:pPr>
        <w:spacing w:after="120" w:line="264" w:lineRule="auto"/>
      </w:pPr>
      <w:r>
        <w:rPr>
          <w:b/>
          <w:i w:val="0"/>
          <w:color w:val="1C3A36"/>
          <w:sz w:val="18"/>
        </w:rPr>
        <w:t xml:space="preserve">Sources &amp; accuracy. </w:t>
      </w:r>
      <w:r>
        <w:rPr>
          <w:b w:val="0"/>
          <w:i w:val="0"/>
          <w:sz w:val="18"/>
        </w:rPr>
        <w:t>Reported financial and operating figures are drawn from the company's public disclosure and other public sources believed reliable but not independently verified; they may contain errors or be superseded. Forward-looking inputs are the preparer's own judgments and are inherently uncertain.</w:t>
      </w:r>
    </w:p>
    <w:p>
      <w:pPr>
        <w:spacing w:after="120" w:line="264" w:lineRule="auto"/>
      </w:pPr>
      <w:r>
        <w:rPr>
          <w:b/>
          <w:i w:val="0"/>
          <w:color w:val="1C3A36"/>
          <w:sz w:val="18"/>
        </w:rPr>
        <w:t xml:space="preserve">Forward-looking statements. </w:t>
      </w:r>
      <w:r>
        <w:rPr>
          <w:b w:val="0"/>
          <w:i w:val="0"/>
          <w:sz w:val="18"/>
        </w:rPr>
        <w:t>Any statements about the future are estimates subject to risks and uncertainties; actual results may differ materially. The Monte Carlo models price, not value, and encodes subjective probabilities for events that have not occurred.</w:t>
      </w:r>
    </w:p>
    <w:p>
      <w:pPr>
        <w:spacing w:after="120" w:line="264" w:lineRule="auto"/>
      </w:pPr>
      <w:r>
        <w:rPr>
          <w:b/>
          <w:i w:val="0"/>
          <w:color w:val="1C3A36"/>
          <w:sz w:val="18"/>
        </w:rPr>
        <w:t xml:space="preserve">No reliance; your responsibility. </w:t>
      </w:r>
      <w:r>
        <w:rPr>
          <w:b w:val="0"/>
          <w:i w:val="0"/>
          <w:sz w:val="18"/>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20" w:line="264" w:lineRule="auto"/>
      </w:pPr>
      <w:r>
        <w:rPr>
          <w:b/>
          <w:i w:val="0"/>
          <w:color w:val="1C3A36"/>
          <w:sz w:val="18"/>
        </w:rPr>
        <w:t xml:space="preserve">Currency &amp; figures. </w:t>
      </w:r>
      <w:r>
        <w:rPr>
          <w:b w:val="0"/>
          <w:i w:val="0"/>
          <w:sz w:val="18"/>
        </w:rPr>
        <w:t>Group figures are in EGP. Rounding may cause totals to differ slightly. Spot price and market data are as of the study date and change continuously.</w:t>
      </w:r>
    </w:p>
    <w:p>
      <w:pPr>
        <w:spacing w:line="264" w:lineRule="auto"/>
      </w:pPr>
      <w:r>
        <w:rPr>
          <w:b w:val="0"/>
          <w:i/>
          <w:color w:val="666666"/>
          <w:sz w:val="16"/>
        </w:rPr>
        <w:t>TESTAHIL · Independent Valuation Study · Educational Analysis · EFG Holding S.A.E. (EGX: HRHO) · edition 01-07-2026 · reporting currency EGP</w:t>
      </w:r>
    </w:p>
    <w:p>
      <w:pPr>
        <w:spacing w:after="40"/>
      </w:pPr>
    </w:p>
    <w:sectPr w:rsidR="00FC693F" w:rsidRPr="0006063C" w:rsidSect="00034616">
      <w:pgSz w:w="12240" w:h="15840"/>
      <w:pgMar w:top="1181" w:right="1440" w:bottom="118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