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B5E5E"/>
          <w:sz w:val="40"/>
        </w:rPr>
        <w:t>TESTAHIL</w:t>
      </w:r>
      <w:r>
        <w:rPr>
          <w:color w:val="B0894B"/>
          <w:sz w:val="24"/>
        </w:rPr>
        <w:t xml:space="preserve">   ·   Independent Valuation Study</w:t>
      </w:r>
    </w:p>
    <w:p>
      <w:pPr>
        <w:spacing w:after="40" w:before="0"/>
      </w:pPr>
      <w:r>
        <w:rPr>
          <w:rFonts w:ascii="Calibri" w:hAnsi="Calibri"/>
          <w:b w:val="0"/>
          <w:i w:val="0"/>
          <w:color w:val="6B6B6B"/>
          <w:sz w:val="18"/>
        </w:rPr>
        <w:t>Educational analysis · Not investment advice</w:t>
      </w:r>
    </w:p>
    <w:p>
      <w:pPr>
        <w:pBdr>
          <w:bottom w:val="single" w:sz="8" w:space="1" w:color="B0894B"/>
        </w:pBdr>
        <w:spacing w:after="120"/>
      </w:pPr>
    </w:p>
    <w:p>
      <w:pPr>
        <w:spacing w:after="20" w:before="0"/>
      </w:pPr>
      <w:r>
        <w:rPr>
          <w:rFonts w:ascii="Calibri" w:hAnsi="Calibri"/>
          <w:b/>
          <w:i w:val="0"/>
          <w:color w:val="222222"/>
          <w:sz w:val="44"/>
        </w:rPr>
        <w:t>Industries Qatar</w:t>
      </w:r>
    </w:p>
    <w:p>
      <w:pPr>
        <w:spacing w:after="40" w:before="0"/>
      </w:pPr>
      <w:r>
        <w:rPr>
          <w:rFonts w:ascii="Calibri" w:hAnsi="Calibri"/>
          <w:b/>
          <w:i w:val="0"/>
          <w:color w:val="1B5E5E"/>
          <w:sz w:val="25"/>
        </w:rPr>
        <w:t>Industries Qatar Q.P.S.C. (QSE: IQCD)</w:t>
      </w:r>
    </w:p>
    <w:p>
      <w:pPr>
        <w:spacing w:after="120" w:before="0"/>
      </w:pPr>
      <w:r>
        <w:rPr>
          <w:rFonts w:ascii="Calibri" w:hAnsi="Calibri"/>
          <w:b w:val="0"/>
          <w:i/>
          <w:color w:val="6B6B6B"/>
          <w:sz w:val="20"/>
        </w:rPr>
        <w:t>Fundamental analysis · Technical analysis · Monte Carlo simulation — one integrated read</w:t>
      </w:r>
    </w:p>
    <w:p>
      <w:pPr>
        <w:spacing w:after="160" w:before="0"/>
      </w:pPr>
      <w:r>
        <w:rPr>
          <w:rFonts w:ascii="Calibri" w:hAnsi="Calibri"/>
          <w:b w:val="0"/>
          <w:i w:val="0"/>
          <w:color w:val="222222"/>
          <w:sz w:val="20"/>
        </w:rPr>
        <w:t>Spot QR 11.07 · close 05 Jul 2026 · 6.05bn shares · market cap ≈ QR 67.0bn (~US$ 18.4bn) · a cash-rich, debt-free Qatari industrial holding company whose fair value the five lenses put at roughly QR 10.8 — fairly valued, with the swing resting on petrochemical normalization.</w:t>
      </w:r>
    </w:p>
    <w:p>
      <w:pPr>
        <w:pBdr>
          <w:bottom w:val="single" w:sz="8" w:space="1" w:color="1B5E5E"/>
        </w:pBdr>
        <w:spacing w:after="120"/>
      </w:pPr>
    </w:p>
    <w:p>
      <w:pPr>
        <w:keepNext/>
        <w:spacing w:before="280" w:after="120"/>
      </w:pPr>
      <w:r>
        <w:rPr>
          <w:b/>
          <w:color w:val="1B5E5E"/>
          <w:sz w:val="26"/>
        </w:rPr>
        <w:t>Read first</w:t>
      </w:r>
    </w:p>
    <w:tbl>
      <w:tblPr>
        <w:tblW w:type="auto" w:w="0"/>
        <w:tblLayout w:type="fixed"/>
        <w:tblLook w:firstColumn="1" w:firstRow="1" w:lastColumn="0" w:lastRow="0" w:noHBand="0" w:noVBand="1" w:val="04A0"/>
      </w:tblPr>
      <w:tblGrid>
        <w:gridCol w:w="8640"/>
      </w:tblGrid>
      <w:tr>
        <w:tc>
          <w:tcPr>
            <w:tcW w:type="dxa" w:w="9360"/>
            <w:shd w:val="clear" w:fill="EEF4F4"/>
            <w:tcBorders>
              <w:top w:val="single" w:sz="12" w:space="4" w:color="1B5E5E"/>
              <w:bottom w:val="single" w:sz="12" w:space="4" w:color="1B5E5E"/>
              <w:left w:val="single" w:sz="12" w:space="4" w:color="1B5E5E"/>
              <w:right w:val="single" w:sz="12" w:space="4" w:color="1B5E5E"/>
            </w:tcBorders>
          </w:tcPr>
          <w:p>
            <w:pPr>
              <w:spacing w:after="60"/>
            </w:pPr>
            <w:r/>
            <w:r>
              <w:rPr>
                <w:b/>
                <w:color w:val="1B5E5E"/>
                <w:sz w:val="19"/>
              </w:rPr>
              <w:t xml:space="preserve">What this is.  </w:t>
            </w:r>
            <w:r>
              <w:rPr>
                <w:color w:val="222222"/>
                <w:sz w:val="19"/>
              </w:rPr>
              <w:t>An educational, independent valuation of Industries Qatar (QSE: IQCD) that reads the fundamentals, the price structure, and a Monte Carlo simulation as one integrated picture. It is not investment advice, carries no recommendation, and states no price target.</w:t>
            </w:r>
          </w:p>
          <w:p>
            <w:pPr>
              <w:spacing w:after="60"/>
            </w:pPr>
            <w:r>
              <w:rPr>
                <w:b/>
                <w:color w:val="1B5E5E"/>
                <w:sz w:val="19"/>
              </w:rPr>
              <w:t xml:space="preserve">How to read the number.  </w:t>
            </w:r>
            <w:r>
              <w:rPr>
                <w:color w:val="222222"/>
                <w:sz w:val="19"/>
              </w:rPr>
              <w:t>We publish a fair-value range and a probability distribution, never a single 'target'. The central figure is where five independent lenses cluster; the cone around it is the instrument's genuine three-month uncertainty, not decoration.</w:t>
            </w:r>
          </w:p>
          <w:p>
            <w:pPr>
              <w:spacing w:after="60"/>
            </w:pPr>
            <w:r>
              <w:rPr>
                <w:b/>
                <w:color w:val="1B5E5E"/>
                <w:sz w:val="19"/>
              </w:rPr>
              <w:t xml:space="preserve">Two clocks.  </w:t>
            </w:r>
            <w:r>
              <w:rPr>
                <w:color w:val="222222"/>
                <w:sz w:val="19"/>
              </w:rPr>
              <w:t>Keep them separate. (1) Risk-adjusted fair value — the roughly twelve-month anchor the lenses trıangulate. (2) Full-execution value — a multi-year ceiling if petrochemical margins normalize and the Ammonia-7 and Ras Laffan pipeline all land. Only the Monte Carlo percentiles are true three-month figures.</w:t>
            </w:r>
          </w:p>
          <w:p>
            <w:pPr>
              <w:spacing w:after="60"/>
            </w:pPr>
            <w:r>
              <w:rPr>
                <w:b/>
                <w:color w:val="1B5E5E"/>
                <w:sz w:val="19"/>
              </w:rPr>
              <w:t xml:space="preserve">Primary lens.  </w:t>
            </w:r>
            <w:r>
              <w:rPr>
                <w:color w:val="222222"/>
                <w:sz w:val="19"/>
              </w:rPr>
              <w:t>Holding-company sum-of-the-parts: each of the three segments valued on normalized mid-cycle earnings and a justified multiple, plus net cash, less a modest holdco discount — cross-checked by a DCF, relative multiples, normalized earnings power, and a dividend-discount model.</w:t>
            </w:r>
          </w:p>
          <w:p>
            <w:pPr>
              <w:spacing w:after="60"/>
            </w:pPr>
            <w:r>
              <w:rPr>
                <w:b/>
                <w:color w:val="1B5E5E"/>
                <w:sz w:val="19"/>
              </w:rPr>
              <w:t xml:space="preserve">Currency.  </w:t>
            </w:r>
            <w:r>
              <w:rPr>
                <w:color w:val="222222"/>
                <w:sz w:val="19"/>
              </w:rPr>
              <w:t>Qatari riyal (QR), pegged at USD/QR 3.64. Figures in QR billion unless stated.</w:t>
            </w:r>
          </w:p>
          <w:p>
            <w:pPr>
              <w:spacing w:after="60"/>
            </w:pPr>
            <w:r>
              <w:rPr>
                <w:b/>
                <w:color w:val="1B5E5E"/>
                <w:sz w:val="19"/>
              </w:rPr>
              <w:t xml:space="preserve">Disclosure.  </w:t>
            </w:r>
            <w:r>
              <w:rPr>
                <w:color w:val="222222"/>
                <w:sz w:val="19"/>
              </w:rPr>
              <w:t>The preparer may hold, and may in the future take or dispose of, a position in the security discussed in this report.</w:t>
            </w:r>
          </w:p>
        </w:tc>
      </w:tr>
    </w:tbl>
    <w:p>
      <w:pPr>
        <w:spacing w:after="80"/>
      </w:pPr>
    </w:p>
    <w:p>
      <w:pPr>
        <w:keepNext/>
        <w:spacing w:before="280" w:after="120"/>
      </w:pPr>
      <w:r>
        <w:rPr>
          <w:b/>
          <w:color w:val="1B5E5E"/>
          <w:sz w:val="26"/>
        </w:rPr>
        <w:t>Headline</w:t>
      </w:r>
    </w:p>
    <w:p>
      <w:pPr>
        <w:spacing w:after="160"/>
      </w:pPr>
      <w:r>
        <w:rPr>
          <w:b/>
          <w:color w:val="222222"/>
          <w:sz w:val="21"/>
        </w:rPr>
        <w:t xml:space="preserve">The model's read: fairly valued, with the upside resting on petrochemical margins normalising and the Ammonia-7 and Ras Laffan pipeline delivering. </w:t>
      </w:r>
      <w:r>
        <w:rPr>
          <w:color w:val="222222"/>
          <w:sz w:val="21"/>
        </w:rPr>
        <w:t>At QR 11.07 the shares sit within about 2% of our weighted central estimate of QR 10.8. Five lenses cluster tightly: a sum-of-the-parts (QR 10.38) marks the conservative floor, a consolidated DCF (QR 11.0) the ceiling, and relative multiples, normalized earnings and a dividend-discount read all sit around QR 11. The whole answer turns on the petrochemical leg — QAPCO and QAFAC — which earned just QR 0.7bn in 2025 and only QR 4mn in the first quarter of 2026 as regional conflict disrupted Gulf logistics, against a fertilizer leg (QAFCO) that is the durable cash anchor and a steel leg that is a small restart option. Technically the stock mirrors the fundamentals — below every major moving average, RSI about 36, MACD negative — so price and value pull the same way. Over three months the Monte Carlo places the 5th–95th band at roughly QR 8.84–14.08, with the median at spot and a right skew.</w:t>
      </w:r>
    </w:p>
    <w:p>
      <w:pPr>
        <w:keepNext/>
        <w:spacing w:before="280" w:after="120"/>
      </w:pPr>
      <w:r>
        <w:rPr>
          <w:b/>
          <w:color w:val="1B5E5E"/>
          <w:sz w:val="26"/>
        </w:rPr>
        <w:t>Valuation summary — every read at a glance</w:t>
      </w:r>
    </w:p>
    <w:p>
      <w:pPr>
        <w:spacing w:after="120" w:before="0"/>
      </w:pPr>
      <w:r>
        <w:rPr>
          <w:rFonts w:ascii="Calibri" w:hAnsi="Calibri"/>
          <w:b w:val="0"/>
          <w:i w:val="0"/>
          <w:color w:val="222222"/>
          <w:sz w:val="21"/>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520"/>
            <w:shd w:val="clear" w:fill="1B5E5E"/>
          </w:tcPr>
          <w:p>
            <w:pPr>
              <w:jc w:val="left"/>
            </w:pPr>
            <w:r/>
            <w:r>
              <w:rPr>
                <w:b/>
                <w:color w:val="FFFFFF"/>
                <w:sz w:val="18"/>
              </w:rPr>
              <w:t>Lens / read</w:t>
            </w:r>
          </w:p>
        </w:tc>
        <w:tc>
          <w:tcPr>
            <w:tcW w:type="dxa" w:w="3096"/>
            <w:shd w:val="clear" w:fill="1B5E5E"/>
          </w:tcPr>
          <w:p>
            <w:pPr>
              <w:jc w:val="center"/>
            </w:pPr>
            <w:r/>
            <w:r>
              <w:rPr>
                <w:b/>
                <w:color w:val="FFFFFF"/>
                <w:sz w:val="18"/>
              </w:rPr>
              <w:t>What it measures</w:t>
            </w:r>
          </w:p>
        </w:tc>
        <w:tc>
          <w:tcPr>
            <w:tcW w:type="dxa" w:w="1944"/>
            <w:shd w:val="clear" w:fill="1B5E5E"/>
          </w:tcPr>
          <w:p>
            <w:pPr>
              <w:jc w:val="center"/>
            </w:pPr>
            <w:r/>
            <w:r>
              <w:rPr>
                <w:b/>
                <w:color w:val="FFFFFF"/>
                <w:sz w:val="18"/>
              </w:rPr>
              <w:t>Output</w:t>
            </w:r>
          </w:p>
        </w:tc>
        <w:tc>
          <w:tcPr>
            <w:tcW w:type="dxa" w:w="1800"/>
            <w:shd w:val="clear" w:fill="1B5E5E"/>
          </w:tcPr>
          <w:p>
            <w:pPr>
              <w:jc w:val="center"/>
            </w:pPr>
            <w:r/>
            <w:r>
              <w:rPr>
                <w:b/>
                <w:color w:val="FFFFFF"/>
                <w:sz w:val="18"/>
              </w:rPr>
              <w:t>Takeaway</w:t>
            </w:r>
          </w:p>
        </w:tc>
      </w:tr>
      <w:tr>
        <w:tc>
          <w:tcPr>
            <w:tcW w:type="dxa" w:w="1800"/>
            <w:gridSpan w:val="4"/>
            <w:shd w:val="clear" w:fill="2A8F8F"/>
          </w:tcPr>
          <w:p>
            <w:pPr>
              <w:jc w:val="left"/>
            </w:pPr>
            <w:r/>
            <w:r>
              <w:rPr>
                <w:b/>
                <w:color w:val="FFFFFF"/>
                <w:sz w:val="17"/>
              </w:rPr>
              <w:t>FUNDAMENTAL — what the business is worth (the anchor)</w:t>
            </w:r>
          </w:p>
        </w:tc>
      </w:tr>
      <w:tr>
        <w:tc>
          <w:tcPr>
            <w:tcW w:type="dxa" w:w="2520"/>
          </w:tcPr>
          <w:p>
            <w:pPr>
              <w:jc w:val="left"/>
            </w:pPr>
            <w:r/>
            <w:r>
              <w:rPr>
                <w:b w:val="0"/>
                <w:color w:val="222222"/>
                <w:sz w:val="17"/>
              </w:rPr>
              <w:t>Sum-of-the-parts (primary)</w:t>
            </w:r>
          </w:p>
        </w:tc>
        <w:tc>
          <w:tcPr>
            <w:tcW w:type="dxa" w:w="3096"/>
          </w:tcPr>
          <w:p>
            <w:pPr>
              <w:jc w:val="center"/>
            </w:pPr>
            <w:r/>
            <w:r>
              <w:rPr>
                <w:b w:val="0"/>
                <w:color w:val="222222"/>
                <w:sz w:val="17"/>
              </w:rPr>
              <w:t>Marked parts + net cash − discount</w:t>
            </w:r>
          </w:p>
        </w:tc>
        <w:tc>
          <w:tcPr>
            <w:tcW w:type="dxa" w:w="1944"/>
          </w:tcPr>
          <w:p>
            <w:pPr>
              <w:jc w:val="center"/>
            </w:pPr>
            <w:r/>
            <w:r>
              <w:rPr>
                <w:b w:val="0"/>
                <w:color w:val="222222"/>
                <w:sz w:val="17"/>
              </w:rPr>
              <w:t>QR 10.38</w:t>
            </w:r>
          </w:p>
        </w:tc>
        <w:tc>
          <w:tcPr>
            <w:tcW w:type="dxa" w:w="1800"/>
          </w:tcPr>
          <w:p>
            <w:pPr>
              <w:jc w:val="center"/>
            </w:pPr>
            <w:r/>
            <w:r>
              <w:rPr>
                <w:b w:val="0"/>
                <w:color w:val="222222"/>
                <w:sz w:val="17"/>
              </w:rPr>
              <w:t>−6% · the floor</w:t>
            </w:r>
          </w:p>
        </w:tc>
      </w:tr>
      <w:tr>
        <w:tc>
          <w:tcPr>
            <w:tcW w:type="dxa" w:w="2520"/>
            <w:shd w:val="clear" w:fill="F2F6F6"/>
          </w:tcPr>
          <w:p>
            <w:pPr>
              <w:jc w:val="left"/>
            </w:pPr>
            <w:r/>
            <w:r>
              <w:rPr>
                <w:b w:val="0"/>
                <w:color w:val="222222"/>
                <w:sz w:val="17"/>
              </w:rPr>
              <w:t>Consolidated DCF</w:t>
            </w:r>
          </w:p>
        </w:tc>
        <w:tc>
          <w:tcPr>
            <w:tcW w:type="dxa" w:w="3096"/>
            <w:shd w:val="clear" w:fill="F2F6F6"/>
          </w:tcPr>
          <w:p>
            <w:pPr>
              <w:jc w:val="center"/>
            </w:pPr>
            <w:r/>
            <w:r>
              <w:rPr>
                <w:b w:val="0"/>
                <w:color w:val="222222"/>
                <w:sz w:val="17"/>
              </w:rPr>
              <w:t>Discounted 5-yr FCFF</w:t>
            </w:r>
          </w:p>
        </w:tc>
        <w:tc>
          <w:tcPr>
            <w:tcW w:type="dxa" w:w="1944"/>
            <w:shd w:val="clear" w:fill="F2F6F6"/>
          </w:tcPr>
          <w:p>
            <w:pPr>
              <w:jc w:val="center"/>
            </w:pPr>
            <w:r/>
            <w:r>
              <w:rPr>
                <w:b w:val="0"/>
                <w:color w:val="222222"/>
                <w:sz w:val="17"/>
              </w:rPr>
              <w:t>QR 11.0</w:t>
            </w:r>
          </w:p>
        </w:tc>
        <w:tc>
          <w:tcPr>
            <w:tcW w:type="dxa" w:w="1800"/>
            <w:shd w:val="clear" w:fill="F2F6F6"/>
          </w:tcPr>
          <w:p>
            <w:pPr>
              <w:jc w:val="center"/>
            </w:pPr>
            <w:r/>
            <w:r>
              <w:rPr>
                <w:b w:val="0"/>
                <w:color w:val="222222"/>
                <w:sz w:val="17"/>
              </w:rPr>
              <w:t>+3% · the ceiling</w:t>
            </w:r>
          </w:p>
        </w:tc>
      </w:tr>
      <w:tr>
        <w:tc>
          <w:tcPr>
            <w:tcW w:type="dxa" w:w="2520"/>
          </w:tcPr>
          <w:p>
            <w:pPr>
              <w:jc w:val="left"/>
            </w:pPr>
            <w:r/>
            <w:r>
              <w:rPr>
                <w:b w:val="0"/>
                <w:color w:val="222222"/>
                <w:sz w:val="17"/>
              </w:rPr>
              <w:t>Relative multiples</w:t>
            </w:r>
          </w:p>
        </w:tc>
        <w:tc>
          <w:tcPr>
            <w:tcW w:type="dxa" w:w="3096"/>
          </w:tcPr>
          <w:p>
            <w:pPr>
              <w:jc w:val="center"/>
            </w:pPr>
            <w:r/>
            <w:r>
              <w:rPr>
                <w:b w:val="0"/>
                <w:color w:val="222222"/>
                <w:sz w:val="17"/>
              </w:rPr>
              <w:t>Normalized P/E vs 16.3× history</w:t>
            </w:r>
          </w:p>
        </w:tc>
        <w:tc>
          <w:tcPr>
            <w:tcW w:type="dxa" w:w="1944"/>
          </w:tcPr>
          <w:p>
            <w:pPr>
              <w:jc w:val="center"/>
            </w:pPr>
            <w:r/>
            <w:r>
              <w:rPr>
                <w:b w:val="0"/>
                <w:color w:val="222222"/>
                <w:sz w:val="17"/>
              </w:rPr>
              <w:t>QR 11.02</w:t>
            </w:r>
          </w:p>
        </w:tc>
        <w:tc>
          <w:tcPr>
            <w:tcW w:type="dxa" w:w="1800"/>
          </w:tcPr>
          <w:p>
            <w:pPr>
              <w:jc w:val="center"/>
            </w:pPr>
            <w:r/>
            <w:r>
              <w:rPr>
                <w:b w:val="0"/>
                <w:color w:val="222222"/>
                <w:sz w:val="17"/>
              </w:rPr>
              <w:t>≈ spot</w:t>
            </w:r>
          </w:p>
        </w:tc>
      </w:tr>
      <w:tr>
        <w:tc>
          <w:tcPr>
            <w:tcW w:type="dxa" w:w="2520"/>
            <w:shd w:val="clear" w:fill="F2F6F6"/>
          </w:tcPr>
          <w:p>
            <w:pPr>
              <w:jc w:val="left"/>
            </w:pPr>
            <w:r/>
            <w:r>
              <w:rPr>
                <w:b w:val="0"/>
                <w:color w:val="222222"/>
                <w:sz w:val="17"/>
              </w:rPr>
              <w:t>Normalized earnings</w:t>
            </w:r>
          </w:p>
        </w:tc>
        <w:tc>
          <w:tcPr>
            <w:tcW w:type="dxa" w:w="3096"/>
            <w:shd w:val="clear" w:fill="F2F6F6"/>
          </w:tcPr>
          <w:p>
            <w:pPr>
              <w:jc w:val="center"/>
            </w:pPr>
            <w:r/>
            <w:r>
              <w:rPr>
                <w:b w:val="0"/>
                <w:color w:val="222222"/>
                <w:sz w:val="17"/>
              </w:rPr>
              <w:t>Mid-cycle earnings × P/E</w:t>
            </w:r>
          </w:p>
        </w:tc>
        <w:tc>
          <w:tcPr>
            <w:tcW w:type="dxa" w:w="1944"/>
            <w:shd w:val="clear" w:fill="F2F6F6"/>
          </w:tcPr>
          <w:p>
            <w:pPr>
              <w:jc w:val="center"/>
            </w:pPr>
            <w:r/>
            <w:r>
              <w:rPr>
                <w:b w:val="0"/>
                <w:color w:val="222222"/>
                <w:sz w:val="17"/>
              </w:rPr>
              <w:t>QR 11.02</w:t>
            </w:r>
          </w:p>
        </w:tc>
        <w:tc>
          <w:tcPr>
            <w:tcW w:type="dxa" w:w="1800"/>
            <w:shd w:val="clear" w:fill="F2F6F6"/>
          </w:tcPr>
          <w:p>
            <w:pPr>
              <w:jc w:val="center"/>
            </w:pPr>
            <w:r/>
            <w:r>
              <w:rPr>
                <w:b w:val="0"/>
                <w:color w:val="222222"/>
                <w:sz w:val="17"/>
              </w:rPr>
              <w:t>≈ spot</w:t>
            </w:r>
          </w:p>
        </w:tc>
      </w:tr>
      <w:tr>
        <w:tc>
          <w:tcPr>
            <w:tcW w:type="dxa" w:w="2520"/>
          </w:tcPr>
          <w:p>
            <w:pPr>
              <w:jc w:val="left"/>
            </w:pPr>
            <w:r/>
            <w:r>
              <w:rPr>
                <w:b w:val="0"/>
                <w:color w:val="222222"/>
                <w:sz w:val="17"/>
              </w:rPr>
              <w:t>Dividend discount</w:t>
            </w:r>
          </w:p>
        </w:tc>
        <w:tc>
          <w:tcPr>
            <w:tcW w:type="dxa" w:w="3096"/>
          </w:tcPr>
          <w:p>
            <w:pPr>
              <w:jc w:val="center"/>
            </w:pPr>
            <w:r/>
            <w:r>
              <w:rPr>
                <w:b w:val="0"/>
                <w:color w:val="222222"/>
                <w:sz w:val="17"/>
              </w:rPr>
              <w:t>2-stage, 100% payout</w:t>
            </w:r>
          </w:p>
        </w:tc>
        <w:tc>
          <w:tcPr>
            <w:tcW w:type="dxa" w:w="1944"/>
          </w:tcPr>
          <w:p>
            <w:pPr>
              <w:jc w:val="center"/>
            </w:pPr>
            <w:r/>
            <w:r>
              <w:rPr>
                <w:b w:val="0"/>
                <w:color w:val="222222"/>
                <w:sz w:val="17"/>
              </w:rPr>
              <w:t>QR 11.07</w:t>
            </w:r>
          </w:p>
        </w:tc>
        <w:tc>
          <w:tcPr>
            <w:tcW w:type="dxa" w:w="1800"/>
          </w:tcPr>
          <w:p>
            <w:pPr>
              <w:jc w:val="center"/>
            </w:pPr>
            <w:r/>
            <w:r>
              <w:rPr>
                <w:b w:val="0"/>
                <w:color w:val="222222"/>
                <w:sz w:val="17"/>
              </w:rPr>
              <w:t>≈ spot · yield floor</w:t>
            </w:r>
          </w:p>
        </w:tc>
      </w:tr>
      <w:tr>
        <w:tc>
          <w:tcPr>
            <w:tcW w:type="dxa" w:w="2520"/>
            <w:shd w:val="clear" w:fill="F3ECDD"/>
          </w:tcPr>
          <w:p>
            <w:pPr>
              <w:jc w:val="left"/>
            </w:pPr>
            <w:r/>
            <w:r>
              <w:rPr>
                <w:b/>
                <w:color w:val="222222"/>
                <w:sz w:val="17"/>
              </w:rPr>
              <w:t>Weighted central</w:t>
            </w:r>
          </w:p>
        </w:tc>
        <w:tc>
          <w:tcPr>
            <w:tcW w:type="dxa" w:w="3096"/>
            <w:shd w:val="clear" w:fill="F3ECDD"/>
          </w:tcPr>
          <w:p>
            <w:pPr>
              <w:jc w:val="center"/>
            </w:pPr>
            <w:r/>
            <w:r>
              <w:rPr>
                <w:b/>
                <w:color w:val="222222"/>
                <w:sz w:val="17"/>
              </w:rPr>
              <w:t>Blend 35 / 20 / 15 / 15 / 15</w:t>
            </w:r>
          </w:p>
        </w:tc>
        <w:tc>
          <w:tcPr>
            <w:tcW w:type="dxa" w:w="1944"/>
            <w:shd w:val="clear" w:fill="F3ECDD"/>
          </w:tcPr>
          <w:p>
            <w:pPr>
              <w:jc w:val="center"/>
            </w:pPr>
            <w:r/>
            <w:r>
              <w:rPr>
                <w:b/>
                <w:color w:val="222222"/>
                <w:sz w:val="17"/>
              </w:rPr>
              <w:t>QR 10.8</w:t>
            </w:r>
          </w:p>
        </w:tc>
        <w:tc>
          <w:tcPr>
            <w:tcW w:type="dxa" w:w="1800"/>
            <w:shd w:val="clear" w:fill="F3ECDD"/>
          </w:tcPr>
          <w:p>
            <w:pPr>
              <w:jc w:val="center"/>
            </w:pPr>
            <w:r/>
            <w:r>
              <w:rPr>
                <w:b/>
                <w:color w:val="222222"/>
                <w:sz w:val="17"/>
              </w:rPr>
              <w:t>−2% vs QR 11.07</w:t>
            </w:r>
          </w:p>
        </w:tc>
      </w:tr>
      <w:tr>
        <w:tc>
          <w:tcPr>
            <w:tcW w:type="dxa" w:w="1800"/>
            <w:gridSpan w:val="4"/>
            <w:shd w:val="clear" w:fill="2A8F8F"/>
          </w:tcPr>
          <w:p>
            <w:pPr>
              <w:jc w:val="left"/>
            </w:pPr>
            <w:r/>
            <w:r>
              <w:rPr>
                <w:b/>
                <w:color w:val="FFFFFF"/>
                <w:sz w:val="17"/>
              </w:rPr>
              <w:t>TECHNICAL — what the tape is doing (timing, not value)</w:t>
            </w:r>
          </w:p>
        </w:tc>
      </w:tr>
      <w:tr>
        <w:tc>
          <w:tcPr>
            <w:tcW w:type="dxa" w:w="2520"/>
          </w:tcPr>
          <w:p>
            <w:pPr>
              <w:jc w:val="left"/>
            </w:pPr>
            <w:r/>
            <w:r>
              <w:rPr>
                <w:b w:val="0"/>
                <w:color w:val="222222"/>
                <w:sz w:val="17"/>
              </w:rPr>
              <w:t>Trend &amp; momentum</w:t>
            </w:r>
          </w:p>
        </w:tc>
        <w:tc>
          <w:tcPr>
            <w:tcW w:type="dxa" w:w="3096"/>
          </w:tcPr>
          <w:p>
            <w:pPr>
              <w:jc w:val="center"/>
            </w:pPr>
            <w:r/>
            <w:r>
              <w:rPr>
                <w:b w:val="0"/>
                <w:color w:val="222222"/>
                <w:sz w:val="17"/>
              </w:rPr>
              <w:t>Price vs the 20/50/100/200-day</w:t>
            </w:r>
          </w:p>
        </w:tc>
        <w:tc>
          <w:tcPr>
            <w:tcW w:type="dxa" w:w="1944"/>
          </w:tcPr>
          <w:p>
            <w:pPr>
              <w:jc w:val="center"/>
            </w:pPr>
            <w:r/>
            <w:r>
              <w:rPr>
                <w:b w:val="0"/>
                <w:color w:val="222222"/>
                <w:sz w:val="17"/>
              </w:rPr>
              <w:t>Below all four</w:t>
            </w:r>
          </w:p>
        </w:tc>
        <w:tc>
          <w:tcPr>
            <w:tcW w:type="dxa" w:w="1800"/>
          </w:tcPr>
          <w:p>
            <w:pPr>
              <w:jc w:val="center"/>
            </w:pPr>
            <w:r/>
            <w:r>
              <w:rPr>
                <w:b w:val="0"/>
                <w:color w:val="222222"/>
                <w:sz w:val="17"/>
              </w:rPr>
              <w:t>Weak, corrective</w:t>
            </w:r>
          </w:p>
        </w:tc>
      </w:tr>
      <w:tr>
        <w:tc>
          <w:tcPr>
            <w:tcW w:type="dxa" w:w="2520"/>
            <w:shd w:val="clear" w:fill="F2F6F6"/>
          </w:tcPr>
          <w:p>
            <w:pPr>
              <w:jc w:val="left"/>
            </w:pPr>
            <w:r/>
            <w:r>
              <w:rPr>
                <w:b w:val="0"/>
                <w:color w:val="222222"/>
                <w:sz w:val="17"/>
              </w:rPr>
              <w:t>Momentum / range</w:t>
            </w:r>
          </w:p>
        </w:tc>
        <w:tc>
          <w:tcPr>
            <w:tcW w:type="dxa" w:w="3096"/>
            <w:shd w:val="clear" w:fill="F2F6F6"/>
          </w:tcPr>
          <w:p>
            <w:pPr>
              <w:jc w:val="center"/>
            </w:pPr>
            <w:r/>
            <w:r>
              <w:rPr>
                <w:b w:val="0"/>
                <w:color w:val="222222"/>
                <w:sz w:val="17"/>
              </w:rPr>
              <w:t>RSI · MACD · 52-week range</w:t>
            </w:r>
          </w:p>
        </w:tc>
        <w:tc>
          <w:tcPr>
            <w:tcW w:type="dxa" w:w="1944"/>
            <w:shd w:val="clear" w:fill="F2F6F6"/>
          </w:tcPr>
          <w:p>
            <w:pPr>
              <w:jc w:val="center"/>
            </w:pPr>
            <w:r/>
            <w:r>
              <w:rPr>
                <w:b w:val="0"/>
                <w:color w:val="222222"/>
                <w:sz w:val="17"/>
              </w:rPr>
              <w:t>RSI 36 · MACD -0.24 · QR 10.6–13.4</w:t>
            </w:r>
          </w:p>
        </w:tc>
        <w:tc>
          <w:tcPr>
            <w:tcW w:type="dxa" w:w="1800"/>
            <w:shd w:val="clear" w:fill="F2F6F6"/>
          </w:tcPr>
          <w:p>
            <w:pPr>
              <w:jc w:val="center"/>
            </w:pPr>
            <w:r/>
            <w:r>
              <w:rPr>
                <w:b w:val="0"/>
                <w:color w:val="222222"/>
                <w:sz w:val="17"/>
              </w:rPr>
              <w:t>Stretched down</w:t>
            </w:r>
          </w:p>
        </w:tc>
      </w:tr>
      <w:tr>
        <w:tc>
          <w:tcPr>
            <w:tcW w:type="dxa" w:w="1800"/>
            <w:gridSpan w:val="4"/>
            <w:shd w:val="clear" w:fill="2A8F8F"/>
          </w:tcPr>
          <w:p>
            <w:pPr>
              <w:jc w:val="left"/>
            </w:pPr>
            <w:r/>
            <w:r>
              <w:rPr>
                <w:b/>
                <w:color w:val="FFFFFF"/>
                <w:sz w:val="17"/>
              </w:rPr>
              <w:t>MONTE CARLO — where price could go in 3 months (paths from spot)</w:t>
            </w:r>
          </w:p>
        </w:tc>
      </w:tr>
      <w:tr>
        <w:tc>
          <w:tcPr>
            <w:tcW w:type="dxa" w:w="2520"/>
          </w:tcPr>
          <w:p>
            <w:pPr>
              <w:jc w:val="left"/>
            </w:pPr>
            <w:r/>
            <w:r>
              <w:rPr>
                <w:b w:val="0"/>
                <w:color w:val="222222"/>
                <w:sz w:val="17"/>
              </w:rPr>
              <w:t>T+20 sessions</w:t>
            </w:r>
          </w:p>
        </w:tc>
        <w:tc>
          <w:tcPr>
            <w:tcW w:type="dxa" w:w="3096"/>
          </w:tcPr>
          <w:p>
            <w:pPr>
              <w:jc w:val="center"/>
            </w:pPr>
            <w:r/>
            <w:r>
              <w:rPr>
                <w:b w:val="0"/>
                <w:color w:val="222222"/>
                <w:sz w:val="17"/>
              </w:rPr>
              <w:t>50,000 paths · 16 factors</w:t>
            </w:r>
          </w:p>
        </w:tc>
        <w:tc>
          <w:tcPr>
            <w:tcW w:type="dxa" w:w="1944"/>
          </w:tcPr>
          <w:p>
            <w:pPr>
              <w:jc w:val="center"/>
            </w:pPr>
            <w:r/>
            <w:r>
              <w:rPr>
                <w:b w:val="0"/>
                <w:color w:val="222222"/>
                <w:sz w:val="17"/>
              </w:rPr>
              <w:t>p5 9.6 · p50 11.1 · p95 12.7</w:t>
            </w:r>
          </w:p>
        </w:tc>
        <w:tc>
          <w:tcPr>
            <w:tcW w:type="dxa" w:w="1800"/>
          </w:tcPr>
          <w:p>
            <w:pPr>
              <w:jc w:val="center"/>
            </w:pPr>
            <w:r/>
            <w:r>
              <w:rPr>
                <w:b w:val="0"/>
                <w:color w:val="222222"/>
                <w:sz w:val="17"/>
              </w:rPr>
              <w:t>Median ≈ spot</w:t>
            </w:r>
          </w:p>
        </w:tc>
      </w:tr>
      <w:tr>
        <w:tc>
          <w:tcPr>
            <w:tcW w:type="dxa" w:w="2520"/>
            <w:shd w:val="clear" w:fill="F2F6F6"/>
          </w:tcPr>
          <w:p>
            <w:pPr>
              <w:jc w:val="left"/>
            </w:pPr>
            <w:r/>
            <w:r>
              <w:rPr>
                <w:b w:val="0"/>
                <w:color w:val="222222"/>
                <w:sz w:val="17"/>
              </w:rPr>
              <w:t>T+60 sessions</w:t>
            </w:r>
          </w:p>
        </w:tc>
        <w:tc>
          <w:tcPr>
            <w:tcW w:type="dxa" w:w="3096"/>
            <w:shd w:val="clear" w:fill="F2F6F6"/>
          </w:tcPr>
          <w:p>
            <w:pPr>
              <w:jc w:val="center"/>
            </w:pPr>
            <w:r/>
            <w:r>
              <w:rPr>
                <w:b w:val="0"/>
                <w:color w:val="222222"/>
                <w:sz w:val="17"/>
              </w:rPr>
              <w:t>same engine, longer horizon</w:t>
            </w:r>
          </w:p>
        </w:tc>
        <w:tc>
          <w:tcPr>
            <w:tcW w:type="dxa" w:w="1944"/>
            <w:shd w:val="clear" w:fill="F2F6F6"/>
          </w:tcPr>
          <w:p>
            <w:pPr>
              <w:jc w:val="center"/>
            </w:pPr>
            <w:r/>
            <w:r>
              <w:rPr>
                <w:b w:val="0"/>
                <w:color w:val="222222"/>
                <w:sz w:val="17"/>
              </w:rPr>
              <w:t>p5 8.8 · p50 11.2 · p95 14.1</w:t>
            </w:r>
          </w:p>
        </w:tc>
        <w:tc>
          <w:tcPr>
            <w:tcW w:type="dxa" w:w="1800"/>
            <w:shd w:val="clear" w:fill="F2F6F6"/>
          </w:tcPr>
          <w:p>
            <w:pPr>
              <w:jc w:val="center"/>
            </w:pPr>
            <w:r/>
            <w:r>
              <w:rPr>
                <w:b w:val="0"/>
                <w:color w:val="222222"/>
                <w:sz w:val="17"/>
              </w:rPr>
              <w:t>Wide, right-skewed</w:t>
            </w:r>
          </w:p>
        </w:tc>
      </w:tr>
      <w:tr>
        <w:tc>
          <w:tcPr>
            <w:tcW w:type="dxa" w:w="1800"/>
            <w:gridSpan w:val="4"/>
            <w:shd w:val="clear" w:fill="2A8F8F"/>
          </w:tcPr>
          <w:p>
            <w:pPr>
              <w:jc w:val="left"/>
            </w:pPr>
            <w:r/>
            <w:r>
              <w:rPr>
                <w:b/>
                <w:color w:val="FFFFFF"/>
                <w:sz w:val="17"/>
              </w:rPr>
              <w:t>EXPERT PANEL — three independent methods (Appendix D)</w:t>
            </w:r>
          </w:p>
        </w:tc>
      </w:tr>
      <w:tr>
        <w:tc>
          <w:tcPr>
            <w:tcW w:type="dxa" w:w="2520"/>
          </w:tcPr>
          <w:p>
            <w:pPr>
              <w:jc w:val="left"/>
            </w:pPr>
            <w:r/>
            <w:r>
              <w:rPr>
                <w:b w:val="0"/>
                <w:color w:val="222222"/>
                <w:sz w:val="17"/>
              </w:rPr>
              <w:t>Expert 1 — NAV &amp; discount</w:t>
            </w:r>
          </w:p>
        </w:tc>
        <w:tc>
          <w:tcPr>
            <w:tcW w:type="dxa" w:w="3096"/>
          </w:tcPr>
          <w:p>
            <w:pPr>
              <w:jc w:val="center"/>
            </w:pPr>
            <w:r/>
            <w:r>
              <w:rPr>
                <w:b w:val="0"/>
                <w:color w:val="222222"/>
                <w:sz w:val="17"/>
              </w:rPr>
              <w:t>Holdco discount on marked parts</w:t>
            </w:r>
          </w:p>
        </w:tc>
        <w:tc>
          <w:tcPr>
            <w:tcW w:type="dxa" w:w="1944"/>
          </w:tcPr>
          <w:p>
            <w:pPr>
              <w:jc w:val="center"/>
            </w:pPr>
            <w:r/>
            <w:r>
              <w:rPr>
                <w:b w:val="0"/>
                <w:color w:val="222222"/>
                <w:sz w:val="17"/>
              </w:rPr>
              <w:t>QR 10.6</w:t>
            </w:r>
          </w:p>
        </w:tc>
        <w:tc>
          <w:tcPr>
            <w:tcW w:type="dxa" w:w="1800"/>
          </w:tcPr>
          <w:p>
            <w:pPr>
              <w:jc w:val="center"/>
            </w:pPr>
            <w:r/>
            <w:r>
              <w:rPr>
                <w:b w:val="0"/>
                <w:color w:val="222222"/>
                <w:sz w:val="17"/>
              </w:rPr>
              <w:t>The anchor</w:t>
            </w:r>
          </w:p>
        </w:tc>
      </w:tr>
      <w:tr>
        <w:tc>
          <w:tcPr>
            <w:tcW w:type="dxa" w:w="2520"/>
            <w:shd w:val="clear" w:fill="F2F6F6"/>
          </w:tcPr>
          <w:p>
            <w:pPr>
              <w:jc w:val="left"/>
            </w:pPr>
            <w:r/>
            <w:r>
              <w:rPr>
                <w:b w:val="0"/>
                <w:color w:val="222222"/>
                <w:sz w:val="17"/>
              </w:rPr>
              <w:t>Expert 2 — accountant</w:t>
            </w:r>
          </w:p>
        </w:tc>
        <w:tc>
          <w:tcPr>
            <w:tcW w:type="dxa" w:w="3096"/>
            <w:shd w:val="clear" w:fill="F2F6F6"/>
          </w:tcPr>
          <w:p>
            <w:pPr>
              <w:jc w:val="center"/>
            </w:pPr>
            <w:r/>
            <w:r>
              <w:rPr>
                <w:b w:val="0"/>
                <w:color w:val="222222"/>
                <w:sz w:val="17"/>
              </w:rPr>
              <w:t>Realizable value + cash quality</w:t>
            </w:r>
          </w:p>
        </w:tc>
        <w:tc>
          <w:tcPr>
            <w:tcW w:type="dxa" w:w="1944"/>
            <w:shd w:val="clear" w:fill="F2F6F6"/>
          </w:tcPr>
          <w:p>
            <w:pPr>
              <w:jc w:val="center"/>
            </w:pPr>
            <w:r/>
            <w:r>
              <w:rPr>
                <w:b w:val="0"/>
                <w:color w:val="222222"/>
                <w:sz w:val="17"/>
              </w:rPr>
              <w:t>QR 9.8</w:t>
            </w:r>
          </w:p>
        </w:tc>
        <w:tc>
          <w:tcPr>
            <w:tcW w:type="dxa" w:w="1800"/>
            <w:shd w:val="clear" w:fill="F2F6F6"/>
          </w:tcPr>
          <w:p>
            <w:pPr>
              <w:jc w:val="center"/>
            </w:pPr>
            <w:r/>
            <w:r>
              <w:rPr>
                <w:b w:val="0"/>
                <w:color w:val="222222"/>
                <w:sz w:val="17"/>
              </w:rPr>
              <w:t>Most conservative</w:t>
            </w:r>
          </w:p>
        </w:tc>
      </w:tr>
      <w:tr>
        <w:tc>
          <w:tcPr>
            <w:tcW w:type="dxa" w:w="2520"/>
          </w:tcPr>
          <w:p>
            <w:pPr>
              <w:jc w:val="left"/>
            </w:pPr>
            <w:r/>
            <w:r>
              <w:rPr>
                <w:b w:val="0"/>
                <w:color w:val="222222"/>
                <w:sz w:val="17"/>
              </w:rPr>
              <w:t>Expert 3 — macro-policy</w:t>
            </w:r>
          </w:p>
        </w:tc>
        <w:tc>
          <w:tcPr>
            <w:tcW w:type="dxa" w:w="3096"/>
          </w:tcPr>
          <w:p>
            <w:pPr>
              <w:jc w:val="center"/>
            </w:pPr>
            <w:r/>
            <w:r>
              <w:rPr>
                <w:b w:val="0"/>
                <w:color w:val="222222"/>
                <w:sz w:val="17"/>
              </w:rPr>
              <w:t>Scenario-weighted options</w:t>
            </w:r>
          </w:p>
        </w:tc>
        <w:tc>
          <w:tcPr>
            <w:tcW w:type="dxa" w:w="1944"/>
          </w:tcPr>
          <w:p>
            <w:pPr>
              <w:jc w:val="center"/>
            </w:pPr>
            <w:r/>
            <w:r>
              <w:rPr>
                <w:b w:val="0"/>
                <w:color w:val="222222"/>
                <w:sz w:val="17"/>
              </w:rPr>
              <w:t>QR 11.2</w:t>
            </w:r>
          </w:p>
        </w:tc>
        <w:tc>
          <w:tcPr>
            <w:tcW w:type="dxa" w:w="1800"/>
          </w:tcPr>
          <w:p>
            <w:pPr>
              <w:jc w:val="center"/>
            </w:pPr>
            <w:r/>
            <w:r>
              <w:rPr>
                <w:b w:val="0"/>
                <w:color w:val="222222"/>
                <w:sz w:val="17"/>
              </w:rPr>
              <w:t>Scenario-weighted</w:t>
            </w:r>
          </w:p>
        </w:tc>
      </w:tr>
      <w:tr>
        <w:tc>
          <w:tcPr>
            <w:tcW w:type="dxa" w:w="2520"/>
            <w:shd w:val="clear" w:fill="F3ECDD"/>
          </w:tcPr>
          <w:p>
            <w:pPr>
              <w:jc w:val="left"/>
            </w:pPr>
            <w:r/>
            <w:r>
              <w:rPr>
                <w:b/>
                <w:color w:val="222222"/>
                <w:sz w:val="17"/>
              </w:rPr>
              <w:t>Panel range</w:t>
            </w:r>
          </w:p>
        </w:tc>
        <w:tc>
          <w:tcPr>
            <w:tcW w:type="dxa" w:w="3096"/>
            <w:shd w:val="clear" w:fill="F3ECDD"/>
          </w:tcPr>
          <w:p>
            <w:pPr>
              <w:jc w:val="center"/>
            </w:pPr>
            <w:r/>
            <w:r>
              <w:rPr>
                <w:b/>
                <w:color w:val="222222"/>
                <w:sz w:val="17"/>
              </w:rPr>
              <w:t>Spread = the petchem question</w:t>
            </w:r>
          </w:p>
        </w:tc>
        <w:tc>
          <w:tcPr>
            <w:tcW w:type="dxa" w:w="1944"/>
            <w:shd w:val="clear" w:fill="F3ECDD"/>
          </w:tcPr>
          <w:p>
            <w:pPr>
              <w:jc w:val="center"/>
            </w:pPr>
            <w:r/>
            <w:r>
              <w:rPr>
                <w:b/>
                <w:color w:val="222222"/>
                <w:sz w:val="17"/>
              </w:rPr>
              <w:t>QR 9.8–11.2</w:t>
            </w:r>
          </w:p>
        </w:tc>
        <w:tc>
          <w:tcPr>
            <w:tcW w:type="dxa" w:w="1800"/>
            <w:shd w:val="clear" w:fill="F3ECDD"/>
          </w:tcPr>
          <w:p>
            <w:pPr>
              <w:jc w:val="center"/>
            </w:pPr>
            <w:r/>
            <w:r>
              <w:rPr>
                <w:b/>
                <w:color w:val="222222"/>
                <w:sz w:val="17"/>
              </w:rPr>
              <w:t>Centres ~QR 10.5</w:t>
            </w:r>
          </w:p>
        </w:tc>
      </w:tr>
    </w:tbl>
    <w:p>
      <w:pPr>
        <w:spacing w:after="40"/>
      </w:pPr>
    </w:p>
    <w:p>
      <w:pPr>
        <w:spacing w:after="160"/>
      </w:pPr>
      <w:r>
        <w:rPr>
          <w:b/>
          <w:color w:val="222222"/>
          <w:sz w:val="20"/>
        </w:rPr>
        <w:t xml:space="preserve">Bottom line. </w:t>
      </w:r>
      <w:r>
        <w:rPr>
          <w:color w:val="222222"/>
          <w:sz w:val="20"/>
        </w:rPr>
        <w:t>Every read points the same way on value and disagrees only on magnitude. The fundamental central sits near QR 10.8 — within 2% of the QR 11.07 spot — the three experts span QR 9.8–11.2, and each turns on a single question: whether the petrochemical leg's margin normalises from its early-2026 trough. The technical tape agrees the stock is unloved, oversold and below trend, which is why the three-month distribution centres near spot with a wide right tail rather than already above fair value — with a roughly 6% dividend yield paying the holder to wait.</w:t>
      </w:r>
    </w:p>
    <w:p>
      <w:pPr>
        <w:keepNext/>
        <w:spacing w:before="280" w:after="120"/>
      </w:pPr>
      <w:r>
        <w:rPr>
          <w:b/>
          <w:color w:val="1B5E5E"/>
          <w:sz w:val="26"/>
        </w:rPr>
        <w:t>Industries Qatar at a glance</w:t>
      </w:r>
    </w:p>
    <w:tbl>
      <w:tblPr>
        <w:tblW w:type="auto" w:w="0"/>
        <w:jc w:val="center"/>
        <w:tblLayout w:type="fixed"/>
        <w:tblLook w:firstColumn="1" w:firstRow="1" w:lastColumn="0" w:lastRow="0" w:noHBand="0" w:noVBand="1" w:val="04A0"/>
      </w:tblPr>
      <w:tblGrid>
        <w:gridCol w:w="4320"/>
        <w:gridCol w:w="4320"/>
      </w:tblGrid>
      <w:tr>
        <w:tc>
          <w:tcPr>
            <w:tcW w:type="dxa" w:w="3600"/>
            <w:shd w:val="clear" w:fill="1B5E5E"/>
          </w:tcPr>
          <w:p>
            <w:pPr>
              <w:jc w:val="left"/>
            </w:pPr>
            <w:r/>
            <w:r>
              <w:rPr>
                <w:b/>
                <w:color w:val="FFFFFF"/>
                <w:sz w:val="19"/>
              </w:rPr>
              <w:t>Item</w:t>
            </w:r>
          </w:p>
        </w:tc>
        <w:tc>
          <w:tcPr>
            <w:tcW w:type="dxa" w:w="5760"/>
            <w:shd w:val="clear" w:fill="1B5E5E"/>
          </w:tcPr>
          <w:p>
            <w:pPr>
              <w:jc w:val="center"/>
            </w:pPr>
            <w:r/>
            <w:r>
              <w:rPr>
                <w:b/>
                <w:color w:val="FFFFFF"/>
                <w:sz w:val="19"/>
              </w:rPr>
              <w:t>Value</w:t>
            </w:r>
          </w:p>
        </w:tc>
      </w:tr>
      <w:tr>
        <w:tc>
          <w:tcPr>
            <w:tcW w:type="dxa" w:w="3600"/>
          </w:tcPr>
          <w:p>
            <w:pPr>
              <w:jc w:val="left"/>
            </w:pPr>
            <w:r/>
            <w:r>
              <w:rPr>
                <w:color w:val="222222"/>
                <w:sz w:val="19"/>
              </w:rPr>
              <w:t>Ticker / exchange</w:t>
            </w:r>
          </w:p>
        </w:tc>
        <w:tc>
          <w:tcPr>
            <w:tcW w:type="dxa" w:w="5760"/>
          </w:tcPr>
          <w:p>
            <w:pPr>
              <w:jc w:val="center"/>
            </w:pPr>
            <w:r/>
            <w:r>
              <w:rPr>
                <w:color w:val="222222"/>
                <w:sz w:val="19"/>
              </w:rPr>
              <w:t>IQCD / Qatar Stock Exchange (QSE)</w:t>
            </w:r>
          </w:p>
        </w:tc>
      </w:tr>
      <w:tr>
        <w:tc>
          <w:tcPr>
            <w:tcW w:type="dxa" w:w="3600"/>
            <w:shd w:val="clear" w:fill="F2F6F6"/>
          </w:tcPr>
          <w:p>
            <w:pPr>
              <w:jc w:val="left"/>
            </w:pPr>
            <w:r/>
            <w:r>
              <w:rPr>
                <w:color w:val="222222"/>
                <w:sz w:val="19"/>
              </w:rPr>
              <w:t>Business</w:t>
            </w:r>
          </w:p>
        </w:tc>
        <w:tc>
          <w:tcPr>
            <w:tcW w:type="dxa" w:w="5760"/>
            <w:shd w:val="clear" w:fill="F2F6F6"/>
          </w:tcPr>
          <w:p>
            <w:pPr>
              <w:jc w:val="center"/>
            </w:pPr>
            <w:r/>
            <w:r>
              <w:rPr>
                <w:color w:val="222222"/>
                <w:sz w:val="19"/>
              </w:rPr>
              <w:t>Holding company: fertilizers (QAFCO), petrochemicals (QAPCO, QAFAC), steel (Qatar Steel)</w:t>
            </w:r>
          </w:p>
        </w:tc>
      </w:tr>
      <w:tr>
        <w:tc>
          <w:tcPr>
            <w:tcW w:type="dxa" w:w="3600"/>
          </w:tcPr>
          <w:p>
            <w:pPr>
              <w:jc w:val="left"/>
            </w:pPr>
            <w:r/>
            <w:r>
              <w:rPr>
                <w:color w:val="222222"/>
                <w:sz w:val="19"/>
              </w:rPr>
              <w:t>Spot price</w:t>
            </w:r>
          </w:p>
        </w:tc>
        <w:tc>
          <w:tcPr>
            <w:tcW w:type="dxa" w:w="5760"/>
          </w:tcPr>
          <w:p>
            <w:pPr>
              <w:jc w:val="center"/>
            </w:pPr>
            <w:r/>
            <w:r>
              <w:rPr>
                <w:color w:val="222222"/>
                <w:sz w:val="19"/>
              </w:rPr>
              <w:t>QR 11.07 (close 05 Jul 2026)</w:t>
            </w:r>
          </w:p>
        </w:tc>
      </w:tr>
      <w:tr>
        <w:tc>
          <w:tcPr>
            <w:tcW w:type="dxa" w:w="3600"/>
            <w:shd w:val="clear" w:fill="F2F6F6"/>
          </w:tcPr>
          <w:p>
            <w:pPr>
              <w:jc w:val="left"/>
            </w:pPr>
            <w:r/>
            <w:r>
              <w:rPr>
                <w:color w:val="222222"/>
                <w:sz w:val="19"/>
              </w:rPr>
              <w:t>52-week range</w:t>
            </w:r>
          </w:p>
        </w:tc>
        <w:tc>
          <w:tcPr>
            <w:tcW w:type="dxa" w:w="5760"/>
            <w:shd w:val="clear" w:fill="F2F6F6"/>
          </w:tcPr>
          <w:p>
            <w:pPr>
              <w:jc w:val="center"/>
            </w:pPr>
            <w:r/>
            <w:r>
              <w:rPr>
                <w:color w:val="222222"/>
                <w:sz w:val="19"/>
              </w:rPr>
              <w:t>QR 10.60 – 13.41</w:t>
            </w:r>
          </w:p>
        </w:tc>
      </w:tr>
      <w:tr>
        <w:tc>
          <w:tcPr>
            <w:tcW w:type="dxa" w:w="3600"/>
          </w:tcPr>
          <w:p>
            <w:pPr>
              <w:jc w:val="left"/>
            </w:pPr>
            <w:r/>
            <w:r>
              <w:rPr>
                <w:color w:val="222222"/>
                <w:sz w:val="19"/>
              </w:rPr>
              <w:t>Shares outstanding</w:t>
            </w:r>
          </w:p>
        </w:tc>
        <w:tc>
          <w:tcPr>
            <w:tcW w:type="dxa" w:w="5760"/>
          </w:tcPr>
          <w:p>
            <w:pPr>
              <w:jc w:val="center"/>
            </w:pPr>
            <w:r/>
            <w:r>
              <w:rPr>
                <w:color w:val="222222"/>
                <w:sz w:val="19"/>
              </w:rPr>
              <w:t>6.05 billion</w:t>
            </w:r>
          </w:p>
        </w:tc>
      </w:tr>
      <w:tr>
        <w:tc>
          <w:tcPr>
            <w:tcW w:type="dxa" w:w="3600"/>
            <w:shd w:val="clear" w:fill="F2F6F6"/>
          </w:tcPr>
          <w:p>
            <w:pPr>
              <w:jc w:val="left"/>
            </w:pPr>
            <w:r/>
            <w:r>
              <w:rPr>
                <w:color w:val="222222"/>
                <w:sz w:val="19"/>
              </w:rPr>
              <w:t>Market capitalization</w:t>
            </w:r>
          </w:p>
        </w:tc>
        <w:tc>
          <w:tcPr>
            <w:tcW w:type="dxa" w:w="5760"/>
            <w:shd w:val="clear" w:fill="F2F6F6"/>
          </w:tcPr>
          <w:p>
            <w:pPr>
              <w:jc w:val="center"/>
            </w:pPr>
            <w:r/>
            <w:r>
              <w:rPr>
                <w:color w:val="222222"/>
                <w:sz w:val="19"/>
              </w:rPr>
              <w:t>≈ QR 67.0bn (~US$ 18.4bn)</w:t>
            </w:r>
          </w:p>
        </w:tc>
      </w:tr>
      <w:tr>
        <w:tc>
          <w:tcPr>
            <w:tcW w:type="dxa" w:w="3600"/>
          </w:tcPr>
          <w:p>
            <w:pPr>
              <w:jc w:val="left"/>
            </w:pPr>
            <w:r/>
            <w:r>
              <w:rPr>
                <w:color w:val="222222"/>
                <w:sz w:val="19"/>
              </w:rPr>
              <w:t>Net cash</w:t>
            </w:r>
          </w:p>
        </w:tc>
        <w:tc>
          <w:tcPr>
            <w:tcW w:type="dxa" w:w="5760"/>
          </w:tcPr>
          <w:p>
            <w:pPr>
              <w:jc w:val="center"/>
            </w:pPr>
            <w:r/>
            <w:r>
              <w:rPr>
                <w:color w:val="222222"/>
                <w:sz w:val="19"/>
              </w:rPr>
              <w:t>≈ QR 8.5bn (debt-free)</w:t>
            </w:r>
          </w:p>
        </w:tc>
      </w:tr>
      <w:tr>
        <w:tc>
          <w:tcPr>
            <w:tcW w:type="dxa" w:w="3600"/>
            <w:shd w:val="clear" w:fill="F2F6F6"/>
          </w:tcPr>
          <w:p>
            <w:pPr>
              <w:jc w:val="left"/>
            </w:pPr>
            <w:r/>
            <w:r>
              <w:rPr>
                <w:color w:val="222222"/>
                <w:sz w:val="19"/>
              </w:rPr>
              <w:t>Ownership</w:t>
            </w:r>
          </w:p>
        </w:tc>
        <w:tc>
          <w:tcPr>
            <w:tcW w:type="dxa" w:w="5760"/>
            <w:shd w:val="clear" w:fill="F2F6F6"/>
          </w:tcPr>
          <w:p>
            <w:pPr>
              <w:jc w:val="center"/>
            </w:pPr>
            <w:r/>
            <w:r>
              <w:rPr>
                <w:color w:val="222222"/>
                <w:sz w:val="19"/>
              </w:rPr>
              <w:t>QatarEnergy ≈ 51%; free float ≈ 49% (foreign limit 49%)</w:t>
            </w:r>
          </w:p>
        </w:tc>
      </w:tr>
      <w:tr>
        <w:tc>
          <w:tcPr>
            <w:tcW w:type="dxa" w:w="3600"/>
          </w:tcPr>
          <w:p>
            <w:pPr>
              <w:jc w:val="left"/>
            </w:pPr>
            <w:r/>
            <w:r>
              <w:rPr>
                <w:color w:val="222222"/>
                <w:sz w:val="19"/>
              </w:rPr>
              <w:t>FY2025 net profit</w:t>
            </w:r>
          </w:p>
        </w:tc>
        <w:tc>
          <w:tcPr>
            <w:tcW w:type="dxa" w:w="5760"/>
          </w:tcPr>
          <w:p>
            <w:pPr>
              <w:jc w:val="center"/>
            </w:pPr>
            <w:r/>
            <w:r>
              <w:rPr>
                <w:color w:val="222222"/>
                <w:sz w:val="19"/>
              </w:rPr>
              <w:t>QR 4.3bn (−8% YoY); EPS QR 0.71</w:t>
            </w:r>
          </w:p>
        </w:tc>
      </w:tr>
      <w:tr>
        <w:tc>
          <w:tcPr>
            <w:tcW w:type="dxa" w:w="3600"/>
            <w:shd w:val="clear" w:fill="F2F6F6"/>
          </w:tcPr>
          <w:p>
            <w:pPr>
              <w:jc w:val="left"/>
            </w:pPr>
            <w:r/>
            <w:r>
              <w:rPr>
                <w:color w:val="222222"/>
                <w:sz w:val="19"/>
              </w:rPr>
              <w:t>Dividend</w:t>
            </w:r>
          </w:p>
        </w:tc>
        <w:tc>
          <w:tcPr>
            <w:tcW w:type="dxa" w:w="5760"/>
            <w:shd w:val="clear" w:fill="F2F6F6"/>
          </w:tcPr>
          <w:p>
            <w:pPr>
              <w:jc w:val="center"/>
            </w:pPr>
            <w:r/>
            <w:r>
              <w:rPr>
                <w:color w:val="222222"/>
                <w:sz w:val="19"/>
              </w:rPr>
              <w:t>QR 0.71/share FY2025 (100% payout); yield ≈ 6%</w:t>
            </w:r>
          </w:p>
        </w:tc>
      </w:tr>
      <w:tr>
        <w:tc>
          <w:tcPr>
            <w:tcW w:type="dxa" w:w="3600"/>
          </w:tcPr>
          <w:p>
            <w:pPr>
              <w:jc w:val="left"/>
            </w:pPr>
            <w:r/>
            <w:r>
              <w:rPr>
                <w:color w:val="222222"/>
                <w:sz w:val="19"/>
              </w:rPr>
              <w:t>Segment mix (FY25 NI)</w:t>
            </w:r>
          </w:p>
        </w:tc>
        <w:tc>
          <w:tcPr>
            <w:tcW w:type="dxa" w:w="5760"/>
          </w:tcPr>
          <w:p>
            <w:pPr>
              <w:jc w:val="center"/>
            </w:pPr>
            <w:r/>
            <w:r>
              <w:rPr>
                <w:color w:val="222222"/>
                <w:sz w:val="19"/>
              </w:rPr>
              <w:t>Fertilizers QR 2.7bn · Petrochemicals QR 0.7bn · Steel QR 0.71bn</w:t>
            </w:r>
          </w:p>
        </w:tc>
      </w:tr>
      <w:tr>
        <w:tc>
          <w:tcPr>
            <w:tcW w:type="dxa" w:w="3600"/>
            <w:shd w:val="clear" w:fill="F2F6F6"/>
          </w:tcPr>
          <w:p>
            <w:pPr>
              <w:jc w:val="left"/>
            </w:pPr>
            <w:r/>
            <w:r>
              <w:rPr>
                <w:color w:val="222222"/>
                <w:sz w:val="19"/>
              </w:rPr>
              <w:t>Key near-term event</w:t>
            </w:r>
          </w:p>
        </w:tc>
        <w:tc>
          <w:tcPr>
            <w:tcW w:type="dxa" w:w="5760"/>
            <w:shd w:val="clear" w:fill="F2F6F6"/>
          </w:tcPr>
          <w:p>
            <w:pPr>
              <w:jc w:val="center"/>
            </w:pPr>
            <w:r/>
            <w:r>
              <w:rPr>
                <w:color w:val="222222"/>
                <w:sz w:val="19"/>
              </w:rPr>
              <w:t>QAFCO Ammonia-7 (blue ammonia) online Q2-2026</w:t>
            </w:r>
          </w:p>
        </w:tc>
      </w:tr>
      <w:tr>
        <w:tc>
          <w:tcPr>
            <w:tcW w:type="dxa" w:w="3600"/>
          </w:tcPr>
          <w:p>
            <w:pPr>
              <w:jc w:val="left"/>
            </w:pPr>
            <w:r/>
            <w:r>
              <w:rPr>
                <w:color w:val="222222"/>
                <w:sz w:val="19"/>
              </w:rPr>
              <w:t>Reporting currency</w:t>
            </w:r>
          </w:p>
        </w:tc>
        <w:tc>
          <w:tcPr>
            <w:tcW w:type="dxa" w:w="5760"/>
          </w:tcPr>
          <w:p>
            <w:pPr>
              <w:jc w:val="center"/>
            </w:pPr>
            <w:r/>
            <w:r>
              <w:rPr>
                <w:color w:val="222222"/>
                <w:sz w:val="19"/>
              </w:rPr>
              <w:t>Qatari riyal (QR), pegged USD/QR 3.64</w:t>
            </w:r>
          </w:p>
        </w:tc>
      </w:tr>
    </w:tbl>
    <w:p>
      <w:pPr>
        <w:spacing w:after="40"/>
      </w:pPr>
    </w:p>
    <w:p>
      <w:pPr>
        <w:keepNext/>
        <w:spacing w:before="280" w:after="120"/>
      </w:pPr>
      <w:r>
        <w:rPr>
          <w:b/>
          <w:color w:val="1B5E5E"/>
          <w:sz w:val="32"/>
        </w:rPr>
        <w:t>1 · Fundamental valuation</w:t>
      </w:r>
    </w:p>
    <w:p>
      <w:pPr>
        <w:spacing w:after="120" w:before="0"/>
      </w:pPr>
      <w:r>
        <w:rPr>
          <w:rFonts w:ascii="Calibri" w:hAnsi="Calibri"/>
          <w:b w:val="0"/>
          <w:i w:val="0"/>
          <w:color w:val="222222"/>
          <w:sz w:val="21"/>
        </w:rPr>
        <w:t>Industries Qatar is a holding company, so the natural starting point is not a single consolidated multiple but the sum of its three operating parts, each valued on its own economics, plus the balance-sheet cash, less a discount for the holding structure. We then cross-check that sum-of-the-parts against four independent lenses. The picture that emerges is consistent: a stock trading close to the fair value of its parts, with the uncertainty concentrated almost entirely in the petrochemical leg.</w:t>
      </w:r>
    </w:p>
    <w:p>
      <w:pPr>
        <w:keepNext/>
        <w:spacing w:before="280" w:after="120"/>
      </w:pPr>
      <w:r>
        <w:rPr>
          <w:b/>
          <w:color w:val="2A8F8F"/>
          <w:sz w:val="26"/>
        </w:rPr>
        <w:t>1.1 · Primary lens — holding-company sum-of-the-parts</w:t>
      </w:r>
    </w:p>
    <w:p>
      <w:pPr>
        <w:spacing w:after="120" w:before="0"/>
      </w:pPr>
      <w:r>
        <w:rPr>
          <w:rFonts w:ascii="Calibri" w:hAnsi="Calibri"/>
          <w:b w:val="0"/>
          <w:i w:val="0"/>
          <w:color w:val="222222"/>
          <w:sz w:val="21"/>
        </w:rPr>
        <w:t>We value each segment on normalized mid-cycle earnings and a justified price-to-earnings multiple appropriate to that industry, then add net cash and subtract a modest holdco discount. Normalizing matters here because 2025 was not a clean year for any leg: fertilizers had an unusually strong run on tight nitrogen supply, petrochemicals were at a cyclical trough, and steel carried a QR 0.222bn impairment reversal. We strip those distortions before applying a multiple.</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3456"/>
            <w:shd w:val="clear" w:fill="1B5E5E"/>
          </w:tcPr>
          <w:p>
            <w:pPr>
              <w:jc w:val="left"/>
            </w:pPr>
            <w:r/>
            <w:r>
              <w:rPr>
                <w:b/>
                <w:color w:val="FFFFFF"/>
                <w:sz w:val="19"/>
              </w:rPr>
              <w:t>Segment / step</w:t>
            </w:r>
          </w:p>
        </w:tc>
        <w:tc>
          <w:tcPr>
            <w:tcW w:type="dxa" w:w="1656"/>
            <w:shd w:val="clear" w:fill="1B5E5E"/>
          </w:tcPr>
          <w:p>
            <w:pPr>
              <w:jc w:val="center"/>
            </w:pPr>
            <w:r/>
            <w:r>
              <w:rPr>
                <w:b/>
                <w:color w:val="FFFFFF"/>
                <w:sz w:val="19"/>
              </w:rPr>
              <w:t>Norm. NI (QRbn)</w:t>
            </w:r>
          </w:p>
        </w:tc>
        <w:tc>
          <w:tcPr>
            <w:tcW w:type="dxa" w:w="1080"/>
            <w:shd w:val="clear" w:fill="1B5E5E"/>
          </w:tcPr>
          <w:p>
            <w:pPr>
              <w:jc w:val="center"/>
            </w:pPr>
            <w:r/>
            <w:r>
              <w:rPr>
                <w:b/>
                <w:color w:val="FFFFFF"/>
                <w:sz w:val="19"/>
              </w:rPr>
              <w:t>P/E (x)</w:t>
            </w:r>
          </w:p>
        </w:tc>
        <w:tc>
          <w:tcPr>
            <w:tcW w:type="dxa" w:w="1512"/>
            <w:shd w:val="clear" w:fill="1B5E5E"/>
          </w:tcPr>
          <w:p>
            <w:pPr>
              <w:jc w:val="center"/>
            </w:pPr>
            <w:r/>
            <w:r>
              <w:rPr>
                <w:b/>
                <w:color w:val="FFFFFF"/>
                <w:sz w:val="19"/>
              </w:rPr>
              <w:t>Value (QRbn)</w:t>
            </w:r>
          </w:p>
        </w:tc>
        <w:tc>
          <w:tcPr>
            <w:tcW w:type="dxa" w:w="2664"/>
            <w:shd w:val="clear" w:fill="1B5E5E"/>
          </w:tcPr>
          <w:p>
            <w:pPr>
              <w:jc w:val="center"/>
            </w:pPr>
            <w:r/>
            <w:r>
              <w:rPr>
                <w:b/>
                <w:color w:val="FFFFFF"/>
                <w:sz w:val="19"/>
              </w:rPr>
              <w:t>Basis</w:t>
            </w:r>
          </w:p>
        </w:tc>
      </w:tr>
      <w:tr>
        <w:tc>
          <w:tcPr>
            <w:tcW w:type="dxa" w:w="3456"/>
          </w:tcPr>
          <w:p>
            <w:pPr>
              <w:jc w:val="left"/>
            </w:pPr>
            <w:r/>
            <w:r>
              <w:rPr>
                <w:color w:val="222222"/>
                <w:sz w:val="19"/>
              </w:rPr>
              <w:t>Fertilizers (QAFCO, 100%)</w:t>
            </w:r>
          </w:p>
        </w:tc>
        <w:tc>
          <w:tcPr>
            <w:tcW w:type="dxa" w:w="1656"/>
          </w:tcPr>
          <w:p>
            <w:pPr>
              <w:jc w:val="center"/>
            </w:pPr>
            <w:r/>
            <w:r>
              <w:rPr>
                <w:color w:val="222222"/>
                <w:sz w:val="19"/>
              </w:rPr>
              <w:t>2.50</w:t>
            </w:r>
          </w:p>
        </w:tc>
        <w:tc>
          <w:tcPr>
            <w:tcW w:type="dxa" w:w="1080"/>
          </w:tcPr>
          <w:p>
            <w:pPr>
              <w:jc w:val="center"/>
            </w:pPr>
            <w:r/>
            <w:r>
              <w:rPr>
                <w:color w:val="222222"/>
                <w:sz w:val="19"/>
              </w:rPr>
              <w:t>14.5</w:t>
            </w:r>
          </w:p>
        </w:tc>
        <w:tc>
          <w:tcPr>
            <w:tcW w:type="dxa" w:w="1512"/>
          </w:tcPr>
          <w:p>
            <w:pPr>
              <w:jc w:val="center"/>
            </w:pPr>
            <w:r/>
            <w:r>
              <w:rPr>
                <w:color w:val="222222"/>
                <w:sz w:val="19"/>
              </w:rPr>
              <w:t>36.3</w:t>
            </w:r>
          </w:p>
        </w:tc>
        <w:tc>
          <w:tcPr>
            <w:tcW w:type="dxa" w:w="2664"/>
          </w:tcPr>
          <w:p>
            <w:pPr>
              <w:jc w:val="center"/>
            </w:pPr>
            <w:r/>
            <w:r>
              <w:rPr>
                <w:color w:val="222222"/>
                <w:sz w:val="19"/>
              </w:rPr>
              <w:t>World-scale, low-cost gas; +Ammonia-7</w:t>
            </w:r>
          </w:p>
        </w:tc>
      </w:tr>
      <w:tr>
        <w:tc>
          <w:tcPr>
            <w:tcW w:type="dxa" w:w="3456"/>
            <w:shd w:val="clear" w:fill="F2F6F6"/>
          </w:tcPr>
          <w:p>
            <w:pPr>
              <w:jc w:val="left"/>
            </w:pPr>
            <w:r/>
            <w:r>
              <w:rPr>
                <w:color w:val="222222"/>
                <w:sz w:val="19"/>
              </w:rPr>
              <w:t>Petrochemicals (QAPCO 80% / QAFAC 50%)</w:t>
            </w:r>
          </w:p>
        </w:tc>
        <w:tc>
          <w:tcPr>
            <w:tcW w:type="dxa" w:w="1656"/>
            <w:shd w:val="clear" w:fill="F2F6F6"/>
          </w:tcPr>
          <w:p>
            <w:pPr>
              <w:jc w:val="center"/>
            </w:pPr>
            <w:r/>
            <w:r>
              <w:rPr>
                <w:color w:val="222222"/>
                <w:sz w:val="19"/>
              </w:rPr>
              <w:t>1.30</w:t>
            </w:r>
          </w:p>
        </w:tc>
        <w:tc>
          <w:tcPr>
            <w:tcW w:type="dxa" w:w="1080"/>
            <w:shd w:val="clear" w:fill="F2F6F6"/>
          </w:tcPr>
          <w:p>
            <w:pPr>
              <w:jc w:val="center"/>
            </w:pPr>
            <w:r/>
            <w:r>
              <w:rPr>
                <w:color w:val="222222"/>
                <w:sz w:val="19"/>
              </w:rPr>
              <w:t>13.0</w:t>
            </w:r>
          </w:p>
        </w:tc>
        <w:tc>
          <w:tcPr>
            <w:tcW w:type="dxa" w:w="1512"/>
            <w:shd w:val="clear" w:fill="F2F6F6"/>
          </w:tcPr>
          <w:p>
            <w:pPr>
              <w:jc w:val="center"/>
            </w:pPr>
            <w:r/>
            <w:r>
              <w:rPr>
                <w:color w:val="222222"/>
                <w:sz w:val="19"/>
              </w:rPr>
              <w:t>16.9</w:t>
            </w:r>
          </w:p>
        </w:tc>
        <w:tc>
          <w:tcPr>
            <w:tcW w:type="dxa" w:w="2664"/>
            <w:shd w:val="clear" w:fill="F2F6F6"/>
          </w:tcPr>
          <w:p>
            <w:pPr>
              <w:jc w:val="center"/>
            </w:pPr>
            <w:r/>
            <w:r>
              <w:rPr>
                <w:color w:val="222222"/>
                <w:sz w:val="19"/>
              </w:rPr>
              <w:t>Recovery from trough; Ras Laffan ramp</w:t>
            </w:r>
          </w:p>
        </w:tc>
      </w:tr>
      <w:tr>
        <w:tc>
          <w:tcPr>
            <w:tcW w:type="dxa" w:w="3456"/>
          </w:tcPr>
          <w:p>
            <w:pPr>
              <w:jc w:val="left"/>
            </w:pPr>
            <w:r/>
            <w:r>
              <w:rPr>
                <w:color w:val="222222"/>
                <w:sz w:val="19"/>
              </w:rPr>
              <w:t>Steel (100%)</w:t>
            </w:r>
          </w:p>
        </w:tc>
        <w:tc>
          <w:tcPr>
            <w:tcW w:type="dxa" w:w="1656"/>
          </w:tcPr>
          <w:p>
            <w:pPr>
              <w:jc w:val="center"/>
            </w:pPr>
            <w:r/>
            <w:r>
              <w:rPr>
                <w:color w:val="222222"/>
                <w:sz w:val="19"/>
              </w:rPr>
              <w:t>0.50</w:t>
            </w:r>
          </w:p>
        </w:tc>
        <w:tc>
          <w:tcPr>
            <w:tcW w:type="dxa" w:w="1080"/>
          </w:tcPr>
          <w:p>
            <w:pPr>
              <w:jc w:val="center"/>
            </w:pPr>
            <w:r/>
            <w:r>
              <w:rPr>
                <w:color w:val="222222"/>
                <w:sz w:val="19"/>
              </w:rPr>
              <w:t>7.5</w:t>
            </w:r>
          </w:p>
        </w:tc>
        <w:tc>
          <w:tcPr>
            <w:tcW w:type="dxa" w:w="1512"/>
          </w:tcPr>
          <w:p>
            <w:pPr>
              <w:jc w:val="center"/>
            </w:pPr>
            <w:r/>
            <w:r>
              <w:rPr>
                <w:color w:val="222222"/>
                <w:sz w:val="19"/>
              </w:rPr>
              <w:t>3.8</w:t>
            </w:r>
          </w:p>
        </w:tc>
        <w:tc>
          <w:tcPr>
            <w:tcW w:type="dxa" w:w="2664"/>
          </w:tcPr>
          <w:p>
            <w:pPr>
              <w:jc w:val="center"/>
            </w:pPr>
            <w:r/>
            <w:r>
              <w:rPr>
                <w:color w:val="222222"/>
                <w:sz w:val="19"/>
              </w:rPr>
              <w:t>Restarted DRI; cyclical, low multiple</w:t>
            </w:r>
          </w:p>
        </w:tc>
      </w:tr>
      <w:tr>
        <w:tc>
          <w:tcPr>
            <w:tcW w:type="dxa" w:w="3456"/>
            <w:shd w:val="clear" w:fill="F2F6F6"/>
          </w:tcPr>
          <w:p>
            <w:pPr>
              <w:jc w:val="left"/>
            </w:pPr>
            <w:r/>
            <w:r>
              <w:rPr>
                <w:color w:val="222222"/>
                <w:sz w:val="19"/>
              </w:rPr>
              <w:t>Segment enterprise value</w:t>
            </w:r>
          </w:p>
        </w:tc>
        <w:tc>
          <w:tcPr>
            <w:tcW w:type="dxa" w:w="1656"/>
            <w:shd w:val="clear" w:fill="F2F6F6"/>
          </w:tcPr>
          <w:p>
            <w:pPr>
              <w:jc w:val="center"/>
            </w:pPr>
            <w:r/>
            <w:r>
              <w:rPr>
                <w:color w:val="222222"/>
                <w:sz w:val="19"/>
              </w:rPr>
            </w:r>
          </w:p>
        </w:tc>
        <w:tc>
          <w:tcPr>
            <w:tcW w:type="dxa" w:w="1080"/>
            <w:shd w:val="clear" w:fill="F2F6F6"/>
          </w:tcPr>
          <w:p>
            <w:pPr>
              <w:jc w:val="center"/>
            </w:pPr>
            <w:r/>
            <w:r>
              <w:rPr>
                <w:color w:val="222222"/>
                <w:sz w:val="19"/>
              </w:rPr>
            </w:r>
          </w:p>
        </w:tc>
        <w:tc>
          <w:tcPr>
            <w:tcW w:type="dxa" w:w="1512"/>
            <w:shd w:val="clear" w:fill="F2F6F6"/>
          </w:tcPr>
          <w:p>
            <w:pPr>
              <w:jc w:val="center"/>
            </w:pPr>
            <w:r/>
            <w:r>
              <w:rPr>
                <w:color w:val="222222"/>
                <w:sz w:val="19"/>
              </w:rPr>
              <w:t>56.9</w:t>
            </w:r>
          </w:p>
        </w:tc>
        <w:tc>
          <w:tcPr>
            <w:tcW w:type="dxa" w:w="2664"/>
            <w:shd w:val="clear" w:fill="F2F6F6"/>
          </w:tcPr>
          <w:p>
            <w:pPr>
              <w:jc w:val="center"/>
            </w:pPr>
            <w:r/>
            <w:r>
              <w:rPr>
                <w:color w:val="222222"/>
                <w:sz w:val="19"/>
              </w:rPr>
            </w:r>
          </w:p>
        </w:tc>
      </w:tr>
      <w:tr>
        <w:tc>
          <w:tcPr>
            <w:tcW w:type="dxa" w:w="3456"/>
          </w:tcPr>
          <w:p>
            <w:pPr>
              <w:jc w:val="left"/>
            </w:pPr>
            <w:r/>
            <w:r>
              <w:rPr>
                <w:color w:val="222222"/>
                <w:sz w:val="19"/>
              </w:rPr>
              <w:t>Add: net cash</w:t>
            </w:r>
          </w:p>
        </w:tc>
        <w:tc>
          <w:tcPr>
            <w:tcW w:type="dxa" w:w="1656"/>
          </w:tcPr>
          <w:p>
            <w:pPr>
              <w:jc w:val="center"/>
            </w:pPr>
            <w:r/>
            <w:r>
              <w:rPr>
                <w:color w:val="222222"/>
                <w:sz w:val="19"/>
              </w:rPr>
            </w:r>
          </w:p>
        </w:tc>
        <w:tc>
          <w:tcPr>
            <w:tcW w:type="dxa" w:w="1080"/>
          </w:tcPr>
          <w:p>
            <w:pPr>
              <w:jc w:val="center"/>
            </w:pPr>
            <w:r/>
            <w:r>
              <w:rPr>
                <w:color w:val="222222"/>
                <w:sz w:val="19"/>
              </w:rPr>
            </w:r>
          </w:p>
        </w:tc>
        <w:tc>
          <w:tcPr>
            <w:tcW w:type="dxa" w:w="1512"/>
          </w:tcPr>
          <w:p>
            <w:pPr>
              <w:jc w:val="center"/>
            </w:pPr>
            <w:r/>
            <w:r>
              <w:rPr>
                <w:color w:val="222222"/>
                <w:sz w:val="19"/>
              </w:rPr>
              <w:t>8.5</w:t>
            </w:r>
          </w:p>
        </w:tc>
        <w:tc>
          <w:tcPr>
            <w:tcW w:type="dxa" w:w="2664"/>
          </w:tcPr>
          <w:p>
            <w:pPr>
              <w:jc w:val="center"/>
            </w:pPr>
            <w:r/>
            <w:r>
              <w:rPr>
                <w:color w:val="222222"/>
                <w:sz w:val="19"/>
              </w:rPr>
              <w:t>Debt-free</w:t>
            </w:r>
          </w:p>
        </w:tc>
      </w:tr>
      <w:tr>
        <w:tc>
          <w:tcPr>
            <w:tcW w:type="dxa" w:w="3456"/>
            <w:shd w:val="clear" w:fill="F2F6F6"/>
          </w:tcPr>
          <w:p>
            <w:pPr>
              <w:jc w:val="left"/>
            </w:pPr>
            <w:r/>
            <w:r>
              <w:rPr>
                <w:color w:val="222222"/>
                <w:sz w:val="19"/>
              </w:rPr>
              <w:t>Gross asset value</w:t>
            </w:r>
          </w:p>
        </w:tc>
        <w:tc>
          <w:tcPr>
            <w:tcW w:type="dxa" w:w="1656"/>
            <w:shd w:val="clear" w:fill="F2F6F6"/>
          </w:tcPr>
          <w:p>
            <w:pPr>
              <w:jc w:val="center"/>
            </w:pPr>
            <w:r/>
            <w:r>
              <w:rPr>
                <w:color w:val="222222"/>
                <w:sz w:val="19"/>
              </w:rPr>
            </w:r>
          </w:p>
        </w:tc>
        <w:tc>
          <w:tcPr>
            <w:tcW w:type="dxa" w:w="1080"/>
            <w:shd w:val="clear" w:fill="F2F6F6"/>
          </w:tcPr>
          <w:p>
            <w:pPr>
              <w:jc w:val="center"/>
            </w:pPr>
            <w:r/>
            <w:r>
              <w:rPr>
                <w:color w:val="222222"/>
                <w:sz w:val="19"/>
              </w:rPr>
            </w:r>
          </w:p>
        </w:tc>
        <w:tc>
          <w:tcPr>
            <w:tcW w:type="dxa" w:w="1512"/>
            <w:shd w:val="clear" w:fill="F2F6F6"/>
          </w:tcPr>
          <w:p>
            <w:pPr>
              <w:jc w:val="center"/>
            </w:pPr>
            <w:r/>
            <w:r>
              <w:rPr>
                <w:color w:val="222222"/>
                <w:sz w:val="19"/>
              </w:rPr>
              <w:t>65.4</w:t>
            </w:r>
          </w:p>
        </w:tc>
        <w:tc>
          <w:tcPr>
            <w:tcW w:type="dxa" w:w="2664"/>
            <w:shd w:val="clear" w:fill="F2F6F6"/>
          </w:tcPr>
          <w:p>
            <w:pPr>
              <w:jc w:val="center"/>
            </w:pPr>
            <w:r/>
            <w:r>
              <w:rPr>
                <w:color w:val="222222"/>
                <w:sz w:val="19"/>
              </w:rPr>
            </w:r>
          </w:p>
        </w:tc>
      </w:tr>
      <w:tr>
        <w:tc>
          <w:tcPr>
            <w:tcW w:type="dxa" w:w="3456"/>
          </w:tcPr>
          <w:p>
            <w:pPr>
              <w:jc w:val="left"/>
            </w:pPr>
            <w:r/>
            <w:r>
              <w:rPr>
                <w:color w:val="222222"/>
                <w:sz w:val="19"/>
              </w:rPr>
              <w:t>Less: holdco discount (4%)</w:t>
            </w:r>
          </w:p>
        </w:tc>
        <w:tc>
          <w:tcPr>
            <w:tcW w:type="dxa" w:w="1656"/>
          </w:tcPr>
          <w:p>
            <w:pPr>
              <w:jc w:val="center"/>
            </w:pPr>
            <w:r/>
            <w:r>
              <w:rPr>
                <w:color w:val="222222"/>
                <w:sz w:val="19"/>
              </w:rPr>
            </w:r>
          </w:p>
        </w:tc>
        <w:tc>
          <w:tcPr>
            <w:tcW w:type="dxa" w:w="1080"/>
          </w:tcPr>
          <w:p>
            <w:pPr>
              <w:jc w:val="center"/>
            </w:pPr>
            <w:r/>
            <w:r>
              <w:rPr>
                <w:color w:val="222222"/>
                <w:sz w:val="19"/>
              </w:rPr>
            </w:r>
          </w:p>
        </w:tc>
        <w:tc>
          <w:tcPr>
            <w:tcW w:type="dxa" w:w="1512"/>
          </w:tcPr>
          <w:p>
            <w:pPr>
              <w:jc w:val="center"/>
            </w:pPr>
            <w:r/>
            <w:r>
              <w:rPr>
                <w:color w:val="222222"/>
                <w:sz w:val="19"/>
              </w:rPr>
              <w:t>(2.6)</w:t>
            </w:r>
          </w:p>
        </w:tc>
        <w:tc>
          <w:tcPr>
            <w:tcW w:type="dxa" w:w="2664"/>
          </w:tcPr>
          <w:p>
            <w:pPr>
              <w:jc w:val="center"/>
            </w:pPr>
            <w:r/>
            <w:r>
              <w:rPr>
                <w:color w:val="222222"/>
                <w:sz w:val="19"/>
              </w:rPr>
              <w:t>Clean 3-segment, 100% payout</w:t>
            </w:r>
          </w:p>
        </w:tc>
      </w:tr>
      <w:tr>
        <w:tc>
          <w:tcPr>
            <w:tcW w:type="dxa" w:w="3456"/>
            <w:shd w:val="clear" w:fill="F2F6F6"/>
          </w:tcPr>
          <w:p>
            <w:pPr>
              <w:jc w:val="left"/>
            </w:pPr>
            <w:r/>
            <w:r>
              <w:rPr>
                <w:color w:val="222222"/>
                <w:sz w:val="19"/>
              </w:rPr>
              <w:t>Equity value</w:t>
            </w:r>
          </w:p>
        </w:tc>
        <w:tc>
          <w:tcPr>
            <w:tcW w:type="dxa" w:w="1656"/>
            <w:shd w:val="clear" w:fill="F2F6F6"/>
          </w:tcPr>
          <w:p>
            <w:pPr>
              <w:jc w:val="center"/>
            </w:pPr>
            <w:r/>
            <w:r>
              <w:rPr>
                <w:color w:val="222222"/>
                <w:sz w:val="19"/>
              </w:rPr>
            </w:r>
          </w:p>
        </w:tc>
        <w:tc>
          <w:tcPr>
            <w:tcW w:type="dxa" w:w="1080"/>
            <w:shd w:val="clear" w:fill="F2F6F6"/>
          </w:tcPr>
          <w:p>
            <w:pPr>
              <w:jc w:val="center"/>
            </w:pPr>
            <w:r/>
            <w:r>
              <w:rPr>
                <w:color w:val="222222"/>
                <w:sz w:val="19"/>
              </w:rPr>
            </w:r>
          </w:p>
        </w:tc>
        <w:tc>
          <w:tcPr>
            <w:tcW w:type="dxa" w:w="1512"/>
            <w:shd w:val="clear" w:fill="F2F6F6"/>
          </w:tcPr>
          <w:p>
            <w:pPr>
              <w:jc w:val="center"/>
            </w:pPr>
            <w:r/>
            <w:r>
              <w:rPr>
                <w:color w:val="222222"/>
                <w:sz w:val="19"/>
              </w:rPr>
              <w:t>62.8</w:t>
            </w:r>
          </w:p>
        </w:tc>
        <w:tc>
          <w:tcPr>
            <w:tcW w:type="dxa" w:w="2664"/>
            <w:shd w:val="clear" w:fill="F2F6F6"/>
          </w:tcPr>
          <w:p>
            <w:pPr>
              <w:jc w:val="center"/>
            </w:pPr>
            <w:r/>
            <w:r>
              <w:rPr>
                <w:color w:val="222222"/>
                <w:sz w:val="19"/>
              </w:rPr>
            </w:r>
          </w:p>
        </w:tc>
      </w:tr>
      <w:tr>
        <w:tc>
          <w:tcPr>
            <w:tcW w:type="dxa" w:w="3456"/>
          </w:tcPr>
          <w:p>
            <w:pPr>
              <w:jc w:val="left"/>
            </w:pPr>
            <w:r/>
            <w:r>
              <w:rPr>
                <w:color w:val="222222"/>
                <w:sz w:val="19"/>
              </w:rPr>
              <w:t>Fair value per share</w:t>
            </w:r>
          </w:p>
        </w:tc>
        <w:tc>
          <w:tcPr>
            <w:tcW w:type="dxa" w:w="1656"/>
          </w:tcPr>
          <w:p>
            <w:pPr>
              <w:jc w:val="center"/>
            </w:pPr>
            <w:r/>
            <w:r>
              <w:rPr>
                <w:color w:val="222222"/>
                <w:sz w:val="19"/>
              </w:rPr>
            </w:r>
          </w:p>
        </w:tc>
        <w:tc>
          <w:tcPr>
            <w:tcW w:type="dxa" w:w="1080"/>
          </w:tcPr>
          <w:p>
            <w:pPr>
              <w:jc w:val="center"/>
            </w:pPr>
            <w:r/>
            <w:r>
              <w:rPr>
                <w:color w:val="222222"/>
                <w:sz w:val="19"/>
              </w:rPr>
            </w:r>
          </w:p>
        </w:tc>
        <w:tc>
          <w:tcPr>
            <w:tcW w:type="dxa" w:w="1512"/>
          </w:tcPr>
          <w:p>
            <w:pPr>
              <w:jc w:val="center"/>
            </w:pPr>
            <w:r/>
            <w:r>
              <w:rPr>
                <w:color w:val="222222"/>
                <w:sz w:val="19"/>
              </w:rPr>
              <w:t>QR 10.38</w:t>
            </w:r>
          </w:p>
        </w:tc>
        <w:tc>
          <w:tcPr>
            <w:tcW w:type="dxa" w:w="2664"/>
          </w:tcPr>
          <w:p>
            <w:pPr>
              <w:jc w:val="center"/>
            </w:pPr>
            <w:r/>
            <w:r>
              <w:rPr>
                <w:color w:val="222222"/>
                <w:sz w:val="19"/>
              </w:rPr>
            </w:r>
          </w:p>
        </w:tc>
      </w:tr>
    </w:tbl>
    <w:p>
      <w:pPr>
        <w:spacing w:after="40"/>
      </w:pPr>
    </w:p>
    <w:p>
      <w:pPr>
        <w:spacing w:after="120" w:before="0"/>
      </w:pPr>
      <w:r>
        <w:rPr>
          <w:rFonts w:ascii="Calibri" w:hAnsi="Calibri"/>
          <w:b w:val="0"/>
          <w:i w:val="0"/>
          <w:color w:val="222222"/>
          <w:sz w:val="21"/>
        </w:rPr>
        <w:t>The sum-of-the-parts lands at QR 10.38 — about 6% below spot. That is our most conservative lens, and it is telling: on the multiples a global fertilizer or chemicals investor would pay, the parts are worth a little less than the market pays for the whole. The gap is the Qatari quasi-sovereign premium — a net-cash, index-heavy, 100%-payout name in a pegged currency trades richer than its pure-play peers, and that premium is real but finite.</w:t>
      </w:r>
    </w:p>
    <w:p>
      <w:pPr>
        <w:keepNext/>
        <w:spacing w:before="280" w:after="120"/>
      </w:pPr>
      <w:r>
        <w:rPr>
          <w:b/>
          <w:color w:val="2A8F8F"/>
          <w:sz w:val="26"/>
        </w:rPr>
        <w:t>1.2 · Cash-flow cross-check — consolidated DCF</w:t>
      </w:r>
    </w:p>
    <w:p>
      <w:pPr>
        <w:spacing w:after="120" w:before="0"/>
      </w:pPr>
      <w:r>
        <w:rPr>
          <w:rFonts w:ascii="Calibri" w:hAnsi="Calibri"/>
          <w:b w:val="0"/>
          <w:i w:val="0"/>
          <w:color w:val="222222"/>
          <w:sz w:val="21"/>
        </w:rPr>
        <w:t>Because Industries Qatar pays out essentially all of its earnings and holds net cash, its free cash flow to the firm and its dividends are close cousins; a discounted-cash-flow model and a dividend-discount model should broadly agree, and they do. We build a five-year explicit FCFF forecast on the proportionate basis IQ itself reports, then a Gordon terminal value. The cost of equity is stated explicitly: a Qatar risk-free rate of 4.5% plus a beta of 0.95 times a 5.5% equity-risk premium gives Ke ≈ 9.7%; because the company is unlevered, the WACC is essentially the same.</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3312"/>
            <w:shd w:val="clear" w:fill="1B5E5E"/>
          </w:tcPr>
          <w:p>
            <w:pPr>
              <w:jc w:val="left"/>
            </w:pPr>
            <w:r/>
            <w:r>
              <w:rPr>
                <w:b/>
                <w:color w:val="FFFFFF"/>
                <w:sz w:val="19"/>
              </w:rPr>
              <w:t>QR bn</w:t>
            </w:r>
          </w:p>
        </w:tc>
        <w:tc>
          <w:tcPr>
            <w:tcW w:type="dxa" w:w="1210"/>
            <w:shd w:val="clear" w:fill="1B5E5E"/>
          </w:tcPr>
          <w:p>
            <w:pPr>
              <w:jc w:val="center"/>
            </w:pPr>
            <w:r/>
            <w:r>
              <w:rPr>
                <w:b/>
                <w:color w:val="FFFFFF"/>
                <w:sz w:val="19"/>
              </w:rPr>
              <w:t>FY26E</w:t>
            </w:r>
          </w:p>
        </w:tc>
        <w:tc>
          <w:tcPr>
            <w:tcW w:type="dxa" w:w="1210"/>
            <w:shd w:val="clear" w:fill="1B5E5E"/>
          </w:tcPr>
          <w:p>
            <w:pPr>
              <w:jc w:val="center"/>
            </w:pPr>
            <w:r/>
            <w:r>
              <w:rPr>
                <w:b/>
                <w:color w:val="FFFFFF"/>
                <w:sz w:val="19"/>
              </w:rPr>
              <w:t>FY27E</w:t>
            </w:r>
          </w:p>
        </w:tc>
        <w:tc>
          <w:tcPr>
            <w:tcW w:type="dxa" w:w="1210"/>
            <w:shd w:val="clear" w:fill="1B5E5E"/>
          </w:tcPr>
          <w:p>
            <w:pPr>
              <w:jc w:val="center"/>
            </w:pPr>
            <w:r/>
            <w:r>
              <w:rPr>
                <w:b/>
                <w:color w:val="FFFFFF"/>
                <w:sz w:val="19"/>
              </w:rPr>
              <w:t>FY28E</w:t>
            </w:r>
          </w:p>
        </w:tc>
        <w:tc>
          <w:tcPr>
            <w:tcW w:type="dxa" w:w="1210"/>
            <w:shd w:val="clear" w:fill="1B5E5E"/>
          </w:tcPr>
          <w:p>
            <w:pPr>
              <w:jc w:val="center"/>
            </w:pPr>
            <w:r/>
            <w:r>
              <w:rPr>
                <w:b/>
                <w:color w:val="FFFFFF"/>
                <w:sz w:val="19"/>
              </w:rPr>
              <w:t>FY29E</w:t>
            </w:r>
          </w:p>
        </w:tc>
        <w:tc>
          <w:tcPr>
            <w:tcW w:type="dxa" w:w="1210"/>
            <w:shd w:val="clear" w:fill="1B5E5E"/>
          </w:tcPr>
          <w:p>
            <w:pPr>
              <w:jc w:val="center"/>
            </w:pPr>
            <w:r/>
            <w:r>
              <w:rPr>
                <w:b/>
                <w:color w:val="FFFFFF"/>
                <w:sz w:val="19"/>
              </w:rPr>
              <w:t>FY30E</w:t>
            </w:r>
          </w:p>
        </w:tc>
      </w:tr>
      <w:tr>
        <w:tc>
          <w:tcPr>
            <w:tcW w:type="dxa" w:w="3312"/>
          </w:tcPr>
          <w:p>
            <w:pPr>
              <w:jc w:val="left"/>
            </w:pPr>
            <w:r/>
            <w:r>
              <w:rPr>
                <w:b/>
                <w:color w:val="222222"/>
                <w:sz w:val="19"/>
              </w:rPr>
              <w:t>EBITDA</w:t>
            </w:r>
          </w:p>
        </w:tc>
        <w:tc>
          <w:tcPr>
            <w:tcW w:type="dxa" w:w="1210"/>
          </w:tcPr>
          <w:p>
            <w:pPr>
              <w:jc w:val="center"/>
            </w:pPr>
            <w:r/>
            <w:r>
              <w:rPr>
                <w:color w:val="222222"/>
                <w:sz w:val="19"/>
              </w:rPr>
              <w:t>5.7</w:t>
            </w:r>
          </w:p>
        </w:tc>
        <w:tc>
          <w:tcPr>
            <w:tcW w:type="dxa" w:w="1210"/>
          </w:tcPr>
          <w:p>
            <w:pPr>
              <w:jc w:val="center"/>
            </w:pPr>
            <w:r/>
            <w:r>
              <w:rPr>
                <w:color w:val="222222"/>
                <w:sz w:val="19"/>
              </w:rPr>
              <w:t>6.3</w:t>
            </w:r>
          </w:p>
        </w:tc>
        <w:tc>
          <w:tcPr>
            <w:tcW w:type="dxa" w:w="1210"/>
          </w:tcPr>
          <w:p>
            <w:pPr>
              <w:jc w:val="center"/>
            </w:pPr>
            <w:r/>
            <w:r>
              <w:rPr>
                <w:color w:val="222222"/>
                <w:sz w:val="19"/>
              </w:rPr>
              <w:t>6.6</w:t>
            </w:r>
          </w:p>
        </w:tc>
        <w:tc>
          <w:tcPr>
            <w:tcW w:type="dxa" w:w="1210"/>
          </w:tcPr>
          <w:p>
            <w:pPr>
              <w:jc w:val="center"/>
            </w:pPr>
            <w:r/>
            <w:r>
              <w:rPr>
                <w:color w:val="222222"/>
                <w:sz w:val="19"/>
              </w:rPr>
              <w:t>6.9</w:t>
            </w:r>
          </w:p>
        </w:tc>
        <w:tc>
          <w:tcPr>
            <w:tcW w:type="dxa" w:w="1210"/>
          </w:tcPr>
          <w:p>
            <w:pPr>
              <w:jc w:val="center"/>
            </w:pPr>
            <w:r/>
            <w:r>
              <w:rPr>
                <w:color w:val="222222"/>
                <w:sz w:val="19"/>
              </w:rPr>
              <w:t>7.1</w:t>
            </w:r>
          </w:p>
        </w:tc>
      </w:tr>
      <w:tr>
        <w:tc>
          <w:tcPr>
            <w:tcW w:type="dxa" w:w="3312"/>
            <w:shd w:val="clear" w:fill="F2F6F6"/>
          </w:tcPr>
          <w:p>
            <w:pPr>
              <w:jc w:val="left"/>
            </w:pPr>
            <w:r/>
            <w:r>
              <w:rPr>
                <w:b/>
                <w:color w:val="222222"/>
                <w:sz w:val="19"/>
              </w:rPr>
              <w:t>Less: D&amp;A</w:t>
            </w:r>
          </w:p>
        </w:tc>
        <w:tc>
          <w:tcPr>
            <w:tcW w:type="dxa" w:w="1210"/>
            <w:shd w:val="clear" w:fill="F2F6F6"/>
          </w:tcPr>
          <w:p>
            <w:pPr>
              <w:jc w:val="center"/>
            </w:pPr>
            <w:r/>
            <w:r>
              <w:rPr>
                <w:color w:val="222222"/>
                <w:sz w:val="19"/>
              </w:rPr>
              <w:t>(1.8)</w:t>
            </w:r>
          </w:p>
        </w:tc>
        <w:tc>
          <w:tcPr>
            <w:tcW w:type="dxa" w:w="1210"/>
            <w:shd w:val="clear" w:fill="F2F6F6"/>
          </w:tcPr>
          <w:p>
            <w:pPr>
              <w:jc w:val="center"/>
            </w:pPr>
            <w:r/>
            <w:r>
              <w:rPr>
                <w:color w:val="222222"/>
                <w:sz w:val="19"/>
              </w:rPr>
              <w:t>(1.9)</w:t>
            </w:r>
          </w:p>
        </w:tc>
        <w:tc>
          <w:tcPr>
            <w:tcW w:type="dxa" w:w="1210"/>
            <w:shd w:val="clear" w:fill="F2F6F6"/>
          </w:tcPr>
          <w:p>
            <w:pPr>
              <w:jc w:val="center"/>
            </w:pPr>
            <w:r/>
            <w:r>
              <w:rPr>
                <w:color w:val="222222"/>
                <w:sz w:val="19"/>
              </w:rPr>
              <w:t>(2.0)</w:t>
            </w:r>
          </w:p>
        </w:tc>
        <w:tc>
          <w:tcPr>
            <w:tcW w:type="dxa" w:w="1210"/>
            <w:shd w:val="clear" w:fill="F2F6F6"/>
          </w:tcPr>
          <w:p>
            <w:pPr>
              <w:jc w:val="center"/>
            </w:pPr>
            <w:r/>
            <w:r>
              <w:rPr>
                <w:color w:val="222222"/>
                <w:sz w:val="19"/>
              </w:rPr>
              <w:t>(2.0)</w:t>
            </w:r>
          </w:p>
        </w:tc>
        <w:tc>
          <w:tcPr>
            <w:tcW w:type="dxa" w:w="1210"/>
            <w:shd w:val="clear" w:fill="F2F6F6"/>
          </w:tcPr>
          <w:p>
            <w:pPr>
              <w:jc w:val="center"/>
            </w:pPr>
            <w:r/>
            <w:r>
              <w:rPr>
                <w:color w:val="222222"/>
                <w:sz w:val="19"/>
              </w:rPr>
              <w:t>(2.1)</w:t>
            </w:r>
          </w:p>
        </w:tc>
      </w:tr>
      <w:tr>
        <w:tc>
          <w:tcPr>
            <w:tcW w:type="dxa" w:w="3312"/>
          </w:tcPr>
          <w:p>
            <w:pPr>
              <w:jc w:val="left"/>
            </w:pPr>
            <w:r/>
            <w:r>
              <w:rPr>
                <w:b/>
                <w:color w:val="222222"/>
                <w:sz w:val="19"/>
              </w:rPr>
              <w:t>EBIT</w:t>
            </w:r>
          </w:p>
        </w:tc>
        <w:tc>
          <w:tcPr>
            <w:tcW w:type="dxa" w:w="1210"/>
          </w:tcPr>
          <w:p>
            <w:pPr>
              <w:jc w:val="center"/>
            </w:pPr>
            <w:r/>
            <w:r>
              <w:rPr>
                <w:color w:val="222222"/>
                <w:sz w:val="19"/>
              </w:rPr>
              <w:t>3.9</w:t>
            </w:r>
          </w:p>
        </w:tc>
        <w:tc>
          <w:tcPr>
            <w:tcW w:type="dxa" w:w="1210"/>
          </w:tcPr>
          <w:p>
            <w:pPr>
              <w:jc w:val="center"/>
            </w:pPr>
            <w:r/>
            <w:r>
              <w:rPr>
                <w:color w:val="222222"/>
                <w:sz w:val="19"/>
              </w:rPr>
              <w:t>4.4</w:t>
            </w:r>
          </w:p>
        </w:tc>
        <w:tc>
          <w:tcPr>
            <w:tcW w:type="dxa" w:w="1210"/>
          </w:tcPr>
          <w:p>
            <w:pPr>
              <w:jc w:val="center"/>
            </w:pPr>
            <w:r/>
            <w:r>
              <w:rPr>
                <w:color w:val="222222"/>
                <w:sz w:val="19"/>
              </w:rPr>
              <w:t>4.6</w:t>
            </w:r>
          </w:p>
        </w:tc>
        <w:tc>
          <w:tcPr>
            <w:tcW w:type="dxa" w:w="1210"/>
          </w:tcPr>
          <w:p>
            <w:pPr>
              <w:jc w:val="center"/>
            </w:pPr>
            <w:r/>
            <w:r>
              <w:rPr>
                <w:color w:val="222222"/>
                <w:sz w:val="19"/>
              </w:rPr>
              <w:t>4.9</w:t>
            </w:r>
          </w:p>
        </w:tc>
        <w:tc>
          <w:tcPr>
            <w:tcW w:type="dxa" w:w="1210"/>
          </w:tcPr>
          <w:p>
            <w:pPr>
              <w:jc w:val="center"/>
            </w:pPr>
            <w:r/>
            <w:r>
              <w:rPr>
                <w:color w:val="222222"/>
                <w:sz w:val="19"/>
              </w:rPr>
              <w:t>5.0</w:t>
            </w:r>
          </w:p>
        </w:tc>
      </w:tr>
      <w:tr>
        <w:tc>
          <w:tcPr>
            <w:tcW w:type="dxa" w:w="3312"/>
            <w:shd w:val="clear" w:fill="F2F6F6"/>
          </w:tcPr>
          <w:p>
            <w:pPr>
              <w:jc w:val="left"/>
            </w:pPr>
            <w:r/>
            <w:r>
              <w:rPr>
                <w:b/>
                <w:color w:val="222222"/>
                <w:sz w:val="19"/>
              </w:rPr>
              <w:t>NOPAT (EBIT×(1−3%))</w:t>
            </w:r>
          </w:p>
        </w:tc>
        <w:tc>
          <w:tcPr>
            <w:tcW w:type="dxa" w:w="1210"/>
            <w:shd w:val="clear" w:fill="F2F6F6"/>
          </w:tcPr>
          <w:p>
            <w:pPr>
              <w:jc w:val="center"/>
            </w:pPr>
            <w:r/>
            <w:r>
              <w:rPr>
                <w:color w:val="222222"/>
                <w:sz w:val="19"/>
              </w:rPr>
              <w:t>3.8</w:t>
            </w:r>
          </w:p>
        </w:tc>
        <w:tc>
          <w:tcPr>
            <w:tcW w:type="dxa" w:w="1210"/>
            <w:shd w:val="clear" w:fill="F2F6F6"/>
          </w:tcPr>
          <w:p>
            <w:pPr>
              <w:jc w:val="center"/>
            </w:pPr>
            <w:r/>
            <w:r>
              <w:rPr>
                <w:color w:val="222222"/>
                <w:sz w:val="19"/>
              </w:rPr>
              <w:t>4.3</w:t>
            </w:r>
          </w:p>
        </w:tc>
        <w:tc>
          <w:tcPr>
            <w:tcW w:type="dxa" w:w="1210"/>
            <w:shd w:val="clear" w:fill="F2F6F6"/>
          </w:tcPr>
          <w:p>
            <w:pPr>
              <w:jc w:val="center"/>
            </w:pPr>
            <w:r/>
            <w:r>
              <w:rPr>
                <w:color w:val="222222"/>
                <w:sz w:val="19"/>
              </w:rPr>
              <w:t>4.5</w:t>
            </w:r>
          </w:p>
        </w:tc>
        <w:tc>
          <w:tcPr>
            <w:tcW w:type="dxa" w:w="1210"/>
            <w:shd w:val="clear" w:fill="F2F6F6"/>
          </w:tcPr>
          <w:p>
            <w:pPr>
              <w:jc w:val="center"/>
            </w:pPr>
            <w:r/>
            <w:r>
              <w:rPr>
                <w:color w:val="222222"/>
                <w:sz w:val="19"/>
              </w:rPr>
              <w:t>4.7</w:t>
            </w:r>
          </w:p>
        </w:tc>
        <w:tc>
          <w:tcPr>
            <w:tcW w:type="dxa" w:w="1210"/>
            <w:shd w:val="clear" w:fill="F2F6F6"/>
          </w:tcPr>
          <w:p>
            <w:pPr>
              <w:jc w:val="center"/>
            </w:pPr>
            <w:r/>
            <w:r>
              <w:rPr>
                <w:color w:val="222222"/>
                <w:sz w:val="19"/>
              </w:rPr>
              <w:t>4.9</w:t>
            </w:r>
          </w:p>
        </w:tc>
      </w:tr>
      <w:tr>
        <w:tc>
          <w:tcPr>
            <w:tcW w:type="dxa" w:w="3312"/>
          </w:tcPr>
          <w:p>
            <w:pPr>
              <w:jc w:val="left"/>
            </w:pPr>
            <w:r/>
            <w:r>
              <w:rPr>
                <w:b/>
                <w:color w:val="222222"/>
                <w:sz w:val="19"/>
              </w:rPr>
              <w:t>Add: D&amp;A</w:t>
            </w:r>
          </w:p>
        </w:tc>
        <w:tc>
          <w:tcPr>
            <w:tcW w:type="dxa" w:w="1210"/>
          </w:tcPr>
          <w:p>
            <w:pPr>
              <w:jc w:val="center"/>
            </w:pPr>
            <w:r/>
            <w:r>
              <w:rPr>
                <w:color w:val="222222"/>
                <w:sz w:val="19"/>
              </w:rPr>
              <w:t>1.8</w:t>
            </w:r>
          </w:p>
        </w:tc>
        <w:tc>
          <w:tcPr>
            <w:tcW w:type="dxa" w:w="1210"/>
          </w:tcPr>
          <w:p>
            <w:pPr>
              <w:jc w:val="center"/>
            </w:pPr>
            <w:r/>
            <w:r>
              <w:rPr>
                <w:color w:val="222222"/>
                <w:sz w:val="19"/>
              </w:rPr>
              <w:t>1.9</w:t>
            </w:r>
          </w:p>
        </w:tc>
        <w:tc>
          <w:tcPr>
            <w:tcW w:type="dxa" w:w="1210"/>
          </w:tcPr>
          <w:p>
            <w:pPr>
              <w:jc w:val="center"/>
            </w:pPr>
            <w:r/>
            <w:r>
              <w:rPr>
                <w:color w:val="222222"/>
                <w:sz w:val="19"/>
              </w:rPr>
              <w:t>2.0</w:t>
            </w:r>
          </w:p>
        </w:tc>
        <w:tc>
          <w:tcPr>
            <w:tcW w:type="dxa" w:w="1210"/>
          </w:tcPr>
          <w:p>
            <w:pPr>
              <w:jc w:val="center"/>
            </w:pPr>
            <w:r/>
            <w:r>
              <w:rPr>
                <w:color w:val="222222"/>
                <w:sz w:val="19"/>
              </w:rPr>
              <w:t>2.0</w:t>
            </w:r>
          </w:p>
        </w:tc>
        <w:tc>
          <w:tcPr>
            <w:tcW w:type="dxa" w:w="1210"/>
          </w:tcPr>
          <w:p>
            <w:pPr>
              <w:jc w:val="center"/>
            </w:pPr>
            <w:r/>
            <w:r>
              <w:rPr>
                <w:color w:val="222222"/>
                <w:sz w:val="19"/>
              </w:rPr>
              <w:t>2.1</w:t>
            </w:r>
          </w:p>
        </w:tc>
      </w:tr>
      <w:tr>
        <w:tc>
          <w:tcPr>
            <w:tcW w:type="dxa" w:w="3312"/>
            <w:shd w:val="clear" w:fill="F2F6F6"/>
          </w:tcPr>
          <w:p>
            <w:pPr>
              <w:jc w:val="left"/>
            </w:pPr>
            <w:r/>
            <w:r>
              <w:rPr>
                <w:b/>
                <w:color w:val="222222"/>
                <w:sz w:val="19"/>
              </w:rPr>
              <w:t>Less: capex</w:t>
            </w:r>
          </w:p>
        </w:tc>
        <w:tc>
          <w:tcPr>
            <w:tcW w:type="dxa" w:w="1210"/>
            <w:shd w:val="clear" w:fill="F2F6F6"/>
          </w:tcPr>
          <w:p>
            <w:pPr>
              <w:jc w:val="center"/>
            </w:pPr>
            <w:r/>
            <w:r>
              <w:rPr>
                <w:color w:val="222222"/>
                <w:sz w:val="19"/>
              </w:rPr>
              <w:t>(2.0)</w:t>
            </w:r>
          </w:p>
        </w:tc>
        <w:tc>
          <w:tcPr>
            <w:tcW w:type="dxa" w:w="1210"/>
            <w:shd w:val="clear" w:fill="F2F6F6"/>
          </w:tcPr>
          <w:p>
            <w:pPr>
              <w:jc w:val="center"/>
            </w:pPr>
            <w:r/>
            <w:r>
              <w:rPr>
                <w:color w:val="222222"/>
                <w:sz w:val="19"/>
              </w:rPr>
              <w:t>(1.9)</w:t>
            </w:r>
          </w:p>
        </w:tc>
        <w:tc>
          <w:tcPr>
            <w:tcW w:type="dxa" w:w="1210"/>
            <w:shd w:val="clear" w:fill="F2F6F6"/>
          </w:tcPr>
          <w:p>
            <w:pPr>
              <w:jc w:val="center"/>
            </w:pPr>
            <w:r/>
            <w:r>
              <w:rPr>
                <w:color w:val="222222"/>
                <w:sz w:val="19"/>
              </w:rPr>
              <w:t>(1.9)</w:t>
            </w:r>
          </w:p>
        </w:tc>
        <w:tc>
          <w:tcPr>
            <w:tcW w:type="dxa" w:w="1210"/>
            <w:shd w:val="clear" w:fill="F2F6F6"/>
          </w:tcPr>
          <w:p>
            <w:pPr>
              <w:jc w:val="center"/>
            </w:pPr>
            <w:r/>
            <w:r>
              <w:rPr>
                <w:color w:val="222222"/>
                <w:sz w:val="19"/>
              </w:rPr>
              <w:t>(2.0)</w:t>
            </w:r>
          </w:p>
        </w:tc>
        <w:tc>
          <w:tcPr>
            <w:tcW w:type="dxa" w:w="1210"/>
            <w:shd w:val="clear" w:fill="F2F6F6"/>
          </w:tcPr>
          <w:p>
            <w:pPr>
              <w:jc w:val="center"/>
            </w:pPr>
            <w:r/>
            <w:r>
              <w:rPr>
                <w:color w:val="222222"/>
                <w:sz w:val="19"/>
              </w:rPr>
              <w:t>(2.1)</w:t>
            </w:r>
          </w:p>
        </w:tc>
      </w:tr>
      <w:tr>
        <w:tc>
          <w:tcPr>
            <w:tcW w:type="dxa" w:w="3312"/>
          </w:tcPr>
          <w:p>
            <w:pPr>
              <w:jc w:val="left"/>
            </w:pPr>
            <w:r/>
            <w:r>
              <w:rPr>
                <w:b/>
                <w:color w:val="222222"/>
                <w:sz w:val="19"/>
              </w:rPr>
              <w:t>Less: Δ working capital</w:t>
            </w:r>
          </w:p>
        </w:tc>
        <w:tc>
          <w:tcPr>
            <w:tcW w:type="dxa" w:w="1210"/>
          </w:tcPr>
          <w:p>
            <w:pPr>
              <w:jc w:val="center"/>
            </w:pPr>
            <w:r/>
            <w:r>
              <w:rPr>
                <w:color w:val="222222"/>
                <w:sz w:val="19"/>
              </w:rPr>
              <w:t>(0.3)</w:t>
            </w:r>
          </w:p>
        </w:tc>
        <w:tc>
          <w:tcPr>
            <w:tcW w:type="dxa" w:w="1210"/>
          </w:tcPr>
          <w:p>
            <w:pPr>
              <w:jc w:val="center"/>
            </w:pPr>
            <w:r/>
            <w:r>
              <w:rPr>
                <w:color w:val="222222"/>
                <w:sz w:val="19"/>
              </w:rPr>
              <w:t>(0.3)</w:t>
            </w:r>
          </w:p>
        </w:tc>
        <w:tc>
          <w:tcPr>
            <w:tcW w:type="dxa" w:w="1210"/>
          </w:tcPr>
          <w:p>
            <w:pPr>
              <w:jc w:val="center"/>
            </w:pPr>
            <w:r/>
            <w:r>
              <w:rPr>
                <w:color w:val="222222"/>
                <w:sz w:val="19"/>
              </w:rPr>
              <w:t>(0.2)</w:t>
            </w:r>
          </w:p>
        </w:tc>
        <w:tc>
          <w:tcPr>
            <w:tcW w:type="dxa" w:w="1210"/>
          </w:tcPr>
          <w:p>
            <w:pPr>
              <w:jc w:val="center"/>
            </w:pPr>
            <w:r/>
            <w:r>
              <w:rPr>
                <w:color w:val="222222"/>
                <w:sz w:val="19"/>
              </w:rPr>
              <w:t>(0.2)</w:t>
            </w:r>
          </w:p>
        </w:tc>
        <w:tc>
          <w:tcPr>
            <w:tcW w:type="dxa" w:w="1210"/>
          </w:tcPr>
          <w:p>
            <w:pPr>
              <w:jc w:val="center"/>
            </w:pPr>
            <w:r/>
            <w:r>
              <w:rPr>
                <w:color w:val="222222"/>
                <w:sz w:val="19"/>
              </w:rPr>
              <w:t>(0.2)</w:t>
            </w:r>
          </w:p>
        </w:tc>
      </w:tr>
      <w:tr>
        <w:tc>
          <w:tcPr>
            <w:tcW w:type="dxa" w:w="3312"/>
            <w:shd w:val="clear" w:fill="F2F6F6"/>
          </w:tcPr>
          <w:p>
            <w:pPr>
              <w:jc w:val="left"/>
            </w:pPr>
            <w:r/>
            <w:r>
              <w:rPr>
                <w:b/>
                <w:color w:val="222222"/>
                <w:sz w:val="19"/>
              </w:rPr>
              <w:t>Free cash flow to firm</w:t>
            </w:r>
          </w:p>
        </w:tc>
        <w:tc>
          <w:tcPr>
            <w:tcW w:type="dxa" w:w="1210"/>
            <w:shd w:val="clear" w:fill="F2F6F6"/>
          </w:tcPr>
          <w:p>
            <w:pPr>
              <w:jc w:val="center"/>
            </w:pPr>
            <w:r/>
            <w:r>
              <w:rPr>
                <w:color w:val="222222"/>
                <w:sz w:val="19"/>
              </w:rPr>
              <w:t>3.3</w:t>
            </w:r>
          </w:p>
        </w:tc>
        <w:tc>
          <w:tcPr>
            <w:tcW w:type="dxa" w:w="1210"/>
            <w:shd w:val="clear" w:fill="F2F6F6"/>
          </w:tcPr>
          <w:p>
            <w:pPr>
              <w:jc w:val="center"/>
            </w:pPr>
            <w:r/>
            <w:r>
              <w:rPr>
                <w:color w:val="222222"/>
                <w:sz w:val="19"/>
              </w:rPr>
              <w:t>4.0</w:t>
            </w:r>
          </w:p>
        </w:tc>
        <w:tc>
          <w:tcPr>
            <w:tcW w:type="dxa" w:w="1210"/>
            <w:shd w:val="clear" w:fill="F2F6F6"/>
          </w:tcPr>
          <w:p>
            <w:pPr>
              <w:jc w:val="center"/>
            </w:pPr>
            <w:r/>
            <w:r>
              <w:rPr>
                <w:color w:val="222222"/>
                <w:sz w:val="19"/>
              </w:rPr>
              <w:t>4.4</w:t>
            </w:r>
          </w:p>
        </w:tc>
        <w:tc>
          <w:tcPr>
            <w:tcW w:type="dxa" w:w="1210"/>
            <w:shd w:val="clear" w:fill="F2F6F6"/>
          </w:tcPr>
          <w:p>
            <w:pPr>
              <w:jc w:val="center"/>
            </w:pPr>
            <w:r/>
            <w:r>
              <w:rPr>
                <w:color w:val="222222"/>
                <w:sz w:val="19"/>
              </w:rPr>
              <w:t>4.6</w:t>
            </w:r>
          </w:p>
        </w:tc>
        <w:tc>
          <w:tcPr>
            <w:tcW w:type="dxa" w:w="1210"/>
            <w:shd w:val="clear" w:fill="F2F6F6"/>
          </w:tcPr>
          <w:p>
            <w:pPr>
              <w:jc w:val="center"/>
            </w:pPr>
            <w:r/>
            <w:r>
              <w:rPr>
                <w:color w:val="222222"/>
                <w:sz w:val="19"/>
              </w:rPr>
              <w:t>4.7</w:t>
            </w:r>
          </w:p>
        </w:tc>
      </w:tr>
      <w:tr>
        <w:tc>
          <w:tcPr>
            <w:tcW w:type="dxa" w:w="3312"/>
          </w:tcPr>
          <w:p>
            <w:pPr>
              <w:jc w:val="left"/>
            </w:pPr>
            <w:r/>
            <w:r>
              <w:rPr>
                <w:b/>
                <w:color w:val="222222"/>
                <w:sz w:val="19"/>
              </w:rPr>
              <w:t>Discount factor @ 9.7%</w:t>
            </w:r>
          </w:p>
        </w:tc>
        <w:tc>
          <w:tcPr>
            <w:tcW w:type="dxa" w:w="1210"/>
          </w:tcPr>
          <w:p>
            <w:pPr>
              <w:jc w:val="center"/>
            </w:pPr>
            <w:r/>
            <w:r>
              <w:rPr>
                <w:color w:val="222222"/>
                <w:sz w:val="19"/>
              </w:rPr>
              <w:t>0.91</w:t>
            </w:r>
          </w:p>
        </w:tc>
        <w:tc>
          <w:tcPr>
            <w:tcW w:type="dxa" w:w="1210"/>
          </w:tcPr>
          <w:p>
            <w:pPr>
              <w:jc w:val="center"/>
            </w:pPr>
            <w:r/>
            <w:r>
              <w:rPr>
                <w:color w:val="222222"/>
                <w:sz w:val="19"/>
              </w:rPr>
              <w:t>0.83</w:t>
            </w:r>
          </w:p>
        </w:tc>
        <w:tc>
          <w:tcPr>
            <w:tcW w:type="dxa" w:w="1210"/>
          </w:tcPr>
          <w:p>
            <w:pPr>
              <w:jc w:val="center"/>
            </w:pPr>
            <w:r/>
            <w:r>
              <w:rPr>
                <w:color w:val="222222"/>
                <w:sz w:val="19"/>
              </w:rPr>
              <w:t>0.76</w:t>
            </w:r>
          </w:p>
        </w:tc>
        <w:tc>
          <w:tcPr>
            <w:tcW w:type="dxa" w:w="1210"/>
          </w:tcPr>
          <w:p>
            <w:pPr>
              <w:jc w:val="center"/>
            </w:pPr>
            <w:r/>
            <w:r>
              <w:rPr>
                <w:color w:val="222222"/>
                <w:sz w:val="19"/>
              </w:rPr>
              <w:t>0.69</w:t>
            </w:r>
          </w:p>
        </w:tc>
        <w:tc>
          <w:tcPr>
            <w:tcW w:type="dxa" w:w="1210"/>
          </w:tcPr>
          <w:p>
            <w:pPr>
              <w:jc w:val="center"/>
            </w:pPr>
            <w:r/>
            <w:r>
              <w:rPr>
                <w:color w:val="222222"/>
                <w:sz w:val="19"/>
              </w:rPr>
              <w:t>0.63</w:t>
            </w:r>
          </w:p>
        </w:tc>
      </w:tr>
      <w:tr>
        <w:tc>
          <w:tcPr>
            <w:tcW w:type="dxa" w:w="3312"/>
            <w:shd w:val="clear" w:fill="F2F6F6"/>
          </w:tcPr>
          <w:p>
            <w:pPr>
              <w:jc w:val="left"/>
            </w:pPr>
            <w:r/>
            <w:r>
              <w:rPr>
                <w:b/>
                <w:color w:val="222222"/>
                <w:sz w:val="19"/>
              </w:rPr>
              <w:t>PV of FCFF</w:t>
            </w:r>
          </w:p>
        </w:tc>
        <w:tc>
          <w:tcPr>
            <w:tcW w:type="dxa" w:w="1210"/>
            <w:shd w:val="clear" w:fill="F2F6F6"/>
          </w:tcPr>
          <w:p>
            <w:pPr>
              <w:jc w:val="center"/>
            </w:pPr>
            <w:r/>
            <w:r>
              <w:rPr>
                <w:color w:val="222222"/>
                <w:sz w:val="19"/>
              </w:rPr>
              <w:t>3.0</w:t>
            </w:r>
          </w:p>
        </w:tc>
        <w:tc>
          <w:tcPr>
            <w:tcW w:type="dxa" w:w="1210"/>
            <w:shd w:val="clear" w:fill="F2F6F6"/>
          </w:tcPr>
          <w:p>
            <w:pPr>
              <w:jc w:val="center"/>
            </w:pPr>
            <w:r/>
            <w:r>
              <w:rPr>
                <w:color w:val="222222"/>
                <w:sz w:val="19"/>
              </w:rPr>
              <w:t>3.3</w:t>
            </w:r>
          </w:p>
        </w:tc>
        <w:tc>
          <w:tcPr>
            <w:tcW w:type="dxa" w:w="1210"/>
            <w:shd w:val="clear" w:fill="F2F6F6"/>
          </w:tcPr>
          <w:p>
            <w:pPr>
              <w:jc w:val="center"/>
            </w:pPr>
            <w:r/>
            <w:r>
              <w:rPr>
                <w:color w:val="222222"/>
                <w:sz w:val="19"/>
              </w:rPr>
              <w:t>3.3</w:t>
            </w:r>
          </w:p>
        </w:tc>
        <w:tc>
          <w:tcPr>
            <w:tcW w:type="dxa" w:w="1210"/>
            <w:shd w:val="clear" w:fill="F2F6F6"/>
          </w:tcPr>
          <w:p>
            <w:pPr>
              <w:jc w:val="center"/>
            </w:pPr>
            <w:r/>
            <w:r>
              <w:rPr>
                <w:color w:val="222222"/>
                <w:sz w:val="19"/>
              </w:rPr>
              <w:t>3.2</w:t>
            </w:r>
          </w:p>
        </w:tc>
        <w:tc>
          <w:tcPr>
            <w:tcW w:type="dxa" w:w="1210"/>
            <w:shd w:val="clear" w:fill="F2F6F6"/>
          </w:tcPr>
          <w:p>
            <w:pPr>
              <w:jc w:val="center"/>
            </w:pPr>
            <w:r/>
            <w:r>
              <w:rPr>
                <w:color w:val="222222"/>
                <w:sz w:val="19"/>
              </w:rPr>
              <w:t>3.0</w:t>
            </w:r>
          </w:p>
        </w:tc>
      </w:tr>
    </w:tbl>
    <w:p>
      <w:pPr>
        <w:spacing w:after="40"/>
      </w:pPr>
    </w:p>
    <w:p>
      <w:pPr>
        <w:spacing w:after="120" w:before="0"/>
      </w:pPr>
      <w:r>
        <w:rPr>
          <w:rFonts w:ascii="Calibri" w:hAnsi="Calibri"/>
          <w:b w:val="0"/>
          <w:i w:val="0"/>
          <w:color w:val="222222"/>
          <w:sz w:val="21"/>
        </w:rPr>
        <w:t>Summing the present values of the explicit cash flows and the discounted terminal value gives an enterprise value of about QR 58bn; adding net cash lifts equity value to roughly QR 66–69bn, or QR 11.0–11.4 per share. The terminal value is about 74% of enterprise value — high, as it always is for a low-WACC mature cash generator — so we disclose that dependency openly and sensitize it on the WACC-by-terminal-growth grid in §1.9 rather than burying it. We do not average the DCF and the sum-of-the-parts into a single false-precision point; the football field in §1.5 shows both.</w:t>
      </w:r>
    </w:p>
    <w:p>
      <w:pPr>
        <w:keepNext/>
        <w:spacing w:before="280" w:after="120"/>
      </w:pPr>
      <w:r>
        <w:rPr>
          <w:b/>
          <w:color w:val="2A8F8F"/>
          <w:sz w:val="26"/>
        </w:rPr>
        <w:t>1.3 · Relative multiples</w:t>
      </w:r>
    </w:p>
    <w:p>
      <w:pPr>
        <w:spacing w:after="120" w:before="0"/>
      </w:pPr>
      <w:r>
        <w:rPr>
          <w:rFonts w:ascii="Calibri" w:hAnsi="Calibri"/>
          <w:b w:val="0"/>
          <w:i w:val="0"/>
          <w:color w:val="222222"/>
          <w:sz w:val="21"/>
        </w:rPr>
        <w:t>Industries Qatar trades at roughly 15.6× its 2025 earnings and about 16× on a normalized basis — modestly below its own ten-year median of about 16.3×, and above global sector peers. Pure-play nitrogen producers (CF Industries) trade near 11×; global fertilizer majors (Nutrien, Yara) near 12×; GCC petrochemical names (Sipchem, Advanced) near 15×; SABIC, the regional bellwether, richer. The premium IQCD carries over the cheaper end of that range is the quasi-sovereign, net-cash, high-payout quality that local index demand pays for. Applying a justified 15.5× to normalized group earnings of about QR 4.3bn gives QR 11.0 per share.</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3456"/>
            <w:shd w:val="clear" w:fill="1B5E5E"/>
          </w:tcPr>
          <w:p>
            <w:pPr>
              <w:jc w:val="left"/>
            </w:pPr>
            <w:r/>
            <w:r>
              <w:rPr>
                <w:b/>
                <w:color w:val="FFFFFF"/>
                <w:sz w:val="19"/>
              </w:rPr>
              <w:t>Peer</w:t>
            </w:r>
          </w:p>
        </w:tc>
        <w:tc>
          <w:tcPr>
            <w:tcW w:type="dxa" w:w="1440"/>
            <w:shd w:val="clear" w:fill="1B5E5E"/>
          </w:tcPr>
          <w:p>
            <w:pPr>
              <w:jc w:val="center"/>
            </w:pPr>
            <w:r/>
            <w:r>
              <w:rPr>
                <w:b/>
                <w:color w:val="FFFFFF"/>
                <w:sz w:val="19"/>
              </w:rPr>
              <w:t>P/E (x)</w:t>
            </w:r>
          </w:p>
        </w:tc>
        <w:tc>
          <w:tcPr>
            <w:tcW w:type="dxa" w:w="1440"/>
            <w:shd w:val="clear" w:fill="1B5E5E"/>
          </w:tcPr>
          <w:p>
            <w:pPr>
              <w:jc w:val="center"/>
            </w:pPr>
            <w:r/>
            <w:r>
              <w:rPr>
                <w:b/>
                <w:color w:val="FFFFFF"/>
                <w:sz w:val="19"/>
              </w:rPr>
              <w:t>Div yield</w:t>
            </w:r>
          </w:p>
        </w:tc>
        <w:tc>
          <w:tcPr>
            <w:tcW w:type="dxa" w:w="3024"/>
            <w:shd w:val="clear" w:fill="1B5E5E"/>
          </w:tcPr>
          <w:p>
            <w:pPr>
              <w:jc w:val="center"/>
            </w:pPr>
            <w:r/>
            <w:r>
              <w:rPr>
                <w:b/>
                <w:color w:val="FFFFFF"/>
                <w:sz w:val="19"/>
              </w:rPr>
              <w:t>Note</w:t>
            </w:r>
          </w:p>
        </w:tc>
      </w:tr>
      <w:tr>
        <w:tc>
          <w:tcPr>
            <w:tcW w:type="dxa" w:w="3456"/>
          </w:tcPr>
          <w:p>
            <w:pPr>
              <w:jc w:val="left"/>
            </w:pPr>
            <w:r/>
            <w:r>
              <w:rPr>
                <w:b/>
                <w:color w:val="222222"/>
                <w:sz w:val="19"/>
              </w:rPr>
              <w:t>SABIC (Saudi)</w:t>
            </w:r>
          </w:p>
        </w:tc>
        <w:tc>
          <w:tcPr>
            <w:tcW w:type="dxa" w:w="1440"/>
          </w:tcPr>
          <w:p>
            <w:pPr>
              <w:jc w:val="center"/>
            </w:pPr>
            <w:r/>
            <w:r>
              <w:rPr>
                <w:color w:val="222222"/>
                <w:sz w:val="19"/>
              </w:rPr>
              <w:t>18.0</w:t>
            </w:r>
          </w:p>
        </w:tc>
        <w:tc>
          <w:tcPr>
            <w:tcW w:type="dxa" w:w="1440"/>
          </w:tcPr>
          <w:p>
            <w:pPr>
              <w:jc w:val="center"/>
            </w:pPr>
            <w:r/>
            <w:r>
              <w:rPr>
                <w:color w:val="222222"/>
                <w:sz w:val="19"/>
              </w:rPr>
              <w:t>4.5%</w:t>
            </w:r>
          </w:p>
        </w:tc>
        <w:tc>
          <w:tcPr>
            <w:tcW w:type="dxa" w:w="3024"/>
          </w:tcPr>
          <w:p>
            <w:pPr>
              <w:jc w:val="center"/>
            </w:pPr>
            <w:r/>
            <w:r>
              <w:rPr>
                <w:color w:val="222222"/>
                <w:sz w:val="19"/>
              </w:rPr>
              <w:t>Global chemicals bellwether</w:t>
            </w:r>
          </w:p>
        </w:tc>
      </w:tr>
      <w:tr>
        <w:tc>
          <w:tcPr>
            <w:tcW w:type="dxa" w:w="3456"/>
            <w:shd w:val="clear" w:fill="F2F6F6"/>
          </w:tcPr>
          <w:p>
            <w:pPr>
              <w:jc w:val="left"/>
            </w:pPr>
            <w:r/>
            <w:r>
              <w:rPr>
                <w:b/>
                <w:color w:val="222222"/>
                <w:sz w:val="19"/>
              </w:rPr>
              <w:t>Sipchem / Advanced (Saudi)</w:t>
            </w:r>
          </w:p>
        </w:tc>
        <w:tc>
          <w:tcPr>
            <w:tcW w:type="dxa" w:w="1440"/>
            <w:shd w:val="clear" w:fill="F2F6F6"/>
          </w:tcPr>
          <w:p>
            <w:pPr>
              <w:jc w:val="center"/>
            </w:pPr>
            <w:r/>
            <w:r>
              <w:rPr>
                <w:color w:val="222222"/>
                <w:sz w:val="19"/>
              </w:rPr>
              <w:t>15.0</w:t>
            </w:r>
          </w:p>
        </w:tc>
        <w:tc>
          <w:tcPr>
            <w:tcW w:type="dxa" w:w="1440"/>
            <w:shd w:val="clear" w:fill="F2F6F6"/>
          </w:tcPr>
          <w:p>
            <w:pPr>
              <w:jc w:val="center"/>
            </w:pPr>
            <w:r/>
            <w:r>
              <w:rPr>
                <w:color w:val="222222"/>
                <w:sz w:val="19"/>
              </w:rPr>
              <w:t>5.0%</w:t>
            </w:r>
          </w:p>
        </w:tc>
        <w:tc>
          <w:tcPr>
            <w:tcW w:type="dxa" w:w="3024"/>
            <w:shd w:val="clear" w:fill="F2F6F6"/>
          </w:tcPr>
          <w:p>
            <w:pPr>
              <w:jc w:val="center"/>
            </w:pPr>
            <w:r/>
            <w:r>
              <w:rPr>
                <w:color w:val="222222"/>
                <w:sz w:val="19"/>
              </w:rPr>
              <w:t>GCC petrochemicals</w:t>
            </w:r>
          </w:p>
        </w:tc>
      </w:tr>
      <w:tr>
        <w:tc>
          <w:tcPr>
            <w:tcW w:type="dxa" w:w="3456"/>
          </w:tcPr>
          <w:p>
            <w:pPr>
              <w:jc w:val="left"/>
            </w:pPr>
            <w:r/>
            <w:r>
              <w:rPr>
                <w:b/>
                <w:color w:val="222222"/>
                <w:sz w:val="19"/>
              </w:rPr>
              <w:t>CF Industries (US)</w:t>
            </w:r>
          </w:p>
        </w:tc>
        <w:tc>
          <w:tcPr>
            <w:tcW w:type="dxa" w:w="1440"/>
          </w:tcPr>
          <w:p>
            <w:pPr>
              <w:jc w:val="center"/>
            </w:pPr>
            <w:r/>
            <w:r>
              <w:rPr>
                <w:color w:val="222222"/>
                <w:sz w:val="19"/>
              </w:rPr>
              <w:t>11.0</w:t>
            </w:r>
          </w:p>
        </w:tc>
        <w:tc>
          <w:tcPr>
            <w:tcW w:type="dxa" w:w="1440"/>
          </w:tcPr>
          <w:p>
            <w:pPr>
              <w:jc w:val="center"/>
            </w:pPr>
            <w:r/>
            <w:r>
              <w:rPr>
                <w:color w:val="222222"/>
                <w:sz w:val="19"/>
              </w:rPr>
              <w:t>2.0%</w:t>
            </w:r>
          </w:p>
        </w:tc>
        <w:tc>
          <w:tcPr>
            <w:tcW w:type="dxa" w:w="3024"/>
          </w:tcPr>
          <w:p>
            <w:pPr>
              <w:jc w:val="center"/>
            </w:pPr>
            <w:r/>
            <w:r>
              <w:rPr>
                <w:color w:val="222222"/>
                <w:sz w:val="19"/>
              </w:rPr>
              <w:t>Pure-play nitrogen</w:t>
            </w:r>
          </w:p>
        </w:tc>
      </w:tr>
      <w:tr>
        <w:tc>
          <w:tcPr>
            <w:tcW w:type="dxa" w:w="3456"/>
            <w:shd w:val="clear" w:fill="F2F6F6"/>
          </w:tcPr>
          <w:p>
            <w:pPr>
              <w:jc w:val="left"/>
            </w:pPr>
            <w:r/>
            <w:r>
              <w:rPr>
                <w:b/>
                <w:color w:val="222222"/>
                <w:sz w:val="19"/>
              </w:rPr>
              <w:t>Nutrien / Yara</w:t>
            </w:r>
          </w:p>
        </w:tc>
        <w:tc>
          <w:tcPr>
            <w:tcW w:type="dxa" w:w="1440"/>
            <w:shd w:val="clear" w:fill="F2F6F6"/>
          </w:tcPr>
          <w:p>
            <w:pPr>
              <w:jc w:val="center"/>
            </w:pPr>
            <w:r/>
            <w:r>
              <w:rPr>
                <w:color w:val="222222"/>
                <w:sz w:val="19"/>
              </w:rPr>
              <w:t>12.0</w:t>
            </w:r>
          </w:p>
        </w:tc>
        <w:tc>
          <w:tcPr>
            <w:tcW w:type="dxa" w:w="1440"/>
            <w:shd w:val="clear" w:fill="F2F6F6"/>
          </w:tcPr>
          <w:p>
            <w:pPr>
              <w:jc w:val="center"/>
            </w:pPr>
            <w:r/>
            <w:r>
              <w:rPr>
                <w:color w:val="222222"/>
                <w:sz w:val="19"/>
              </w:rPr>
              <w:t>5.0%</w:t>
            </w:r>
          </w:p>
        </w:tc>
        <w:tc>
          <w:tcPr>
            <w:tcW w:type="dxa" w:w="3024"/>
            <w:shd w:val="clear" w:fill="F2F6F6"/>
          </w:tcPr>
          <w:p>
            <w:pPr>
              <w:jc w:val="center"/>
            </w:pPr>
            <w:r/>
            <w:r>
              <w:rPr>
                <w:color w:val="222222"/>
                <w:sz w:val="19"/>
              </w:rPr>
              <w:t>Global fertilizer majors</w:t>
            </w:r>
          </w:p>
        </w:tc>
      </w:tr>
      <w:tr>
        <w:tc>
          <w:tcPr>
            <w:tcW w:type="dxa" w:w="3456"/>
          </w:tcPr>
          <w:p>
            <w:pPr>
              <w:jc w:val="left"/>
            </w:pPr>
            <w:r/>
            <w:r>
              <w:rPr>
                <w:b/>
                <w:color w:val="222222"/>
                <w:sz w:val="19"/>
              </w:rPr>
              <w:t>QSE large-cap median</w:t>
            </w:r>
          </w:p>
        </w:tc>
        <w:tc>
          <w:tcPr>
            <w:tcW w:type="dxa" w:w="1440"/>
          </w:tcPr>
          <w:p>
            <w:pPr>
              <w:jc w:val="center"/>
            </w:pPr>
            <w:r/>
            <w:r>
              <w:rPr>
                <w:color w:val="222222"/>
                <w:sz w:val="19"/>
              </w:rPr>
              <w:t>15.5</w:t>
            </w:r>
          </w:p>
        </w:tc>
        <w:tc>
          <w:tcPr>
            <w:tcW w:type="dxa" w:w="1440"/>
          </w:tcPr>
          <w:p>
            <w:pPr>
              <w:jc w:val="center"/>
            </w:pPr>
            <w:r/>
            <w:r>
              <w:rPr>
                <w:color w:val="222222"/>
                <w:sz w:val="19"/>
              </w:rPr>
              <w:t>4.5%</w:t>
            </w:r>
          </w:p>
        </w:tc>
        <w:tc>
          <w:tcPr>
            <w:tcW w:type="dxa" w:w="3024"/>
          </w:tcPr>
          <w:p>
            <w:pPr>
              <w:jc w:val="center"/>
            </w:pPr>
            <w:r/>
            <w:r>
              <w:rPr>
                <w:color w:val="222222"/>
                <w:sz w:val="19"/>
              </w:rPr>
              <w:t>Local quasi-sovereign premium</w:t>
            </w:r>
          </w:p>
        </w:tc>
      </w:tr>
      <w:tr>
        <w:tc>
          <w:tcPr>
            <w:tcW w:type="dxa" w:w="3456"/>
            <w:shd w:val="clear" w:fill="F2F6F6"/>
          </w:tcPr>
          <w:p>
            <w:pPr>
              <w:jc w:val="left"/>
            </w:pPr>
            <w:r/>
            <w:r>
              <w:rPr>
                <w:b/>
                <w:color w:val="222222"/>
                <w:sz w:val="19"/>
              </w:rPr>
              <w:t>Industries Qatar</w:t>
            </w:r>
          </w:p>
        </w:tc>
        <w:tc>
          <w:tcPr>
            <w:tcW w:type="dxa" w:w="1440"/>
            <w:shd w:val="clear" w:fill="F2F6F6"/>
          </w:tcPr>
          <w:p>
            <w:pPr>
              <w:jc w:val="center"/>
            </w:pPr>
            <w:r/>
            <w:r>
              <w:rPr>
                <w:color w:val="222222"/>
                <w:sz w:val="19"/>
              </w:rPr>
              <w:t>15.6</w:t>
            </w:r>
          </w:p>
        </w:tc>
        <w:tc>
          <w:tcPr>
            <w:tcW w:type="dxa" w:w="1440"/>
            <w:shd w:val="clear" w:fill="F2F6F6"/>
          </w:tcPr>
          <w:p>
            <w:pPr>
              <w:jc w:val="center"/>
            </w:pPr>
            <w:r/>
            <w:r>
              <w:rPr>
                <w:color w:val="222222"/>
                <w:sz w:val="19"/>
              </w:rPr>
              <w:t>6.0%</w:t>
            </w:r>
          </w:p>
        </w:tc>
        <w:tc>
          <w:tcPr>
            <w:tcW w:type="dxa" w:w="3024"/>
            <w:shd w:val="clear" w:fill="F2F6F6"/>
          </w:tcPr>
          <w:p>
            <w:pPr>
              <w:jc w:val="center"/>
            </w:pPr>
            <w:r/>
            <w:r>
              <w:rPr>
                <w:color w:val="222222"/>
                <w:sz w:val="19"/>
              </w:rPr>
              <w:t>Spot; ~16.3× 10y median</w:t>
            </w:r>
          </w:p>
        </w:tc>
      </w:tr>
    </w:tbl>
    <w:p>
      <w:pPr>
        <w:spacing w:after="40"/>
      </w:pPr>
    </w:p>
    <w:p>
      <w:pPr>
        <w:keepNext/>
        <w:spacing w:before="280" w:after="120"/>
      </w:pPr>
      <w:r>
        <w:rPr>
          <w:b/>
          <w:color w:val="2A8F8F"/>
          <w:sz w:val="26"/>
        </w:rPr>
        <w:t>1.4 · Normalized earnings power</w:t>
      </w:r>
    </w:p>
    <w:p>
      <w:pPr>
        <w:spacing w:after="120" w:before="0"/>
      </w:pPr>
      <w:r>
        <w:rPr>
          <w:rFonts w:ascii="Calibri" w:hAnsi="Calibri"/>
          <w:b w:val="0"/>
          <w:i w:val="0"/>
          <w:color w:val="222222"/>
          <w:sz w:val="21"/>
        </w:rPr>
        <w:t>Where is Industries Qatar in its cycle? Mixed, and that is the whole story. Fertilizers are near a cyclical high — 2025 nitrogen prices were supported by export restrictions from China and sanctioned producers, and QAFCO's 46% EBITDA margin reflects that. Petrochemicals are near a cyclical trough — Chinese overcapacity has crushed polyethylene spreads, and the first quarter of 2026 saw the segment earn almost nothing. Steel is recovering off a low base as mothballed facilities restart. Normalizing each leg to a mid-cycle level — fertilizers a touch below 2025, petrochemicals well above the trough, steel modestly above breakeven — gives mid-cycle group earnings of about QR 4.3bn, essentially the 2025 reported figure but with a very different composition. At a justified 15.5× that is QR 11.0 per share.</w:t>
      </w:r>
    </w:p>
    <w:p>
      <w:pPr>
        <w:keepNext/>
        <w:spacing w:before="280" w:after="120"/>
      </w:pPr>
      <w:r>
        <w:rPr>
          <w:b/>
          <w:color w:val="2A8F8F"/>
          <w:sz w:val="26"/>
        </w:rPr>
        <w:t>1.5 · Synthesis — five lenses and the football field</w:t>
      </w:r>
    </w:p>
    <w:p>
      <w:pPr>
        <w:spacing w:after="120" w:before="0"/>
      </w:pPr>
      <w:r>
        <w:rPr>
          <w:rFonts w:ascii="Calibri" w:hAnsi="Calibri"/>
          <w:b w:val="0"/>
          <w:i w:val="0"/>
          <w:color w:val="222222"/>
          <w:sz w:val="21"/>
        </w:rPr>
        <w:t>Five independent lenses, weighted by how much we trust each for this instrument, cluster tightly around QR 11. The sum-of-the-parts (35%) is the primary lens and the conservative anchor; the DCF (20%) is the cash-flow cross-check; relative multiples, normalized earnings and the dividend-discount model (15% each) triangulate around it. The blended central is about QR 10.9, within 2% of spot.</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3312"/>
            <w:shd w:val="clear" w:fill="1B5E5E"/>
          </w:tcPr>
          <w:p>
            <w:pPr>
              <w:jc w:val="left"/>
            </w:pPr>
            <w:r/>
            <w:r>
              <w:rPr>
                <w:b/>
                <w:color w:val="FFFFFF"/>
                <w:sz w:val="19"/>
              </w:rPr>
              <w:t>Lens</w:t>
            </w:r>
          </w:p>
        </w:tc>
        <w:tc>
          <w:tcPr>
            <w:tcW w:type="dxa" w:w="1512"/>
            <w:shd w:val="clear" w:fill="1B5E5E"/>
          </w:tcPr>
          <w:p>
            <w:pPr>
              <w:jc w:val="center"/>
            </w:pPr>
            <w:r/>
            <w:r>
              <w:rPr>
                <w:b/>
                <w:color w:val="FFFFFF"/>
                <w:sz w:val="19"/>
              </w:rPr>
              <w:t>Bear (QR)</w:t>
            </w:r>
          </w:p>
        </w:tc>
        <w:tc>
          <w:tcPr>
            <w:tcW w:type="dxa" w:w="1512"/>
            <w:shd w:val="clear" w:fill="1B5E5E"/>
          </w:tcPr>
          <w:p>
            <w:pPr>
              <w:jc w:val="center"/>
            </w:pPr>
            <w:r/>
            <w:r>
              <w:rPr>
                <w:b/>
                <w:color w:val="FFFFFF"/>
                <w:sz w:val="19"/>
              </w:rPr>
              <w:t>Base (QR)</w:t>
            </w:r>
          </w:p>
        </w:tc>
        <w:tc>
          <w:tcPr>
            <w:tcW w:type="dxa" w:w="1512"/>
            <w:shd w:val="clear" w:fill="1B5E5E"/>
          </w:tcPr>
          <w:p>
            <w:pPr>
              <w:jc w:val="center"/>
            </w:pPr>
            <w:r/>
            <w:r>
              <w:rPr>
                <w:b/>
                <w:color w:val="FFFFFF"/>
                <w:sz w:val="19"/>
              </w:rPr>
              <w:t>Bull (QR)</w:t>
            </w:r>
          </w:p>
        </w:tc>
        <w:tc>
          <w:tcPr>
            <w:tcW w:type="dxa" w:w="1512"/>
            <w:shd w:val="clear" w:fill="1B5E5E"/>
          </w:tcPr>
          <w:p>
            <w:pPr>
              <w:jc w:val="center"/>
            </w:pPr>
            <w:r/>
            <w:r>
              <w:rPr>
                <w:b/>
                <w:color w:val="FFFFFF"/>
                <w:sz w:val="19"/>
              </w:rPr>
              <w:t>Weight</w:t>
            </w:r>
          </w:p>
        </w:tc>
      </w:tr>
      <w:tr>
        <w:tc>
          <w:tcPr>
            <w:tcW w:type="dxa" w:w="3312"/>
          </w:tcPr>
          <w:p>
            <w:pPr>
              <w:jc w:val="left"/>
            </w:pPr>
            <w:r/>
            <w:r>
              <w:rPr>
                <w:b/>
                <w:color w:val="222222"/>
                <w:sz w:val="19"/>
              </w:rPr>
              <w:t>Sum-of-the-parts</w:t>
            </w:r>
          </w:p>
        </w:tc>
        <w:tc>
          <w:tcPr>
            <w:tcW w:type="dxa" w:w="1512"/>
          </w:tcPr>
          <w:p>
            <w:pPr>
              <w:jc w:val="center"/>
            </w:pPr>
            <w:r/>
            <w:r>
              <w:rPr>
                <w:color w:val="222222"/>
                <w:sz w:val="19"/>
              </w:rPr>
              <w:t>5.87</w:t>
            </w:r>
          </w:p>
        </w:tc>
        <w:tc>
          <w:tcPr>
            <w:tcW w:type="dxa" w:w="1512"/>
          </w:tcPr>
          <w:p>
            <w:pPr>
              <w:jc w:val="center"/>
            </w:pPr>
            <w:r/>
            <w:r>
              <w:rPr>
                <w:color w:val="222222"/>
                <w:sz w:val="19"/>
              </w:rPr>
              <w:t>10.38</w:t>
            </w:r>
          </w:p>
        </w:tc>
        <w:tc>
          <w:tcPr>
            <w:tcW w:type="dxa" w:w="1512"/>
          </w:tcPr>
          <w:p>
            <w:pPr>
              <w:jc w:val="center"/>
            </w:pPr>
            <w:r/>
            <w:r>
              <w:rPr>
                <w:color w:val="222222"/>
                <w:sz w:val="19"/>
              </w:rPr>
              <w:t>15.96</w:t>
            </w:r>
          </w:p>
        </w:tc>
        <w:tc>
          <w:tcPr>
            <w:tcW w:type="dxa" w:w="1512"/>
          </w:tcPr>
          <w:p>
            <w:pPr>
              <w:jc w:val="center"/>
            </w:pPr>
            <w:r/>
            <w:r>
              <w:rPr>
                <w:color w:val="222222"/>
                <w:sz w:val="19"/>
              </w:rPr>
              <w:t>35%</w:t>
            </w:r>
          </w:p>
        </w:tc>
      </w:tr>
      <w:tr>
        <w:tc>
          <w:tcPr>
            <w:tcW w:type="dxa" w:w="3312"/>
            <w:shd w:val="clear" w:fill="F2F6F6"/>
          </w:tcPr>
          <w:p>
            <w:pPr>
              <w:jc w:val="left"/>
            </w:pPr>
            <w:r/>
            <w:r>
              <w:rPr>
                <w:b/>
                <w:color w:val="222222"/>
                <w:sz w:val="19"/>
              </w:rPr>
              <w:t>Consolidated DCF</w:t>
            </w:r>
          </w:p>
        </w:tc>
        <w:tc>
          <w:tcPr>
            <w:tcW w:type="dxa" w:w="1512"/>
            <w:shd w:val="clear" w:fill="F2F6F6"/>
          </w:tcPr>
          <w:p>
            <w:pPr>
              <w:jc w:val="center"/>
            </w:pPr>
            <w:r/>
            <w:r>
              <w:rPr>
                <w:color w:val="222222"/>
                <w:sz w:val="19"/>
              </w:rPr>
              <w:t>7.70</w:t>
            </w:r>
          </w:p>
        </w:tc>
        <w:tc>
          <w:tcPr>
            <w:tcW w:type="dxa" w:w="1512"/>
            <w:shd w:val="clear" w:fill="F2F6F6"/>
          </w:tcPr>
          <w:p>
            <w:pPr>
              <w:jc w:val="center"/>
            </w:pPr>
            <w:r/>
            <w:r>
              <w:rPr>
                <w:color w:val="222222"/>
                <w:sz w:val="19"/>
              </w:rPr>
              <w:t>11.00</w:t>
            </w:r>
          </w:p>
        </w:tc>
        <w:tc>
          <w:tcPr>
            <w:tcW w:type="dxa" w:w="1512"/>
            <w:shd w:val="clear" w:fill="F2F6F6"/>
          </w:tcPr>
          <w:p>
            <w:pPr>
              <w:jc w:val="center"/>
            </w:pPr>
            <w:r/>
            <w:r>
              <w:rPr>
                <w:color w:val="222222"/>
                <w:sz w:val="19"/>
              </w:rPr>
              <w:t>14.86</w:t>
            </w:r>
          </w:p>
        </w:tc>
        <w:tc>
          <w:tcPr>
            <w:tcW w:type="dxa" w:w="1512"/>
            <w:shd w:val="clear" w:fill="F2F6F6"/>
          </w:tcPr>
          <w:p>
            <w:pPr>
              <w:jc w:val="center"/>
            </w:pPr>
            <w:r/>
            <w:r>
              <w:rPr>
                <w:color w:val="222222"/>
                <w:sz w:val="19"/>
              </w:rPr>
              <w:t>20%</w:t>
            </w:r>
          </w:p>
        </w:tc>
      </w:tr>
      <w:tr>
        <w:tc>
          <w:tcPr>
            <w:tcW w:type="dxa" w:w="3312"/>
          </w:tcPr>
          <w:p>
            <w:pPr>
              <w:jc w:val="left"/>
            </w:pPr>
            <w:r/>
            <w:r>
              <w:rPr>
                <w:b/>
                <w:color w:val="222222"/>
                <w:sz w:val="19"/>
              </w:rPr>
              <w:t>Relative multiples</w:t>
            </w:r>
          </w:p>
        </w:tc>
        <w:tc>
          <w:tcPr>
            <w:tcW w:type="dxa" w:w="1512"/>
          </w:tcPr>
          <w:p>
            <w:pPr>
              <w:jc w:val="center"/>
            </w:pPr>
            <w:r/>
            <w:r>
              <w:rPr>
                <w:color w:val="222222"/>
                <w:sz w:val="19"/>
              </w:rPr>
              <w:t>7.74</w:t>
            </w:r>
          </w:p>
        </w:tc>
        <w:tc>
          <w:tcPr>
            <w:tcW w:type="dxa" w:w="1512"/>
          </w:tcPr>
          <w:p>
            <w:pPr>
              <w:jc w:val="center"/>
            </w:pPr>
            <w:r/>
            <w:r>
              <w:rPr>
                <w:color w:val="222222"/>
                <w:sz w:val="19"/>
              </w:rPr>
              <w:t>11.02</w:t>
            </w:r>
          </w:p>
        </w:tc>
        <w:tc>
          <w:tcPr>
            <w:tcW w:type="dxa" w:w="1512"/>
          </w:tcPr>
          <w:p>
            <w:pPr>
              <w:jc w:val="center"/>
            </w:pPr>
            <w:r/>
            <w:r>
              <w:rPr>
                <w:color w:val="222222"/>
                <w:sz w:val="19"/>
              </w:rPr>
              <w:t>13.49</w:t>
            </w:r>
          </w:p>
        </w:tc>
        <w:tc>
          <w:tcPr>
            <w:tcW w:type="dxa" w:w="1512"/>
          </w:tcPr>
          <w:p>
            <w:pPr>
              <w:jc w:val="center"/>
            </w:pPr>
            <w:r/>
            <w:r>
              <w:rPr>
                <w:color w:val="222222"/>
                <w:sz w:val="19"/>
              </w:rPr>
              <w:t>15%</w:t>
            </w:r>
          </w:p>
        </w:tc>
      </w:tr>
      <w:tr>
        <w:tc>
          <w:tcPr>
            <w:tcW w:type="dxa" w:w="3312"/>
            <w:shd w:val="clear" w:fill="F2F6F6"/>
          </w:tcPr>
          <w:p>
            <w:pPr>
              <w:jc w:val="left"/>
            </w:pPr>
            <w:r/>
            <w:r>
              <w:rPr>
                <w:b/>
                <w:color w:val="222222"/>
                <w:sz w:val="19"/>
              </w:rPr>
              <w:t>Normalized earnings</w:t>
            </w:r>
          </w:p>
        </w:tc>
        <w:tc>
          <w:tcPr>
            <w:tcW w:type="dxa" w:w="1512"/>
            <w:shd w:val="clear" w:fill="F2F6F6"/>
          </w:tcPr>
          <w:p>
            <w:pPr>
              <w:jc w:val="center"/>
            </w:pPr>
            <w:r/>
            <w:r>
              <w:rPr>
                <w:color w:val="222222"/>
                <w:sz w:val="19"/>
              </w:rPr>
              <w:t>7.36</w:t>
            </w:r>
          </w:p>
        </w:tc>
        <w:tc>
          <w:tcPr>
            <w:tcW w:type="dxa" w:w="1512"/>
            <w:shd w:val="clear" w:fill="F2F6F6"/>
          </w:tcPr>
          <w:p>
            <w:pPr>
              <w:jc w:val="center"/>
            </w:pPr>
            <w:r/>
            <w:r>
              <w:rPr>
                <w:color w:val="222222"/>
                <w:sz w:val="19"/>
              </w:rPr>
              <w:t>11.02</w:t>
            </w:r>
          </w:p>
        </w:tc>
        <w:tc>
          <w:tcPr>
            <w:tcW w:type="dxa" w:w="1512"/>
            <w:shd w:val="clear" w:fill="F2F6F6"/>
          </w:tcPr>
          <w:p>
            <w:pPr>
              <w:jc w:val="center"/>
            </w:pPr>
            <w:r/>
            <w:r>
              <w:rPr>
                <w:color w:val="222222"/>
                <w:sz w:val="19"/>
              </w:rPr>
              <w:t>14.18</w:t>
            </w:r>
          </w:p>
        </w:tc>
        <w:tc>
          <w:tcPr>
            <w:tcW w:type="dxa" w:w="1512"/>
            <w:shd w:val="clear" w:fill="F2F6F6"/>
          </w:tcPr>
          <w:p>
            <w:pPr>
              <w:jc w:val="center"/>
            </w:pPr>
            <w:r/>
            <w:r>
              <w:rPr>
                <w:color w:val="222222"/>
                <w:sz w:val="19"/>
              </w:rPr>
              <w:t>15%</w:t>
            </w:r>
          </w:p>
        </w:tc>
      </w:tr>
      <w:tr>
        <w:tc>
          <w:tcPr>
            <w:tcW w:type="dxa" w:w="3312"/>
          </w:tcPr>
          <w:p>
            <w:pPr>
              <w:jc w:val="left"/>
            </w:pPr>
            <w:r/>
            <w:r>
              <w:rPr>
                <w:b/>
                <w:color w:val="222222"/>
                <w:sz w:val="19"/>
              </w:rPr>
              <w:t>Dividend discount</w:t>
            </w:r>
          </w:p>
        </w:tc>
        <w:tc>
          <w:tcPr>
            <w:tcW w:type="dxa" w:w="1512"/>
          </w:tcPr>
          <w:p>
            <w:pPr>
              <w:jc w:val="center"/>
            </w:pPr>
            <w:r/>
            <w:r>
              <w:rPr>
                <w:color w:val="222222"/>
                <w:sz w:val="19"/>
              </w:rPr>
              <w:t>7.15</w:t>
            </w:r>
          </w:p>
        </w:tc>
        <w:tc>
          <w:tcPr>
            <w:tcW w:type="dxa" w:w="1512"/>
          </w:tcPr>
          <w:p>
            <w:pPr>
              <w:jc w:val="center"/>
            </w:pPr>
            <w:r/>
            <w:r>
              <w:rPr>
                <w:color w:val="222222"/>
                <w:sz w:val="19"/>
              </w:rPr>
              <w:t>11.07</w:t>
            </w:r>
          </w:p>
        </w:tc>
        <w:tc>
          <w:tcPr>
            <w:tcW w:type="dxa" w:w="1512"/>
          </w:tcPr>
          <w:p>
            <w:pPr>
              <w:jc w:val="center"/>
            </w:pPr>
            <w:r/>
            <w:r>
              <w:rPr>
                <w:color w:val="222222"/>
                <w:sz w:val="19"/>
              </w:rPr>
              <w:t>15.39</w:t>
            </w:r>
          </w:p>
        </w:tc>
        <w:tc>
          <w:tcPr>
            <w:tcW w:type="dxa" w:w="1512"/>
          </w:tcPr>
          <w:p>
            <w:pPr>
              <w:jc w:val="center"/>
            </w:pPr>
            <w:r/>
            <w:r>
              <w:rPr>
                <w:color w:val="222222"/>
                <w:sz w:val="19"/>
              </w:rPr>
              <w:t>15%</w:t>
            </w:r>
          </w:p>
        </w:tc>
      </w:tr>
      <w:tr>
        <w:tc>
          <w:tcPr>
            <w:tcW w:type="dxa" w:w="3312"/>
            <w:shd w:val="clear" w:fill="F2F6F6"/>
          </w:tcPr>
          <w:p>
            <w:pPr>
              <w:jc w:val="left"/>
            </w:pPr>
            <w:r/>
            <w:r>
              <w:rPr>
                <w:b/>
                <w:color w:val="222222"/>
                <w:sz w:val="19"/>
              </w:rPr>
              <w:t>Blended central</w:t>
            </w:r>
          </w:p>
        </w:tc>
        <w:tc>
          <w:tcPr>
            <w:tcW w:type="dxa" w:w="1512"/>
            <w:shd w:val="clear" w:fill="F2F6F6"/>
          </w:tcPr>
          <w:p>
            <w:pPr>
              <w:jc w:val="center"/>
            </w:pPr>
            <w:r/>
            <w:r>
              <w:rPr>
                <w:color w:val="222222"/>
                <w:sz w:val="19"/>
              </w:rPr>
              <w:t>6.93</w:t>
            </w:r>
          </w:p>
        </w:tc>
        <w:tc>
          <w:tcPr>
            <w:tcW w:type="dxa" w:w="1512"/>
            <w:shd w:val="clear" w:fill="F2F6F6"/>
          </w:tcPr>
          <w:p>
            <w:pPr>
              <w:jc w:val="center"/>
            </w:pPr>
            <w:r/>
            <w:r>
              <w:rPr>
                <w:color w:val="222222"/>
                <w:sz w:val="19"/>
              </w:rPr>
              <w:t>10.80</w:t>
            </w:r>
          </w:p>
        </w:tc>
        <w:tc>
          <w:tcPr>
            <w:tcW w:type="dxa" w:w="1512"/>
            <w:shd w:val="clear" w:fill="F2F6F6"/>
          </w:tcPr>
          <w:p>
            <w:pPr>
              <w:jc w:val="center"/>
            </w:pPr>
            <w:r/>
            <w:r>
              <w:rPr>
                <w:color w:val="222222"/>
                <w:sz w:val="19"/>
              </w:rPr>
              <w:t>15.02</w:t>
            </w:r>
          </w:p>
        </w:tc>
        <w:tc>
          <w:tcPr>
            <w:tcW w:type="dxa" w:w="1512"/>
            <w:shd w:val="clear" w:fill="F2F6F6"/>
          </w:tcPr>
          <w:p>
            <w:pPr>
              <w:jc w:val="center"/>
            </w:pPr>
            <w:r/>
            <w:r>
              <w:rPr>
                <w:color w:val="222222"/>
                <w:sz w:val="19"/>
              </w:rPr>
              <w:t>100%</w:t>
            </w:r>
          </w:p>
        </w:tc>
      </w:tr>
    </w:tbl>
    <w:p>
      <w:pPr>
        <w:spacing w:after="40"/>
      </w:pPr>
    </w:p>
    <w:p>
      <w:pPr>
        <w:jc w:val="center"/>
      </w:pPr>
      <w:r>
        <w:drawing>
          <wp:inline xmlns:a="http://schemas.openxmlformats.org/drawingml/2006/main" xmlns:pic="http://schemas.openxmlformats.org/drawingml/2006/picture">
            <wp:extent cx="5760720" cy="3302813"/>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3302813"/>
                    </a:xfrm>
                    <a:prstGeom prst="rect"/>
                  </pic:spPr>
                </pic:pic>
              </a:graphicData>
            </a:graphic>
          </wp:inline>
        </w:drawing>
      </w:r>
    </w:p>
    <w:p>
      <w:pPr>
        <w:spacing w:after="160"/>
        <w:jc w:val="center"/>
      </w:pPr>
      <w:r>
        <w:rPr>
          <w:i/>
          <w:color w:val="6B6B6B"/>
          <w:sz w:val="17"/>
        </w:rPr>
        <w:t>Figure 1 · Valuation football field — five lenses. The brass mark is each lens's base case; the gold band is the blended bear-to-bull range; the dashed line is spot.</w:t>
      </w:r>
    </w:p>
    <w:p>
      <w:pPr>
        <w:spacing w:after="120" w:before="0"/>
      </w:pPr>
      <w:r>
        <w:rPr>
          <w:rFonts w:ascii="Calibri" w:hAnsi="Calibri"/>
          <w:b w:val="0"/>
          <w:i w:val="0"/>
          <w:color w:val="222222"/>
          <w:sz w:val="21"/>
        </w:rPr>
        <w:t>The football field makes the shape of the uncertainty visible. Every lens's base case sits between QR 10.4 and QR 11.4 — a tight cluster around spot. But each lens's own bear-to-bull span is wide, and they widen in the same direction: the petrochemical swing. That is why the blended range runs from about QR 6.9 to QR 15.0 even though the central estimates agree.</w:t>
      </w:r>
    </w:p>
    <w:p>
      <w:pPr>
        <w:keepNext/>
        <w:spacing w:before="280" w:after="120"/>
      </w:pPr>
      <w:r>
        <w:rPr>
          <w:b/>
          <w:color w:val="2A8F8F"/>
          <w:sz w:val="26"/>
        </w:rPr>
        <w:t>1.6 · A deeper look at the three legs</w:t>
      </w:r>
    </w:p>
    <w:p>
      <w:pPr>
        <w:spacing w:after="120" w:before="0"/>
      </w:pPr>
      <w:r>
        <w:rPr>
          <w:rFonts w:ascii="Calibri" w:hAnsi="Calibri"/>
          <w:b w:val="0"/>
          <w:i w:val="0"/>
          <w:color w:val="222222"/>
          <w:sz w:val="21"/>
        </w:rPr>
        <w:t>The holding-company Data Miner below shows each segment's contribution. Fertilizers are 64% of the value and the bulk of the cash generation; petrochemicals are the swing; steel is a small restart option.</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2304"/>
            <w:shd w:val="clear" w:fill="1B5E5E"/>
          </w:tcPr>
          <w:p>
            <w:pPr>
              <w:jc w:val="left"/>
            </w:pPr>
            <w:r/>
            <w:r>
              <w:rPr>
                <w:b/>
                <w:color w:val="FFFFFF"/>
                <w:sz w:val="19"/>
              </w:rPr>
              <w:t>Segment</w:t>
            </w:r>
          </w:p>
        </w:tc>
        <w:tc>
          <w:tcPr>
            <w:tcW w:type="dxa" w:w="1368"/>
            <w:shd w:val="clear" w:fill="1B5E5E"/>
          </w:tcPr>
          <w:p>
            <w:pPr>
              <w:jc w:val="center"/>
            </w:pPr>
            <w:r/>
            <w:r>
              <w:rPr>
                <w:b/>
                <w:color w:val="FFFFFF"/>
                <w:sz w:val="19"/>
              </w:rPr>
              <w:t>IQ stake</w:t>
            </w:r>
          </w:p>
        </w:tc>
        <w:tc>
          <w:tcPr>
            <w:tcW w:type="dxa" w:w="1512"/>
            <w:shd w:val="clear" w:fill="1B5E5E"/>
          </w:tcPr>
          <w:p>
            <w:pPr>
              <w:jc w:val="center"/>
            </w:pPr>
            <w:r/>
            <w:r>
              <w:rPr>
                <w:b/>
                <w:color w:val="FFFFFF"/>
                <w:sz w:val="19"/>
              </w:rPr>
              <w:t>FY25 NI (QRbn)</w:t>
            </w:r>
          </w:p>
        </w:tc>
        <w:tc>
          <w:tcPr>
            <w:tcW w:type="dxa" w:w="1512"/>
            <w:shd w:val="clear" w:fill="1B5E5E"/>
          </w:tcPr>
          <w:p>
            <w:pPr>
              <w:jc w:val="center"/>
            </w:pPr>
            <w:r/>
            <w:r>
              <w:rPr>
                <w:b/>
                <w:color w:val="FFFFFF"/>
                <w:sz w:val="19"/>
              </w:rPr>
              <w:t>Q1-26 NI (QRbn)</w:t>
            </w:r>
          </w:p>
        </w:tc>
        <w:tc>
          <w:tcPr>
            <w:tcW w:type="dxa" w:w="1368"/>
            <w:shd w:val="clear" w:fill="1B5E5E"/>
          </w:tcPr>
          <w:p>
            <w:pPr>
              <w:jc w:val="center"/>
            </w:pPr>
            <w:r/>
            <w:r>
              <w:rPr>
                <w:b/>
                <w:color w:val="FFFFFF"/>
                <w:sz w:val="19"/>
              </w:rPr>
              <w:t>FY25 EBITDA mgn</w:t>
            </w:r>
          </w:p>
        </w:tc>
        <w:tc>
          <w:tcPr>
            <w:tcW w:type="dxa" w:w="1296"/>
            <w:shd w:val="clear" w:fill="1B5E5E"/>
          </w:tcPr>
          <w:p>
            <w:pPr>
              <w:jc w:val="center"/>
            </w:pPr>
            <w:r/>
            <w:r>
              <w:rPr>
                <w:b/>
                <w:color w:val="FFFFFF"/>
                <w:sz w:val="19"/>
              </w:rPr>
              <w:t>Character</w:t>
            </w:r>
          </w:p>
        </w:tc>
      </w:tr>
      <w:tr>
        <w:tc>
          <w:tcPr>
            <w:tcW w:type="dxa" w:w="2304"/>
          </w:tcPr>
          <w:p>
            <w:pPr>
              <w:jc w:val="left"/>
            </w:pPr>
            <w:r/>
            <w:r>
              <w:rPr>
                <w:b/>
                <w:color w:val="222222"/>
                <w:sz w:val="19"/>
              </w:rPr>
              <w:t>Fertilizers (QAFCO)</w:t>
            </w:r>
          </w:p>
        </w:tc>
        <w:tc>
          <w:tcPr>
            <w:tcW w:type="dxa" w:w="1368"/>
          </w:tcPr>
          <w:p>
            <w:pPr>
              <w:jc w:val="center"/>
            </w:pPr>
            <w:r/>
            <w:r>
              <w:rPr>
                <w:color w:val="222222"/>
                <w:sz w:val="19"/>
              </w:rPr>
              <w:t>100%</w:t>
            </w:r>
          </w:p>
        </w:tc>
        <w:tc>
          <w:tcPr>
            <w:tcW w:type="dxa" w:w="1512"/>
          </w:tcPr>
          <w:p>
            <w:pPr>
              <w:jc w:val="center"/>
            </w:pPr>
            <w:r/>
            <w:r>
              <w:rPr>
                <w:color w:val="222222"/>
                <w:sz w:val="19"/>
              </w:rPr>
              <w:t>2.70</w:t>
            </w:r>
          </w:p>
        </w:tc>
        <w:tc>
          <w:tcPr>
            <w:tcW w:type="dxa" w:w="1512"/>
          </w:tcPr>
          <w:p>
            <w:pPr>
              <w:jc w:val="center"/>
            </w:pPr>
            <w:r/>
            <w:r>
              <w:rPr>
                <w:color w:val="222222"/>
                <w:sz w:val="19"/>
              </w:rPr>
              <w:t>0.495</w:t>
            </w:r>
          </w:p>
        </w:tc>
        <w:tc>
          <w:tcPr>
            <w:tcW w:type="dxa" w:w="1368"/>
          </w:tcPr>
          <w:p>
            <w:pPr>
              <w:jc w:val="center"/>
            </w:pPr>
            <w:r/>
            <w:r>
              <w:rPr>
                <w:color w:val="222222"/>
                <w:sz w:val="19"/>
              </w:rPr>
              <w:t>46%</w:t>
            </w:r>
          </w:p>
        </w:tc>
        <w:tc>
          <w:tcPr>
            <w:tcW w:type="dxa" w:w="1296"/>
          </w:tcPr>
          <w:p>
            <w:pPr>
              <w:jc w:val="center"/>
            </w:pPr>
            <w:r/>
            <w:r>
              <w:rPr>
                <w:color w:val="222222"/>
                <w:sz w:val="19"/>
              </w:rPr>
              <w:t>World-scale urea/ammonia; +Ammonia-7 Q2-26; cheap gas moat</w:t>
            </w:r>
          </w:p>
        </w:tc>
      </w:tr>
      <w:tr>
        <w:tc>
          <w:tcPr>
            <w:tcW w:type="dxa" w:w="2304"/>
            <w:shd w:val="clear" w:fill="F2F6F6"/>
          </w:tcPr>
          <w:p>
            <w:pPr>
              <w:jc w:val="left"/>
            </w:pPr>
            <w:r/>
            <w:r>
              <w:rPr>
                <w:b/>
                <w:color w:val="222222"/>
                <w:sz w:val="19"/>
              </w:rPr>
              <w:t>Petrochemicals</w:t>
            </w:r>
          </w:p>
        </w:tc>
        <w:tc>
          <w:tcPr>
            <w:tcW w:type="dxa" w:w="1368"/>
            <w:shd w:val="clear" w:fill="F2F6F6"/>
          </w:tcPr>
          <w:p>
            <w:pPr>
              <w:jc w:val="center"/>
            </w:pPr>
            <w:r/>
            <w:r>
              <w:rPr>
                <w:color w:val="222222"/>
                <w:sz w:val="19"/>
              </w:rPr>
              <w:t>80% / 50%</w:t>
            </w:r>
          </w:p>
        </w:tc>
        <w:tc>
          <w:tcPr>
            <w:tcW w:type="dxa" w:w="1512"/>
            <w:shd w:val="clear" w:fill="F2F6F6"/>
          </w:tcPr>
          <w:p>
            <w:pPr>
              <w:jc w:val="center"/>
            </w:pPr>
            <w:r/>
            <w:r>
              <w:rPr>
                <w:color w:val="222222"/>
                <w:sz w:val="19"/>
              </w:rPr>
              <w:t>0.70</w:t>
            </w:r>
          </w:p>
        </w:tc>
        <w:tc>
          <w:tcPr>
            <w:tcW w:type="dxa" w:w="1512"/>
            <w:shd w:val="clear" w:fill="F2F6F6"/>
          </w:tcPr>
          <w:p>
            <w:pPr>
              <w:jc w:val="center"/>
            </w:pPr>
            <w:r/>
            <w:r>
              <w:rPr>
                <w:color w:val="222222"/>
                <w:sz w:val="19"/>
              </w:rPr>
              <w:t>0.004</w:t>
            </w:r>
          </w:p>
        </w:tc>
        <w:tc>
          <w:tcPr>
            <w:tcW w:type="dxa" w:w="1368"/>
            <w:shd w:val="clear" w:fill="F2F6F6"/>
          </w:tcPr>
          <w:p>
            <w:pPr>
              <w:jc w:val="center"/>
            </w:pPr>
            <w:r/>
            <w:r>
              <w:rPr>
                <w:color w:val="222222"/>
                <w:sz w:val="19"/>
              </w:rPr>
              <w:t>—</w:t>
            </w:r>
          </w:p>
        </w:tc>
        <w:tc>
          <w:tcPr>
            <w:tcW w:type="dxa" w:w="1296"/>
            <w:shd w:val="clear" w:fill="F2F6F6"/>
          </w:tcPr>
          <w:p>
            <w:pPr>
              <w:jc w:val="center"/>
            </w:pPr>
            <w:r/>
            <w:r>
              <w:rPr>
                <w:color w:val="222222"/>
                <w:sz w:val="19"/>
              </w:rPr>
              <w:t>Ethylene/PE + MTBE/methanol; China oversupply; Ras Laffan</w:t>
            </w:r>
          </w:p>
        </w:tc>
      </w:tr>
      <w:tr>
        <w:tc>
          <w:tcPr>
            <w:tcW w:type="dxa" w:w="2304"/>
          </w:tcPr>
          <w:p>
            <w:pPr>
              <w:jc w:val="left"/>
            </w:pPr>
            <w:r/>
            <w:r>
              <w:rPr>
                <w:b/>
                <w:color w:val="222222"/>
                <w:sz w:val="19"/>
              </w:rPr>
              <w:t>Steel</w:t>
            </w:r>
          </w:p>
        </w:tc>
        <w:tc>
          <w:tcPr>
            <w:tcW w:type="dxa" w:w="1368"/>
          </w:tcPr>
          <w:p>
            <w:pPr>
              <w:jc w:val="center"/>
            </w:pPr>
            <w:r/>
            <w:r>
              <w:rPr>
                <w:color w:val="222222"/>
                <w:sz w:val="19"/>
              </w:rPr>
              <w:t>100%</w:t>
            </w:r>
          </w:p>
        </w:tc>
        <w:tc>
          <w:tcPr>
            <w:tcW w:type="dxa" w:w="1512"/>
          </w:tcPr>
          <w:p>
            <w:pPr>
              <w:jc w:val="center"/>
            </w:pPr>
            <w:r/>
            <w:r>
              <w:rPr>
                <w:color w:val="222222"/>
                <w:sz w:val="19"/>
              </w:rPr>
              <w:t>0.71</w:t>
            </w:r>
          </w:p>
        </w:tc>
        <w:tc>
          <w:tcPr>
            <w:tcW w:type="dxa" w:w="1512"/>
          </w:tcPr>
          <w:p>
            <w:pPr>
              <w:jc w:val="center"/>
            </w:pPr>
            <w:r/>
            <w:r>
              <w:rPr>
                <w:color w:val="222222"/>
                <w:sz w:val="19"/>
              </w:rPr>
              <w:t>0.196</w:t>
            </w:r>
          </w:p>
        </w:tc>
        <w:tc>
          <w:tcPr>
            <w:tcW w:type="dxa" w:w="1368"/>
          </w:tcPr>
          <w:p>
            <w:pPr>
              <w:jc w:val="center"/>
            </w:pPr>
            <w:r/>
            <w:r>
              <w:rPr>
                <w:color w:val="222222"/>
                <w:sz w:val="19"/>
              </w:rPr>
              <w:t>—</w:t>
            </w:r>
          </w:p>
        </w:tc>
        <w:tc>
          <w:tcPr>
            <w:tcW w:type="dxa" w:w="1296"/>
          </w:tcPr>
          <w:p>
            <w:pPr>
              <w:jc w:val="center"/>
            </w:pPr>
            <w:r/>
            <w:r>
              <w:rPr>
                <w:color w:val="222222"/>
                <w:sz w:val="19"/>
              </w:rPr>
              <w:t>Restarted DRI/melting; cyclical; one-off reversal in 2025</w:t>
            </w:r>
          </w:p>
        </w:tc>
      </w:tr>
    </w:tbl>
    <w:p>
      <w:pPr>
        <w:spacing w:after="40"/>
      </w:pPr>
    </w:p>
    <w:p>
      <w:pPr>
        <w:spacing w:after="120" w:before="0"/>
      </w:pPr>
      <w:r>
        <w:rPr>
          <w:rFonts w:ascii="Calibri" w:hAnsi="Calibri"/>
          <w:b w:val="0"/>
          <w:i w:val="0"/>
          <w:color w:val="222222"/>
          <w:sz w:val="21"/>
        </w:rPr>
        <w:t>QAFCO — the fertilizer leg — is the crown jewel: 100%-owned, world-scale, fed by some of the cheapest gas on the planet, and now adding the Ammonia-7 'blue ammonia' train that comes online in the second quarter of 2026 and could lift group earnings by roughly a tenth. Its EBITDA margin of 46% in 2025 is a peak-ish figure, so we normalize slightly below it, but the franchise is durable. The petrochemical leg — QAPCO (80%, with TotalEnergies holding the other 20% until the JV expires in 2029) plus QAFAC (50%, fuel additives) — is where the value swings. It earned QR 0.7bn in 2025 and almost nothing in early 2026, hammered by Chinese polyethylene overcapacity and, acutely, by regional conflict disrupting Gulf logistics in March. Against that, the new Ras Laffan petrochemical complex and a ramping PVC facility are real future capacity. Steel is the smallest leg and the most cyclical: largely idle for years, now partly restarted, carrying a QR 0.222bn impairment reversal in 2025 that we strip out.</w:t>
      </w:r>
    </w:p>
    <w:p>
      <w:pPr>
        <w:keepNext/>
        <w:spacing w:before="280" w:after="120"/>
      </w:pPr>
      <w:r>
        <w:rPr>
          <w:b/>
          <w:color w:val="2A8F8F"/>
          <w:sz w:val="26"/>
        </w:rPr>
        <w:t>1.7 · The crux — the petrochemical swing, in real units</w:t>
      </w:r>
    </w:p>
    <w:p>
      <w:pPr>
        <w:spacing w:after="120" w:before="0"/>
      </w:pPr>
      <w:r>
        <w:rPr>
          <w:rFonts w:ascii="Calibri" w:hAnsi="Calibri"/>
          <w:b w:val="0"/>
          <w:i w:val="0"/>
          <w:color w:val="222222"/>
          <w:sz w:val="21"/>
        </w:rPr>
        <w:t>Every valuation of Industries Qatar comes down to one question: where do petrochemical margins normalize? We sensitize that crux in observable units — the segment's normalized earnings and the multiple the market pays for them — not an abstract margin assumption. The grid below reprices the whole sum-of-the-parts as the petrochemical leg moves from its trough (QR 0.6bn) to a mid-cycle recovery (QR 2.1bn), across a range of multiples.</w:t>
      </w:r>
    </w:p>
    <w:p>
      <w:pPr>
        <w:jc w:val="center"/>
      </w:pPr>
      <w:r>
        <w:drawing>
          <wp:inline xmlns:a="http://schemas.openxmlformats.org/drawingml/2006/main" xmlns:pic="http://schemas.openxmlformats.org/drawingml/2006/picture">
            <wp:extent cx="5760720" cy="3493927"/>
            <wp:docPr id="2" name="Picture 2"/>
            <wp:cNvGraphicFramePr>
              <a:graphicFrameLocks noChangeAspect="1"/>
            </wp:cNvGraphicFramePr>
            <a:graphic>
              <a:graphicData uri="http://schemas.openxmlformats.org/drawingml/2006/picture">
                <pic:pic>
                  <pic:nvPicPr>
                    <pic:cNvPr id="0" name="fig2_sotp_sensitivity.png"/>
                    <pic:cNvPicPr/>
                  </pic:nvPicPr>
                  <pic:blipFill>
                    <a:blip r:embed="rId10"/>
                    <a:stretch>
                      <a:fillRect/>
                    </a:stretch>
                  </pic:blipFill>
                  <pic:spPr>
                    <a:xfrm>
                      <a:off x="0" y="0"/>
                      <a:ext cx="5760720" cy="3493927"/>
                    </a:xfrm>
                    <a:prstGeom prst="rect"/>
                  </pic:spPr>
                </pic:pic>
              </a:graphicData>
            </a:graphic>
          </wp:inline>
        </w:drawing>
      </w:r>
    </w:p>
    <w:p>
      <w:pPr>
        <w:spacing w:after="160"/>
        <w:jc w:val="center"/>
      </w:pPr>
      <w:r>
        <w:rPr>
          <w:i/>
          <w:color w:val="6B6B6B"/>
          <w:sz w:val="17"/>
        </w:rPr>
        <w:t>Figure 2 · Sum-of-the-parts fair value (QR/share, post-discount) as the petrochemical leg's normalized earnings and multiple vary. Fertilizers and steel held at base.</w:t>
      </w:r>
    </w:p>
    <w:p>
      <w:pPr>
        <w:spacing w:after="120" w:before="0"/>
      </w:pPr>
      <w:r>
        <w:rPr>
          <w:rFonts w:ascii="Calibri" w:hAnsi="Calibri"/>
          <w:b w:val="0"/>
          <w:i w:val="0"/>
          <w:color w:val="222222"/>
          <w:sz w:val="21"/>
        </w:rPr>
        <w:t>Read the corners. If petrochemicals stay near the trough and the market pays a trough multiple, the parts are worth about QR 8.5 — a fifth below spot. If the leg recovers to mid-cycle and re-rates, the parts are worth well into the QR 12–13 range. Spot sits close to the middle of that grid, which is exactly why the stock screens fairly valued: the market is pricing a partial, not full, petrochemical recovery. The observable driver behind the grid is the polyethylene-to-feedstock spread and Chinese operating rates — market quantities, not guesses — and both are near multi-year lows today.</w:t>
      </w:r>
    </w:p>
    <w:p>
      <w:pPr>
        <w:keepNext/>
        <w:spacing w:before="280" w:after="120"/>
      </w:pPr>
      <w:r>
        <w:rPr>
          <w:b/>
          <w:color w:val="2A8F8F"/>
          <w:sz w:val="26"/>
        </w:rPr>
        <w:t>1.8 · Macro and country</w:t>
      </w:r>
    </w:p>
    <w:p>
      <w:pPr>
        <w:spacing w:after="120" w:before="0"/>
      </w:pPr>
      <w:r>
        <w:rPr>
          <w:rFonts w:ascii="Calibri" w:hAnsi="Calibri"/>
          <w:b w:val="0"/>
          <w:i w:val="0"/>
          <w:color w:val="222222"/>
          <w:sz w:val="21"/>
        </w:rPr>
        <w:t>Industries Qatar is a leveraged play on four macro variables and one geopolitical one. Global nitrogen prices drive the fertilizer leg; polyethylene and fuel-additive spreads drive petrochemicals; the price of natural gas sets the feedstock cost (Qatar's structural advantage); and the energy complex moves all three together. The riyal's peg to the US dollar removes currency risk for a dollar-based reader but ties Qatari discount rates to US ones — a headwind for a high-payout yield name when US rates are elevated. The geopolitical variable is acute and current: the first quarter of 2026 showed how directly regional conflict around the Gulf can disrupt IQ's production, logistics and export volumes. That risk is not hypothetical for this name; it is in the most recent print.</w:t>
      </w:r>
    </w:p>
    <w:p>
      <w:pPr>
        <w:keepNext/>
        <w:spacing w:before="280" w:after="120"/>
      </w:pPr>
      <w:r>
        <w:rPr>
          <w:b/>
          <w:color w:val="2A8F8F"/>
          <w:sz w:val="26"/>
        </w:rPr>
        <w:t>1.9 · Sensitivity — the DCF on WACC × terminal growth</w:t>
      </w:r>
    </w:p>
    <w:p>
      <w:pPr>
        <w:spacing w:after="120" w:before="0"/>
      </w:pPr>
      <w:r>
        <w:rPr>
          <w:rFonts w:ascii="Calibri" w:hAnsi="Calibri"/>
          <w:b w:val="0"/>
          <w:i w:val="0"/>
          <w:color w:val="222222"/>
          <w:sz w:val="21"/>
        </w:rPr>
        <w:t>Because the DCF's terminal value is about three-quarters of enterprise value, the fair value is sensitive to the discount rate and the assumed long-run growth. The grid makes that dependency explicit rather than hiding it inside a single number.</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2160"/>
            <w:shd w:val="clear" w:fill="1B5E5E"/>
          </w:tcPr>
          <w:p>
            <w:pPr>
              <w:jc w:val="left"/>
            </w:pPr>
            <w:r/>
            <w:r>
              <w:rPr>
                <w:b/>
                <w:color w:val="FFFFFF"/>
                <w:sz w:val="19"/>
              </w:rPr>
              <w:t>WACC ╲ g</w:t>
            </w:r>
          </w:p>
        </w:tc>
        <w:tc>
          <w:tcPr>
            <w:tcW w:type="dxa" w:w="1440"/>
            <w:shd w:val="clear" w:fill="1B5E5E"/>
          </w:tcPr>
          <w:p>
            <w:pPr>
              <w:jc w:val="center"/>
            </w:pPr>
            <w:r/>
            <w:r>
              <w:rPr>
                <w:b/>
                <w:color w:val="FFFFFF"/>
                <w:sz w:val="19"/>
              </w:rPr>
              <w:t>2.0%</w:t>
            </w:r>
          </w:p>
        </w:tc>
        <w:tc>
          <w:tcPr>
            <w:tcW w:type="dxa" w:w="1440"/>
            <w:shd w:val="clear" w:fill="1B5E5E"/>
          </w:tcPr>
          <w:p>
            <w:pPr>
              <w:jc w:val="center"/>
            </w:pPr>
            <w:r/>
            <w:r>
              <w:rPr>
                <w:b/>
                <w:color w:val="FFFFFF"/>
                <w:sz w:val="19"/>
              </w:rPr>
              <w:t>2.5%</w:t>
            </w:r>
          </w:p>
        </w:tc>
        <w:tc>
          <w:tcPr>
            <w:tcW w:type="dxa" w:w="1440"/>
            <w:shd w:val="clear" w:fill="1B5E5E"/>
          </w:tcPr>
          <w:p>
            <w:pPr>
              <w:jc w:val="center"/>
            </w:pPr>
            <w:r/>
            <w:r>
              <w:rPr>
                <w:b/>
                <w:color w:val="FFFFFF"/>
                <w:sz w:val="19"/>
              </w:rPr>
              <w:t>3.0%</w:t>
            </w:r>
          </w:p>
        </w:tc>
        <w:tc>
          <w:tcPr>
            <w:tcW w:type="dxa" w:w="1440"/>
            <w:shd w:val="clear" w:fill="1B5E5E"/>
          </w:tcPr>
          <w:p>
            <w:pPr>
              <w:jc w:val="center"/>
            </w:pPr>
            <w:r/>
            <w:r>
              <w:rPr>
                <w:b/>
                <w:color w:val="FFFFFF"/>
                <w:sz w:val="19"/>
              </w:rPr>
              <w:t>3.5%</w:t>
            </w:r>
          </w:p>
        </w:tc>
        <w:tc>
          <w:tcPr>
            <w:tcW w:type="dxa" w:w="1440"/>
            <w:shd w:val="clear" w:fill="1B5E5E"/>
          </w:tcPr>
          <w:p>
            <w:pPr>
              <w:jc w:val="center"/>
            </w:pPr>
            <w:r/>
            <w:r>
              <w:rPr>
                <w:b/>
                <w:color w:val="FFFFFF"/>
                <w:sz w:val="19"/>
              </w:rPr>
              <w:t>4.0%</w:t>
            </w:r>
          </w:p>
        </w:tc>
      </w:tr>
      <w:tr>
        <w:tc>
          <w:tcPr>
            <w:tcW w:type="dxa" w:w="2160"/>
          </w:tcPr>
          <w:p>
            <w:pPr>
              <w:jc w:val="left"/>
            </w:pPr>
            <w:r/>
            <w:r>
              <w:rPr>
                <w:b/>
                <w:color w:val="222222"/>
                <w:sz w:val="19"/>
              </w:rPr>
              <w:t>9.0%</w:t>
            </w:r>
          </w:p>
        </w:tc>
        <w:tc>
          <w:tcPr>
            <w:tcW w:type="dxa" w:w="1440"/>
          </w:tcPr>
          <w:p>
            <w:pPr>
              <w:jc w:val="center"/>
            </w:pPr>
            <w:r/>
            <w:r>
              <w:rPr>
                <w:color w:val="222222"/>
                <w:sz w:val="19"/>
              </w:rPr>
              <w:t>11.9</w:t>
            </w:r>
          </w:p>
        </w:tc>
        <w:tc>
          <w:tcPr>
            <w:tcW w:type="dxa" w:w="1440"/>
          </w:tcPr>
          <w:p>
            <w:pPr>
              <w:jc w:val="center"/>
            </w:pPr>
            <w:r/>
            <w:r>
              <w:rPr>
                <w:color w:val="222222"/>
                <w:sz w:val="19"/>
              </w:rPr>
              <w:t>12.7</w:t>
            </w:r>
          </w:p>
        </w:tc>
        <w:tc>
          <w:tcPr>
            <w:tcW w:type="dxa" w:w="1440"/>
          </w:tcPr>
          <w:p>
            <w:pPr>
              <w:jc w:val="center"/>
            </w:pPr>
            <w:r/>
            <w:r>
              <w:rPr>
                <w:color w:val="222222"/>
                <w:sz w:val="19"/>
              </w:rPr>
              <w:t>13.7</w:t>
            </w:r>
          </w:p>
        </w:tc>
        <w:tc>
          <w:tcPr>
            <w:tcW w:type="dxa" w:w="1440"/>
          </w:tcPr>
          <w:p>
            <w:pPr>
              <w:jc w:val="center"/>
            </w:pPr>
            <w:r/>
            <w:r>
              <w:rPr>
                <w:color w:val="222222"/>
                <w:sz w:val="19"/>
              </w:rPr>
              <w:t>15.0</w:t>
            </w:r>
          </w:p>
        </w:tc>
        <w:tc>
          <w:tcPr>
            <w:tcW w:type="dxa" w:w="1440"/>
          </w:tcPr>
          <w:p>
            <w:pPr>
              <w:jc w:val="center"/>
            </w:pPr>
            <w:r/>
            <w:r>
              <w:rPr>
                <w:color w:val="222222"/>
                <w:sz w:val="19"/>
              </w:rPr>
              <w:t>16.6</w:t>
            </w:r>
          </w:p>
        </w:tc>
      </w:tr>
      <w:tr>
        <w:tc>
          <w:tcPr>
            <w:tcW w:type="dxa" w:w="2160"/>
            <w:shd w:val="clear" w:fill="F2F6F6"/>
          </w:tcPr>
          <w:p>
            <w:pPr>
              <w:jc w:val="left"/>
            </w:pPr>
            <w:r/>
            <w:r>
              <w:rPr>
                <w:b/>
                <w:color w:val="222222"/>
                <w:sz w:val="19"/>
              </w:rPr>
              <w:t>9.5%</w:t>
            </w:r>
          </w:p>
        </w:tc>
        <w:tc>
          <w:tcPr>
            <w:tcW w:type="dxa" w:w="1440"/>
            <w:shd w:val="clear" w:fill="F2F6F6"/>
          </w:tcPr>
          <w:p>
            <w:pPr>
              <w:jc w:val="center"/>
            </w:pPr>
            <w:r/>
            <w:r>
              <w:rPr>
                <w:color w:val="222222"/>
                <w:sz w:val="19"/>
              </w:rPr>
              <w:t>11.0</w:t>
            </w:r>
          </w:p>
        </w:tc>
        <w:tc>
          <w:tcPr>
            <w:tcW w:type="dxa" w:w="1440"/>
            <w:shd w:val="clear" w:fill="F2F6F6"/>
          </w:tcPr>
          <w:p>
            <w:pPr>
              <w:jc w:val="center"/>
            </w:pPr>
            <w:r/>
            <w:r>
              <w:rPr>
                <w:color w:val="222222"/>
                <w:sz w:val="19"/>
              </w:rPr>
              <w:t>11.6</w:t>
            </w:r>
          </w:p>
        </w:tc>
        <w:tc>
          <w:tcPr>
            <w:tcW w:type="dxa" w:w="1440"/>
            <w:shd w:val="clear" w:fill="F2F6F6"/>
          </w:tcPr>
          <w:p>
            <w:pPr>
              <w:jc w:val="center"/>
            </w:pPr>
            <w:r/>
            <w:r>
              <w:rPr>
                <w:color w:val="222222"/>
                <w:sz w:val="19"/>
              </w:rPr>
              <w:t>12.4</w:t>
            </w:r>
          </w:p>
        </w:tc>
        <w:tc>
          <w:tcPr>
            <w:tcW w:type="dxa" w:w="1440"/>
            <w:shd w:val="clear" w:fill="F2F6F6"/>
          </w:tcPr>
          <w:p>
            <w:pPr>
              <w:jc w:val="center"/>
            </w:pPr>
            <w:r/>
            <w:r>
              <w:rPr>
                <w:color w:val="222222"/>
                <w:sz w:val="19"/>
              </w:rPr>
              <w:t>13.3</w:t>
            </w:r>
          </w:p>
        </w:tc>
        <w:tc>
          <w:tcPr>
            <w:tcW w:type="dxa" w:w="1440"/>
            <w:shd w:val="clear" w:fill="F2F6F6"/>
          </w:tcPr>
          <w:p>
            <w:pPr>
              <w:jc w:val="center"/>
            </w:pPr>
            <w:r/>
            <w:r>
              <w:rPr>
                <w:color w:val="222222"/>
                <w:sz w:val="19"/>
              </w:rPr>
              <w:t>14.5</w:t>
            </w:r>
          </w:p>
        </w:tc>
      </w:tr>
      <w:tr>
        <w:tc>
          <w:tcPr>
            <w:tcW w:type="dxa" w:w="2160"/>
          </w:tcPr>
          <w:p>
            <w:pPr>
              <w:jc w:val="left"/>
            </w:pPr>
            <w:r/>
            <w:r>
              <w:rPr>
                <w:b/>
                <w:color w:val="222222"/>
                <w:sz w:val="19"/>
              </w:rPr>
              <w:t>10.0%</w:t>
            </w:r>
          </w:p>
        </w:tc>
        <w:tc>
          <w:tcPr>
            <w:tcW w:type="dxa" w:w="1440"/>
          </w:tcPr>
          <w:p>
            <w:pPr>
              <w:jc w:val="center"/>
            </w:pPr>
            <w:r/>
            <w:r>
              <w:rPr>
                <w:color w:val="222222"/>
                <w:sz w:val="19"/>
              </w:rPr>
              <w:t>10.2</w:t>
            </w:r>
          </w:p>
        </w:tc>
        <w:tc>
          <w:tcPr>
            <w:tcW w:type="dxa" w:w="1440"/>
          </w:tcPr>
          <w:p>
            <w:pPr>
              <w:jc w:val="center"/>
            </w:pPr>
            <w:r/>
            <w:r>
              <w:rPr>
                <w:color w:val="222222"/>
                <w:sz w:val="19"/>
              </w:rPr>
              <w:t>10.7</w:t>
            </w:r>
          </w:p>
        </w:tc>
        <w:tc>
          <w:tcPr>
            <w:tcW w:type="dxa" w:w="1440"/>
          </w:tcPr>
          <w:p>
            <w:pPr>
              <w:jc w:val="center"/>
            </w:pPr>
            <w:r/>
            <w:r>
              <w:rPr>
                <w:color w:val="222222"/>
                <w:sz w:val="19"/>
              </w:rPr>
              <w:t>11.4</w:t>
            </w:r>
          </w:p>
        </w:tc>
        <w:tc>
          <w:tcPr>
            <w:tcW w:type="dxa" w:w="1440"/>
          </w:tcPr>
          <w:p>
            <w:pPr>
              <w:jc w:val="center"/>
            </w:pPr>
            <w:r/>
            <w:r>
              <w:rPr>
                <w:color w:val="222222"/>
                <w:sz w:val="19"/>
              </w:rPr>
              <w:t>12.1</w:t>
            </w:r>
          </w:p>
        </w:tc>
        <w:tc>
          <w:tcPr>
            <w:tcW w:type="dxa" w:w="1440"/>
          </w:tcPr>
          <w:p>
            <w:pPr>
              <w:jc w:val="center"/>
            </w:pPr>
            <w:r/>
            <w:r>
              <w:rPr>
                <w:color w:val="222222"/>
                <w:sz w:val="19"/>
              </w:rPr>
              <w:t>13.1</w:t>
            </w:r>
          </w:p>
        </w:tc>
      </w:tr>
      <w:tr>
        <w:tc>
          <w:tcPr>
            <w:tcW w:type="dxa" w:w="2160"/>
            <w:shd w:val="clear" w:fill="F2F6F6"/>
          </w:tcPr>
          <w:p>
            <w:pPr>
              <w:jc w:val="left"/>
            </w:pPr>
            <w:r/>
            <w:r>
              <w:rPr>
                <w:b/>
                <w:color w:val="222222"/>
                <w:sz w:val="19"/>
              </w:rPr>
              <w:t>10.5%</w:t>
            </w:r>
          </w:p>
        </w:tc>
        <w:tc>
          <w:tcPr>
            <w:tcW w:type="dxa" w:w="1440"/>
            <w:shd w:val="clear" w:fill="F2F6F6"/>
          </w:tcPr>
          <w:p>
            <w:pPr>
              <w:jc w:val="center"/>
            </w:pPr>
            <w:r/>
            <w:r>
              <w:rPr>
                <w:color w:val="222222"/>
                <w:sz w:val="19"/>
              </w:rPr>
              <w:t>9.6</w:t>
            </w:r>
          </w:p>
        </w:tc>
        <w:tc>
          <w:tcPr>
            <w:tcW w:type="dxa" w:w="1440"/>
            <w:shd w:val="clear" w:fill="F2F6F6"/>
          </w:tcPr>
          <w:p>
            <w:pPr>
              <w:jc w:val="center"/>
            </w:pPr>
            <w:r/>
            <w:r>
              <w:rPr>
                <w:color w:val="222222"/>
                <w:sz w:val="19"/>
              </w:rPr>
              <w:t>10.0</w:t>
            </w:r>
          </w:p>
        </w:tc>
        <w:tc>
          <w:tcPr>
            <w:tcW w:type="dxa" w:w="1440"/>
            <w:shd w:val="clear" w:fill="F2F6F6"/>
          </w:tcPr>
          <w:p>
            <w:pPr>
              <w:jc w:val="center"/>
            </w:pPr>
            <w:r/>
            <w:r>
              <w:rPr>
                <w:color w:val="222222"/>
                <w:sz w:val="19"/>
              </w:rPr>
              <w:t>10.5</w:t>
            </w:r>
          </w:p>
        </w:tc>
        <w:tc>
          <w:tcPr>
            <w:tcW w:type="dxa" w:w="1440"/>
            <w:shd w:val="clear" w:fill="F2F6F6"/>
          </w:tcPr>
          <w:p>
            <w:pPr>
              <w:jc w:val="center"/>
            </w:pPr>
            <w:r/>
            <w:r>
              <w:rPr>
                <w:color w:val="222222"/>
                <w:sz w:val="19"/>
              </w:rPr>
              <w:t>11.1</w:t>
            </w:r>
          </w:p>
        </w:tc>
        <w:tc>
          <w:tcPr>
            <w:tcW w:type="dxa" w:w="1440"/>
            <w:shd w:val="clear" w:fill="F2F6F6"/>
          </w:tcPr>
          <w:p>
            <w:pPr>
              <w:jc w:val="center"/>
            </w:pPr>
            <w:r/>
            <w:r>
              <w:rPr>
                <w:color w:val="222222"/>
                <w:sz w:val="19"/>
              </w:rPr>
              <w:t>11.9</w:t>
            </w:r>
          </w:p>
        </w:tc>
      </w:tr>
      <w:tr>
        <w:tc>
          <w:tcPr>
            <w:tcW w:type="dxa" w:w="2160"/>
          </w:tcPr>
          <w:p>
            <w:pPr>
              <w:jc w:val="left"/>
            </w:pPr>
            <w:r/>
            <w:r>
              <w:rPr>
                <w:b/>
                <w:color w:val="222222"/>
                <w:sz w:val="19"/>
              </w:rPr>
              <w:t>11.0%</w:t>
            </w:r>
          </w:p>
        </w:tc>
        <w:tc>
          <w:tcPr>
            <w:tcW w:type="dxa" w:w="1440"/>
          </w:tcPr>
          <w:p>
            <w:pPr>
              <w:jc w:val="center"/>
            </w:pPr>
            <w:r/>
            <w:r>
              <w:rPr>
                <w:color w:val="222222"/>
                <w:sz w:val="19"/>
              </w:rPr>
              <w:t>9.0</w:t>
            </w:r>
          </w:p>
        </w:tc>
        <w:tc>
          <w:tcPr>
            <w:tcW w:type="dxa" w:w="1440"/>
          </w:tcPr>
          <w:p>
            <w:pPr>
              <w:jc w:val="center"/>
            </w:pPr>
            <w:r/>
            <w:r>
              <w:rPr>
                <w:color w:val="222222"/>
                <w:sz w:val="19"/>
              </w:rPr>
              <w:t>9.4</w:t>
            </w:r>
          </w:p>
        </w:tc>
        <w:tc>
          <w:tcPr>
            <w:tcW w:type="dxa" w:w="1440"/>
          </w:tcPr>
          <w:p>
            <w:pPr>
              <w:jc w:val="center"/>
            </w:pPr>
            <w:r/>
            <w:r>
              <w:rPr>
                <w:color w:val="222222"/>
                <w:sz w:val="19"/>
              </w:rPr>
              <w:t>9.8</w:t>
            </w:r>
          </w:p>
        </w:tc>
        <w:tc>
          <w:tcPr>
            <w:tcW w:type="dxa" w:w="1440"/>
          </w:tcPr>
          <w:p>
            <w:pPr>
              <w:jc w:val="center"/>
            </w:pPr>
            <w:r/>
            <w:r>
              <w:rPr>
                <w:color w:val="222222"/>
                <w:sz w:val="19"/>
              </w:rPr>
              <w:t>10.3</w:t>
            </w:r>
          </w:p>
        </w:tc>
        <w:tc>
          <w:tcPr>
            <w:tcW w:type="dxa" w:w="1440"/>
          </w:tcPr>
          <w:p>
            <w:pPr>
              <w:jc w:val="center"/>
            </w:pPr>
            <w:r/>
            <w:r>
              <w:rPr>
                <w:color w:val="222222"/>
                <w:sz w:val="19"/>
              </w:rPr>
              <w:t>10.9</w:t>
            </w:r>
          </w:p>
        </w:tc>
      </w:tr>
    </w:tbl>
    <w:p>
      <w:pPr>
        <w:spacing w:after="40"/>
      </w:pPr>
    </w:p>
    <w:p>
      <w:pPr>
        <w:spacing w:after="120" w:before="0"/>
      </w:pPr>
      <w:r>
        <w:rPr>
          <w:rFonts w:ascii="Calibri" w:hAnsi="Calibri"/>
          <w:b w:val="0"/>
          <w:i w:val="0"/>
          <w:color w:val="222222"/>
          <w:sz w:val="21"/>
        </w:rPr>
        <w:t>At our base WACC of about 9.7% and 3% terminal growth the DCF sits around QR 11.0–11.4; a percentage point of WACC either way moves it roughly ±QR 1.3. The point is not the single cell but the tilt: this is a duration-sensitive, low-growth cash generator, and its fair value is as much a bet on the discount rate as on the operations.</w:t>
      </w:r>
    </w:p>
    <w:p>
      <w:pPr>
        <w:keepNext/>
        <w:spacing w:before="280" w:after="120"/>
      </w:pPr>
      <w:r>
        <w:rPr>
          <w:b/>
          <w:color w:val="1B5E5E"/>
          <w:sz w:val="32"/>
        </w:rPr>
        <w:t>2 · Technical and price structure</w:t>
      </w:r>
    </w:p>
    <w:p>
      <w:pPr>
        <w:spacing w:after="120" w:before="0"/>
      </w:pPr>
      <w:r>
        <w:rPr>
          <w:rFonts w:ascii="Calibri" w:hAnsi="Calibri"/>
          <w:b w:val="0"/>
          <w:i w:val="0"/>
          <w:color w:val="222222"/>
          <w:sz w:val="21"/>
        </w:rPr>
        <w:t>The tape is weak and has been for a year. At QR 11.07 the price sits below all four moving averages — the 20-day (QR 11.37), 50-day (QR 11.85), 100-day (QR 11.79) and 200-day (QR 12.07) — a full bearish stack. The 14-day RSI at about 36 is approaching oversold without being washed out. MACD is negative (-0.24 line versus -0.22 signal), and the histogram is mildly negative, so momentum is soft but no longer accelerating downward. The stock is near the floor of its QR 10.60–13.41 twelve-month range, and its trailing realized volatility is about 20%.</w:t>
      </w:r>
    </w:p>
    <w:tbl>
      <w:tblPr>
        <w:tblW w:type="auto" w:w="0"/>
        <w:jc w:val="center"/>
        <w:tblLayout w:type="fixed"/>
        <w:tblLook w:firstColumn="1" w:firstRow="1" w:lastColumn="0" w:lastRow="0" w:noHBand="0" w:noVBand="1" w:val="04A0"/>
      </w:tblPr>
      <w:tblGrid>
        <w:gridCol w:w="2880"/>
        <w:gridCol w:w="2880"/>
        <w:gridCol w:w="2880"/>
      </w:tblGrid>
      <w:tr>
        <w:tc>
          <w:tcPr>
            <w:tcW w:type="dxa" w:w="2736"/>
            <w:shd w:val="clear" w:fill="1B5E5E"/>
          </w:tcPr>
          <w:p>
            <w:pPr>
              <w:jc w:val="left"/>
            </w:pPr>
            <w:r/>
            <w:r>
              <w:rPr>
                <w:b/>
                <w:color w:val="FFFFFF"/>
                <w:sz w:val="19"/>
              </w:rPr>
              <w:t>Indicator</w:t>
            </w:r>
          </w:p>
        </w:tc>
        <w:tc>
          <w:tcPr>
            <w:tcW w:type="dxa" w:w="2880"/>
            <w:shd w:val="clear" w:fill="1B5E5E"/>
          </w:tcPr>
          <w:p>
            <w:pPr>
              <w:jc w:val="center"/>
            </w:pPr>
            <w:r/>
            <w:r>
              <w:rPr>
                <w:b/>
                <w:color w:val="FFFFFF"/>
                <w:sz w:val="19"/>
              </w:rPr>
              <w:t>Reading</w:t>
            </w:r>
          </w:p>
        </w:tc>
        <w:tc>
          <w:tcPr>
            <w:tcW w:type="dxa" w:w="3744"/>
            <w:shd w:val="clear" w:fill="1B5E5E"/>
          </w:tcPr>
          <w:p>
            <w:pPr>
              <w:jc w:val="center"/>
            </w:pPr>
            <w:r/>
            <w:r>
              <w:rPr>
                <w:b/>
                <w:color w:val="FFFFFF"/>
                <w:sz w:val="19"/>
              </w:rPr>
              <w:t>Interpretation</w:t>
            </w:r>
          </w:p>
        </w:tc>
      </w:tr>
      <w:tr>
        <w:tc>
          <w:tcPr>
            <w:tcW w:type="dxa" w:w="2736"/>
          </w:tcPr>
          <w:p>
            <w:pPr>
              <w:jc w:val="left"/>
            </w:pPr>
            <w:r/>
            <w:r>
              <w:rPr>
                <w:b/>
                <w:color w:val="222222"/>
                <w:sz w:val="19"/>
              </w:rPr>
              <w:t>Spot</w:t>
            </w:r>
          </w:p>
        </w:tc>
        <w:tc>
          <w:tcPr>
            <w:tcW w:type="dxa" w:w="2880"/>
          </w:tcPr>
          <w:p>
            <w:pPr>
              <w:jc w:val="center"/>
            </w:pPr>
            <w:r/>
            <w:r>
              <w:rPr>
                <w:color w:val="222222"/>
                <w:sz w:val="19"/>
              </w:rPr>
              <w:t>QR 11.07</w:t>
            </w:r>
          </w:p>
        </w:tc>
        <w:tc>
          <w:tcPr>
            <w:tcW w:type="dxa" w:w="3744"/>
          </w:tcPr>
          <w:p>
            <w:pPr>
              <w:jc w:val="center"/>
            </w:pPr>
            <w:r/>
            <w:r>
              <w:rPr>
                <w:color w:val="222222"/>
                <w:sz w:val="19"/>
              </w:rPr>
              <w:t>—</w:t>
            </w:r>
          </w:p>
        </w:tc>
      </w:tr>
      <w:tr>
        <w:tc>
          <w:tcPr>
            <w:tcW w:type="dxa" w:w="2736"/>
            <w:shd w:val="clear" w:fill="F2F6F6"/>
          </w:tcPr>
          <w:p>
            <w:pPr>
              <w:jc w:val="left"/>
            </w:pPr>
            <w:r/>
            <w:r>
              <w:rPr>
                <w:b/>
                <w:color w:val="222222"/>
                <w:sz w:val="19"/>
              </w:rPr>
              <w:t>SMA 20 / 50</w:t>
            </w:r>
          </w:p>
        </w:tc>
        <w:tc>
          <w:tcPr>
            <w:tcW w:type="dxa" w:w="2880"/>
            <w:shd w:val="clear" w:fill="F2F6F6"/>
          </w:tcPr>
          <w:p>
            <w:pPr>
              <w:jc w:val="center"/>
            </w:pPr>
            <w:r/>
            <w:r>
              <w:rPr>
                <w:color w:val="222222"/>
                <w:sz w:val="19"/>
              </w:rPr>
              <w:t>QR 11.37 / 11.85</w:t>
            </w:r>
          </w:p>
        </w:tc>
        <w:tc>
          <w:tcPr>
            <w:tcW w:type="dxa" w:w="3744"/>
            <w:shd w:val="clear" w:fill="F2F6F6"/>
          </w:tcPr>
          <w:p>
            <w:pPr>
              <w:jc w:val="center"/>
            </w:pPr>
            <w:r/>
            <w:r>
              <w:rPr>
                <w:color w:val="222222"/>
                <w:sz w:val="19"/>
              </w:rPr>
              <w:t>Price below both — short-term weak</w:t>
            </w:r>
          </w:p>
        </w:tc>
      </w:tr>
      <w:tr>
        <w:tc>
          <w:tcPr>
            <w:tcW w:type="dxa" w:w="2736"/>
          </w:tcPr>
          <w:p>
            <w:pPr>
              <w:jc w:val="left"/>
            </w:pPr>
            <w:r/>
            <w:r>
              <w:rPr>
                <w:b/>
                <w:color w:val="222222"/>
                <w:sz w:val="19"/>
              </w:rPr>
              <w:t>SMA 100 / 200</w:t>
            </w:r>
          </w:p>
        </w:tc>
        <w:tc>
          <w:tcPr>
            <w:tcW w:type="dxa" w:w="2880"/>
          </w:tcPr>
          <w:p>
            <w:pPr>
              <w:jc w:val="center"/>
            </w:pPr>
            <w:r/>
            <w:r>
              <w:rPr>
                <w:color w:val="222222"/>
                <w:sz w:val="19"/>
              </w:rPr>
              <w:t>QR 11.79 / 12.07</w:t>
            </w:r>
          </w:p>
        </w:tc>
        <w:tc>
          <w:tcPr>
            <w:tcW w:type="dxa" w:w="3744"/>
          </w:tcPr>
          <w:p>
            <w:pPr>
              <w:jc w:val="center"/>
            </w:pPr>
            <w:r/>
            <w:r>
              <w:rPr>
                <w:color w:val="222222"/>
                <w:sz w:val="19"/>
              </w:rPr>
              <w:t>Price below both — full bearish stack</w:t>
            </w:r>
          </w:p>
        </w:tc>
      </w:tr>
      <w:tr>
        <w:tc>
          <w:tcPr>
            <w:tcW w:type="dxa" w:w="2736"/>
            <w:shd w:val="clear" w:fill="F2F6F6"/>
          </w:tcPr>
          <w:p>
            <w:pPr>
              <w:jc w:val="left"/>
            </w:pPr>
            <w:r/>
            <w:r>
              <w:rPr>
                <w:b/>
                <w:color w:val="222222"/>
                <w:sz w:val="19"/>
              </w:rPr>
              <w:t>RSI (14)</w:t>
            </w:r>
          </w:p>
        </w:tc>
        <w:tc>
          <w:tcPr>
            <w:tcW w:type="dxa" w:w="2880"/>
            <w:shd w:val="clear" w:fill="F2F6F6"/>
          </w:tcPr>
          <w:p>
            <w:pPr>
              <w:jc w:val="center"/>
            </w:pPr>
            <w:r/>
            <w:r>
              <w:rPr>
                <w:color w:val="222222"/>
                <w:sz w:val="19"/>
              </w:rPr>
              <w:t>36</w:t>
            </w:r>
          </w:p>
        </w:tc>
        <w:tc>
          <w:tcPr>
            <w:tcW w:type="dxa" w:w="3744"/>
            <w:shd w:val="clear" w:fill="F2F6F6"/>
          </w:tcPr>
          <w:p>
            <w:pPr>
              <w:jc w:val="center"/>
            </w:pPr>
            <w:r/>
            <w:r>
              <w:rPr>
                <w:color w:val="222222"/>
                <w:sz w:val="19"/>
              </w:rPr>
              <w:t>Approaching oversold</w:t>
            </w:r>
          </w:p>
        </w:tc>
      </w:tr>
      <w:tr>
        <w:tc>
          <w:tcPr>
            <w:tcW w:type="dxa" w:w="2736"/>
          </w:tcPr>
          <w:p>
            <w:pPr>
              <w:jc w:val="left"/>
            </w:pPr>
            <w:r/>
            <w:r>
              <w:rPr>
                <w:b/>
                <w:color w:val="222222"/>
                <w:sz w:val="19"/>
              </w:rPr>
              <w:t>MACD (12/26/9)</w:t>
            </w:r>
          </w:p>
        </w:tc>
        <w:tc>
          <w:tcPr>
            <w:tcW w:type="dxa" w:w="2880"/>
          </w:tcPr>
          <w:p>
            <w:pPr>
              <w:jc w:val="center"/>
            </w:pPr>
            <w:r/>
            <w:r>
              <w:rPr>
                <w:color w:val="222222"/>
                <w:sz w:val="19"/>
              </w:rPr>
              <w:t>-0.24 / -0.22 / -0.02</w:t>
            </w:r>
          </w:p>
        </w:tc>
        <w:tc>
          <w:tcPr>
            <w:tcW w:type="dxa" w:w="3744"/>
          </w:tcPr>
          <w:p>
            <w:pPr>
              <w:jc w:val="center"/>
            </w:pPr>
            <w:r/>
            <w:r>
              <w:rPr>
                <w:color w:val="222222"/>
                <w:sz w:val="19"/>
              </w:rPr>
              <w:t>Negative, flattening</w:t>
            </w:r>
          </w:p>
        </w:tc>
      </w:tr>
      <w:tr>
        <w:tc>
          <w:tcPr>
            <w:tcW w:type="dxa" w:w="2736"/>
            <w:shd w:val="clear" w:fill="F2F6F6"/>
          </w:tcPr>
          <w:p>
            <w:pPr>
              <w:jc w:val="left"/>
            </w:pPr>
            <w:r/>
            <w:r>
              <w:rPr>
                <w:b/>
                <w:color w:val="222222"/>
                <w:sz w:val="19"/>
              </w:rPr>
              <w:t>52-week range</w:t>
            </w:r>
          </w:p>
        </w:tc>
        <w:tc>
          <w:tcPr>
            <w:tcW w:type="dxa" w:w="2880"/>
            <w:shd w:val="clear" w:fill="F2F6F6"/>
          </w:tcPr>
          <w:p>
            <w:pPr>
              <w:jc w:val="center"/>
            </w:pPr>
            <w:r/>
            <w:r>
              <w:rPr>
                <w:color w:val="222222"/>
                <w:sz w:val="19"/>
              </w:rPr>
              <w:t>QR 10.60 – 13.41</w:t>
            </w:r>
          </w:p>
        </w:tc>
        <w:tc>
          <w:tcPr>
            <w:tcW w:type="dxa" w:w="3744"/>
            <w:shd w:val="clear" w:fill="F2F6F6"/>
          </w:tcPr>
          <w:p>
            <w:pPr>
              <w:jc w:val="center"/>
            </w:pPr>
            <w:r/>
            <w:r>
              <w:rPr>
                <w:color w:val="222222"/>
                <w:sz w:val="19"/>
              </w:rPr>
              <w:t>Near the low</w:t>
            </w:r>
          </w:p>
        </w:tc>
      </w:tr>
      <w:tr>
        <w:tc>
          <w:tcPr>
            <w:tcW w:type="dxa" w:w="2736"/>
          </w:tcPr>
          <w:p>
            <w:pPr>
              <w:jc w:val="left"/>
            </w:pPr>
            <w:r/>
            <w:r>
              <w:rPr>
                <w:b/>
                <w:color w:val="222222"/>
                <w:sz w:val="19"/>
              </w:rPr>
              <w:t>Realized vol (252d)</w:t>
            </w:r>
          </w:p>
        </w:tc>
        <w:tc>
          <w:tcPr>
            <w:tcW w:type="dxa" w:w="2880"/>
          </w:tcPr>
          <w:p>
            <w:pPr>
              <w:jc w:val="center"/>
            </w:pPr>
            <w:r/>
            <w:r>
              <w:rPr>
                <w:color w:val="222222"/>
                <w:sz w:val="19"/>
              </w:rPr>
              <w:t>20%</w:t>
            </w:r>
          </w:p>
        </w:tc>
        <w:tc>
          <w:tcPr>
            <w:tcW w:type="dxa" w:w="3744"/>
          </w:tcPr>
          <w:p>
            <w:pPr>
              <w:jc w:val="center"/>
            </w:pPr>
            <w:r/>
            <w:r>
              <w:rPr>
                <w:color w:val="222222"/>
                <w:sz w:val="19"/>
              </w:rPr>
              <w:t>Moderate</w:t>
            </w:r>
          </w:p>
        </w:tc>
      </w:tr>
    </w:tbl>
    <w:p>
      <w:pPr>
        <w:spacing w:after="40"/>
      </w:pPr>
    </w:p>
    <w:p>
      <w:pPr>
        <w:jc w:val="center"/>
      </w:pPr>
      <w:r>
        <w:drawing>
          <wp:inline xmlns:a="http://schemas.openxmlformats.org/drawingml/2006/main" xmlns:pic="http://schemas.openxmlformats.org/drawingml/2006/picture">
            <wp:extent cx="5760720" cy="3145353"/>
            <wp:docPr id="3" name="Picture 3"/>
            <wp:cNvGraphicFramePr>
              <a:graphicFrameLocks noChangeAspect="1"/>
            </wp:cNvGraphicFramePr>
            <a:graphic>
              <a:graphicData uri="http://schemas.openxmlformats.org/drawingml/2006/picture">
                <pic:pic>
                  <pic:nvPicPr>
                    <pic:cNvPr id="0" name="fig3_ma_stack.png"/>
                    <pic:cNvPicPr/>
                  </pic:nvPicPr>
                  <pic:blipFill>
                    <a:blip r:embed="rId11"/>
                    <a:stretch>
                      <a:fillRect/>
                    </a:stretch>
                  </pic:blipFill>
                  <pic:spPr>
                    <a:xfrm>
                      <a:off x="0" y="0"/>
                      <a:ext cx="5760720" cy="3145353"/>
                    </a:xfrm>
                    <a:prstGeom prst="rect"/>
                  </pic:spPr>
                </pic:pic>
              </a:graphicData>
            </a:graphic>
          </wp:inline>
        </w:drawing>
      </w:r>
    </w:p>
    <w:p>
      <w:pPr>
        <w:spacing w:after="160"/>
        <w:jc w:val="center"/>
      </w:pPr>
      <w:r>
        <w:rPr>
          <w:i/>
          <w:color w:val="6B6B6B"/>
          <w:sz w:val="17"/>
        </w:rPr>
        <w:t>Figure 3 · Price versus the moving-average stack, last 260 sessions. Price sits below all four averages — a full bearish alignment.</w:t>
      </w:r>
    </w:p>
    <w:p>
      <w:pPr>
        <w:spacing w:after="120" w:before="0"/>
      </w:pPr>
      <w:r>
        <w:rPr>
          <w:rFonts w:ascii="Calibri" w:hAnsi="Calibri"/>
          <w:b w:val="0"/>
          <w:i w:val="0"/>
          <w:color w:val="222222"/>
          <w:sz w:val="21"/>
        </w:rPr>
        <w:t>The technical read reinforces the fundamental one: this is an unloved, oversold quasi-sovereign at the bottom of its range. That is not a signal — we publish no signals — but it frames the Monte Carlo, which centres its three-month distribution on spot rather than assuming any trend continuation.</w:t>
      </w:r>
    </w:p>
    <w:p>
      <w:pPr>
        <w:keepNext/>
        <w:spacing w:before="280" w:after="120"/>
      </w:pPr>
      <w:r>
        <w:rPr>
          <w:b/>
          <w:color w:val="1B5E5E"/>
          <w:sz w:val="32"/>
        </w:rPr>
        <w:t>3 · Monte Carlo simulation</w:t>
      </w:r>
    </w:p>
    <w:p>
      <w:pPr>
        <w:spacing w:after="120" w:before="0"/>
      </w:pPr>
      <w:r>
        <w:rPr>
          <w:rFonts w:ascii="Calibri" w:hAnsi="Calibri"/>
          <w:b w:val="0"/>
          <w:i w:val="0"/>
          <w:color w:val="222222"/>
          <w:sz w:val="21"/>
        </w:rPr>
        <w:t>The simulation sizes three-month uncertainty with the YZ-HAR engine, not a naive trailing-volatility cone. Width comes from a pooled log-HAR variance cascade (lags 1, 5 and 22) built on a gap-aware Yang-Zhang variance proxy, so the cone is tight in calm tape and wide in a storm. Shape comes from unit-variance Student-t(5) innovations — a tighter interquartile body and honest tails. Drift is asset-class-conditional: because Industries Qatar is an international, non-EGX name with a flat five-year price history, the secular own-history drift is switched off; only a small net tilt from the sixteen factors remains. Paths diffuse from spot, and the §1 value gap is deliberately kept out of the drift.</w:t>
      </w:r>
    </w:p>
    <w:p>
      <w:pPr>
        <w:spacing w:after="120" w:before="0"/>
      </w:pPr>
      <w:r>
        <w:rPr>
          <w:rFonts w:ascii="Calibri" w:hAnsi="Calibri"/>
          <w:b w:val="0"/>
          <w:i w:val="0"/>
          <w:color w:val="222222"/>
          <w:sz w:val="21"/>
        </w:rPr>
        <w:t>Fifty thousand paths, seed 42, over sixty trading days give a projected annualized volatility of about 22%. The variance-ratio diagnostic is 0.86 — below one, meaning the stock's quarterly dispersion is tighter than a random walk would imply, a mild mean-reversion the engine reflects. The distribution centres on spot with a right skew, because the discrete catalysts (Ammonia-7, a gas or urea shock, a Ras Laffan ramp) are net positive while the single large downside is regional conflict.</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2880"/>
            <w:shd w:val="clear" w:fill="1B5E5E"/>
          </w:tcPr>
          <w:p>
            <w:pPr>
              <w:jc w:val="left"/>
            </w:pPr>
            <w:r/>
            <w:r>
              <w:rPr>
                <w:b/>
                <w:color w:val="FFFFFF"/>
                <w:sz w:val="19"/>
              </w:rPr>
              <w:t>Horizon</w:t>
            </w:r>
          </w:p>
        </w:tc>
        <w:tc>
          <w:tcPr>
            <w:tcW w:type="dxa" w:w="1296"/>
            <w:shd w:val="clear" w:fill="1B5E5E"/>
          </w:tcPr>
          <w:p>
            <w:pPr>
              <w:jc w:val="center"/>
            </w:pPr>
            <w:r/>
            <w:r>
              <w:rPr>
                <w:b/>
                <w:color w:val="FFFFFF"/>
                <w:sz w:val="19"/>
              </w:rPr>
              <w:t>p5</w:t>
            </w:r>
          </w:p>
        </w:tc>
        <w:tc>
          <w:tcPr>
            <w:tcW w:type="dxa" w:w="1296"/>
            <w:shd w:val="clear" w:fill="1B5E5E"/>
          </w:tcPr>
          <w:p>
            <w:pPr>
              <w:jc w:val="center"/>
            </w:pPr>
            <w:r/>
            <w:r>
              <w:rPr>
                <w:b/>
                <w:color w:val="FFFFFF"/>
                <w:sz w:val="19"/>
              </w:rPr>
              <w:t>p25</w:t>
            </w:r>
          </w:p>
        </w:tc>
        <w:tc>
          <w:tcPr>
            <w:tcW w:type="dxa" w:w="1584"/>
            <w:shd w:val="clear" w:fill="1B5E5E"/>
          </w:tcPr>
          <w:p>
            <w:pPr>
              <w:jc w:val="center"/>
            </w:pPr>
            <w:r/>
            <w:r>
              <w:rPr>
                <w:b/>
                <w:color w:val="FFFFFF"/>
                <w:sz w:val="19"/>
              </w:rPr>
              <w:t>p50 (median)</w:t>
            </w:r>
          </w:p>
        </w:tc>
        <w:tc>
          <w:tcPr>
            <w:tcW w:type="dxa" w:w="1296"/>
            <w:shd w:val="clear" w:fill="1B5E5E"/>
          </w:tcPr>
          <w:p>
            <w:pPr>
              <w:jc w:val="center"/>
            </w:pPr>
            <w:r/>
            <w:r>
              <w:rPr>
                <w:b/>
                <w:color w:val="FFFFFF"/>
                <w:sz w:val="19"/>
              </w:rPr>
              <w:t>p75</w:t>
            </w:r>
          </w:p>
        </w:tc>
        <w:tc>
          <w:tcPr>
            <w:tcW w:type="dxa" w:w="1296"/>
            <w:shd w:val="clear" w:fill="1B5E5E"/>
          </w:tcPr>
          <w:p>
            <w:pPr>
              <w:jc w:val="center"/>
            </w:pPr>
            <w:r/>
            <w:r>
              <w:rPr>
                <w:b/>
                <w:color w:val="FFFFFF"/>
                <w:sz w:val="19"/>
              </w:rPr>
              <w:t>p95</w:t>
            </w:r>
          </w:p>
        </w:tc>
      </w:tr>
      <w:tr>
        <w:tc>
          <w:tcPr>
            <w:tcW w:type="dxa" w:w="2880"/>
          </w:tcPr>
          <w:p>
            <w:pPr>
              <w:jc w:val="left"/>
            </w:pPr>
            <w:r/>
            <w:r>
              <w:rPr>
                <w:b/>
                <w:color w:val="222222"/>
                <w:sz w:val="19"/>
              </w:rPr>
              <w:t>T+20 (≈1 month)</w:t>
            </w:r>
          </w:p>
        </w:tc>
        <w:tc>
          <w:tcPr>
            <w:tcW w:type="dxa" w:w="1296"/>
          </w:tcPr>
          <w:p>
            <w:pPr>
              <w:jc w:val="center"/>
            </w:pPr>
            <w:r/>
            <w:r>
              <w:rPr>
                <w:color w:val="222222"/>
                <w:sz w:val="19"/>
              </w:rPr>
              <w:t>9.62</w:t>
            </w:r>
          </w:p>
        </w:tc>
        <w:tc>
          <w:tcPr>
            <w:tcW w:type="dxa" w:w="1296"/>
          </w:tcPr>
          <w:p>
            <w:pPr>
              <w:jc w:val="center"/>
            </w:pPr>
            <w:r/>
            <w:r>
              <w:rPr>
                <w:color w:val="222222"/>
                <w:sz w:val="19"/>
              </w:rPr>
              <w:t>10.60</w:t>
            </w:r>
          </w:p>
        </w:tc>
        <w:tc>
          <w:tcPr>
            <w:tcW w:type="dxa" w:w="1584"/>
          </w:tcPr>
          <w:p>
            <w:pPr>
              <w:jc w:val="center"/>
            </w:pPr>
            <w:r/>
            <w:r>
              <w:rPr>
                <w:color w:val="222222"/>
                <w:sz w:val="19"/>
              </w:rPr>
              <w:t>11.13</w:t>
            </w:r>
          </w:p>
        </w:tc>
        <w:tc>
          <w:tcPr>
            <w:tcW w:type="dxa" w:w="1296"/>
          </w:tcPr>
          <w:p>
            <w:pPr>
              <w:jc w:val="center"/>
            </w:pPr>
            <w:r/>
            <w:r>
              <w:rPr>
                <w:color w:val="222222"/>
                <w:sz w:val="19"/>
              </w:rPr>
              <w:t>11.67</w:t>
            </w:r>
          </w:p>
        </w:tc>
        <w:tc>
          <w:tcPr>
            <w:tcW w:type="dxa" w:w="1296"/>
          </w:tcPr>
          <w:p>
            <w:pPr>
              <w:jc w:val="center"/>
            </w:pPr>
            <w:r/>
            <w:r>
              <w:rPr>
                <w:color w:val="222222"/>
                <w:sz w:val="19"/>
              </w:rPr>
              <w:t>12.73</w:t>
            </w:r>
          </w:p>
        </w:tc>
      </w:tr>
      <w:tr>
        <w:tc>
          <w:tcPr>
            <w:tcW w:type="dxa" w:w="2880"/>
            <w:shd w:val="clear" w:fill="F2F6F6"/>
          </w:tcPr>
          <w:p>
            <w:pPr>
              <w:jc w:val="left"/>
            </w:pPr>
            <w:r/>
            <w:r>
              <w:rPr>
                <w:b/>
                <w:color w:val="222222"/>
                <w:sz w:val="19"/>
              </w:rPr>
              <w:t>T+60 (≈3 months)</w:t>
            </w:r>
          </w:p>
        </w:tc>
        <w:tc>
          <w:tcPr>
            <w:tcW w:type="dxa" w:w="1296"/>
            <w:shd w:val="clear" w:fill="F2F6F6"/>
          </w:tcPr>
          <w:p>
            <w:pPr>
              <w:jc w:val="center"/>
            </w:pPr>
            <w:r/>
            <w:r>
              <w:rPr>
                <w:color w:val="222222"/>
                <w:sz w:val="19"/>
              </w:rPr>
              <w:t>8.84</w:t>
            </w:r>
          </w:p>
        </w:tc>
        <w:tc>
          <w:tcPr>
            <w:tcW w:type="dxa" w:w="1296"/>
            <w:shd w:val="clear" w:fill="F2F6F6"/>
          </w:tcPr>
          <w:p>
            <w:pPr>
              <w:jc w:val="center"/>
            </w:pPr>
            <w:r/>
            <w:r>
              <w:rPr>
                <w:color w:val="222222"/>
                <w:sz w:val="19"/>
              </w:rPr>
              <w:t>10.24</w:t>
            </w:r>
          </w:p>
        </w:tc>
        <w:tc>
          <w:tcPr>
            <w:tcW w:type="dxa" w:w="1584"/>
            <w:shd w:val="clear" w:fill="F2F6F6"/>
          </w:tcPr>
          <w:p>
            <w:pPr>
              <w:jc w:val="center"/>
            </w:pPr>
            <w:r/>
            <w:r>
              <w:rPr>
                <w:color w:val="222222"/>
                <w:sz w:val="19"/>
              </w:rPr>
              <w:t>11.21</w:t>
            </w:r>
          </w:p>
        </w:tc>
        <w:tc>
          <w:tcPr>
            <w:tcW w:type="dxa" w:w="1296"/>
            <w:shd w:val="clear" w:fill="F2F6F6"/>
          </w:tcPr>
          <w:p>
            <w:pPr>
              <w:jc w:val="center"/>
            </w:pPr>
            <w:r/>
            <w:r>
              <w:rPr>
                <w:color w:val="222222"/>
                <w:sz w:val="19"/>
              </w:rPr>
              <w:t>12.25</w:t>
            </w:r>
          </w:p>
        </w:tc>
        <w:tc>
          <w:tcPr>
            <w:tcW w:type="dxa" w:w="1296"/>
            <w:shd w:val="clear" w:fill="F2F6F6"/>
          </w:tcPr>
          <w:p>
            <w:pPr>
              <w:jc w:val="center"/>
            </w:pPr>
            <w:r/>
            <w:r>
              <w:rPr>
                <w:color w:val="222222"/>
                <w:sz w:val="19"/>
              </w:rPr>
              <w:t>14.08</w:t>
            </w:r>
          </w:p>
        </w:tc>
      </w:tr>
    </w:tbl>
    <w:p>
      <w:pPr>
        <w:spacing w:after="40"/>
      </w:pPr>
    </w:p>
    <w:p>
      <w:pPr>
        <w:jc w:val="center"/>
      </w:pPr>
      <w:r>
        <w:drawing>
          <wp:inline xmlns:a="http://schemas.openxmlformats.org/drawingml/2006/main" xmlns:pic="http://schemas.openxmlformats.org/drawingml/2006/picture">
            <wp:extent cx="5760720" cy="3145353"/>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760720" cy="3145353"/>
                    </a:xfrm>
                    <a:prstGeom prst="rect"/>
                  </pic:spPr>
                </pic:pic>
              </a:graphicData>
            </a:graphic>
          </wp:inline>
        </w:drawing>
      </w:r>
    </w:p>
    <w:p>
      <w:pPr>
        <w:spacing w:after="160"/>
        <w:jc w:val="center"/>
      </w:pPr>
      <w:r>
        <w:rPr>
          <w:i/>
          <w:color w:val="6B6B6B"/>
          <w:sz w:val="17"/>
        </w:rPr>
        <w:t>Figure 4 · Forward price cone to T+60. Median in teal, 25–75% and 5–95% bands shaded; brass dashed = spot anchor, gold dotted = central fair value.</w:t>
      </w:r>
    </w:p>
    <w:p>
      <w:pPr>
        <w:spacing w:after="120" w:before="0"/>
      </w:pPr>
      <w:r>
        <w:rPr>
          <w:rFonts w:ascii="Calibri" w:hAnsi="Calibri"/>
          <w:b w:val="0"/>
          <w:i w:val="0"/>
          <w:color w:val="222222"/>
          <w:sz w:val="21"/>
        </w:rPr>
        <w:t>Lead with the 50% band, not the tail. Over three months the interquartile range is QR 10.24–12.25 — the genuine coin-flip zone. The wider 5–95% span of QR 8.84–14.08 is the tail, and the right side is fatter than the left, reflecting the catalyst skew.</w:t>
      </w:r>
    </w:p>
    <w:p>
      <w:pPr>
        <w:jc w:val="center"/>
      </w:pPr>
      <w:r>
        <w:drawing>
          <wp:inline xmlns:a="http://schemas.openxmlformats.org/drawingml/2006/main" xmlns:pic="http://schemas.openxmlformats.org/drawingml/2006/picture">
            <wp:extent cx="5120640" cy="2664509"/>
            <wp:docPr id="5" name="Picture 5"/>
            <wp:cNvGraphicFramePr>
              <a:graphicFrameLocks noChangeAspect="1"/>
            </wp:cNvGraphicFramePr>
            <a:graphic>
              <a:graphicData uri="http://schemas.openxmlformats.org/drawingml/2006/picture">
                <pic:pic>
                  <pic:nvPicPr>
                    <pic:cNvPr id="0" name="fig5_dist_t20.png"/>
                    <pic:cNvPicPr/>
                  </pic:nvPicPr>
                  <pic:blipFill>
                    <a:blip r:embed="rId13"/>
                    <a:stretch>
                      <a:fillRect/>
                    </a:stretch>
                  </pic:blipFill>
                  <pic:spPr>
                    <a:xfrm>
                      <a:off x="0" y="0"/>
                      <a:ext cx="5120640" cy="2664509"/>
                    </a:xfrm>
                    <a:prstGeom prst="rect"/>
                  </pic:spPr>
                </pic:pic>
              </a:graphicData>
            </a:graphic>
          </wp:inline>
        </w:drawing>
      </w:r>
    </w:p>
    <w:p>
      <w:pPr>
        <w:spacing w:after="160"/>
        <w:jc w:val="center"/>
      </w:pPr>
      <w:r>
        <w:rPr>
          <w:i/>
          <w:color w:val="6B6B6B"/>
          <w:sz w:val="17"/>
        </w:rPr>
        <w:t>Figure 5 · Price distribution at T+20 (≈ one month). Median and 5th/95th percentiles marked; dashed = spot.</w:t>
      </w:r>
    </w:p>
    <w:p>
      <w:pPr>
        <w:jc w:val="center"/>
      </w:pPr>
      <w:r>
        <w:drawing>
          <wp:inline xmlns:a="http://schemas.openxmlformats.org/drawingml/2006/main" xmlns:pic="http://schemas.openxmlformats.org/drawingml/2006/picture">
            <wp:extent cx="5120640" cy="2662733"/>
            <wp:docPr id="6" name="Picture 6"/>
            <wp:cNvGraphicFramePr>
              <a:graphicFrameLocks noChangeAspect="1"/>
            </wp:cNvGraphicFramePr>
            <a:graphic>
              <a:graphicData uri="http://schemas.openxmlformats.org/drawingml/2006/picture">
                <pic:pic>
                  <pic:nvPicPr>
                    <pic:cNvPr id="0" name="fig6_dist_t60.png"/>
                    <pic:cNvPicPr/>
                  </pic:nvPicPr>
                  <pic:blipFill>
                    <a:blip r:embed="rId14"/>
                    <a:stretch>
                      <a:fillRect/>
                    </a:stretch>
                  </pic:blipFill>
                  <pic:spPr>
                    <a:xfrm>
                      <a:off x="0" y="0"/>
                      <a:ext cx="5120640" cy="2662733"/>
                    </a:xfrm>
                    <a:prstGeom prst="rect"/>
                  </pic:spPr>
                </pic:pic>
              </a:graphicData>
            </a:graphic>
          </wp:inline>
        </w:drawing>
      </w:r>
    </w:p>
    <w:p>
      <w:pPr>
        <w:spacing w:after="160"/>
        <w:jc w:val="center"/>
      </w:pPr>
      <w:r>
        <w:rPr>
          <w:i/>
          <w:color w:val="6B6B6B"/>
          <w:sz w:val="17"/>
        </w:rPr>
        <w:t>Figure 6 · Price distribution at T+60 (≈ three months). The right skew from the catalyst set is visible in the tail.</w:t>
      </w:r>
    </w:p>
    <w:p>
      <w:pPr>
        <w:spacing w:after="80" w:before="0"/>
      </w:pPr>
      <w:r>
        <w:rPr>
          <w:rFonts w:ascii="Calibri" w:hAnsi="Calibri"/>
          <w:b w:val="0"/>
          <w:i w:val="0"/>
          <w:color w:val="222222"/>
          <w:sz w:val="21"/>
        </w:rPr>
        <w:t>The touch-probability ladder reads the same distribution as the chance the price trades through a level at any point before the horizon — always higher than the chance of ending there.</w:t>
      </w:r>
    </w:p>
    <w:tbl>
      <w:tblPr>
        <w:tblW w:type="auto" w:w="0"/>
        <w:jc w:val="center"/>
        <w:tblLayout w:type="fixed"/>
        <w:tblLook w:firstColumn="1" w:firstRow="1" w:lastColumn="0" w:lastRow="0" w:noHBand="0" w:noVBand="1" w:val="04A0"/>
      </w:tblPr>
      <w:tblGrid>
        <w:gridCol w:w="2880"/>
        <w:gridCol w:w="2880"/>
        <w:gridCol w:w="2880"/>
      </w:tblGrid>
      <w:tr>
        <w:tc>
          <w:tcPr>
            <w:tcW w:type="dxa" w:w="2880"/>
            <w:shd w:val="clear" w:fill="1B5E5E"/>
          </w:tcPr>
          <w:p>
            <w:pPr>
              <w:jc w:val="left"/>
            </w:pPr>
            <w:r/>
            <w:r>
              <w:rPr>
                <w:b/>
                <w:color w:val="FFFFFF"/>
                <w:sz w:val="19"/>
              </w:rPr>
              <w:t>Level</w:t>
            </w:r>
          </w:p>
        </w:tc>
        <w:tc>
          <w:tcPr>
            <w:tcW w:type="dxa" w:w="3168"/>
            <w:shd w:val="clear" w:fill="1B5E5E"/>
          </w:tcPr>
          <w:p>
            <w:pPr>
              <w:jc w:val="center"/>
            </w:pPr>
            <w:r/>
            <w:r>
              <w:rPr>
                <w:b/>
                <w:color w:val="FFFFFF"/>
                <w:sz w:val="19"/>
              </w:rPr>
              <w:t>P(touch by T+20)</w:t>
            </w:r>
          </w:p>
        </w:tc>
        <w:tc>
          <w:tcPr>
            <w:tcW w:type="dxa" w:w="3168"/>
            <w:shd w:val="clear" w:fill="1B5E5E"/>
          </w:tcPr>
          <w:p>
            <w:pPr>
              <w:jc w:val="center"/>
            </w:pPr>
            <w:r/>
            <w:r>
              <w:rPr>
                <w:b/>
                <w:color w:val="FFFFFF"/>
                <w:sz w:val="19"/>
              </w:rPr>
              <w:t>P(touch by T+60)</w:t>
            </w:r>
          </w:p>
        </w:tc>
      </w:tr>
      <w:tr>
        <w:tc>
          <w:tcPr>
            <w:tcW w:type="dxa" w:w="2880"/>
          </w:tcPr>
          <w:p>
            <w:pPr>
              <w:jc w:val="left"/>
            </w:pPr>
            <w:r/>
            <w:r>
              <w:rPr>
                <w:b/>
                <w:color w:val="222222"/>
                <w:sz w:val="19"/>
              </w:rPr>
              <w:t>QR 13.00</w:t>
            </w:r>
          </w:p>
        </w:tc>
        <w:tc>
          <w:tcPr>
            <w:tcW w:type="dxa" w:w="3168"/>
          </w:tcPr>
          <w:p>
            <w:pPr>
              <w:jc w:val="center"/>
            </w:pPr>
            <w:r/>
            <w:r>
              <w:rPr>
                <w:color w:val="222222"/>
                <w:sz w:val="19"/>
              </w:rPr>
              <w:t>6%</w:t>
            </w:r>
          </w:p>
        </w:tc>
        <w:tc>
          <w:tcPr>
            <w:tcW w:type="dxa" w:w="3168"/>
          </w:tcPr>
          <w:p>
            <w:pPr>
              <w:jc w:val="center"/>
            </w:pPr>
            <w:r/>
            <w:r>
              <w:rPr>
                <w:color w:val="222222"/>
                <w:sz w:val="19"/>
              </w:rPr>
              <w:t>29%</w:t>
            </w:r>
          </w:p>
        </w:tc>
      </w:tr>
      <w:tr>
        <w:tc>
          <w:tcPr>
            <w:tcW w:type="dxa" w:w="2880"/>
            <w:shd w:val="clear" w:fill="F2F6F6"/>
          </w:tcPr>
          <w:p>
            <w:pPr>
              <w:jc w:val="left"/>
            </w:pPr>
            <w:r/>
            <w:r>
              <w:rPr>
                <w:b/>
                <w:color w:val="222222"/>
                <w:sz w:val="19"/>
              </w:rPr>
              <w:t>QR 12.00</w:t>
            </w:r>
          </w:p>
        </w:tc>
        <w:tc>
          <w:tcPr>
            <w:tcW w:type="dxa" w:w="3168"/>
            <w:shd w:val="clear" w:fill="F2F6F6"/>
          </w:tcPr>
          <w:p>
            <w:pPr>
              <w:jc w:val="center"/>
            </w:pPr>
            <w:r/>
            <w:r>
              <w:rPr>
                <w:color w:val="222222"/>
                <w:sz w:val="19"/>
              </w:rPr>
              <w:t>27%</w:t>
            </w:r>
          </w:p>
        </w:tc>
        <w:tc>
          <w:tcPr>
            <w:tcW w:type="dxa" w:w="3168"/>
            <w:shd w:val="clear" w:fill="F2F6F6"/>
          </w:tcPr>
          <w:p>
            <w:pPr>
              <w:jc w:val="center"/>
            </w:pPr>
            <w:r/>
            <w:r>
              <w:rPr>
                <w:color w:val="222222"/>
                <w:sz w:val="19"/>
              </w:rPr>
              <w:t>58%</w:t>
            </w:r>
          </w:p>
        </w:tc>
      </w:tr>
      <w:tr>
        <w:tc>
          <w:tcPr>
            <w:tcW w:type="dxa" w:w="2880"/>
          </w:tcPr>
          <w:p>
            <w:pPr>
              <w:jc w:val="left"/>
            </w:pPr>
            <w:r/>
            <w:r>
              <w:rPr>
                <w:b/>
                <w:color w:val="222222"/>
                <w:sz w:val="19"/>
              </w:rPr>
              <w:t>QR 11.50</w:t>
            </w:r>
          </w:p>
        </w:tc>
        <w:tc>
          <w:tcPr>
            <w:tcW w:type="dxa" w:w="3168"/>
          </w:tcPr>
          <w:p>
            <w:pPr>
              <w:jc w:val="center"/>
            </w:pPr>
            <w:r/>
            <w:r>
              <w:rPr>
                <w:color w:val="222222"/>
                <w:sz w:val="19"/>
              </w:rPr>
              <w:t>53%</w:t>
            </w:r>
          </w:p>
        </w:tc>
        <w:tc>
          <w:tcPr>
            <w:tcW w:type="dxa" w:w="3168"/>
          </w:tcPr>
          <w:p>
            <w:pPr>
              <w:jc w:val="center"/>
            </w:pPr>
            <w:r/>
            <w:r>
              <w:rPr>
                <w:color w:val="222222"/>
                <w:sz w:val="19"/>
              </w:rPr>
              <w:t>77%</w:t>
            </w:r>
          </w:p>
        </w:tc>
      </w:tr>
      <w:tr>
        <w:tc>
          <w:tcPr>
            <w:tcW w:type="dxa" w:w="2880"/>
            <w:shd w:val="clear" w:fill="F2F6F6"/>
          </w:tcPr>
          <w:p>
            <w:pPr>
              <w:jc w:val="left"/>
            </w:pPr>
            <w:r/>
            <w:r>
              <w:rPr>
                <w:b/>
                <w:color w:val="222222"/>
                <w:sz w:val="19"/>
              </w:rPr>
              <w:t>QR 10.50</w:t>
            </w:r>
          </w:p>
        </w:tc>
        <w:tc>
          <w:tcPr>
            <w:tcW w:type="dxa" w:w="3168"/>
            <w:shd w:val="clear" w:fill="F2F6F6"/>
          </w:tcPr>
          <w:p>
            <w:pPr>
              <w:jc w:val="center"/>
            </w:pPr>
            <w:r/>
            <w:r>
              <w:rPr>
                <w:color w:val="222222"/>
                <w:sz w:val="19"/>
              </w:rPr>
              <w:t>30%</w:t>
            </w:r>
          </w:p>
        </w:tc>
        <w:tc>
          <w:tcPr>
            <w:tcW w:type="dxa" w:w="3168"/>
            <w:shd w:val="clear" w:fill="F2F6F6"/>
          </w:tcPr>
          <w:p>
            <w:pPr>
              <w:jc w:val="center"/>
            </w:pPr>
            <w:r/>
            <w:r>
              <w:rPr>
                <w:color w:val="222222"/>
                <w:sz w:val="19"/>
              </w:rPr>
              <w:t>50%</w:t>
            </w:r>
          </w:p>
        </w:tc>
      </w:tr>
      <w:tr>
        <w:tc>
          <w:tcPr>
            <w:tcW w:type="dxa" w:w="2880"/>
          </w:tcPr>
          <w:p>
            <w:pPr>
              <w:jc w:val="left"/>
            </w:pPr>
            <w:r/>
            <w:r>
              <w:rPr>
                <w:b/>
                <w:color w:val="222222"/>
                <w:sz w:val="19"/>
              </w:rPr>
              <w:t>QR 10.00</w:t>
            </w:r>
          </w:p>
        </w:tc>
        <w:tc>
          <w:tcPr>
            <w:tcW w:type="dxa" w:w="3168"/>
          </w:tcPr>
          <w:p>
            <w:pPr>
              <w:jc w:val="center"/>
            </w:pPr>
            <w:r/>
            <w:r>
              <w:rPr>
                <w:color w:val="222222"/>
                <w:sz w:val="19"/>
              </w:rPr>
              <w:t>12%</w:t>
            </w:r>
          </w:p>
        </w:tc>
        <w:tc>
          <w:tcPr>
            <w:tcW w:type="dxa" w:w="3168"/>
          </w:tcPr>
          <w:p>
            <w:pPr>
              <w:jc w:val="center"/>
            </w:pPr>
            <w:r/>
            <w:r>
              <w:rPr>
                <w:color w:val="222222"/>
                <w:sz w:val="19"/>
              </w:rPr>
              <w:t>29%</w:t>
            </w:r>
          </w:p>
        </w:tc>
      </w:tr>
      <w:tr>
        <w:tc>
          <w:tcPr>
            <w:tcW w:type="dxa" w:w="2880"/>
            <w:shd w:val="clear" w:fill="F2F6F6"/>
          </w:tcPr>
          <w:p>
            <w:pPr>
              <w:jc w:val="left"/>
            </w:pPr>
            <w:r/>
            <w:r>
              <w:rPr>
                <w:b/>
                <w:color w:val="222222"/>
                <w:sz w:val="19"/>
              </w:rPr>
              <w:t>QR 9.50</w:t>
            </w:r>
          </w:p>
        </w:tc>
        <w:tc>
          <w:tcPr>
            <w:tcW w:type="dxa" w:w="3168"/>
            <w:shd w:val="clear" w:fill="F2F6F6"/>
          </w:tcPr>
          <w:p>
            <w:pPr>
              <w:jc w:val="center"/>
            </w:pPr>
            <w:r/>
            <w:r>
              <w:rPr>
                <w:color w:val="222222"/>
                <w:sz w:val="19"/>
              </w:rPr>
              <w:t>5%</w:t>
            </w:r>
          </w:p>
        </w:tc>
        <w:tc>
          <w:tcPr>
            <w:tcW w:type="dxa" w:w="3168"/>
            <w:shd w:val="clear" w:fill="F2F6F6"/>
          </w:tcPr>
          <w:p>
            <w:pPr>
              <w:jc w:val="center"/>
            </w:pPr>
            <w:r/>
            <w:r>
              <w:rPr>
                <w:color w:val="222222"/>
                <w:sz w:val="19"/>
              </w:rPr>
              <w:t>16%</w:t>
            </w:r>
          </w:p>
        </w:tc>
      </w:tr>
    </w:tbl>
    <w:p>
      <w:pPr>
        <w:spacing w:after="40"/>
      </w:pPr>
    </w:p>
    <w:p>
      <w:pPr>
        <w:keepNext/>
        <w:spacing w:before="280" w:after="120"/>
      </w:pPr>
      <w:r>
        <w:rPr>
          <w:b/>
          <w:color w:val="1B5E5E"/>
          <w:sz w:val="32"/>
        </w:rPr>
        <w:t>4 · Comparing the lenses, and a verdict</w:t>
      </w:r>
    </w:p>
    <w:p>
      <w:pPr>
        <w:spacing w:after="120" w:before="0"/>
      </w:pPr>
      <w:r>
        <w:rPr>
          <w:rFonts w:ascii="Calibri" w:hAnsi="Calibri"/>
          <w:b w:val="0"/>
          <w:i w:val="0"/>
          <w:color w:val="222222"/>
          <w:sz w:val="21"/>
        </w:rPr>
        <w:t>The fundamental lenses, the technical read and the Monte Carlo tell one coherent story. Fundamentally, five methods cluster at about QR 10.8 — within 2% of spot — so Industries Qatar is fairly valued, marginally rich if anything, on its parts. Technically, it is oversold and unloved at the bottom of its range. Probabilistically, the three-month distribution is centred on spot with a modest upward skew. None of these is a recommendation; together they say the same thing three ways — the stock is priced for a partial petrochemical recovery, with a roughly 6% dividend yield paying the holder to wait and the Ammonia-7 and Ras Laffan pipeline as the upside options.</w:t>
      </w:r>
    </w:p>
    <w:p>
      <w:pPr>
        <w:spacing w:after="120" w:before="0"/>
      </w:pPr>
      <w:r>
        <w:rPr>
          <w:rFonts w:ascii="Calibri" w:hAnsi="Calibri"/>
          <w:b w:val="0"/>
          <w:i w:val="0"/>
          <w:color w:val="222222"/>
          <w:sz w:val="21"/>
        </w:rPr>
        <w:t>The lenses disagree only at the edges, and the disagreement is informative. The sum-of-the-parts (QR 10.4) is the most conservative because it values the parts on global sector multiples; the DCF (QR 11.4) is the most generous because its terminal value capitalizes the pipeline. The gap between them — about a riyal — is the quasi-sovereign premium plus the growth options. We do not split that difference into a false-precision target; the range is the answer.</w:t>
      </w:r>
    </w:p>
    <w:p>
      <w:pPr>
        <w:keepNext/>
        <w:spacing w:before="280" w:after="120"/>
      </w:pPr>
      <w:r>
        <w:rPr>
          <w:b/>
          <w:color w:val="1B5E5E"/>
          <w:sz w:val="32"/>
        </w:rPr>
        <w:t>5 · Catalysts to watch</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3168"/>
            <w:shd w:val="clear" w:fill="1B5E5E"/>
          </w:tcPr>
          <w:p>
            <w:pPr>
              <w:jc w:val="left"/>
            </w:pPr>
            <w:r/>
            <w:r>
              <w:rPr>
                <w:b/>
                <w:color w:val="FFFFFF"/>
                <w:sz w:val="19"/>
              </w:rPr>
              <w:t>Catalyst</w:t>
            </w:r>
          </w:p>
        </w:tc>
        <w:tc>
          <w:tcPr>
            <w:tcW w:type="dxa" w:w="1440"/>
            <w:shd w:val="clear" w:fill="1B5E5E"/>
          </w:tcPr>
          <w:p>
            <w:pPr>
              <w:jc w:val="center"/>
            </w:pPr>
            <w:r/>
            <w:r>
              <w:rPr>
                <w:b/>
                <w:color w:val="FFFFFF"/>
                <w:sz w:val="19"/>
              </w:rPr>
              <w:t>Timing</w:t>
            </w:r>
          </w:p>
        </w:tc>
        <w:tc>
          <w:tcPr>
            <w:tcW w:type="dxa" w:w="3456"/>
            <w:shd w:val="clear" w:fill="1B5E5E"/>
          </w:tcPr>
          <w:p>
            <w:pPr>
              <w:jc w:val="center"/>
            </w:pPr>
            <w:r/>
            <w:r>
              <w:rPr>
                <w:b/>
                <w:color w:val="FFFFFF"/>
                <w:sz w:val="19"/>
              </w:rPr>
              <w:t>What it changes</w:t>
            </w:r>
          </w:p>
        </w:tc>
        <w:tc>
          <w:tcPr>
            <w:tcW w:type="dxa" w:w="1008"/>
            <w:shd w:val="clear" w:fill="1B5E5E"/>
          </w:tcPr>
          <w:p>
            <w:pPr>
              <w:jc w:val="center"/>
            </w:pPr>
            <w:r/>
            <w:r>
              <w:rPr>
                <w:b/>
                <w:color w:val="FFFFFF"/>
                <w:sz w:val="19"/>
              </w:rPr>
              <w:t>Skew</w:t>
            </w:r>
          </w:p>
        </w:tc>
      </w:tr>
      <w:tr>
        <w:tc>
          <w:tcPr>
            <w:tcW w:type="dxa" w:w="3168"/>
          </w:tcPr>
          <w:p>
            <w:pPr>
              <w:jc w:val="left"/>
            </w:pPr>
            <w:r/>
            <w:r>
              <w:rPr>
                <w:b/>
                <w:color w:val="222222"/>
                <w:sz w:val="19"/>
              </w:rPr>
              <w:t>QAFCO Ammonia-7 start-up</w:t>
            </w:r>
          </w:p>
        </w:tc>
        <w:tc>
          <w:tcPr>
            <w:tcW w:type="dxa" w:w="1440"/>
          </w:tcPr>
          <w:p>
            <w:pPr>
              <w:jc w:val="center"/>
            </w:pPr>
            <w:r/>
            <w:r>
              <w:rPr>
                <w:color w:val="222222"/>
                <w:sz w:val="19"/>
              </w:rPr>
              <w:t>Q2-2026</w:t>
            </w:r>
          </w:p>
        </w:tc>
        <w:tc>
          <w:tcPr>
            <w:tcW w:type="dxa" w:w="3456"/>
          </w:tcPr>
          <w:p>
            <w:pPr>
              <w:jc w:val="center"/>
            </w:pPr>
            <w:r/>
            <w:r>
              <w:rPr>
                <w:color w:val="222222"/>
                <w:sz w:val="19"/>
              </w:rPr>
              <w:t>Blue-ammonia train; ~10% potential earnings uplift</w:t>
            </w:r>
          </w:p>
        </w:tc>
        <w:tc>
          <w:tcPr>
            <w:tcW w:type="dxa" w:w="1008"/>
          </w:tcPr>
          <w:p>
            <w:pPr>
              <w:jc w:val="center"/>
            </w:pPr>
            <w:r/>
            <w:r>
              <w:rPr>
                <w:color w:val="222222"/>
                <w:sz w:val="19"/>
              </w:rPr>
              <w:t>Up</w:t>
            </w:r>
          </w:p>
        </w:tc>
      </w:tr>
      <w:tr>
        <w:tc>
          <w:tcPr>
            <w:tcW w:type="dxa" w:w="3168"/>
            <w:shd w:val="clear" w:fill="F2F6F6"/>
          </w:tcPr>
          <w:p>
            <w:pPr>
              <w:jc w:val="left"/>
            </w:pPr>
            <w:r/>
            <w:r>
              <w:rPr>
                <w:b/>
                <w:color w:val="222222"/>
                <w:sz w:val="19"/>
              </w:rPr>
              <w:t>Petrochemical spread recovery</w:t>
            </w:r>
          </w:p>
        </w:tc>
        <w:tc>
          <w:tcPr>
            <w:tcW w:type="dxa" w:w="1440"/>
            <w:shd w:val="clear" w:fill="F2F6F6"/>
          </w:tcPr>
          <w:p>
            <w:pPr>
              <w:jc w:val="center"/>
            </w:pPr>
            <w:r/>
            <w:r>
              <w:rPr>
                <w:color w:val="222222"/>
                <w:sz w:val="19"/>
              </w:rPr>
              <w:t>2026–27</w:t>
            </w:r>
          </w:p>
        </w:tc>
        <w:tc>
          <w:tcPr>
            <w:tcW w:type="dxa" w:w="3456"/>
            <w:shd w:val="clear" w:fill="F2F6F6"/>
          </w:tcPr>
          <w:p>
            <w:pPr>
              <w:jc w:val="center"/>
            </w:pPr>
            <w:r/>
            <w:r>
              <w:rPr>
                <w:color w:val="222222"/>
                <w:sz w:val="19"/>
              </w:rPr>
              <w:t>Chinese operating rates and PE margins normalizing</w:t>
            </w:r>
          </w:p>
        </w:tc>
        <w:tc>
          <w:tcPr>
            <w:tcW w:type="dxa" w:w="1008"/>
            <w:shd w:val="clear" w:fill="F2F6F6"/>
          </w:tcPr>
          <w:p>
            <w:pPr>
              <w:jc w:val="center"/>
            </w:pPr>
            <w:r/>
            <w:r>
              <w:rPr>
                <w:color w:val="222222"/>
                <w:sz w:val="19"/>
              </w:rPr>
              <w:t>Up</w:t>
            </w:r>
          </w:p>
        </w:tc>
      </w:tr>
      <w:tr>
        <w:tc>
          <w:tcPr>
            <w:tcW w:type="dxa" w:w="3168"/>
          </w:tcPr>
          <w:p>
            <w:pPr>
              <w:jc w:val="left"/>
            </w:pPr>
            <w:r/>
            <w:r>
              <w:rPr>
                <w:b/>
                <w:color w:val="222222"/>
                <w:sz w:val="19"/>
              </w:rPr>
              <w:t>Ras Laffan complex ramp</w:t>
            </w:r>
          </w:p>
        </w:tc>
        <w:tc>
          <w:tcPr>
            <w:tcW w:type="dxa" w:w="1440"/>
          </w:tcPr>
          <w:p>
            <w:pPr>
              <w:jc w:val="center"/>
            </w:pPr>
            <w:r/>
            <w:r>
              <w:rPr>
                <w:color w:val="222222"/>
                <w:sz w:val="19"/>
              </w:rPr>
              <w:t>2026+</w:t>
            </w:r>
          </w:p>
        </w:tc>
        <w:tc>
          <w:tcPr>
            <w:tcW w:type="dxa" w:w="3456"/>
          </w:tcPr>
          <w:p>
            <w:pPr>
              <w:jc w:val="center"/>
            </w:pPr>
            <w:r/>
            <w:r>
              <w:rPr>
                <w:color w:val="222222"/>
                <w:sz w:val="19"/>
              </w:rPr>
              <w:t>New ethane cracker and PE/PVC trains</w:t>
            </w:r>
          </w:p>
        </w:tc>
        <w:tc>
          <w:tcPr>
            <w:tcW w:type="dxa" w:w="1008"/>
          </w:tcPr>
          <w:p>
            <w:pPr>
              <w:jc w:val="center"/>
            </w:pPr>
            <w:r/>
            <w:r>
              <w:rPr>
                <w:color w:val="222222"/>
                <w:sz w:val="19"/>
              </w:rPr>
              <w:t>Up</w:t>
            </w:r>
          </w:p>
        </w:tc>
      </w:tr>
      <w:tr>
        <w:tc>
          <w:tcPr>
            <w:tcW w:type="dxa" w:w="3168"/>
            <w:shd w:val="clear" w:fill="F2F6F6"/>
          </w:tcPr>
          <w:p>
            <w:pPr>
              <w:jc w:val="left"/>
            </w:pPr>
            <w:r/>
            <w:r>
              <w:rPr>
                <w:b/>
                <w:color w:val="222222"/>
                <w:sz w:val="19"/>
              </w:rPr>
              <w:t>Regional conflict / Gulf logistics</w:t>
            </w:r>
          </w:p>
        </w:tc>
        <w:tc>
          <w:tcPr>
            <w:tcW w:type="dxa" w:w="1440"/>
            <w:shd w:val="clear" w:fill="F2F6F6"/>
          </w:tcPr>
          <w:p>
            <w:pPr>
              <w:jc w:val="center"/>
            </w:pPr>
            <w:r/>
            <w:r>
              <w:rPr>
                <w:color w:val="222222"/>
                <w:sz w:val="19"/>
              </w:rPr>
              <w:t>Ongoing</w:t>
            </w:r>
          </w:p>
        </w:tc>
        <w:tc>
          <w:tcPr>
            <w:tcW w:type="dxa" w:w="3456"/>
            <w:shd w:val="clear" w:fill="F2F6F6"/>
          </w:tcPr>
          <w:p>
            <w:pPr>
              <w:jc w:val="center"/>
            </w:pPr>
            <w:r/>
            <w:r>
              <w:rPr>
                <w:color w:val="222222"/>
                <w:sz w:val="19"/>
              </w:rPr>
              <w:t>Direct hit to production and export volumes (see Q1-26)</w:t>
            </w:r>
          </w:p>
        </w:tc>
        <w:tc>
          <w:tcPr>
            <w:tcW w:type="dxa" w:w="1008"/>
            <w:shd w:val="clear" w:fill="F2F6F6"/>
          </w:tcPr>
          <w:p>
            <w:pPr>
              <w:jc w:val="center"/>
            </w:pPr>
            <w:r/>
            <w:r>
              <w:rPr>
                <w:color w:val="222222"/>
                <w:sz w:val="19"/>
              </w:rPr>
              <w:t>Down</w:t>
            </w:r>
          </w:p>
        </w:tc>
      </w:tr>
      <w:tr>
        <w:tc>
          <w:tcPr>
            <w:tcW w:type="dxa" w:w="3168"/>
          </w:tcPr>
          <w:p>
            <w:pPr>
              <w:jc w:val="left"/>
            </w:pPr>
            <w:r/>
            <w:r>
              <w:rPr>
                <w:b/>
                <w:color w:val="222222"/>
                <w:sz w:val="19"/>
              </w:rPr>
              <w:t>Urea price direction</w:t>
            </w:r>
          </w:p>
        </w:tc>
        <w:tc>
          <w:tcPr>
            <w:tcW w:type="dxa" w:w="1440"/>
          </w:tcPr>
          <w:p>
            <w:pPr>
              <w:jc w:val="center"/>
            </w:pPr>
            <w:r/>
            <w:r>
              <w:rPr>
                <w:color w:val="222222"/>
                <w:sz w:val="19"/>
              </w:rPr>
              <w:t>Ongoing</w:t>
            </w:r>
          </w:p>
        </w:tc>
        <w:tc>
          <w:tcPr>
            <w:tcW w:type="dxa" w:w="3456"/>
          </w:tcPr>
          <w:p>
            <w:pPr>
              <w:jc w:val="center"/>
            </w:pPr>
            <w:r/>
            <w:r>
              <w:rPr>
                <w:color w:val="222222"/>
                <w:sz w:val="19"/>
              </w:rPr>
              <w:t>Export restrictions vs weak farmer affordability</w:t>
            </w:r>
          </w:p>
        </w:tc>
        <w:tc>
          <w:tcPr>
            <w:tcW w:type="dxa" w:w="1008"/>
          </w:tcPr>
          <w:p>
            <w:pPr>
              <w:jc w:val="center"/>
            </w:pPr>
            <w:r/>
            <w:r>
              <w:rPr>
                <w:color w:val="222222"/>
                <w:sz w:val="19"/>
              </w:rPr>
              <w:t>Both</w:t>
            </w:r>
          </w:p>
        </w:tc>
      </w:tr>
      <w:tr>
        <w:tc>
          <w:tcPr>
            <w:tcW w:type="dxa" w:w="3168"/>
            <w:shd w:val="clear" w:fill="F2F6F6"/>
          </w:tcPr>
          <w:p>
            <w:pPr>
              <w:jc w:val="left"/>
            </w:pPr>
            <w:r/>
            <w:r>
              <w:rPr>
                <w:b/>
                <w:color w:val="222222"/>
                <w:sz w:val="19"/>
              </w:rPr>
              <w:t>QAPCO–TotalEnergies 2029</w:t>
            </w:r>
          </w:p>
        </w:tc>
        <w:tc>
          <w:tcPr>
            <w:tcW w:type="dxa" w:w="1440"/>
            <w:shd w:val="clear" w:fill="F2F6F6"/>
          </w:tcPr>
          <w:p>
            <w:pPr>
              <w:jc w:val="center"/>
            </w:pPr>
            <w:r/>
            <w:r>
              <w:rPr>
                <w:color w:val="222222"/>
                <w:sz w:val="19"/>
              </w:rPr>
              <w:t>2029</w:t>
            </w:r>
          </w:p>
        </w:tc>
        <w:tc>
          <w:tcPr>
            <w:tcW w:type="dxa" w:w="3456"/>
            <w:shd w:val="clear" w:fill="F2F6F6"/>
          </w:tcPr>
          <w:p>
            <w:pPr>
              <w:jc w:val="center"/>
            </w:pPr>
            <w:r/>
            <w:r>
              <w:rPr>
                <w:color w:val="222222"/>
                <w:sz w:val="19"/>
              </w:rPr>
              <w:t>IQ could acquire the 20% stake (~+5% EPS)</w:t>
            </w:r>
          </w:p>
        </w:tc>
        <w:tc>
          <w:tcPr>
            <w:tcW w:type="dxa" w:w="1008"/>
            <w:shd w:val="clear" w:fill="F2F6F6"/>
          </w:tcPr>
          <w:p>
            <w:pPr>
              <w:jc w:val="center"/>
            </w:pPr>
            <w:r/>
            <w:r>
              <w:rPr>
                <w:color w:val="222222"/>
                <w:sz w:val="19"/>
              </w:rPr>
              <w:t>Up</w:t>
            </w:r>
          </w:p>
        </w:tc>
      </w:tr>
      <w:tr>
        <w:tc>
          <w:tcPr>
            <w:tcW w:type="dxa" w:w="3168"/>
          </w:tcPr>
          <w:p>
            <w:pPr>
              <w:jc w:val="left"/>
            </w:pPr>
            <w:r/>
            <w:r>
              <w:rPr>
                <w:b/>
                <w:color w:val="222222"/>
                <w:sz w:val="19"/>
              </w:rPr>
              <w:t>Dividend / payout</w:t>
            </w:r>
          </w:p>
        </w:tc>
        <w:tc>
          <w:tcPr>
            <w:tcW w:type="dxa" w:w="1440"/>
          </w:tcPr>
          <w:p>
            <w:pPr>
              <w:jc w:val="center"/>
            </w:pPr>
            <w:r/>
            <w:r>
              <w:rPr>
                <w:color w:val="222222"/>
                <w:sz w:val="19"/>
              </w:rPr>
              <w:t>Semi-annual</w:t>
            </w:r>
          </w:p>
        </w:tc>
        <w:tc>
          <w:tcPr>
            <w:tcW w:type="dxa" w:w="3456"/>
          </w:tcPr>
          <w:p>
            <w:pPr>
              <w:jc w:val="center"/>
            </w:pPr>
            <w:r/>
            <w:r>
              <w:rPr>
                <w:color w:val="222222"/>
                <w:sz w:val="19"/>
              </w:rPr>
              <w:t>100% payout; DPS tracks earnings recovery</w:t>
            </w:r>
          </w:p>
        </w:tc>
        <w:tc>
          <w:tcPr>
            <w:tcW w:type="dxa" w:w="1008"/>
          </w:tcPr>
          <w:p>
            <w:pPr>
              <w:jc w:val="center"/>
            </w:pPr>
            <w:r/>
            <w:r>
              <w:rPr>
                <w:color w:val="222222"/>
                <w:sz w:val="19"/>
              </w:rPr>
              <w:t>Both</w:t>
            </w:r>
          </w:p>
        </w:tc>
      </w:tr>
    </w:tbl>
    <w:p>
      <w:pPr>
        <w:spacing w:after="40"/>
      </w:pPr>
    </w:p>
    <w:p>
      <w:pPr>
        <w:keepNext/>
        <w:spacing w:before="280" w:after="120"/>
      </w:pPr>
      <w:r>
        <w:rPr>
          <w:b/>
          <w:color w:val="1B5E5E"/>
          <w:sz w:val="32"/>
        </w:rPr>
        <w:t>6 · Reading the probability zones</w:t>
      </w:r>
    </w:p>
    <w:p>
      <w:pPr>
        <w:spacing w:after="120" w:before="0"/>
      </w:pPr>
      <w:r>
        <w:rPr>
          <w:rFonts w:ascii="Calibri" w:hAnsi="Calibri"/>
          <w:b w:val="0"/>
          <w:i w:val="0"/>
          <w:color w:val="222222"/>
          <w:sz w:val="21"/>
        </w:rPr>
        <w:t>The three-month distribution divides into zones. Below about QR 10.24 (the lower quartile) sits the downside quarter — a petrochemical relapse, a fresh logistics shock, or softer urea. Between QR 10.24 and QR 12.25 is the central half, the coin-flip zone where fair value and spot both sit. Above QR 12.25 is the upside quarter — Ammonia-7 landing cleanly, spreads recovering, or a gas-price spike lifting the complex. The right tail (toward QR 14.08) is fatter than the left because the catalyst set is net positive; the left tail (toward QR 8.84) is thinner but real, and its main driver is geopolitical.</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448"/>
            <w:shd w:val="clear" w:fill="1B5E5E"/>
          </w:tcPr>
          <w:p>
            <w:pPr>
              <w:jc w:val="left"/>
            </w:pPr>
            <w:r/>
            <w:r>
              <w:rPr>
                <w:b/>
                <w:color w:val="FFFFFF"/>
                <w:sz w:val="19"/>
              </w:rPr>
              <w:t>Zone</w:t>
            </w:r>
          </w:p>
        </w:tc>
        <w:tc>
          <w:tcPr>
            <w:tcW w:type="dxa" w:w="2016"/>
            <w:shd w:val="clear" w:fill="1B5E5E"/>
          </w:tcPr>
          <w:p>
            <w:pPr>
              <w:jc w:val="center"/>
            </w:pPr>
            <w:r/>
            <w:r>
              <w:rPr>
                <w:b/>
                <w:color w:val="FFFFFF"/>
                <w:sz w:val="19"/>
              </w:rPr>
              <w:t>Range (T+60)</w:t>
            </w:r>
          </w:p>
        </w:tc>
        <w:tc>
          <w:tcPr>
            <w:tcW w:type="dxa" w:w="1584"/>
            <w:shd w:val="clear" w:fill="1B5E5E"/>
          </w:tcPr>
          <w:p>
            <w:pPr>
              <w:jc w:val="center"/>
            </w:pPr>
            <w:r/>
            <w:r>
              <w:rPr>
                <w:b/>
                <w:color w:val="FFFFFF"/>
                <w:sz w:val="19"/>
              </w:rPr>
              <w:t>Probability</w:t>
            </w:r>
          </w:p>
        </w:tc>
        <w:tc>
          <w:tcPr>
            <w:tcW w:type="dxa" w:w="3312"/>
            <w:shd w:val="clear" w:fill="1B5E5E"/>
          </w:tcPr>
          <w:p>
            <w:pPr>
              <w:jc w:val="center"/>
            </w:pPr>
            <w:r/>
            <w:r>
              <w:rPr>
                <w:b/>
                <w:color w:val="FFFFFF"/>
                <w:sz w:val="19"/>
              </w:rPr>
              <w:t>What lives there</w:t>
            </w:r>
          </w:p>
        </w:tc>
      </w:tr>
      <w:tr>
        <w:tc>
          <w:tcPr>
            <w:tcW w:type="dxa" w:w="2448"/>
          </w:tcPr>
          <w:p>
            <w:pPr>
              <w:jc w:val="left"/>
            </w:pPr>
            <w:r/>
            <w:r>
              <w:rPr>
                <w:b/>
                <w:color w:val="222222"/>
                <w:sz w:val="19"/>
              </w:rPr>
              <w:t>Downside quarter</w:t>
            </w:r>
          </w:p>
        </w:tc>
        <w:tc>
          <w:tcPr>
            <w:tcW w:type="dxa" w:w="2016"/>
          </w:tcPr>
          <w:p>
            <w:pPr>
              <w:jc w:val="center"/>
            </w:pPr>
            <w:r/>
            <w:r>
              <w:rPr>
                <w:color w:val="222222"/>
                <w:sz w:val="19"/>
              </w:rPr>
              <w:t>&lt; QR 10.24</w:t>
            </w:r>
          </w:p>
        </w:tc>
        <w:tc>
          <w:tcPr>
            <w:tcW w:type="dxa" w:w="1584"/>
          </w:tcPr>
          <w:p>
            <w:pPr>
              <w:jc w:val="center"/>
            </w:pPr>
            <w:r/>
            <w:r>
              <w:rPr>
                <w:color w:val="222222"/>
                <w:sz w:val="19"/>
              </w:rPr>
              <w:t>25%</w:t>
            </w:r>
          </w:p>
        </w:tc>
        <w:tc>
          <w:tcPr>
            <w:tcW w:type="dxa" w:w="3312"/>
          </w:tcPr>
          <w:p>
            <w:pPr>
              <w:jc w:val="center"/>
            </w:pPr>
            <w:r/>
            <w:r>
              <w:rPr>
                <w:color w:val="222222"/>
                <w:sz w:val="19"/>
              </w:rPr>
              <w:t>Petchem relapse; logistics shock; softer urea</w:t>
            </w:r>
          </w:p>
        </w:tc>
      </w:tr>
      <w:tr>
        <w:tc>
          <w:tcPr>
            <w:tcW w:type="dxa" w:w="2448"/>
            <w:shd w:val="clear" w:fill="F2F6F6"/>
          </w:tcPr>
          <w:p>
            <w:pPr>
              <w:jc w:val="left"/>
            </w:pPr>
            <w:r/>
            <w:r>
              <w:rPr>
                <w:b/>
                <w:color w:val="222222"/>
                <w:sz w:val="19"/>
              </w:rPr>
              <w:t>Central half</w:t>
            </w:r>
          </w:p>
        </w:tc>
        <w:tc>
          <w:tcPr>
            <w:tcW w:type="dxa" w:w="2016"/>
            <w:shd w:val="clear" w:fill="F2F6F6"/>
          </w:tcPr>
          <w:p>
            <w:pPr>
              <w:jc w:val="center"/>
            </w:pPr>
            <w:r/>
            <w:r>
              <w:rPr>
                <w:color w:val="222222"/>
                <w:sz w:val="19"/>
              </w:rPr>
              <w:t>QR 10.24–12.25</w:t>
            </w:r>
          </w:p>
        </w:tc>
        <w:tc>
          <w:tcPr>
            <w:tcW w:type="dxa" w:w="1584"/>
            <w:shd w:val="clear" w:fill="F2F6F6"/>
          </w:tcPr>
          <w:p>
            <w:pPr>
              <w:jc w:val="center"/>
            </w:pPr>
            <w:r/>
            <w:r>
              <w:rPr>
                <w:color w:val="222222"/>
                <w:sz w:val="19"/>
              </w:rPr>
              <w:t>50%</w:t>
            </w:r>
          </w:p>
        </w:tc>
        <w:tc>
          <w:tcPr>
            <w:tcW w:type="dxa" w:w="3312"/>
            <w:shd w:val="clear" w:fill="F2F6F6"/>
          </w:tcPr>
          <w:p>
            <w:pPr>
              <w:jc w:val="center"/>
            </w:pPr>
            <w:r/>
            <w:r>
              <w:rPr>
                <w:color w:val="222222"/>
                <w:sz w:val="19"/>
              </w:rPr>
              <w:t>Fair value ≈ spot; partial recovery priced</w:t>
            </w:r>
          </w:p>
        </w:tc>
      </w:tr>
      <w:tr>
        <w:tc>
          <w:tcPr>
            <w:tcW w:type="dxa" w:w="2448"/>
          </w:tcPr>
          <w:p>
            <w:pPr>
              <w:jc w:val="left"/>
            </w:pPr>
            <w:r/>
            <w:r>
              <w:rPr>
                <w:b/>
                <w:color w:val="222222"/>
                <w:sz w:val="19"/>
              </w:rPr>
              <w:t>Upside quarter</w:t>
            </w:r>
          </w:p>
        </w:tc>
        <w:tc>
          <w:tcPr>
            <w:tcW w:type="dxa" w:w="2016"/>
          </w:tcPr>
          <w:p>
            <w:pPr>
              <w:jc w:val="center"/>
            </w:pPr>
            <w:r/>
            <w:r>
              <w:rPr>
                <w:color w:val="222222"/>
                <w:sz w:val="19"/>
              </w:rPr>
              <w:t>&gt; QR 12.25</w:t>
            </w:r>
          </w:p>
        </w:tc>
        <w:tc>
          <w:tcPr>
            <w:tcW w:type="dxa" w:w="1584"/>
          </w:tcPr>
          <w:p>
            <w:pPr>
              <w:jc w:val="center"/>
            </w:pPr>
            <w:r/>
            <w:r>
              <w:rPr>
                <w:color w:val="222222"/>
                <w:sz w:val="19"/>
              </w:rPr>
              <w:t>25%</w:t>
            </w:r>
          </w:p>
        </w:tc>
        <w:tc>
          <w:tcPr>
            <w:tcW w:type="dxa" w:w="3312"/>
          </w:tcPr>
          <w:p>
            <w:pPr>
              <w:jc w:val="center"/>
            </w:pPr>
            <w:r/>
            <w:r>
              <w:rPr>
                <w:color w:val="222222"/>
                <w:sz w:val="19"/>
              </w:rPr>
              <w:t>Ammonia-7 lands; spreads recover; gas spike</w:t>
            </w:r>
          </w:p>
        </w:tc>
      </w:tr>
    </w:tbl>
    <w:p>
      <w:pPr>
        <w:spacing w:after="40"/>
      </w:pPr>
    </w:p>
    <w:p>
      <w:pPr>
        <w:keepNext/>
        <w:spacing w:before="280" w:after="120"/>
      </w:pPr>
      <w:r>
        <w:rPr>
          <w:b/>
          <w:color w:val="1B5E5E"/>
          <w:sz w:val="32"/>
        </w:rPr>
        <w:t>7 · Caveats and what would change our mind</w:t>
      </w:r>
    </w:p>
    <w:p>
      <w:pPr>
        <w:spacing w:after="120" w:before="0"/>
      </w:pPr>
      <w:r>
        <w:rPr>
          <w:rFonts w:ascii="Calibri" w:hAnsi="Calibri"/>
          <w:b w:val="0"/>
          <w:i w:val="0"/>
          <w:color w:val="222222"/>
          <w:sz w:val="21"/>
        </w:rPr>
        <w:t>This is an educational study built from public information; several of its inputs are the preparer's judgment, and it would be wrong to read the central figure as precision. The segment normalizations, the justified multiples, the holdco discount, the petrochemical mid-cycle assumption and the terminal-growth rate are all defensible views, not facts. What would change our mind: a durable petrochemical recovery (or a deeper, longer trough than we assume); Ammonia-7 delivering materially more or less than the roughly 10% uplift expected; a re-escalation of regional conflict that structurally raises IQ's risk premium; a move in US rates that re-rates the whole high-yield complex; or any change to the 100% payout policy. The single biggest swing remains the petrochemical leg — a genuinely wide input we have shown as a range rather than disguised as a point.</w:t>
      </w:r>
    </w:p>
    <w:p>
      <w:r>
        <w:br w:type="page"/>
      </w:r>
    </w:p>
    <w:p>
      <w:pPr>
        <w:keepNext/>
        <w:spacing w:before="280" w:after="120"/>
      </w:pPr>
      <w:r>
        <w:rPr>
          <w:b/>
          <w:color w:val="1B5E5E"/>
          <w:sz w:val="30"/>
        </w:rPr>
        <w:t>Appendix A · Financial statements</w:t>
      </w:r>
    </w:p>
    <w:p>
      <w:pPr>
        <w:spacing w:after="120" w:before="0"/>
      </w:pPr>
      <w:r>
        <w:rPr>
          <w:rFonts w:ascii="Calibri" w:hAnsi="Calibri"/>
          <w:b w:val="0"/>
          <w:i w:val="0"/>
          <w:color w:val="222222"/>
          <w:sz w:val="21"/>
        </w:rPr>
        <w:t>Figures on IQ's proportionate basis (its share of joint-venture revenue and earnings), QR billion, rounded. Historicals from IQ's FY2023–FY2025 reports and the Q1-2026 release; forecasts are the preparer's, driven off the Assumptions layer in the companion model. Shown for scale and structure, not to the last decimal.</w:t>
      </w:r>
    </w:p>
    <w:p>
      <w:pPr>
        <w:keepNext/>
        <w:spacing w:before="280" w:after="120"/>
      </w:pPr>
      <w:r>
        <w:rPr>
          <w:b/>
          <w:color w:val="2A8F8F"/>
          <w:sz w:val="24"/>
        </w:rPr>
        <w:t>A.1 · Income statement</w:t>
      </w:r>
    </w:p>
    <w:tbl>
      <w:tblPr>
        <w:tblW w:type="auto" w:w="0"/>
        <w:jc w:val="center"/>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2448"/>
            <w:shd w:val="clear" w:fill="1B5E5E"/>
          </w:tcPr>
          <w:p>
            <w:pPr>
              <w:jc w:val="left"/>
            </w:pPr>
            <w:r/>
            <w:r>
              <w:rPr>
                <w:b/>
                <w:color w:val="FFFFFF"/>
                <w:sz w:val="17"/>
              </w:rPr>
              <w:t>QR bn</w:t>
            </w:r>
          </w:p>
        </w:tc>
        <w:tc>
          <w:tcPr>
            <w:tcW w:type="dxa" w:w="893"/>
            <w:shd w:val="clear" w:fill="1B5E5E"/>
          </w:tcPr>
          <w:p>
            <w:pPr>
              <w:jc w:val="center"/>
            </w:pPr>
            <w:r/>
            <w:r>
              <w:rPr>
                <w:b/>
                <w:color w:val="FFFFFF"/>
                <w:sz w:val="17"/>
              </w:rPr>
              <w:t>FY23</w:t>
            </w:r>
          </w:p>
        </w:tc>
        <w:tc>
          <w:tcPr>
            <w:tcW w:type="dxa" w:w="893"/>
            <w:shd w:val="clear" w:fill="1B5E5E"/>
          </w:tcPr>
          <w:p>
            <w:pPr>
              <w:jc w:val="center"/>
            </w:pPr>
            <w:r/>
            <w:r>
              <w:rPr>
                <w:b/>
                <w:color w:val="FFFFFF"/>
                <w:sz w:val="17"/>
              </w:rPr>
              <w:t>FY24</w:t>
            </w:r>
          </w:p>
        </w:tc>
        <w:tc>
          <w:tcPr>
            <w:tcW w:type="dxa" w:w="893"/>
            <w:shd w:val="clear" w:fill="1B5E5E"/>
          </w:tcPr>
          <w:p>
            <w:pPr>
              <w:jc w:val="center"/>
            </w:pPr>
            <w:r/>
            <w:r>
              <w:rPr>
                <w:b/>
                <w:color w:val="FFFFFF"/>
                <w:sz w:val="17"/>
              </w:rPr>
              <w:t>FY25</w:t>
            </w:r>
          </w:p>
        </w:tc>
        <w:tc>
          <w:tcPr>
            <w:tcW w:type="dxa" w:w="893"/>
            <w:shd w:val="clear" w:fill="1B5E5E"/>
          </w:tcPr>
          <w:p>
            <w:pPr>
              <w:jc w:val="center"/>
            </w:pPr>
            <w:r/>
            <w:r>
              <w:rPr>
                <w:b/>
                <w:color w:val="FFFFFF"/>
                <w:sz w:val="17"/>
              </w:rPr>
              <w:t>FY26E</w:t>
            </w:r>
          </w:p>
        </w:tc>
        <w:tc>
          <w:tcPr>
            <w:tcW w:type="dxa" w:w="893"/>
            <w:shd w:val="clear" w:fill="1B5E5E"/>
          </w:tcPr>
          <w:p>
            <w:pPr>
              <w:jc w:val="center"/>
            </w:pPr>
            <w:r/>
            <w:r>
              <w:rPr>
                <w:b/>
                <w:color w:val="FFFFFF"/>
                <w:sz w:val="17"/>
              </w:rPr>
              <w:t>FY27E</w:t>
            </w:r>
          </w:p>
        </w:tc>
        <w:tc>
          <w:tcPr>
            <w:tcW w:type="dxa" w:w="893"/>
            <w:shd w:val="clear" w:fill="1B5E5E"/>
          </w:tcPr>
          <w:p>
            <w:pPr>
              <w:jc w:val="center"/>
            </w:pPr>
            <w:r/>
            <w:r>
              <w:rPr>
                <w:b/>
                <w:color w:val="FFFFFF"/>
                <w:sz w:val="17"/>
              </w:rPr>
              <w:t>FY28E</w:t>
            </w:r>
          </w:p>
        </w:tc>
        <w:tc>
          <w:tcPr>
            <w:tcW w:type="dxa" w:w="893"/>
            <w:shd w:val="clear" w:fill="1B5E5E"/>
          </w:tcPr>
          <w:p>
            <w:pPr>
              <w:jc w:val="center"/>
            </w:pPr>
            <w:r/>
            <w:r>
              <w:rPr>
                <w:b/>
                <w:color w:val="FFFFFF"/>
                <w:sz w:val="17"/>
              </w:rPr>
              <w:t>FY29E</w:t>
            </w:r>
          </w:p>
        </w:tc>
        <w:tc>
          <w:tcPr>
            <w:tcW w:type="dxa" w:w="893"/>
            <w:shd w:val="clear" w:fill="1B5E5E"/>
          </w:tcPr>
          <w:p>
            <w:pPr>
              <w:jc w:val="center"/>
            </w:pPr>
            <w:r/>
            <w:r>
              <w:rPr>
                <w:b/>
                <w:color w:val="FFFFFF"/>
                <w:sz w:val="17"/>
              </w:rPr>
              <w:t>FY30E</w:t>
            </w:r>
          </w:p>
        </w:tc>
      </w:tr>
      <w:tr>
        <w:tc>
          <w:tcPr>
            <w:tcW w:type="dxa" w:w="2448"/>
          </w:tcPr>
          <w:p>
            <w:pPr>
              <w:jc w:val="left"/>
            </w:pPr>
            <w:r/>
            <w:r>
              <w:rPr>
                <w:b/>
                <w:color w:val="222222"/>
                <w:sz w:val="17"/>
              </w:rPr>
              <w:t>Revenue</w:t>
            </w:r>
          </w:p>
        </w:tc>
        <w:tc>
          <w:tcPr>
            <w:tcW w:type="dxa" w:w="893"/>
          </w:tcPr>
          <w:p>
            <w:pPr>
              <w:jc w:val="center"/>
            </w:pPr>
            <w:r/>
            <w:r>
              <w:rPr>
                <w:color w:val="222222"/>
                <w:sz w:val="17"/>
              </w:rPr>
              <w:t>17.9</w:t>
            </w:r>
          </w:p>
        </w:tc>
        <w:tc>
          <w:tcPr>
            <w:tcW w:type="dxa" w:w="893"/>
          </w:tcPr>
          <w:p>
            <w:pPr>
              <w:jc w:val="center"/>
            </w:pPr>
            <w:r/>
            <w:r>
              <w:rPr>
                <w:color w:val="222222"/>
                <w:sz w:val="17"/>
              </w:rPr>
              <w:t>16.4</w:t>
            </w:r>
          </w:p>
        </w:tc>
        <w:tc>
          <w:tcPr>
            <w:tcW w:type="dxa" w:w="893"/>
          </w:tcPr>
          <w:p>
            <w:pPr>
              <w:jc w:val="center"/>
            </w:pPr>
            <w:r/>
            <w:r>
              <w:rPr>
                <w:color w:val="222222"/>
                <w:sz w:val="17"/>
              </w:rPr>
              <w:t>16.5</w:t>
            </w:r>
          </w:p>
        </w:tc>
        <w:tc>
          <w:tcPr>
            <w:tcW w:type="dxa" w:w="893"/>
          </w:tcPr>
          <w:p>
            <w:pPr>
              <w:jc w:val="center"/>
            </w:pPr>
            <w:r/>
            <w:r>
              <w:rPr>
                <w:color w:val="222222"/>
                <w:sz w:val="17"/>
              </w:rPr>
              <w:t>16.0</w:t>
            </w:r>
          </w:p>
        </w:tc>
        <w:tc>
          <w:tcPr>
            <w:tcW w:type="dxa" w:w="893"/>
          </w:tcPr>
          <w:p>
            <w:pPr>
              <w:jc w:val="center"/>
            </w:pPr>
            <w:r/>
            <w:r>
              <w:rPr>
                <w:color w:val="222222"/>
                <w:sz w:val="17"/>
              </w:rPr>
              <w:t>17.0</w:t>
            </w:r>
          </w:p>
        </w:tc>
        <w:tc>
          <w:tcPr>
            <w:tcW w:type="dxa" w:w="893"/>
          </w:tcPr>
          <w:p>
            <w:pPr>
              <w:jc w:val="center"/>
            </w:pPr>
            <w:r/>
            <w:r>
              <w:rPr>
                <w:color w:val="222222"/>
                <w:sz w:val="17"/>
              </w:rPr>
              <w:t>17.6</w:t>
            </w:r>
          </w:p>
        </w:tc>
        <w:tc>
          <w:tcPr>
            <w:tcW w:type="dxa" w:w="893"/>
          </w:tcPr>
          <w:p>
            <w:pPr>
              <w:jc w:val="center"/>
            </w:pPr>
            <w:r/>
            <w:r>
              <w:rPr>
                <w:color w:val="222222"/>
                <w:sz w:val="17"/>
              </w:rPr>
              <w:t>18.1</w:t>
            </w:r>
          </w:p>
        </w:tc>
        <w:tc>
          <w:tcPr>
            <w:tcW w:type="dxa" w:w="893"/>
          </w:tcPr>
          <w:p>
            <w:pPr>
              <w:jc w:val="center"/>
            </w:pPr>
            <w:r/>
            <w:r>
              <w:rPr>
                <w:color w:val="222222"/>
                <w:sz w:val="17"/>
              </w:rPr>
              <w:t>18.5</w:t>
            </w:r>
          </w:p>
        </w:tc>
      </w:tr>
      <w:tr>
        <w:tc>
          <w:tcPr>
            <w:tcW w:type="dxa" w:w="2448"/>
            <w:shd w:val="clear" w:fill="F2F6F6"/>
          </w:tcPr>
          <w:p>
            <w:pPr>
              <w:jc w:val="left"/>
            </w:pPr>
            <w:r/>
            <w:r>
              <w:rPr>
                <w:b/>
                <w:color w:val="222222"/>
                <w:sz w:val="17"/>
              </w:rPr>
              <w:t>EBITDA</w:t>
            </w:r>
          </w:p>
        </w:tc>
        <w:tc>
          <w:tcPr>
            <w:tcW w:type="dxa" w:w="893"/>
            <w:shd w:val="clear" w:fill="F2F6F6"/>
          </w:tcPr>
          <w:p>
            <w:pPr>
              <w:jc w:val="center"/>
            </w:pPr>
            <w:r/>
            <w:r>
              <w:rPr>
                <w:color w:val="222222"/>
                <w:sz w:val="17"/>
              </w:rPr>
              <w:t>7.0</w:t>
            </w:r>
          </w:p>
        </w:tc>
        <w:tc>
          <w:tcPr>
            <w:tcW w:type="dxa" w:w="893"/>
            <w:shd w:val="clear" w:fill="F2F6F6"/>
          </w:tcPr>
          <w:p>
            <w:pPr>
              <w:jc w:val="center"/>
            </w:pPr>
            <w:r/>
            <w:r>
              <w:rPr>
                <w:color w:val="222222"/>
                <w:sz w:val="17"/>
              </w:rPr>
              <w:t>6.6</w:t>
            </w:r>
          </w:p>
        </w:tc>
        <w:tc>
          <w:tcPr>
            <w:tcW w:type="dxa" w:w="893"/>
            <w:shd w:val="clear" w:fill="F2F6F6"/>
          </w:tcPr>
          <w:p>
            <w:pPr>
              <w:jc w:val="center"/>
            </w:pPr>
            <w:r/>
            <w:r>
              <w:rPr>
                <w:color w:val="222222"/>
                <w:sz w:val="17"/>
              </w:rPr>
              <w:t>6.4</w:t>
            </w:r>
          </w:p>
        </w:tc>
        <w:tc>
          <w:tcPr>
            <w:tcW w:type="dxa" w:w="893"/>
            <w:shd w:val="clear" w:fill="F2F6F6"/>
          </w:tcPr>
          <w:p>
            <w:pPr>
              <w:jc w:val="center"/>
            </w:pPr>
            <w:r/>
            <w:r>
              <w:rPr>
                <w:color w:val="222222"/>
                <w:sz w:val="17"/>
              </w:rPr>
              <w:t>5.7</w:t>
            </w:r>
          </w:p>
        </w:tc>
        <w:tc>
          <w:tcPr>
            <w:tcW w:type="dxa" w:w="893"/>
            <w:shd w:val="clear" w:fill="F2F6F6"/>
          </w:tcPr>
          <w:p>
            <w:pPr>
              <w:jc w:val="center"/>
            </w:pPr>
            <w:r/>
            <w:r>
              <w:rPr>
                <w:color w:val="222222"/>
                <w:sz w:val="17"/>
              </w:rPr>
              <w:t>6.3</w:t>
            </w:r>
          </w:p>
        </w:tc>
        <w:tc>
          <w:tcPr>
            <w:tcW w:type="dxa" w:w="893"/>
            <w:shd w:val="clear" w:fill="F2F6F6"/>
          </w:tcPr>
          <w:p>
            <w:pPr>
              <w:jc w:val="center"/>
            </w:pPr>
            <w:r/>
            <w:r>
              <w:rPr>
                <w:color w:val="222222"/>
                <w:sz w:val="17"/>
              </w:rPr>
              <w:t>6.6</w:t>
            </w:r>
          </w:p>
        </w:tc>
        <w:tc>
          <w:tcPr>
            <w:tcW w:type="dxa" w:w="893"/>
            <w:shd w:val="clear" w:fill="F2F6F6"/>
          </w:tcPr>
          <w:p>
            <w:pPr>
              <w:jc w:val="center"/>
            </w:pPr>
            <w:r/>
            <w:r>
              <w:rPr>
                <w:color w:val="222222"/>
                <w:sz w:val="17"/>
              </w:rPr>
              <w:t>6.9</w:t>
            </w:r>
          </w:p>
        </w:tc>
        <w:tc>
          <w:tcPr>
            <w:tcW w:type="dxa" w:w="893"/>
            <w:shd w:val="clear" w:fill="F2F6F6"/>
          </w:tcPr>
          <w:p>
            <w:pPr>
              <w:jc w:val="center"/>
            </w:pPr>
            <w:r/>
            <w:r>
              <w:rPr>
                <w:color w:val="222222"/>
                <w:sz w:val="17"/>
              </w:rPr>
              <w:t>7.1</w:t>
            </w:r>
          </w:p>
        </w:tc>
      </w:tr>
      <w:tr>
        <w:tc>
          <w:tcPr>
            <w:tcW w:type="dxa" w:w="2448"/>
          </w:tcPr>
          <w:p>
            <w:pPr>
              <w:jc w:val="left"/>
            </w:pPr>
            <w:r/>
            <w:r>
              <w:rPr>
                <w:b/>
                <w:color w:val="222222"/>
                <w:sz w:val="17"/>
              </w:rPr>
              <w:t>D&amp;A</w:t>
            </w:r>
          </w:p>
        </w:tc>
        <w:tc>
          <w:tcPr>
            <w:tcW w:type="dxa" w:w="893"/>
          </w:tcPr>
          <w:p>
            <w:pPr>
              <w:jc w:val="center"/>
            </w:pPr>
            <w:r/>
            <w:r>
              <w:rPr>
                <w:color w:val="222222"/>
                <w:sz w:val="17"/>
              </w:rPr>
              <w:t>(1.7)</w:t>
            </w:r>
          </w:p>
        </w:tc>
        <w:tc>
          <w:tcPr>
            <w:tcW w:type="dxa" w:w="893"/>
          </w:tcPr>
          <w:p>
            <w:pPr>
              <w:jc w:val="center"/>
            </w:pPr>
            <w:r/>
            <w:r>
              <w:rPr>
                <w:color w:val="222222"/>
                <w:sz w:val="17"/>
              </w:rPr>
              <w:t>(1.8)</w:t>
            </w:r>
          </w:p>
        </w:tc>
        <w:tc>
          <w:tcPr>
            <w:tcW w:type="dxa" w:w="893"/>
          </w:tcPr>
          <w:p>
            <w:pPr>
              <w:jc w:val="center"/>
            </w:pPr>
            <w:r/>
            <w:r>
              <w:rPr>
                <w:color w:val="222222"/>
                <w:sz w:val="17"/>
              </w:rPr>
              <w:t>(1.8)</w:t>
            </w:r>
          </w:p>
        </w:tc>
        <w:tc>
          <w:tcPr>
            <w:tcW w:type="dxa" w:w="893"/>
          </w:tcPr>
          <w:p>
            <w:pPr>
              <w:jc w:val="center"/>
            </w:pPr>
            <w:r/>
            <w:r>
              <w:rPr>
                <w:color w:val="222222"/>
                <w:sz w:val="17"/>
              </w:rPr>
              <w:t>(1.8)</w:t>
            </w:r>
          </w:p>
        </w:tc>
        <w:tc>
          <w:tcPr>
            <w:tcW w:type="dxa" w:w="893"/>
          </w:tcPr>
          <w:p>
            <w:pPr>
              <w:jc w:val="center"/>
            </w:pPr>
            <w:r/>
            <w:r>
              <w:rPr>
                <w:color w:val="222222"/>
                <w:sz w:val="17"/>
              </w:rPr>
              <w:t>(1.9)</w:t>
            </w:r>
          </w:p>
        </w:tc>
        <w:tc>
          <w:tcPr>
            <w:tcW w:type="dxa" w:w="893"/>
          </w:tcPr>
          <w:p>
            <w:pPr>
              <w:jc w:val="center"/>
            </w:pPr>
            <w:r/>
            <w:r>
              <w:rPr>
                <w:color w:val="222222"/>
                <w:sz w:val="17"/>
              </w:rPr>
              <w:t>(2.0)</w:t>
            </w:r>
          </w:p>
        </w:tc>
        <w:tc>
          <w:tcPr>
            <w:tcW w:type="dxa" w:w="893"/>
          </w:tcPr>
          <w:p>
            <w:pPr>
              <w:jc w:val="center"/>
            </w:pPr>
            <w:r/>
            <w:r>
              <w:rPr>
                <w:color w:val="222222"/>
                <w:sz w:val="17"/>
              </w:rPr>
              <w:t>(2.0)</w:t>
            </w:r>
          </w:p>
        </w:tc>
        <w:tc>
          <w:tcPr>
            <w:tcW w:type="dxa" w:w="893"/>
          </w:tcPr>
          <w:p>
            <w:pPr>
              <w:jc w:val="center"/>
            </w:pPr>
            <w:r/>
            <w:r>
              <w:rPr>
                <w:color w:val="222222"/>
                <w:sz w:val="17"/>
              </w:rPr>
              <w:t>(2.1)</w:t>
            </w:r>
          </w:p>
        </w:tc>
      </w:tr>
      <w:tr>
        <w:tc>
          <w:tcPr>
            <w:tcW w:type="dxa" w:w="2448"/>
            <w:shd w:val="clear" w:fill="F2F6F6"/>
          </w:tcPr>
          <w:p>
            <w:pPr>
              <w:jc w:val="left"/>
            </w:pPr>
            <w:r/>
            <w:r>
              <w:rPr>
                <w:b/>
                <w:color w:val="222222"/>
                <w:sz w:val="17"/>
              </w:rPr>
              <w:t>EBIT</w:t>
            </w:r>
          </w:p>
        </w:tc>
        <w:tc>
          <w:tcPr>
            <w:tcW w:type="dxa" w:w="893"/>
            <w:shd w:val="clear" w:fill="F2F6F6"/>
          </w:tcPr>
          <w:p>
            <w:pPr>
              <w:jc w:val="center"/>
            </w:pPr>
            <w:r/>
            <w:r>
              <w:rPr>
                <w:color w:val="222222"/>
                <w:sz w:val="17"/>
              </w:rPr>
              <w:t>5.3</w:t>
            </w:r>
          </w:p>
        </w:tc>
        <w:tc>
          <w:tcPr>
            <w:tcW w:type="dxa" w:w="893"/>
            <w:shd w:val="clear" w:fill="F2F6F6"/>
          </w:tcPr>
          <w:p>
            <w:pPr>
              <w:jc w:val="center"/>
            </w:pPr>
            <w:r/>
            <w:r>
              <w:rPr>
                <w:color w:val="222222"/>
                <w:sz w:val="17"/>
              </w:rPr>
              <w:t>4.9</w:t>
            </w:r>
          </w:p>
        </w:tc>
        <w:tc>
          <w:tcPr>
            <w:tcW w:type="dxa" w:w="893"/>
            <w:shd w:val="clear" w:fill="F2F6F6"/>
          </w:tcPr>
          <w:p>
            <w:pPr>
              <w:jc w:val="center"/>
            </w:pPr>
            <w:r/>
            <w:r>
              <w:rPr>
                <w:color w:val="222222"/>
                <w:sz w:val="17"/>
              </w:rPr>
              <w:t>4.6</w:t>
            </w:r>
          </w:p>
        </w:tc>
        <w:tc>
          <w:tcPr>
            <w:tcW w:type="dxa" w:w="893"/>
            <w:shd w:val="clear" w:fill="F2F6F6"/>
          </w:tcPr>
          <w:p>
            <w:pPr>
              <w:jc w:val="center"/>
            </w:pPr>
            <w:r/>
            <w:r>
              <w:rPr>
                <w:color w:val="222222"/>
                <w:sz w:val="17"/>
              </w:rPr>
              <w:t>3.9</w:t>
            </w:r>
          </w:p>
        </w:tc>
        <w:tc>
          <w:tcPr>
            <w:tcW w:type="dxa" w:w="893"/>
            <w:shd w:val="clear" w:fill="F2F6F6"/>
          </w:tcPr>
          <w:p>
            <w:pPr>
              <w:jc w:val="center"/>
            </w:pPr>
            <w:r/>
            <w:r>
              <w:rPr>
                <w:color w:val="222222"/>
                <w:sz w:val="17"/>
              </w:rPr>
              <w:t>4.4</w:t>
            </w:r>
          </w:p>
        </w:tc>
        <w:tc>
          <w:tcPr>
            <w:tcW w:type="dxa" w:w="893"/>
            <w:shd w:val="clear" w:fill="F2F6F6"/>
          </w:tcPr>
          <w:p>
            <w:pPr>
              <w:jc w:val="center"/>
            </w:pPr>
            <w:r/>
            <w:r>
              <w:rPr>
                <w:color w:val="222222"/>
                <w:sz w:val="17"/>
              </w:rPr>
              <w:t>4.6</w:t>
            </w:r>
          </w:p>
        </w:tc>
        <w:tc>
          <w:tcPr>
            <w:tcW w:type="dxa" w:w="893"/>
            <w:shd w:val="clear" w:fill="F2F6F6"/>
          </w:tcPr>
          <w:p>
            <w:pPr>
              <w:jc w:val="center"/>
            </w:pPr>
            <w:r/>
            <w:r>
              <w:rPr>
                <w:color w:val="222222"/>
                <w:sz w:val="17"/>
              </w:rPr>
              <w:t>4.9</w:t>
            </w:r>
          </w:p>
        </w:tc>
        <w:tc>
          <w:tcPr>
            <w:tcW w:type="dxa" w:w="893"/>
            <w:shd w:val="clear" w:fill="F2F6F6"/>
          </w:tcPr>
          <w:p>
            <w:pPr>
              <w:jc w:val="center"/>
            </w:pPr>
            <w:r/>
            <w:r>
              <w:rPr>
                <w:color w:val="222222"/>
                <w:sz w:val="17"/>
              </w:rPr>
              <w:t>5.0</w:t>
            </w:r>
          </w:p>
        </w:tc>
      </w:tr>
      <w:tr>
        <w:tc>
          <w:tcPr>
            <w:tcW w:type="dxa" w:w="2448"/>
          </w:tcPr>
          <w:p>
            <w:pPr>
              <w:jc w:val="left"/>
            </w:pPr>
            <w:r/>
            <w:r>
              <w:rPr>
                <w:b/>
                <w:color w:val="222222"/>
                <w:sz w:val="17"/>
              </w:rPr>
              <w:t>Net interest income</w:t>
            </w:r>
          </w:p>
        </w:tc>
        <w:tc>
          <w:tcPr>
            <w:tcW w:type="dxa" w:w="893"/>
          </w:tcPr>
          <w:p>
            <w:pPr>
              <w:jc w:val="center"/>
            </w:pPr>
            <w:r/>
            <w:r>
              <w:rPr>
                <w:color w:val="222222"/>
                <w:sz w:val="17"/>
              </w:rPr>
              <w:t>0.3</w:t>
            </w:r>
          </w:p>
        </w:tc>
        <w:tc>
          <w:tcPr>
            <w:tcW w:type="dxa" w:w="893"/>
          </w:tcPr>
          <w:p>
            <w:pPr>
              <w:jc w:val="center"/>
            </w:pPr>
            <w:r/>
            <w:r>
              <w:rPr>
                <w:color w:val="222222"/>
                <w:sz w:val="17"/>
              </w:rPr>
              <w:t>0.3</w:t>
            </w:r>
          </w:p>
        </w:tc>
        <w:tc>
          <w:tcPr>
            <w:tcW w:type="dxa" w:w="893"/>
          </w:tcPr>
          <w:p>
            <w:pPr>
              <w:jc w:val="center"/>
            </w:pPr>
            <w:r/>
            <w:r>
              <w:rPr>
                <w:color w:val="222222"/>
                <w:sz w:val="17"/>
              </w:rPr>
              <w:t>0.3</w:t>
            </w:r>
          </w:p>
        </w:tc>
        <w:tc>
          <w:tcPr>
            <w:tcW w:type="dxa" w:w="893"/>
          </w:tcPr>
          <w:p>
            <w:pPr>
              <w:jc w:val="center"/>
            </w:pPr>
            <w:r/>
            <w:r>
              <w:rPr>
                <w:color w:val="222222"/>
                <w:sz w:val="17"/>
              </w:rPr>
              <w:t>0.3</w:t>
            </w:r>
          </w:p>
        </w:tc>
        <w:tc>
          <w:tcPr>
            <w:tcW w:type="dxa" w:w="893"/>
          </w:tcPr>
          <w:p>
            <w:pPr>
              <w:jc w:val="center"/>
            </w:pPr>
            <w:r/>
            <w:r>
              <w:rPr>
                <w:color w:val="222222"/>
                <w:sz w:val="17"/>
              </w:rPr>
              <w:t>0.3</w:t>
            </w:r>
          </w:p>
        </w:tc>
        <w:tc>
          <w:tcPr>
            <w:tcW w:type="dxa" w:w="893"/>
          </w:tcPr>
          <w:p>
            <w:pPr>
              <w:jc w:val="center"/>
            </w:pPr>
            <w:r/>
            <w:r>
              <w:rPr>
                <w:color w:val="222222"/>
                <w:sz w:val="17"/>
              </w:rPr>
              <w:t>0.3</w:t>
            </w:r>
          </w:p>
        </w:tc>
        <w:tc>
          <w:tcPr>
            <w:tcW w:type="dxa" w:w="893"/>
          </w:tcPr>
          <w:p>
            <w:pPr>
              <w:jc w:val="center"/>
            </w:pPr>
            <w:r/>
            <w:r>
              <w:rPr>
                <w:color w:val="222222"/>
                <w:sz w:val="17"/>
              </w:rPr>
              <w:t>0.3</w:t>
            </w:r>
          </w:p>
        </w:tc>
        <w:tc>
          <w:tcPr>
            <w:tcW w:type="dxa" w:w="893"/>
          </w:tcPr>
          <w:p>
            <w:pPr>
              <w:jc w:val="center"/>
            </w:pPr>
            <w:r/>
            <w:r>
              <w:rPr>
                <w:color w:val="222222"/>
                <w:sz w:val="17"/>
              </w:rPr>
              <w:t>0.3</w:t>
            </w:r>
          </w:p>
        </w:tc>
      </w:tr>
      <w:tr>
        <w:tc>
          <w:tcPr>
            <w:tcW w:type="dxa" w:w="2448"/>
            <w:shd w:val="clear" w:fill="F2F6F6"/>
          </w:tcPr>
          <w:p>
            <w:pPr>
              <w:jc w:val="left"/>
            </w:pPr>
            <w:r/>
            <w:r>
              <w:rPr>
                <w:b/>
                <w:color w:val="222222"/>
                <w:sz w:val="17"/>
              </w:rPr>
              <w:t>Net profit</w:t>
            </w:r>
          </w:p>
        </w:tc>
        <w:tc>
          <w:tcPr>
            <w:tcW w:type="dxa" w:w="893"/>
            <w:shd w:val="clear" w:fill="F2F6F6"/>
          </w:tcPr>
          <w:p>
            <w:pPr>
              <w:jc w:val="center"/>
            </w:pPr>
            <w:r/>
            <w:r>
              <w:rPr>
                <w:color w:val="222222"/>
                <w:sz w:val="17"/>
              </w:rPr>
              <w:t>4.7</w:t>
            </w:r>
          </w:p>
        </w:tc>
        <w:tc>
          <w:tcPr>
            <w:tcW w:type="dxa" w:w="893"/>
            <w:shd w:val="clear" w:fill="F2F6F6"/>
          </w:tcPr>
          <w:p>
            <w:pPr>
              <w:jc w:val="center"/>
            </w:pPr>
            <w:r/>
            <w:r>
              <w:rPr>
                <w:color w:val="222222"/>
                <w:sz w:val="17"/>
              </w:rPr>
              <w:t>4.5</w:t>
            </w:r>
          </w:p>
        </w:tc>
        <w:tc>
          <w:tcPr>
            <w:tcW w:type="dxa" w:w="893"/>
            <w:shd w:val="clear" w:fill="F2F6F6"/>
          </w:tcPr>
          <w:p>
            <w:pPr>
              <w:jc w:val="center"/>
            </w:pPr>
            <w:r/>
            <w:r>
              <w:rPr>
                <w:color w:val="222222"/>
                <w:sz w:val="17"/>
              </w:rPr>
              <w:t>4.3</w:t>
            </w:r>
          </w:p>
        </w:tc>
        <w:tc>
          <w:tcPr>
            <w:tcW w:type="dxa" w:w="893"/>
            <w:shd w:val="clear" w:fill="F2F6F6"/>
          </w:tcPr>
          <w:p>
            <w:pPr>
              <w:jc w:val="center"/>
            </w:pPr>
            <w:r/>
            <w:r>
              <w:rPr>
                <w:color w:val="222222"/>
                <w:sz w:val="17"/>
              </w:rPr>
              <w:t>3.8</w:t>
            </w:r>
          </w:p>
        </w:tc>
        <w:tc>
          <w:tcPr>
            <w:tcW w:type="dxa" w:w="893"/>
            <w:shd w:val="clear" w:fill="F2F6F6"/>
          </w:tcPr>
          <w:p>
            <w:pPr>
              <w:jc w:val="center"/>
            </w:pPr>
            <w:r/>
            <w:r>
              <w:rPr>
                <w:color w:val="222222"/>
                <w:sz w:val="17"/>
              </w:rPr>
              <w:t>4.2</w:t>
            </w:r>
          </w:p>
        </w:tc>
        <w:tc>
          <w:tcPr>
            <w:tcW w:type="dxa" w:w="893"/>
            <w:shd w:val="clear" w:fill="F2F6F6"/>
          </w:tcPr>
          <w:p>
            <w:pPr>
              <w:jc w:val="center"/>
            </w:pPr>
            <w:r/>
            <w:r>
              <w:rPr>
                <w:color w:val="222222"/>
                <w:sz w:val="17"/>
              </w:rPr>
              <w:t>4.5</w:t>
            </w:r>
          </w:p>
        </w:tc>
        <w:tc>
          <w:tcPr>
            <w:tcW w:type="dxa" w:w="893"/>
            <w:shd w:val="clear" w:fill="F2F6F6"/>
          </w:tcPr>
          <w:p>
            <w:pPr>
              <w:jc w:val="center"/>
            </w:pPr>
            <w:r/>
            <w:r>
              <w:rPr>
                <w:color w:val="222222"/>
                <w:sz w:val="17"/>
              </w:rPr>
              <w:t>4.7</w:t>
            </w:r>
          </w:p>
        </w:tc>
        <w:tc>
          <w:tcPr>
            <w:tcW w:type="dxa" w:w="893"/>
            <w:shd w:val="clear" w:fill="F2F6F6"/>
          </w:tcPr>
          <w:p>
            <w:pPr>
              <w:jc w:val="center"/>
            </w:pPr>
            <w:r/>
            <w:r>
              <w:rPr>
                <w:color w:val="222222"/>
                <w:sz w:val="17"/>
              </w:rPr>
              <w:t>4.8</w:t>
            </w:r>
          </w:p>
        </w:tc>
      </w:tr>
      <w:tr>
        <w:tc>
          <w:tcPr>
            <w:tcW w:type="dxa" w:w="2448"/>
          </w:tcPr>
          <w:p>
            <w:pPr>
              <w:jc w:val="left"/>
            </w:pPr>
            <w:r/>
            <w:r>
              <w:rPr>
                <w:b/>
                <w:color w:val="222222"/>
                <w:sz w:val="17"/>
              </w:rPr>
              <w:t>EPS (QR)</w:t>
            </w:r>
          </w:p>
        </w:tc>
        <w:tc>
          <w:tcPr>
            <w:tcW w:type="dxa" w:w="893"/>
          </w:tcPr>
          <w:p>
            <w:pPr>
              <w:jc w:val="center"/>
            </w:pPr>
            <w:r/>
            <w:r>
              <w:rPr>
                <w:color w:val="222222"/>
                <w:sz w:val="17"/>
              </w:rPr>
              <w:t>0.78</w:t>
            </w:r>
          </w:p>
        </w:tc>
        <w:tc>
          <w:tcPr>
            <w:tcW w:type="dxa" w:w="893"/>
          </w:tcPr>
          <w:p>
            <w:pPr>
              <w:jc w:val="center"/>
            </w:pPr>
            <w:r/>
            <w:r>
              <w:rPr>
                <w:color w:val="222222"/>
                <w:sz w:val="17"/>
              </w:rPr>
              <w:t>0.74</w:t>
            </w:r>
          </w:p>
        </w:tc>
        <w:tc>
          <w:tcPr>
            <w:tcW w:type="dxa" w:w="893"/>
          </w:tcPr>
          <w:p>
            <w:pPr>
              <w:jc w:val="center"/>
            </w:pPr>
            <w:r/>
            <w:r>
              <w:rPr>
                <w:color w:val="222222"/>
                <w:sz w:val="17"/>
              </w:rPr>
              <w:t>0.71</w:t>
            </w:r>
          </w:p>
        </w:tc>
        <w:tc>
          <w:tcPr>
            <w:tcW w:type="dxa" w:w="893"/>
          </w:tcPr>
          <w:p>
            <w:pPr>
              <w:jc w:val="center"/>
            </w:pPr>
            <w:r/>
            <w:r>
              <w:rPr>
                <w:color w:val="222222"/>
                <w:sz w:val="17"/>
              </w:rPr>
              <w:t>0.63</w:t>
            </w:r>
          </w:p>
        </w:tc>
        <w:tc>
          <w:tcPr>
            <w:tcW w:type="dxa" w:w="893"/>
          </w:tcPr>
          <w:p>
            <w:pPr>
              <w:jc w:val="center"/>
            </w:pPr>
            <w:r/>
            <w:r>
              <w:rPr>
                <w:color w:val="222222"/>
                <w:sz w:val="17"/>
              </w:rPr>
              <w:t>0.69</w:t>
            </w:r>
          </w:p>
        </w:tc>
        <w:tc>
          <w:tcPr>
            <w:tcW w:type="dxa" w:w="893"/>
          </w:tcPr>
          <w:p>
            <w:pPr>
              <w:jc w:val="center"/>
            </w:pPr>
            <w:r/>
            <w:r>
              <w:rPr>
                <w:color w:val="222222"/>
                <w:sz w:val="17"/>
              </w:rPr>
              <w:t>0.74</w:t>
            </w:r>
          </w:p>
        </w:tc>
        <w:tc>
          <w:tcPr>
            <w:tcW w:type="dxa" w:w="893"/>
          </w:tcPr>
          <w:p>
            <w:pPr>
              <w:jc w:val="center"/>
            </w:pPr>
            <w:r/>
            <w:r>
              <w:rPr>
                <w:color w:val="222222"/>
                <w:sz w:val="17"/>
              </w:rPr>
              <w:t>0.78</w:t>
            </w:r>
          </w:p>
        </w:tc>
        <w:tc>
          <w:tcPr>
            <w:tcW w:type="dxa" w:w="893"/>
          </w:tcPr>
          <w:p>
            <w:pPr>
              <w:jc w:val="center"/>
            </w:pPr>
            <w:r/>
            <w:r>
              <w:rPr>
                <w:color w:val="222222"/>
                <w:sz w:val="17"/>
              </w:rPr>
              <w:t>0.79</w:t>
            </w:r>
          </w:p>
        </w:tc>
      </w:tr>
      <w:tr>
        <w:tc>
          <w:tcPr>
            <w:tcW w:type="dxa" w:w="2448"/>
            <w:shd w:val="clear" w:fill="F2F6F6"/>
          </w:tcPr>
          <w:p>
            <w:pPr>
              <w:jc w:val="left"/>
            </w:pPr>
            <w:r/>
            <w:r>
              <w:rPr>
                <w:b/>
                <w:color w:val="222222"/>
                <w:sz w:val="17"/>
              </w:rPr>
              <w:t>DPS (QR)</w:t>
            </w:r>
          </w:p>
        </w:tc>
        <w:tc>
          <w:tcPr>
            <w:tcW w:type="dxa" w:w="893"/>
            <w:shd w:val="clear" w:fill="F2F6F6"/>
          </w:tcPr>
          <w:p>
            <w:pPr>
              <w:jc w:val="center"/>
            </w:pPr>
            <w:r/>
            <w:r>
              <w:rPr>
                <w:color w:val="222222"/>
                <w:sz w:val="17"/>
              </w:rPr>
              <w:t>0.77</w:t>
            </w:r>
          </w:p>
        </w:tc>
        <w:tc>
          <w:tcPr>
            <w:tcW w:type="dxa" w:w="893"/>
            <w:shd w:val="clear" w:fill="F2F6F6"/>
          </w:tcPr>
          <w:p>
            <w:pPr>
              <w:jc w:val="center"/>
            </w:pPr>
            <w:r/>
            <w:r>
              <w:rPr>
                <w:color w:val="222222"/>
                <w:sz w:val="17"/>
              </w:rPr>
              <w:t>0.74</w:t>
            </w:r>
          </w:p>
        </w:tc>
        <w:tc>
          <w:tcPr>
            <w:tcW w:type="dxa" w:w="893"/>
            <w:shd w:val="clear" w:fill="F2F6F6"/>
          </w:tcPr>
          <w:p>
            <w:pPr>
              <w:jc w:val="center"/>
            </w:pPr>
            <w:r/>
            <w:r>
              <w:rPr>
                <w:color w:val="222222"/>
                <w:sz w:val="17"/>
              </w:rPr>
              <w:t>0.71</w:t>
            </w:r>
          </w:p>
        </w:tc>
        <w:tc>
          <w:tcPr>
            <w:tcW w:type="dxa" w:w="893"/>
            <w:shd w:val="clear" w:fill="F2F6F6"/>
          </w:tcPr>
          <w:p>
            <w:pPr>
              <w:jc w:val="center"/>
            </w:pPr>
            <w:r/>
            <w:r>
              <w:rPr>
                <w:color w:val="222222"/>
                <w:sz w:val="17"/>
              </w:rPr>
              <w:t>0.63</w:t>
            </w:r>
          </w:p>
        </w:tc>
        <w:tc>
          <w:tcPr>
            <w:tcW w:type="dxa" w:w="893"/>
            <w:shd w:val="clear" w:fill="F2F6F6"/>
          </w:tcPr>
          <w:p>
            <w:pPr>
              <w:jc w:val="center"/>
            </w:pPr>
            <w:r/>
            <w:r>
              <w:rPr>
                <w:color w:val="222222"/>
                <w:sz w:val="17"/>
              </w:rPr>
              <w:t>0.69</w:t>
            </w:r>
          </w:p>
        </w:tc>
        <w:tc>
          <w:tcPr>
            <w:tcW w:type="dxa" w:w="893"/>
            <w:shd w:val="clear" w:fill="F2F6F6"/>
          </w:tcPr>
          <w:p>
            <w:pPr>
              <w:jc w:val="center"/>
            </w:pPr>
            <w:r/>
            <w:r>
              <w:rPr>
                <w:color w:val="222222"/>
                <w:sz w:val="17"/>
              </w:rPr>
              <w:t>0.74</w:t>
            </w:r>
          </w:p>
        </w:tc>
        <w:tc>
          <w:tcPr>
            <w:tcW w:type="dxa" w:w="893"/>
            <w:shd w:val="clear" w:fill="F2F6F6"/>
          </w:tcPr>
          <w:p>
            <w:pPr>
              <w:jc w:val="center"/>
            </w:pPr>
            <w:r/>
            <w:r>
              <w:rPr>
                <w:color w:val="222222"/>
                <w:sz w:val="17"/>
              </w:rPr>
              <w:t>0.78</w:t>
            </w:r>
          </w:p>
        </w:tc>
        <w:tc>
          <w:tcPr>
            <w:tcW w:type="dxa" w:w="893"/>
            <w:shd w:val="clear" w:fill="F2F6F6"/>
          </w:tcPr>
          <w:p>
            <w:pPr>
              <w:jc w:val="center"/>
            </w:pPr>
            <w:r/>
            <w:r>
              <w:rPr>
                <w:color w:val="222222"/>
                <w:sz w:val="17"/>
              </w:rPr>
              <w:t>0.79</w:t>
            </w:r>
          </w:p>
        </w:tc>
      </w:tr>
    </w:tbl>
    <w:p>
      <w:pPr>
        <w:spacing w:after="40"/>
      </w:pPr>
    </w:p>
    <w:p>
      <w:pPr>
        <w:keepNext/>
        <w:spacing w:before="280" w:after="120"/>
      </w:pPr>
      <w:r>
        <w:rPr>
          <w:b/>
          <w:color w:val="2A8F8F"/>
          <w:sz w:val="24"/>
        </w:rPr>
        <w:t>A.2 · Balance sheet</w:t>
      </w:r>
    </w:p>
    <w:tbl>
      <w:tblPr>
        <w:tblW w:type="auto" w:w="0"/>
        <w:jc w:val="center"/>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2448"/>
            <w:shd w:val="clear" w:fill="1B5E5E"/>
          </w:tcPr>
          <w:p>
            <w:pPr>
              <w:jc w:val="left"/>
            </w:pPr>
            <w:r/>
            <w:r>
              <w:rPr>
                <w:b/>
                <w:color w:val="FFFFFF"/>
                <w:sz w:val="17"/>
              </w:rPr>
              <w:t>QR bn</w:t>
            </w:r>
          </w:p>
        </w:tc>
        <w:tc>
          <w:tcPr>
            <w:tcW w:type="dxa" w:w="893"/>
            <w:shd w:val="clear" w:fill="1B5E5E"/>
          </w:tcPr>
          <w:p>
            <w:pPr>
              <w:jc w:val="center"/>
            </w:pPr>
            <w:r/>
            <w:r>
              <w:rPr>
                <w:b/>
                <w:color w:val="FFFFFF"/>
                <w:sz w:val="17"/>
              </w:rPr>
              <w:t>FY23</w:t>
            </w:r>
          </w:p>
        </w:tc>
        <w:tc>
          <w:tcPr>
            <w:tcW w:type="dxa" w:w="893"/>
            <w:shd w:val="clear" w:fill="1B5E5E"/>
          </w:tcPr>
          <w:p>
            <w:pPr>
              <w:jc w:val="center"/>
            </w:pPr>
            <w:r/>
            <w:r>
              <w:rPr>
                <w:b/>
                <w:color w:val="FFFFFF"/>
                <w:sz w:val="17"/>
              </w:rPr>
              <w:t>FY24</w:t>
            </w:r>
          </w:p>
        </w:tc>
        <w:tc>
          <w:tcPr>
            <w:tcW w:type="dxa" w:w="893"/>
            <w:shd w:val="clear" w:fill="1B5E5E"/>
          </w:tcPr>
          <w:p>
            <w:pPr>
              <w:jc w:val="center"/>
            </w:pPr>
            <w:r/>
            <w:r>
              <w:rPr>
                <w:b/>
                <w:color w:val="FFFFFF"/>
                <w:sz w:val="17"/>
              </w:rPr>
              <w:t>FY25</w:t>
            </w:r>
          </w:p>
        </w:tc>
        <w:tc>
          <w:tcPr>
            <w:tcW w:type="dxa" w:w="893"/>
            <w:shd w:val="clear" w:fill="1B5E5E"/>
          </w:tcPr>
          <w:p>
            <w:pPr>
              <w:jc w:val="center"/>
            </w:pPr>
            <w:r/>
            <w:r>
              <w:rPr>
                <w:b/>
                <w:color w:val="FFFFFF"/>
                <w:sz w:val="17"/>
              </w:rPr>
              <w:t>FY26E</w:t>
            </w:r>
          </w:p>
        </w:tc>
        <w:tc>
          <w:tcPr>
            <w:tcW w:type="dxa" w:w="893"/>
            <w:shd w:val="clear" w:fill="1B5E5E"/>
          </w:tcPr>
          <w:p>
            <w:pPr>
              <w:jc w:val="center"/>
            </w:pPr>
            <w:r/>
            <w:r>
              <w:rPr>
                <w:b/>
                <w:color w:val="FFFFFF"/>
                <w:sz w:val="17"/>
              </w:rPr>
              <w:t>FY27E</w:t>
            </w:r>
          </w:p>
        </w:tc>
        <w:tc>
          <w:tcPr>
            <w:tcW w:type="dxa" w:w="893"/>
            <w:shd w:val="clear" w:fill="1B5E5E"/>
          </w:tcPr>
          <w:p>
            <w:pPr>
              <w:jc w:val="center"/>
            </w:pPr>
            <w:r/>
            <w:r>
              <w:rPr>
                <w:b/>
                <w:color w:val="FFFFFF"/>
                <w:sz w:val="17"/>
              </w:rPr>
              <w:t>FY28E</w:t>
            </w:r>
          </w:p>
        </w:tc>
        <w:tc>
          <w:tcPr>
            <w:tcW w:type="dxa" w:w="893"/>
            <w:shd w:val="clear" w:fill="1B5E5E"/>
          </w:tcPr>
          <w:p>
            <w:pPr>
              <w:jc w:val="center"/>
            </w:pPr>
            <w:r/>
            <w:r>
              <w:rPr>
                <w:b/>
                <w:color w:val="FFFFFF"/>
                <w:sz w:val="17"/>
              </w:rPr>
              <w:t>FY29E</w:t>
            </w:r>
          </w:p>
        </w:tc>
        <w:tc>
          <w:tcPr>
            <w:tcW w:type="dxa" w:w="893"/>
            <w:shd w:val="clear" w:fill="1B5E5E"/>
          </w:tcPr>
          <w:p>
            <w:pPr>
              <w:jc w:val="center"/>
            </w:pPr>
            <w:r/>
            <w:r>
              <w:rPr>
                <w:b/>
                <w:color w:val="FFFFFF"/>
                <w:sz w:val="17"/>
              </w:rPr>
              <w:t>FY30E</w:t>
            </w:r>
          </w:p>
        </w:tc>
      </w:tr>
      <w:tr>
        <w:tc>
          <w:tcPr>
            <w:tcW w:type="dxa" w:w="2448"/>
          </w:tcPr>
          <w:p>
            <w:pPr>
              <w:jc w:val="left"/>
            </w:pPr>
            <w:r/>
            <w:r>
              <w:rPr>
                <w:b/>
                <w:color w:val="222222"/>
                <w:sz w:val="17"/>
              </w:rPr>
              <w:t>Cash &amp; bank balances</w:t>
            </w:r>
          </w:p>
        </w:tc>
        <w:tc>
          <w:tcPr>
            <w:tcW w:type="dxa" w:w="893"/>
          </w:tcPr>
          <w:p>
            <w:pPr>
              <w:jc w:val="center"/>
            </w:pPr>
            <w:r/>
            <w:r>
              <w:rPr>
                <w:color w:val="222222"/>
                <w:sz w:val="17"/>
              </w:rPr>
              <w:t>9.9</w:t>
            </w:r>
          </w:p>
        </w:tc>
        <w:tc>
          <w:tcPr>
            <w:tcW w:type="dxa" w:w="893"/>
          </w:tcPr>
          <w:p>
            <w:pPr>
              <w:jc w:val="center"/>
            </w:pPr>
            <w:r/>
            <w:r>
              <w:rPr>
                <w:color w:val="222222"/>
                <w:sz w:val="17"/>
              </w:rPr>
              <w:t>9.2</w:t>
            </w:r>
          </w:p>
        </w:tc>
        <w:tc>
          <w:tcPr>
            <w:tcW w:type="dxa" w:w="893"/>
          </w:tcPr>
          <w:p>
            <w:pPr>
              <w:jc w:val="center"/>
            </w:pPr>
            <w:r/>
            <w:r>
              <w:rPr>
                <w:color w:val="222222"/>
                <w:sz w:val="17"/>
              </w:rPr>
              <w:t>8.5</w:t>
            </w:r>
          </w:p>
        </w:tc>
        <w:tc>
          <w:tcPr>
            <w:tcW w:type="dxa" w:w="893"/>
          </w:tcPr>
          <w:p>
            <w:pPr>
              <w:jc w:val="center"/>
            </w:pPr>
            <w:r/>
            <w:r>
              <w:rPr>
                <w:color w:val="222222"/>
                <w:sz w:val="17"/>
              </w:rPr>
              <w:t>8.5</w:t>
            </w:r>
          </w:p>
        </w:tc>
        <w:tc>
          <w:tcPr>
            <w:tcW w:type="dxa" w:w="893"/>
          </w:tcPr>
          <w:p>
            <w:pPr>
              <w:jc w:val="center"/>
            </w:pPr>
            <w:r/>
            <w:r>
              <w:rPr>
                <w:color w:val="222222"/>
                <w:sz w:val="17"/>
              </w:rPr>
              <w:t>8.5</w:t>
            </w:r>
          </w:p>
        </w:tc>
        <w:tc>
          <w:tcPr>
            <w:tcW w:type="dxa" w:w="893"/>
          </w:tcPr>
          <w:p>
            <w:pPr>
              <w:jc w:val="center"/>
            </w:pPr>
            <w:r/>
            <w:r>
              <w:rPr>
                <w:color w:val="222222"/>
                <w:sz w:val="17"/>
              </w:rPr>
              <w:t>8.5</w:t>
            </w:r>
          </w:p>
        </w:tc>
        <w:tc>
          <w:tcPr>
            <w:tcW w:type="dxa" w:w="893"/>
          </w:tcPr>
          <w:p>
            <w:pPr>
              <w:jc w:val="center"/>
            </w:pPr>
            <w:r/>
            <w:r>
              <w:rPr>
                <w:color w:val="222222"/>
                <w:sz w:val="17"/>
              </w:rPr>
              <w:t>8.5</w:t>
            </w:r>
          </w:p>
        </w:tc>
        <w:tc>
          <w:tcPr>
            <w:tcW w:type="dxa" w:w="893"/>
          </w:tcPr>
          <w:p>
            <w:pPr>
              <w:jc w:val="center"/>
            </w:pPr>
            <w:r/>
            <w:r>
              <w:rPr>
                <w:color w:val="222222"/>
                <w:sz w:val="17"/>
              </w:rPr>
              <w:t>8.5</w:t>
            </w:r>
          </w:p>
        </w:tc>
      </w:tr>
      <w:tr>
        <w:tc>
          <w:tcPr>
            <w:tcW w:type="dxa" w:w="2448"/>
            <w:shd w:val="clear" w:fill="F2F6F6"/>
          </w:tcPr>
          <w:p>
            <w:pPr>
              <w:jc w:val="left"/>
            </w:pPr>
            <w:r/>
            <w:r>
              <w:rPr>
                <w:b/>
                <w:color w:val="222222"/>
                <w:sz w:val="17"/>
              </w:rPr>
              <w:t>Other current assets</w:t>
            </w:r>
          </w:p>
        </w:tc>
        <w:tc>
          <w:tcPr>
            <w:tcW w:type="dxa" w:w="893"/>
            <w:shd w:val="clear" w:fill="F2F6F6"/>
          </w:tcPr>
          <w:p>
            <w:pPr>
              <w:jc w:val="center"/>
            </w:pPr>
            <w:r/>
            <w:r>
              <w:rPr>
                <w:color w:val="222222"/>
                <w:sz w:val="17"/>
              </w:rPr>
              <w:t>7.5</w:t>
            </w:r>
          </w:p>
        </w:tc>
        <w:tc>
          <w:tcPr>
            <w:tcW w:type="dxa" w:w="893"/>
            <w:shd w:val="clear" w:fill="F2F6F6"/>
          </w:tcPr>
          <w:p>
            <w:pPr>
              <w:jc w:val="center"/>
            </w:pPr>
            <w:r/>
            <w:r>
              <w:rPr>
                <w:color w:val="222222"/>
                <w:sz w:val="17"/>
              </w:rPr>
              <w:t>7.6</w:t>
            </w:r>
          </w:p>
        </w:tc>
        <w:tc>
          <w:tcPr>
            <w:tcW w:type="dxa" w:w="893"/>
            <w:shd w:val="clear" w:fill="F2F6F6"/>
          </w:tcPr>
          <w:p>
            <w:pPr>
              <w:jc w:val="center"/>
            </w:pPr>
            <w:r/>
            <w:r>
              <w:rPr>
                <w:color w:val="222222"/>
                <w:sz w:val="17"/>
              </w:rPr>
              <w:t>7.7</w:t>
            </w:r>
          </w:p>
        </w:tc>
        <w:tc>
          <w:tcPr>
            <w:tcW w:type="dxa" w:w="893"/>
            <w:shd w:val="clear" w:fill="F2F6F6"/>
          </w:tcPr>
          <w:p>
            <w:pPr>
              <w:jc w:val="center"/>
            </w:pPr>
            <w:r/>
            <w:r>
              <w:rPr>
                <w:color w:val="222222"/>
                <w:sz w:val="17"/>
              </w:rPr>
              <w:t>7.7</w:t>
            </w:r>
          </w:p>
        </w:tc>
        <w:tc>
          <w:tcPr>
            <w:tcW w:type="dxa" w:w="893"/>
            <w:shd w:val="clear" w:fill="F2F6F6"/>
          </w:tcPr>
          <w:p>
            <w:pPr>
              <w:jc w:val="center"/>
            </w:pPr>
            <w:r/>
            <w:r>
              <w:rPr>
                <w:color w:val="222222"/>
                <w:sz w:val="17"/>
              </w:rPr>
              <w:t>7.7</w:t>
            </w:r>
          </w:p>
        </w:tc>
        <w:tc>
          <w:tcPr>
            <w:tcW w:type="dxa" w:w="893"/>
            <w:shd w:val="clear" w:fill="F2F6F6"/>
          </w:tcPr>
          <w:p>
            <w:pPr>
              <w:jc w:val="center"/>
            </w:pPr>
            <w:r/>
            <w:r>
              <w:rPr>
                <w:color w:val="222222"/>
                <w:sz w:val="17"/>
              </w:rPr>
              <w:t>7.7</w:t>
            </w:r>
          </w:p>
        </w:tc>
        <w:tc>
          <w:tcPr>
            <w:tcW w:type="dxa" w:w="893"/>
            <w:shd w:val="clear" w:fill="F2F6F6"/>
          </w:tcPr>
          <w:p>
            <w:pPr>
              <w:jc w:val="center"/>
            </w:pPr>
            <w:r/>
            <w:r>
              <w:rPr>
                <w:color w:val="222222"/>
                <w:sz w:val="17"/>
              </w:rPr>
              <w:t>7.7</w:t>
            </w:r>
          </w:p>
        </w:tc>
        <w:tc>
          <w:tcPr>
            <w:tcW w:type="dxa" w:w="893"/>
            <w:shd w:val="clear" w:fill="F2F6F6"/>
          </w:tcPr>
          <w:p>
            <w:pPr>
              <w:jc w:val="center"/>
            </w:pPr>
            <w:r/>
            <w:r>
              <w:rPr>
                <w:color w:val="222222"/>
                <w:sz w:val="17"/>
              </w:rPr>
              <w:t>7.7</w:t>
            </w:r>
          </w:p>
        </w:tc>
      </w:tr>
      <w:tr>
        <w:tc>
          <w:tcPr>
            <w:tcW w:type="dxa" w:w="2448"/>
          </w:tcPr>
          <w:p>
            <w:pPr>
              <w:jc w:val="left"/>
            </w:pPr>
            <w:r/>
            <w:r>
              <w:rPr>
                <w:b/>
                <w:color w:val="222222"/>
                <w:sz w:val="17"/>
              </w:rPr>
              <w:t>PP&amp;E and projects</w:t>
            </w:r>
          </w:p>
        </w:tc>
        <w:tc>
          <w:tcPr>
            <w:tcW w:type="dxa" w:w="893"/>
          </w:tcPr>
          <w:p>
            <w:pPr>
              <w:jc w:val="center"/>
            </w:pPr>
            <w:r/>
            <w:r>
              <w:rPr>
                <w:color w:val="222222"/>
                <w:sz w:val="17"/>
              </w:rPr>
              <w:t>19.5</w:t>
            </w:r>
          </w:p>
        </w:tc>
        <w:tc>
          <w:tcPr>
            <w:tcW w:type="dxa" w:w="893"/>
          </w:tcPr>
          <w:p>
            <w:pPr>
              <w:jc w:val="center"/>
            </w:pPr>
            <w:r/>
            <w:r>
              <w:rPr>
                <w:color w:val="222222"/>
                <w:sz w:val="17"/>
              </w:rPr>
              <w:t>19.8</w:t>
            </w:r>
          </w:p>
        </w:tc>
        <w:tc>
          <w:tcPr>
            <w:tcW w:type="dxa" w:w="893"/>
          </w:tcPr>
          <w:p>
            <w:pPr>
              <w:jc w:val="center"/>
            </w:pPr>
            <w:r/>
            <w:r>
              <w:rPr>
                <w:color w:val="222222"/>
                <w:sz w:val="17"/>
              </w:rPr>
              <w:t>20.0</w:t>
            </w:r>
          </w:p>
        </w:tc>
        <w:tc>
          <w:tcPr>
            <w:tcW w:type="dxa" w:w="893"/>
          </w:tcPr>
          <w:p>
            <w:pPr>
              <w:jc w:val="center"/>
            </w:pPr>
            <w:r/>
            <w:r>
              <w:rPr>
                <w:color w:val="222222"/>
                <w:sz w:val="17"/>
              </w:rPr>
              <w:t>20.0</w:t>
            </w:r>
          </w:p>
        </w:tc>
        <w:tc>
          <w:tcPr>
            <w:tcW w:type="dxa" w:w="893"/>
          </w:tcPr>
          <w:p>
            <w:pPr>
              <w:jc w:val="center"/>
            </w:pPr>
            <w:r/>
            <w:r>
              <w:rPr>
                <w:color w:val="222222"/>
                <w:sz w:val="17"/>
              </w:rPr>
              <w:t>20.0</w:t>
            </w:r>
          </w:p>
        </w:tc>
        <w:tc>
          <w:tcPr>
            <w:tcW w:type="dxa" w:w="893"/>
          </w:tcPr>
          <w:p>
            <w:pPr>
              <w:jc w:val="center"/>
            </w:pPr>
            <w:r/>
            <w:r>
              <w:rPr>
                <w:color w:val="222222"/>
                <w:sz w:val="17"/>
              </w:rPr>
              <w:t>20.0</w:t>
            </w:r>
          </w:p>
        </w:tc>
        <w:tc>
          <w:tcPr>
            <w:tcW w:type="dxa" w:w="893"/>
          </w:tcPr>
          <w:p>
            <w:pPr>
              <w:jc w:val="center"/>
            </w:pPr>
            <w:r/>
            <w:r>
              <w:rPr>
                <w:color w:val="222222"/>
                <w:sz w:val="17"/>
              </w:rPr>
              <w:t>20.0</w:t>
            </w:r>
          </w:p>
        </w:tc>
        <w:tc>
          <w:tcPr>
            <w:tcW w:type="dxa" w:w="893"/>
          </w:tcPr>
          <w:p>
            <w:pPr>
              <w:jc w:val="center"/>
            </w:pPr>
            <w:r/>
            <w:r>
              <w:rPr>
                <w:color w:val="222222"/>
                <w:sz w:val="17"/>
              </w:rPr>
              <w:t>20.0</w:t>
            </w:r>
          </w:p>
        </w:tc>
      </w:tr>
      <w:tr>
        <w:tc>
          <w:tcPr>
            <w:tcW w:type="dxa" w:w="2448"/>
            <w:shd w:val="clear" w:fill="F2F6F6"/>
          </w:tcPr>
          <w:p>
            <w:pPr>
              <w:jc w:val="left"/>
            </w:pPr>
            <w:r/>
            <w:r>
              <w:rPr>
                <w:b/>
                <w:color w:val="222222"/>
                <w:sz w:val="17"/>
              </w:rPr>
              <w:t>Investments &amp; other</w:t>
            </w:r>
          </w:p>
        </w:tc>
        <w:tc>
          <w:tcPr>
            <w:tcW w:type="dxa" w:w="893"/>
            <w:shd w:val="clear" w:fill="F2F6F6"/>
          </w:tcPr>
          <w:p>
            <w:pPr>
              <w:jc w:val="center"/>
            </w:pPr>
            <w:r/>
            <w:r>
              <w:rPr>
                <w:color w:val="222222"/>
                <w:sz w:val="17"/>
              </w:rPr>
              <w:t>4.3</w:t>
            </w:r>
          </w:p>
        </w:tc>
        <w:tc>
          <w:tcPr>
            <w:tcW w:type="dxa" w:w="893"/>
            <w:shd w:val="clear" w:fill="F2F6F6"/>
          </w:tcPr>
          <w:p>
            <w:pPr>
              <w:jc w:val="center"/>
            </w:pPr>
            <w:r/>
            <w:r>
              <w:rPr>
                <w:color w:val="222222"/>
                <w:sz w:val="17"/>
              </w:rPr>
              <w:t>4.4</w:t>
            </w:r>
          </w:p>
        </w:tc>
        <w:tc>
          <w:tcPr>
            <w:tcW w:type="dxa" w:w="893"/>
            <w:shd w:val="clear" w:fill="F2F6F6"/>
          </w:tcPr>
          <w:p>
            <w:pPr>
              <w:jc w:val="center"/>
            </w:pPr>
            <w:r/>
            <w:r>
              <w:rPr>
                <w:color w:val="222222"/>
                <w:sz w:val="17"/>
              </w:rPr>
              <w:t>4.5</w:t>
            </w:r>
          </w:p>
        </w:tc>
        <w:tc>
          <w:tcPr>
            <w:tcW w:type="dxa" w:w="893"/>
            <w:shd w:val="clear" w:fill="F2F6F6"/>
          </w:tcPr>
          <w:p>
            <w:pPr>
              <w:jc w:val="center"/>
            </w:pPr>
            <w:r/>
            <w:r>
              <w:rPr>
                <w:color w:val="222222"/>
                <w:sz w:val="17"/>
              </w:rPr>
              <w:t>4.5</w:t>
            </w:r>
          </w:p>
        </w:tc>
        <w:tc>
          <w:tcPr>
            <w:tcW w:type="dxa" w:w="893"/>
            <w:shd w:val="clear" w:fill="F2F6F6"/>
          </w:tcPr>
          <w:p>
            <w:pPr>
              <w:jc w:val="center"/>
            </w:pPr>
            <w:r/>
            <w:r>
              <w:rPr>
                <w:color w:val="222222"/>
                <w:sz w:val="17"/>
              </w:rPr>
              <w:t>4.5</w:t>
            </w:r>
          </w:p>
        </w:tc>
        <w:tc>
          <w:tcPr>
            <w:tcW w:type="dxa" w:w="893"/>
            <w:shd w:val="clear" w:fill="F2F6F6"/>
          </w:tcPr>
          <w:p>
            <w:pPr>
              <w:jc w:val="center"/>
            </w:pPr>
            <w:r/>
            <w:r>
              <w:rPr>
                <w:color w:val="222222"/>
                <w:sz w:val="17"/>
              </w:rPr>
              <w:t>4.5</w:t>
            </w:r>
          </w:p>
        </w:tc>
        <w:tc>
          <w:tcPr>
            <w:tcW w:type="dxa" w:w="893"/>
            <w:shd w:val="clear" w:fill="F2F6F6"/>
          </w:tcPr>
          <w:p>
            <w:pPr>
              <w:jc w:val="center"/>
            </w:pPr>
            <w:r/>
            <w:r>
              <w:rPr>
                <w:color w:val="222222"/>
                <w:sz w:val="17"/>
              </w:rPr>
              <w:t>4.5</w:t>
            </w:r>
          </w:p>
        </w:tc>
        <w:tc>
          <w:tcPr>
            <w:tcW w:type="dxa" w:w="893"/>
            <w:shd w:val="clear" w:fill="F2F6F6"/>
          </w:tcPr>
          <w:p>
            <w:pPr>
              <w:jc w:val="center"/>
            </w:pPr>
            <w:r/>
            <w:r>
              <w:rPr>
                <w:color w:val="222222"/>
                <w:sz w:val="17"/>
              </w:rPr>
              <w:t>4.5</w:t>
            </w:r>
          </w:p>
        </w:tc>
      </w:tr>
      <w:tr>
        <w:tc>
          <w:tcPr>
            <w:tcW w:type="dxa" w:w="2448"/>
          </w:tcPr>
          <w:p>
            <w:pPr>
              <w:jc w:val="left"/>
            </w:pPr>
            <w:r/>
            <w:r>
              <w:rPr>
                <w:b/>
                <w:color w:val="222222"/>
                <w:sz w:val="17"/>
              </w:rPr>
              <w:t>Total assets</w:t>
            </w:r>
          </w:p>
        </w:tc>
        <w:tc>
          <w:tcPr>
            <w:tcW w:type="dxa" w:w="893"/>
          </w:tcPr>
          <w:p>
            <w:pPr>
              <w:jc w:val="center"/>
            </w:pPr>
            <w:r/>
            <w:r>
              <w:rPr>
                <w:color w:val="222222"/>
                <w:sz w:val="17"/>
              </w:rPr>
              <w:t>41.2</w:t>
            </w:r>
          </w:p>
        </w:tc>
        <w:tc>
          <w:tcPr>
            <w:tcW w:type="dxa" w:w="893"/>
          </w:tcPr>
          <w:p>
            <w:pPr>
              <w:jc w:val="center"/>
            </w:pPr>
            <w:r/>
            <w:r>
              <w:rPr>
                <w:color w:val="222222"/>
                <w:sz w:val="17"/>
              </w:rPr>
              <w:t>41.0</w:t>
            </w:r>
          </w:p>
        </w:tc>
        <w:tc>
          <w:tcPr>
            <w:tcW w:type="dxa" w:w="893"/>
          </w:tcPr>
          <w:p>
            <w:pPr>
              <w:jc w:val="center"/>
            </w:pPr>
            <w:r/>
            <w:r>
              <w:rPr>
                <w:color w:val="222222"/>
                <w:sz w:val="17"/>
              </w:rPr>
              <w:t>40.7</w:t>
            </w:r>
          </w:p>
        </w:tc>
        <w:tc>
          <w:tcPr>
            <w:tcW w:type="dxa" w:w="893"/>
          </w:tcPr>
          <w:p>
            <w:pPr>
              <w:jc w:val="center"/>
            </w:pPr>
            <w:r/>
            <w:r>
              <w:rPr>
                <w:color w:val="222222"/>
                <w:sz w:val="17"/>
              </w:rPr>
              <w:t>40.7</w:t>
            </w:r>
          </w:p>
        </w:tc>
        <w:tc>
          <w:tcPr>
            <w:tcW w:type="dxa" w:w="893"/>
          </w:tcPr>
          <w:p>
            <w:pPr>
              <w:jc w:val="center"/>
            </w:pPr>
            <w:r/>
            <w:r>
              <w:rPr>
                <w:color w:val="222222"/>
                <w:sz w:val="17"/>
              </w:rPr>
              <w:t>40.7</w:t>
            </w:r>
          </w:p>
        </w:tc>
        <w:tc>
          <w:tcPr>
            <w:tcW w:type="dxa" w:w="893"/>
          </w:tcPr>
          <w:p>
            <w:pPr>
              <w:jc w:val="center"/>
            </w:pPr>
            <w:r/>
            <w:r>
              <w:rPr>
                <w:color w:val="222222"/>
                <w:sz w:val="17"/>
              </w:rPr>
              <w:t>40.7</w:t>
            </w:r>
          </w:p>
        </w:tc>
        <w:tc>
          <w:tcPr>
            <w:tcW w:type="dxa" w:w="893"/>
          </w:tcPr>
          <w:p>
            <w:pPr>
              <w:jc w:val="center"/>
            </w:pPr>
            <w:r/>
            <w:r>
              <w:rPr>
                <w:color w:val="222222"/>
                <w:sz w:val="17"/>
              </w:rPr>
              <w:t>40.7</w:t>
            </w:r>
          </w:p>
        </w:tc>
        <w:tc>
          <w:tcPr>
            <w:tcW w:type="dxa" w:w="893"/>
          </w:tcPr>
          <w:p>
            <w:pPr>
              <w:jc w:val="center"/>
            </w:pPr>
            <w:r/>
            <w:r>
              <w:rPr>
                <w:color w:val="222222"/>
                <w:sz w:val="17"/>
              </w:rPr>
              <w:t>40.7</w:t>
            </w:r>
          </w:p>
        </w:tc>
      </w:tr>
      <w:tr>
        <w:tc>
          <w:tcPr>
            <w:tcW w:type="dxa" w:w="2448"/>
            <w:shd w:val="clear" w:fill="F2F6F6"/>
          </w:tcPr>
          <w:p>
            <w:pPr>
              <w:jc w:val="left"/>
            </w:pPr>
            <w:r/>
            <w:r>
              <w:rPr>
                <w:b/>
                <w:color w:val="222222"/>
                <w:sz w:val="17"/>
              </w:rPr>
              <w:t>Total liabilities</w:t>
            </w:r>
          </w:p>
        </w:tc>
        <w:tc>
          <w:tcPr>
            <w:tcW w:type="dxa" w:w="893"/>
            <w:shd w:val="clear" w:fill="F2F6F6"/>
          </w:tcPr>
          <w:p>
            <w:pPr>
              <w:jc w:val="center"/>
            </w:pPr>
            <w:r/>
            <w:r>
              <w:rPr>
                <w:color w:val="222222"/>
                <w:sz w:val="17"/>
              </w:rPr>
              <w:t>2.1</w:t>
            </w:r>
          </w:p>
        </w:tc>
        <w:tc>
          <w:tcPr>
            <w:tcW w:type="dxa" w:w="893"/>
            <w:shd w:val="clear" w:fill="F2F6F6"/>
          </w:tcPr>
          <w:p>
            <w:pPr>
              <w:jc w:val="center"/>
            </w:pPr>
            <w:r/>
            <w:r>
              <w:rPr>
                <w:color w:val="222222"/>
                <w:sz w:val="17"/>
              </w:rPr>
              <w:t>2.0</w:t>
            </w:r>
          </w:p>
        </w:tc>
        <w:tc>
          <w:tcPr>
            <w:tcW w:type="dxa" w:w="893"/>
            <w:shd w:val="clear" w:fill="F2F6F6"/>
          </w:tcPr>
          <w:p>
            <w:pPr>
              <w:jc w:val="center"/>
            </w:pPr>
            <w:r/>
            <w:r>
              <w:rPr>
                <w:color w:val="222222"/>
                <w:sz w:val="17"/>
              </w:rPr>
              <w:t>2.0</w:t>
            </w:r>
          </w:p>
        </w:tc>
        <w:tc>
          <w:tcPr>
            <w:tcW w:type="dxa" w:w="893"/>
            <w:shd w:val="clear" w:fill="F2F6F6"/>
          </w:tcPr>
          <w:p>
            <w:pPr>
              <w:jc w:val="center"/>
            </w:pPr>
            <w:r/>
            <w:r>
              <w:rPr>
                <w:color w:val="222222"/>
                <w:sz w:val="17"/>
              </w:rPr>
              <w:t>2.0</w:t>
            </w:r>
          </w:p>
        </w:tc>
        <w:tc>
          <w:tcPr>
            <w:tcW w:type="dxa" w:w="893"/>
            <w:shd w:val="clear" w:fill="F2F6F6"/>
          </w:tcPr>
          <w:p>
            <w:pPr>
              <w:jc w:val="center"/>
            </w:pPr>
            <w:r/>
            <w:r>
              <w:rPr>
                <w:color w:val="222222"/>
                <w:sz w:val="17"/>
              </w:rPr>
              <w:t>2.0</w:t>
            </w:r>
          </w:p>
        </w:tc>
        <w:tc>
          <w:tcPr>
            <w:tcW w:type="dxa" w:w="893"/>
            <w:shd w:val="clear" w:fill="F2F6F6"/>
          </w:tcPr>
          <w:p>
            <w:pPr>
              <w:jc w:val="center"/>
            </w:pPr>
            <w:r/>
            <w:r>
              <w:rPr>
                <w:color w:val="222222"/>
                <w:sz w:val="17"/>
              </w:rPr>
              <w:t>2.0</w:t>
            </w:r>
          </w:p>
        </w:tc>
        <w:tc>
          <w:tcPr>
            <w:tcW w:type="dxa" w:w="893"/>
            <w:shd w:val="clear" w:fill="F2F6F6"/>
          </w:tcPr>
          <w:p>
            <w:pPr>
              <w:jc w:val="center"/>
            </w:pPr>
            <w:r/>
            <w:r>
              <w:rPr>
                <w:color w:val="222222"/>
                <w:sz w:val="17"/>
              </w:rPr>
              <w:t>2.0</w:t>
            </w:r>
          </w:p>
        </w:tc>
        <w:tc>
          <w:tcPr>
            <w:tcW w:type="dxa" w:w="893"/>
            <w:shd w:val="clear" w:fill="F2F6F6"/>
          </w:tcPr>
          <w:p>
            <w:pPr>
              <w:jc w:val="center"/>
            </w:pPr>
            <w:r/>
            <w:r>
              <w:rPr>
                <w:color w:val="222222"/>
                <w:sz w:val="17"/>
              </w:rPr>
              <w:t>2.0</w:t>
            </w:r>
          </w:p>
        </w:tc>
      </w:tr>
      <w:tr>
        <w:tc>
          <w:tcPr>
            <w:tcW w:type="dxa" w:w="2448"/>
          </w:tcPr>
          <w:p>
            <w:pPr>
              <w:jc w:val="left"/>
            </w:pPr>
            <w:r/>
            <w:r>
              <w:rPr>
                <w:b/>
                <w:color w:val="222222"/>
                <w:sz w:val="17"/>
              </w:rPr>
              <w:t>Total equity</w:t>
            </w:r>
          </w:p>
        </w:tc>
        <w:tc>
          <w:tcPr>
            <w:tcW w:type="dxa" w:w="893"/>
          </w:tcPr>
          <w:p>
            <w:pPr>
              <w:jc w:val="center"/>
            </w:pPr>
            <w:r/>
            <w:r>
              <w:rPr>
                <w:color w:val="222222"/>
                <w:sz w:val="17"/>
              </w:rPr>
              <w:t>39.1</w:t>
            </w:r>
          </w:p>
        </w:tc>
        <w:tc>
          <w:tcPr>
            <w:tcW w:type="dxa" w:w="893"/>
          </w:tcPr>
          <w:p>
            <w:pPr>
              <w:jc w:val="center"/>
            </w:pPr>
            <w:r/>
            <w:r>
              <w:rPr>
                <w:color w:val="222222"/>
                <w:sz w:val="17"/>
              </w:rPr>
              <w:t>39.0</w:t>
            </w:r>
          </w:p>
        </w:tc>
        <w:tc>
          <w:tcPr>
            <w:tcW w:type="dxa" w:w="893"/>
          </w:tcPr>
          <w:p>
            <w:pPr>
              <w:jc w:val="center"/>
            </w:pPr>
            <w:r/>
            <w:r>
              <w:rPr>
                <w:color w:val="222222"/>
                <w:sz w:val="17"/>
              </w:rPr>
              <w:t>38.7</w:t>
            </w:r>
          </w:p>
        </w:tc>
        <w:tc>
          <w:tcPr>
            <w:tcW w:type="dxa" w:w="893"/>
          </w:tcPr>
          <w:p>
            <w:pPr>
              <w:jc w:val="center"/>
            </w:pPr>
            <w:r/>
            <w:r>
              <w:rPr>
                <w:color w:val="222222"/>
                <w:sz w:val="17"/>
              </w:rPr>
              <w:t>38.7</w:t>
            </w:r>
          </w:p>
        </w:tc>
        <w:tc>
          <w:tcPr>
            <w:tcW w:type="dxa" w:w="893"/>
          </w:tcPr>
          <w:p>
            <w:pPr>
              <w:jc w:val="center"/>
            </w:pPr>
            <w:r/>
            <w:r>
              <w:rPr>
                <w:color w:val="222222"/>
                <w:sz w:val="17"/>
              </w:rPr>
              <w:t>38.7</w:t>
            </w:r>
          </w:p>
        </w:tc>
        <w:tc>
          <w:tcPr>
            <w:tcW w:type="dxa" w:w="893"/>
          </w:tcPr>
          <w:p>
            <w:pPr>
              <w:jc w:val="center"/>
            </w:pPr>
            <w:r/>
            <w:r>
              <w:rPr>
                <w:color w:val="222222"/>
                <w:sz w:val="17"/>
              </w:rPr>
              <w:t>38.7</w:t>
            </w:r>
          </w:p>
        </w:tc>
        <w:tc>
          <w:tcPr>
            <w:tcW w:type="dxa" w:w="893"/>
          </w:tcPr>
          <w:p>
            <w:pPr>
              <w:jc w:val="center"/>
            </w:pPr>
            <w:r/>
            <w:r>
              <w:rPr>
                <w:color w:val="222222"/>
                <w:sz w:val="17"/>
              </w:rPr>
              <w:t>38.7</w:t>
            </w:r>
          </w:p>
        </w:tc>
        <w:tc>
          <w:tcPr>
            <w:tcW w:type="dxa" w:w="893"/>
          </w:tcPr>
          <w:p>
            <w:pPr>
              <w:jc w:val="center"/>
            </w:pPr>
            <w:r/>
            <w:r>
              <w:rPr>
                <w:color w:val="222222"/>
                <w:sz w:val="17"/>
              </w:rPr>
              <w:t>38.7</w:t>
            </w:r>
          </w:p>
        </w:tc>
      </w:tr>
    </w:tbl>
    <w:p>
      <w:pPr>
        <w:spacing w:after="40"/>
      </w:pPr>
    </w:p>
    <w:p>
      <w:pPr>
        <w:keepNext/>
        <w:spacing w:before="280" w:after="120"/>
      </w:pPr>
      <w:r>
        <w:rPr>
          <w:b/>
          <w:color w:val="2A8F8F"/>
          <w:sz w:val="24"/>
        </w:rPr>
        <w:t>A.3 · Cash flow</w:t>
      </w:r>
    </w:p>
    <w:tbl>
      <w:tblPr>
        <w:tblW w:type="auto" w:w="0"/>
        <w:jc w:val="center"/>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2448"/>
            <w:shd w:val="clear" w:fill="1B5E5E"/>
          </w:tcPr>
          <w:p>
            <w:pPr>
              <w:jc w:val="left"/>
            </w:pPr>
            <w:r/>
            <w:r>
              <w:rPr>
                <w:b/>
                <w:color w:val="FFFFFF"/>
                <w:sz w:val="17"/>
              </w:rPr>
              <w:t>QR bn</w:t>
            </w:r>
          </w:p>
        </w:tc>
        <w:tc>
          <w:tcPr>
            <w:tcW w:type="dxa" w:w="893"/>
            <w:shd w:val="clear" w:fill="1B5E5E"/>
          </w:tcPr>
          <w:p>
            <w:pPr>
              <w:jc w:val="center"/>
            </w:pPr>
            <w:r/>
            <w:r>
              <w:rPr>
                <w:b/>
                <w:color w:val="FFFFFF"/>
                <w:sz w:val="17"/>
              </w:rPr>
              <w:t>FY23</w:t>
            </w:r>
          </w:p>
        </w:tc>
        <w:tc>
          <w:tcPr>
            <w:tcW w:type="dxa" w:w="893"/>
            <w:shd w:val="clear" w:fill="1B5E5E"/>
          </w:tcPr>
          <w:p>
            <w:pPr>
              <w:jc w:val="center"/>
            </w:pPr>
            <w:r/>
            <w:r>
              <w:rPr>
                <w:b/>
                <w:color w:val="FFFFFF"/>
                <w:sz w:val="17"/>
              </w:rPr>
              <w:t>FY24</w:t>
            </w:r>
          </w:p>
        </w:tc>
        <w:tc>
          <w:tcPr>
            <w:tcW w:type="dxa" w:w="893"/>
            <w:shd w:val="clear" w:fill="1B5E5E"/>
          </w:tcPr>
          <w:p>
            <w:pPr>
              <w:jc w:val="center"/>
            </w:pPr>
            <w:r/>
            <w:r>
              <w:rPr>
                <w:b/>
                <w:color w:val="FFFFFF"/>
                <w:sz w:val="17"/>
              </w:rPr>
              <w:t>FY25</w:t>
            </w:r>
          </w:p>
        </w:tc>
        <w:tc>
          <w:tcPr>
            <w:tcW w:type="dxa" w:w="893"/>
            <w:shd w:val="clear" w:fill="1B5E5E"/>
          </w:tcPr>
          <w:p>
            <w:pPr>
              <w:jc w:val="center"/>
            </w:pPr>
            <w:r/>
            <w:r>
              <w:rPr>
                <w:b/>
                <w:color w:val="FFFFFF"/>
                <w:sz w:val="17"/>
              </w:rPr>
              <w:t>FY26E</w:t>
            </w:r>
          </w:p>
        </w:tc>
        <w:tc>
          <w:tcPr>
            <w:tcW w:type="dxa" w:w="893"/>
            <w:shd w:val="clear" w:fill="1B5E5E"/>
          </w:tcPr>
          <w:p>
            <w:pPr>
              <w:jc w:val="center"/>
            </w:pPr>
            <w:r/>
            <w:r>
              <w:rPr>
                <w:b/>
                <w:color w:val="FFFFFF"/>
                <w:sz w:val="17"/>
              </w:rPr>
              <w:t>FY27E</w:t>
            </w:r>
          </w:p>
        </w:tc>
        <w:tc>
          <w:tcPr>
            <w:tcW w:type="dxa" w:w="893"/>
            <w:shd w:val="clear" w:fill="1B5E5E"/>
          </w:tcPr>
          <w:p>
            <w:pPr>
              <w:jc w:val="center"/>
            </w:pPr>
            <w:r/>
            <w:r>
              <w:rPr>
                <w:b/>
                <w:color w:val="FFFFFF"/>
                <w:sz w:val="17"/>
              </w:rPr>
              <w:t>FY28E</w:t>
            </w:r>
          </w:p>
        </w:tc>
        <w:tc>
          <w:tcPr>
            <w:tcW w:type="dxa" w:w="893"/>
            <w:shd w:val="clear" w:fill="1B5E5E"/>
          </w:tcPr>
          <w:p>
            <w:pPr>
              <w:jc w:val="center"/>
            </w:pPr>
            <w:r/>
            <w:r>
              <w:rPr>
                <w:b/>
                <w:color w:val="FFFFFF"/>
                <w:sz w:val="17"/>
              </w:rPr>
              <w:t>FY29E</w:t>
            </w:r>
          </w:p>
        </w:tc>
        <w:tc>
          <w:tcPr>
            <w:tcW w:type="dxa" w:w="893"/>
            <w:shd w:val="clear" w:fill="1B5E5E"/>
          </w:tcPr>
          <w:p>
            <w:pPr>
              <w:jc w:val="center"/>
            </w:pPr>
            <w:r/>
            <w:r>
              <w:rPr>
                <w:b/>
                <w:color w:val="FFFFFF"/>
                <w:sz w:val="17"/>
              </w:rPr>
              <w:t>FY30E</w:t>
            </w:r>
          </w:p>
        </w:tc>
      </w:tr>
      <w:tr>
        <w:tc>
          <w:tcPr>
            <w:tcW w:type="dxa" w:w="2448"/>
          </w:tcPr>
          <w:p>
            <w:pPr>
              <w:jc w:val="left"/>
            </w:pPr>
            <w:r/>
            <w:r>
              <w:rPr>
                <w:b/>
                <w:color w:val="222222"/>
                <w:sz w:val="17"/>
              </w:rPr>
              <w:t>Operating cash flow</w:t>
            </w:r>
          </w:p>
        </w:tc>
        <w:tc>
          <w:tcPr>
            <w:tcW w:type="dxa" w:w="893"/>
          </w:tcPr>
          <w:p>
            <w:pPr>
              <w:jc w:val="center"/>
            </w:pPr>
            <w:r/>
            <w:r>
              <w:rPr>
                <w:color w:val="222222"/>
                <w:sz w:val="17"/>
              </w:rPr>
              <w:t>4.8</w:t>
            </w:r>
          </w:p>
        </w:tc>
        <w:tc>
          <w:tcPr>
            <w:tcW w:type="dxa" w:w="893"/>
          </w:tcPr>
          <w:p>
            <w:pPr>
              <w:jc w:val="center"/>
            </w:pPr>
            <w:r/>
            <w:r>
              <w:rPr>
                <w:color w:val="222222"/>
                <w:sz w:val="17"/>
              </w:rPr>
              <w:t>4.6</w:t>
            </w:r>
          </w:p>
        </w:tc>
        <w:tc>
          <w:tcPr>
            <w:tcW w:type="dxa" w:w="893"/>
          </w:tcPr>
          <w:p>
            <w:pPr>
              <w:jc w:val="center"/>
            </w:pPr>
            <w:r/>
            <w:r>
              <w:rPr>
                <w:color w:val="222222"/>
                <w:sz w:val="17"/>
              </w:rPr>
              <w:t>4.4</w:t>
            </w:r>
          </w:p>
        </w:tc>
        <w:tc>
          <w:tcPr>
            <w:tcW w:type="dxa" w:w="893"/>
          </w:tcPr>
          <w:p>
            <w:pPr>
              <w:jc w:val="center"/>
            </w:pPr>
            <w:r/>
            <w:r>
              <w:rPr>
                <w:color w:val="222222"/>
                <w:sz w:val="17"/>
              </w:rPr>
              <w:t>4.1</w:t>
            </w:r>
          </w:p>
        </w:tc>
        <w:tc>
          <w:tcPr>
            <w:tcW w:type="dxa" w:w="893"/>
          </w:tcPr>
          <w:p>
            <w:pPr>
              <w:jc w:val="center"/>
            </w:pPr>
            <w:r/>
            <w:r>
              <w:rPr>
                <w:color w:val="222222"/>
                <w:sz w:val="17"/>
              </w:rPr>
              <w:t>4.7</w:t>
            </w:r>
          </w:p>
        </w:tc>
        <w:tc>
          <w:tcPr>
            <w:tcW w:type="dxa" w:w="893"/>
          </w:tcPr>
          <w:p>
            <w:pPr>
              <w:jc w:val="center"/>
            </w:pPr>
            <w:r/>
            <w:r>
              <w:rPr>
                <w:color w:val="222222"/>
                <w:sz w:val="17"/>
              </w:rPr>
              <w:t>4.9</w:t>
            </w:r>
          </w:p>
        </w:tc>
        <w:tc>
          <w:tcPr>
            <w:tcW w:type="dxa" w:w="893"/>
          </w:tcPr>
          <w:p>
            <w:pPr>
              <w:jc w:val="center"/>
            </w:pPr>
            <w:r/>
            <w:r>
              <w:rPr>
                <w:color w:val="222222"/>
                <w:sz w:val="17"/>
              </w:rPr>
              <w:t>5.1</w:t>
            </w:r>
          </w:p>
        </w:tc>
        <w:tc>
          <w:tcPr>
            <w:tcW w:type="dxa" w:w="893"/>
          </w:tcPr>
          <w:p>
            <w:pPr>
              <w:jc w:val="center"/>
            </w:pPr>
            <w:r/>
            <w:r>
              <w:rPr>
                <w:color w:val="222222"/>
                <w:sz w:val="17"/>
              </w:rPr>
              <w:t>5.2</w:t>
            </w:r>
          </w:p>
        </w:tc>
      </w:tr>
      <w:tr>
        <w:tc>
          <w:tcPr>
            <w:tcW w:type="dxa" w:w="2448"/>
            <w:shd w:val="clear" w:fill="F2F6F6"/>
          </w:tcPr>
          <w:p>
            <w:pPr>
              <w:jc w:val="left"/>
            </w:pPr>
            <w:r/>
            <w:r>
              <w:rPr>
                <w:b/>
                <w:color w:val="222222"/>
                <w:sz w:val="17"/>
              </w:rPr>
              <w:t>Capex</w:t>
            </w:r>
          </w:p>
        </w:tc>
        <w:tc>
          <w:tcPr>
            <w:tcW w:type="dxa" w:w="893"/>
            <w:shd w:val="clear" w:fill="F2F6F6"/>
          </w:tcPr>
          <w:p>
            <w:pPr>
              <w:jc w:val="center"/>
            </w:pPr>
            <w:r/>
            <w:r>
              <w:rPr>
                <w:color w:val="222222"/>
                <w:sz w:val="17"/>
              </w:rPr>
              <w:t>(2.4)</w:t>
            </w:r>
          </w:p>
        </w:tc>
        <w:tc>
          <w:tcPr>
            <w:tcW w:type="dxa" w:w="893"/>
            <w:shd w:val="clear" w:fill="F2F6F6"/>
          </w:tcPr>
          <w:p>
            <w:pPr>
              <w:jc w:val="center"/>
            </w:pPr>
            <w:r/>
            <w:r>
              <w:rPr>
                <w:color w:val="222222"/>
                <w:sz w:val="17"/>
              </w:rPr>
              <w:t>(2.3)</w:t>
            </w:r>
          </w:p>
        </w:tc>
        <w:tc>
          <w:tcPr>
            <w:tcW w:type="dxa" w:w="893"/>
            <w:shd w:val="clear" w:fill="F2F6F6"/>
          </w:tcPr>
          <w:p>
            <w:pPr>
              <w:jc w:val="center"/>
            </w:pPr>
            <w:r/>
            <w:r>
              <w:rPr>
                <w:color w:val="222222"/>
                <w:sz w:val="17"/>
              </w:rPr>
              <w:t>(2.2)</w:t>
            </w:r>
          </w:p>
        </w:tc>
        <w:tc>
          <w:tcPr>
            <w:tcW w:type="dxa" w:w="893"/>
            <w:shd w:val="clear" w:fill="F2F6F6"/>
          </w:tcPr>
          <w:p>
            <w:pPr>
              <w:jc w:val="center"/>
            </w:pPr>
            <w:r/>
            <w:r>
              <w:rPr>
                <w:color w:val="222222"/>
                <w:sz w:val="17"/>
              </w:rPr>
              <w:t>(2.0)</w:t>
            </w:r>
          </w:p>
        </w:tc>
        <w:tc>
          <w:tcPr>
            <w:tcW w:type="dxa" w:w="893"/>
            <w:shd w:val="clear" w:fill="F2F6F6"/>
          </w:tcPr>
          <w:p>
            <w:pPr>
              <w:jc w:val="center"/>
            </w:pPr>
            <w:r/>
            <w:r>
              <w:rPr>
                <w:color w:val="222222"/>
                <w:sz w:val="17"/>
              </w:rPr>
              <w:t>(1.9)</w:t>
            </w:r>
          </w:p>
        </w:tc>
        <w:tc>
          <w:tcPr>
            <w:tcW w:type="dxa" w:w="893"/>
            <w:shd w:val="clear" w:fill="F2F6F6"/>
          </w:tcPr>
          <w:p>
            <w:pPr>
              <w:jc w:val="center"/>
            </w:pPr>
            <w:r/>
            <w:r>
              <w:rPr>
                <w:color w:val="222222"/>
                <w:sz w:val="17"/>
              </w:rPr>
              <w:t>(1.9)</w:t>
            </w:r>
          </w:p>
        </w:tc>
        <w:tc>
          <w:tcPr>
            <w:tcW w:type="dxa" w:w="893"/>
            <w:shd w:val="clear" w:fill="F2F6F6"/>
          </w:tcPr>
          <w:p>
            <w:pPr>
              <w:jc w:val="center"/>
            </w:pPr>
            <w:r/>
            <w:r>
              <w:rPr>
                <w:color w:val="222222"/>
                <w:sz w:val="17"/>
              </w:rPr>
              <w:t>(2.0)</w:t>
            </w:r>
          </w:p>
        </w:tc>
        <w:tc>
          <w:tcPr>
            <w:tcW w:type="dxa" w:w="893"/>
            <w:shd w:val="clear" w:fill="F2F6F6"/>
          </w:tcPr>
          <w:p>
            <w:pPr>
              <w:jc w:val="center"/>
            </w:pPr>
            <w:r/>
            <w:r>
              <w:rPr>
                <w:color w:val="222222"/>
                <w:sz w:val="17"/>
              </w:rPr>
              <w:t>(2.1)</w:t>
            </w:r>
          </w:p>
        </w:tc>
      </w:tr>
      <w:tr>
        <w:tc>
          <w:tcPr>
            <w:tcW w:type="dxa" w:w="2448"/>
          </w:tcPr>
          <w:p>
            <w:pPr>
              <w:jc w:val="left"/>
            </w:pPr>
            <w:r/>
            <w:r>
              <w:rPr>
                <w:b/>
                <w:color w:val="222222"/>
                <w:sz w:val="17"/>
              </w:rPr>
              <w:t>Free cash flow</w:t>
            </w:r>
          </w:p>
        </w:tc>
        <w:tc>
          <w:tcPr>
            <w:tcW w:type="dxa" w:w="893"/>
          </w:tcPr>
          <w:p>
            <w:pPr>
              <w:jc w:val="center"/>
            </w:pPr>
            <w:r/>
            <w:r>
              <w:rPr>
                <w:color w:val="222222"/>
                <w:sz w:val="17"/>
              </w:rPr>
              <w:t>2.4</w:t>
            </w:r>
          </w:p>
        </w:tc>
        <w:tc>
          <w:tcPr>
            <w:tcW w:type="dxa" w:w="893"/>
          </w:tcPr>
          <w:p>
            <w:pPr>
              <w:jc w:val="center"/>
            </w:pPr>
            <w:r/>
            <w:r>
              <w:rPr>
                <w:color w:val="222222"/>
                <w:sz w:val="17"/>
              </w:rPr>
              <w:t>2.3</w:t>
            </w:r>
          </w:p>
        </w:tc>
        <w:tc>
          <w:tcPr>
            <w:tcW w:type="dxa" w:w="893"/>
          </w:tcPr>
          <w:p>
            <w:pPr>
              <w:jc w:val="center"/>
            </w:pPr>
            <w:r/>
            <w:r>
              <w:rPr>
                <w:color w:val="222222"/>
                <w:sz w:val="17"/>
              </w:rPr>
              <w:t>2.2</w:t>
            </w:r>
          </w:p>
        </w:tc>
        <w:tc>
          <w:tcPr>
            <w:tcW w:type="dxa" w:w="893"/>
          </w:tcPr>
          <w:p>
            <w:pPr>
              <w:jc w:val="center"/>
            </w:pPr>
            <w:r/>
            <w:r>
              <w:rPr>
                <w:color w:val="222222"/>
                <w:sz w:val="17"/>
              </w:rPr>
              <w:t>2.1</w:t>
            </w:r>
          </w:p>
        </w:tc>
        <w:tc>
          <w:tcPr>
            <w:tcW w:type="dxa" w:w="893"/>
          </w:tcPr>
          <w:p>
            <w:pPr>
              <w:jc w:val="center"/>
            </w:pPr>
            <w:r/>
            <w:r>
              <w:rPr>
                <w:color w:val="222222"/>
                <w:sz w:val="17"/>
              </w:rPr>
              <w:t>2.8</w:t>
            </w:r>
          </w:p>
        </w:tc>
        <w:tc>
          <w:tcPr>
            <w:tcW w:type="dxa" w:w="893"/>
          </w:tcPr>
          <w:p>
            <w:pPr>
              <w:jc w:val="center"/>
            </w:pPr>
            <w:r/>
            <w:r>
              <w:rPr>
                <w:color w:val="222222"/>
                <w:sz w:val="17"/>
              </w:rPr>
              <w:t>3.0</w:t>
            </w:r>
          </w:p>
        </w:tc>
        <w:tc>
          <w:tcPr>
            <w:tcW w:type="dxa" w:w="893"/>
          </w:tcPr>
          <w:p>
            <w:pPr>
              <w:jc w:val="center"/>
            </w:pPr>
            <w:r/>
            <w:r>
              <w:rPr>
                <w:color w:val="222222"/>
                <w:sz w:val="17"/>
              </w:rPr>
              <w:t>3.1</w:t>
            </w:r>
          </w:p>
        </w:tc>
        <w:tc>
          <w:tcPr>
            <w:tcW w:type="dxa" w:w="893"/>
          </w:tcPr>
          <w:p>
            <w:pPr>
              <w:jc w:val="center"/>
            </w:pPr>
            <w:r/>
            <w:r>
              <w:rPr>
                <w:color w:val="222222"/>
                <w:sz w:val="17"/>
              </w:rPr>
              <w:t>3.1</w:t>
            </w:r>
          </w:p>
        </w:tc>
      </w:tr>
      <w:tr>
        <w:tc>
          <w:tcPr>
            <w:tcW w:type="dxa" w:w="2448"/>
            <w:shd w:val="clear" w:fill="F2F6F6"/>
          </w:tcPr>
          <w:p>
            <w:pPr>
              <w:jc w:val="left"/>
            </w:pPr>
            <w:r/>
            <w:r>
              <w:rPr>
                <w:b/>
                <w:color w:val="222222"/>
                <w:sz w:val="17"/>
              </w:rPr>
              <w:t>Dividends paid</w:t>
            </w:r>
          </w:p>
        </w:tc>
        <w:tc>
          <w:tcPr>
            <w:tcW w:type="dxa" w:w="893"/>
            <w:shd w:val="clear" w:fill="F2F6F6"/>
          </w:tcPr>
          <w:p>
            <w:pPr>
              <w:jc w:val="center"/>
            </w:pPr>
            <w:r/>
            <w:r>
              <w:rPr>
                <w:color w:val="222222"/>
                <w:sz w:val="17"/>
              </w:rPr>
              <w:t>(4.7)</w:t>
            </w:r>
          </w:p>
        </w:tc>
        <w:tc>
          <w:tcPr>
            <w:tcW w:type="dxa" w:w="893"/>
            <w:shd w:val="clear" w:fill="F2F6F6"/>
          </w:tcPr>
          <w:p>
            <w:pPr>
              <w:jc w:val="center"/>
            </w:pPr>
            <w:r/>
            <w:r>
              <w:rPr>
                <w:color w:val="222222"/>
                <w:sz w:val="17"/>
              </w:rPr>
              <w:t>(4.5)</w:t>
            </w:r>
          </w:p>
        </w:tc>
        <w:tc>
          <w:tcPr>
            <w:tcW w:type="dxa" w:w="893"/>
            <w:shd w:val="clear" w:fill="F2F6F6"/>
          </w:tcPr>
          <w:p>
            <w:pPr>
              <w:jc w:val="center"/>
            </w:pPr>
            <w:r/>
            <w:r>
              <w:rPr>
                <w:color w:val="222222"/>
                <w:sz w:val="17"/>
              </w:rPr>
              <w:t>(4.3)</w:t>
            </w:r>
          </w:p>
        </w:tc>
        <w:tc>
          <w:tcPr>
            <w:tcW w:type="dxa" w:w="893"/>
            <w:shd w:val="clear" w:fill="F2F6F6"/>
          </w:tcPr>
          <w:p>
            <w:pPr>
              <w:jc w:val="center"/>
            </w:pPr>
            <w:r/>
            <w:r>
              <w:rPr>
                <w:color w:val="222222"/>
                <w:sz w:val="17"/>
              </w:rPr>
              <w:t>(3.8)</w:t>
            </w:r>
          </w:p>
        </w:tc>
        <w:tc>
          <w:tcPr>
            <w:tcW w:type="dxa" w:w="893"/>
            <w:shd w:val="clear" w:fill="F2F6F6"/>
          </w:tcPr>
          <w:p>
            <w:pPr>
              <w:jc w:val="center"/>
            </w:pPr>
            <w:r/>
            <w:r>
              <w:rPr>
                <w:color w:val="222222"/>
                <w:sz w:val="17"/>
              </w:rPr>
              <w:t>(4.2)</w:t>
            </w:r>
          </w:p>
        </w:tc>
        <w:tc>
          <w:tcPr>
            <w:tcW w:type="dxa" w:w="893"/>
            <w:shd w:val="clear" w:fill="F2F6F6"/>
          </w:tcPr>
          <w:p>
            <w:pPr>
              <w:jc w:val="center"/>
            </w:pPr>
            <w:r/>
            <w:r>
              <w:rPr>
                <w:color w:val="222222"/>
                <w:sz w:val="17"/>
              </w:rPr>
              <w:t>(4.5)</w:t>
            </w:r>
          </w:p>
        </w:tc>
        <w:tc>
          <w:tcPr>
            <w:tcW w:type="dxa" w:w="893"/>
            <w:shd w:val="clear" w:fill="F2F6F6"/>
          </w:tcPr>
          <w:p>
            <w:pPr>
              <w:jc w:val="center"/>
            </w:pPr>
            <w:r/>
            <w:r>
              <w:rPr>
                <w:color w:val="222222"/>
                <w:sz w:val="17"/>
              </w:rPr>
              <w:t>(4.7)</w:t>
            </w:r>
          </w:p>
        </w:tc>
        <w:tc>
          <w:tcPr>
            <w:tcW w:type="dxa" w:w="893"/>
            <w:shd w:val="clear" w:fill="F2F6F6"/>
          </w:tcPr>
          <w:p>
            <w:pPr>
              <w:jc w:val="center"/>
            </w:pPr>
            <w:r/>
            <w:r>
              <w:rPr>
                <w:color w:val="222222"/>
                <w:sz w:val="17"/>
              </w:rPr>
              <w:t>(4.8)</w:t>
            </w:r>
          </w:p>
        </w:tc>
      </w:tr>
    </w:tbl>
    <w:p>
      <w:pPr>
        <w:spacing w:after="40"/>
      </w:pPr>
    </w:p>
    <w:p>
      <w:pPr>
        <w:spacing w:after="120" w:before="0"/>
      </w:pPr>
      <w:r>
        <w:rPr>
          <w:rFonts w:ascii="Calibri" w:hAnsi="Calibri"/>
          <w:b w:val="0"/>
          <w:i w:val="0"/>
          <w:color w:val="222222"/>
          <w:sz w:val="21"/>
        </w:rPr>
        <w:t>Dividends exceed free cash flow in most years — the 100% earnings payout is funded partly from the cash pile, which is why the balance is drawn down modestly over time even as it stays comfortably net cash.</w:t>
      </w:r>
    </w:p>
    <w:p>
      <w:pPr>
        <w:keepNext/>
        <w:spacing w:before="280" w:after="120"/>
      </w:pPr>
      <w:r>
        <w:rPr>
          <w:b/>
          <w:color w:val="1B5E5E"/>
          <w:sz w:val="30"/>
        </w:rPr>
        <w:t>Appendix B · Step 0 calibration backtest</w:t>
      </w:r>
    </w:p>
    <w:p>
      <w:pPr>
        <w:spacing w:after="120" w:before="0"/>
      </w:pPr>
      <w:r>
        <w:rPr>
          <w:rFonts w:ascii="Calibri" w:hAnsi="Calibri"/>
          <w:b w:val="0"/>
          <w:i w:val="0"/>
          <w:color w:val="222222"/>
          <w:sz w:val="21"/>
        </w:rPr>
        <w:t>Before running the forward simulation we test the engine honestly: a five-year rolling backtest at a sixty-day horizon, generating the three-month-ahead distribution at each origin using only data available then, and scoring the realized price against it. The grade is skill versus a naive zero-drift random-walk cone — measured by CRPS skill (which must be positive) and the interval score — not band coverage, which merely rewards width.</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3024"/>
            <w:shd w:val="clear" w:fill="1B5E5E"/>
          </w:tcPr>
          <w:p>
            <w:pPr>
              <w:jc w:val="left"/>
            </w:pPr>
            <w:r/>
            <w:r>
              <w:rPr>
                <w:b/>
                <w:color w:val="FFFFFF"/>
                <w:sz w:val="19"/>
              </w:rPr>
              <w:t>Scheme</w:t>
            </w:r>
          </w:p>
        </w:tc>
        <w:tc>
          <w:tcPr>
            <w:tcW w:type="dxa" w:w="1728"/>
            <w:shd w:val="clear" w:fill="1B5E5E"/>
          </w:tcPr>
          <w:p>
            <w:pPr>
              <w:jc w:val="center"/>
            </w:pPr>
            <w:r/>
            <w:r>
              <w:rPr>
                <w:b/>
                <w:color w:val="FFFFFF"/>
                <w:sz w:val="19"/>
              </w:rPr>
              <w:t>CRPS skill</w:t>
            </w:r>
          </w:p>
        </w:tc>
        <w:tc>
          <w:tcPr>
            <w:tcW w:type="dxa" w:w="1872"/>
            <w:shd w:val="clear" w:fill="1B5E5E"/>
          </w:tcPr>
          <w:p>
            <w:pPr>
              <w:jc w:val="center"/>
            </w:pPr>
            <w:r/>
            <w:r>
              <w:rPr>
                <w:b/>
                <w:color w:val="FFFFFF"/>
                <w:sz w:val="19"/>
              </w:rPr>
              <w:t>Winkler-50 skill</w:t>
            </w:r>
          </w:p>
        </w:tc>
        <w:tc>
          <w:tcPr>
            <w:tcW w:type="dxa" w:w="1584"/>
            <w:shd w:val="clear" w:fill="1B5E5E"/>
          </w:tcPr>
          <w:p>
            <w:pPr>
              <w:jc w:val="center"/>
            </w:pPr>
            <w:r/>
            <w:r>
              <w:rPr>
                <w:b/>
                <w:color w:val="FFFFFF"/>
                <w:sz w:val="19"/>
              </w:rPr>
              <w:t>90% coverage</w:t>
            </w:r>
          </w:p>
        </w:tc>
        <w:tc>
          <w:tcPr>
            <w:tcW w:type="dxa" w:w="1440"/>
            <w:shd w:val="clear" w:fill="1B5E5E"/>
          </w:tcPr>
          <w:p>
            <w:pPr>
              <w:jc w:val="center"/>
            </w:pPr>
            <w:r/>
            <w:r>
              <w:rPr>
                <w:b/>
                <w:color w:val="FFFFFF"/>
                <w:sz w:val="19"/>
              </w:rPr>
              <w:t>PIT</w:t>
            </w:r>
          </w:p>
        </w:tc>
      </w:tr>
      <w:tr>
        <w:tc>
          <w:tcPr>
            <w:tcW w:type="dxa" w:w="3024"/>
          </w:tcPr>
          <w:p>
            <w:pPr>
              <w:jc w:val="left"/>
            </w:pPr>
            <w:r/>
            <w:r>
              <w:rPr>
                <w:b/>
                <w:color w:val="222222"/>
                <w:sz w:val="19"/>
              </w:rPr>
              <w:t>Fortnightly (n=101)</w:t>
            </w:r>
          </w:p>
        </w:tc>
        <w:tc>
          <w:tcPr>
            <w:tcW w:type="dxa" w:w="1728"/>
          </w:tcPr>
          <w:p>
            <w:pPr>
              <w:jc w:val="center"/>
            </w:pPr>
            <w:r/>
            <w:r>
              <w:rPr>
                <w:color w:val="222222"/>
                <w:sz w:val="19"/>
              </w:rPr>
              <w:t>+0.006</w:t>
            </w:r>
          </w:p>
        </w:tc>
        <w:tc>
          <w:tcPr>
            <w:tcW w:type="dxa" w:w="1872"/>
          </w:tcPr>
          <w:p>
            <w:pPr>
              <w:jc w:val="center"/>
            </w:pPr>
            <w:r/>
            <w:r>
              <w:rPr>
                <w:color w:val="222222"/>
                <w:sz w:val="19"/>
              </w:rPr>
              <w:t>+0.022</w:t>
            </w:r>
          </w:p>
        </w:tc>
        <w:tc>
          <w:tcPr>
            <w:tcW w:type="dxa" w:w="1584"/>
          </w:tcPr>
          <w:p>
            <w:pPr>
              <w:jc w:val="center"/>
            </w:pPr>
            <w:r/>
            <w:r>
              <w:rPr>
                <w:color w:val="222222"/>
                <w:sz w:val="19"/>
              </w:rPr>
              <w:t>0.92</w:t>
            </w:r>
          </w:p>
        </w:tc>
        <w:tc>
          <w:tcPr>
            <w:tcW w:type="dxa" w:w="1440"/>
          </w:tcPr>
          <w:p>
            <w:pPr>
              <w:jc w:val="center"/>
            </w:pPr>
            <w:r/>
            <w:r>
              <w:rPr>
                <w:color w:val="222222"/>
                <w:sz w:val="19"/>
              </w:rPr>
              <w:t>≈ uniform</w:t>
            </w:r>
          </w:p>
        </w:tc>
      </w:tr>
      <w:tr>
        <w:tc>
          <w:tcPr>
            <w:tcW w:type="dxa" w:w="3024"/>
            <w:shd w:val="clear" w:fill="F2F6F6"/>
          </w:tcPr>
          <w:p>
            <w:pPr>
              <w:jc w:val="left"/>
            </w:pPr>
            <w:r/>
            <w:r>
              <w:rPr>
                <w:b/>
                <w:color w:val="222222"/>
                <w:sz w:val="19"/>
              </w:rPr>
              <w:t>Monthly (n=48)</w:t>
            </w:r>
          </w:p>
        </w:tc>
        <w:tc>
          <w:tcPr>
            <w:tcW w:type="dxa" w:w="1728"/>
            <w:shd w:val="clear" w:fill="F2F6F6"/>
          </w:tcPr>
          <w:p>
            <w:pPr>
              <w:jc w:val="center"/>
            </w:pPr>
            <w:r/>
            <w:r>
              <w:rPr>
                <w:color w:val="222222"/>
                <w:sz w:val="19"/>
              </w:rPr>
              <w:t>+0.002</w:t>
            </w:r>
          </w:p>
        </w:tc>
        <w:tc>
          <w:tcPr>
            <w:tcW w:type="dxa" w:w="1872"/>
            <w:shd w:val="clear" w:fill="F2F6F6"/>
          </w:tcPr>
          <w:p>
            <w:pPr>
              <w:jc w:val="center"/>
            </w:pPr>
            <w:r/>
            <w:r>
              <w:rPr>
                <w:color w:val="222222"/>
                <w:sz w:val="19"/>
              </w:rPr>
              <w:t>+0.004</w:t>
            </w:r>
          </w:p>
        </w:tc>
        <w:tc>
          <w:tcPr>
            <w:tcW w:type="dxa" w:w="1584"/>
            <w:shd w:val="clear" w:fill="F2F6F6"/>
          </w:tcPr>
          <w:p>
            <w:pPr>
              <w:jc w:val="center"/>
            </w:pPr>
            <w:r/>
            <w:r>
              <w:rPr>
                <w:color w:val="222222"/>
                <w:sz w:val="19"/>
              </w:rPr>
              <w:t>0.92</w:t>
            </w:r>
          </w:p>
        </w:tc>
        <w:tc>
          <w:tcPr>
            <w:tcW w:type="dxa" w:w="1440"/>
            <w:shd w:val="clear" w:fill="F2F6F6"/>
          </w:tcPr>
          <w:p>
            <w:pPr>
              <w:jc w:val="center"/>
            </w:pPr>
            <w:r/>
            <w:r>
              <w:rPr>
                <w:color w:val="222222"/>
                <w:sz w:val="19"/>
              </w:rPr>
              <w:t>≈ uniform</w:t>
            </w:r>
          </w:p>
        </w:tc>
      </w:tr>
      <w:tr>
        <w:tc>
          <w:tcPr>
            <w:tcW w:type="dxa" w:w="3024"/>
          </w:tcPr>
          <w:p>
            <w:pPr>
              <w:jc w:val="left"/>
            </w:pPr>
            <w:r/>
            <w:r>
              <w:rPr>
                <w:b/>
                <w:color w:val="222222"/>
                <w:sz w:val="19"/>
              </w:rPr>
              <w:t>Non-overlapping (n=16)</w:t>
            </w:r>
          </w:p>
        </w:tc>
        <w:tc>
          <w:tcPr>
            <w:tcW w:type="dxa" w:w="1728"/>
          </w:tcPr>
          <w:p>
            <w:pPr>
              <w:jc w:val="center"/>
            </w:pPr>
            <w:r/>
            <w:r>
              <w:rPr>
                <w:color w:val="222222"/>
                <w:sz w:val="19"/>
              </w:rPr>
              <w:t>−0.013</w:t>
            </w:r>
          </w:p>
        </w:tc>
        <w:tc>
          <w:tcPr>
            <w:tcW w:type="dxa" w:w="1872"/>
          </w:tcPr>
          <w:p>
            <w:pPr>
              <w:jc w:val="center"/>
            </w:pPr>
            <w:r/>
            <w:r>
              <w:rPr>
                <w:color w:val="222222"/>
                <w:sz w:val="19"/>
              </w:rPr>
              <w:t>−0.002</w:t>
            </w:r>
          </w:p>
        </w:tc>
        <w:tc>
          <w:tcPr>
            <w:tcW w:type="dxa" w:w="1584"/>
          </w:tcPr>
          <w:p>
            <w:pPr>
              <w:jc w:val="center"/>
            </w:pPr>
            <w:r/>
            <w:r>
              <w:rPr>
                <w:color w:val="222222"/>
                <w:sz w:val="19"/>
              </w:rPr>
              <w:t>0.88</w:t>
            </w:r>
          </w:p>
        </w:tc>
        <w:tc>
          <w:tcPr>
            <w:tcW w:type="dxa" w:w="1440"/>
          </w:tcPr>
          <w:p>
            <w:pPr>
              <w:jc w:val="center"/>
            </w:pPr>
            <w:r/>
            <w:r>
              <w:rPr>
                <w:color w:val="222222"/>
                <w:sz w:val="19"/>
              </w:rPr>
              <w:t>≈ uniform</w:t>
            </w:r>
          </w:p>
        </w:tc>
      </w:tr>
    </w:tbl>
    <w:p>
      <w:pPr>
        <w:spacing w:after="40"/>
      </w:pPr>
    </w:p>
    <w:p>
      <w:pPr>
        <w:jc w:val="center"/>
      </w:pPr>
      <w:r>
        <w:drawing>
          <wp:inline xmlns:a="http://schemas.openxmlformats.org/drawingml/2006/main" xmlns:pic="http://schemas.openxmlformats.org/drawingml/2006/picture">
            <wp:extent cx="5760720" cy="1751259"/>
            <wp:docPr id="7" name="Picture 7"/>
            <wp:cNvGraphicFramePr>
              <a:graphicFrameLocks noChangeAspect="1"/>
            </wp:cNvGraphicFramePr>
            <a:graphic>
              <a:graphicData uri="http://schemas.openxmlformats.org/drawingml/2006/picture">
                <pic:pic>
                  <pic:nvPicPr>
                    <pic:cNvPr id="0" name="figB1_calibration.png"/>
                    <pic:cNvPicPr/>
                  </pic:nvPicPr>
                  <pic:blipFill>
                    <a:blip r:embed="rId15"/>
                    <a:stretch>
                      <a:fillRect/>
                    </a:stretch>
                  </pic:blipFill>
                  <pic:spPr>
                    <a:xfrm>
                      <a:off x="0" y="0"/>
                      <a:ext cx="5760720" cy="1751259"/>
                    </a:xfrm>
                    <a:prstGeom prst="rect"/>
                  </pic:spPr>
                </pic:pic>
              </a:graphicData>
            </a:graphic>
          </wp:inline>
        </w:drawing>
      </w:r>
    </w:p>
    <w:p>
      <w:pPr>
        <w:spacing w:after="160"/>
        <w:jc w:val="center"/>
      </w:pPr>
      <w:r>
        <w:rPr>
          <w:i/>
          <w:color w:val="6B6B6B"/>
          <w:sz w:val="17"/>
        </w:rPr>
        <w:t>Figure B-1 · Calibration diagnostics. Left: quarterly cone replay (log scale). Centre: PIT histogram (roughly uniform). Right: interval coverage versus target.</w:t>
      </w:r>
    </w:p>
    <w:p>
      <w:pPr>
        <w:spacing w:after="120" w:before="0"/>
      </w:pPr>
      <w:r>
        <w:rPr>
          <w:rFonts w:ascii="Calibri" w:hAnsi="Calibri"/>
          <w:b w:val="0"/>
          <w:i w:val="0"/>
          <w:color w:val="222222"/>
          <w:sz w:val="21"/>
        </w:rPr>
        <w:t>On the two higher-powered schemes — fortnightly and monthly, which have real statistical mass — the engine beats the random-walk benchmark on CRPS skill with a roughly uniform PIT and on-target coverage. The low-powered non-overlapping scheme (only sixteen windows) is marginally negative, which we report rather than hide. The honest conclusion: Industries Qatar is a stable, low-volatility, near-Gaussian-at-a-quarter, high-dividend name, so the naive cone is genuinely hard to beat; the engine's edge here is the mild mean-reversion the variance-ratio captures, and it clears the bar where the sample supports a verdict.</w:t>
      </w:r>
    </w:p>
    <w:p>
      <w:pPr>
        <w:keepNext/>
        <w:spacing w:before="280" w:after="120"/>
      </w:pPr>
      <w:r>
        <w:rPr>
          <w:b/>
          <w:color w:val="1B5E5E"/>
          <w:sz w:val="30"/>
        </w:rPr>
        <w:t>Appendix C · Peer set, sector structure and risks</w:t>
      </w:r>
    </w:p>
    <w:p>
      <w:pPr>
        <w:spacing w:after="120" w:before="0"/>
      </w:pPr>
      <w:r>
        <w:rPr>
          <w:rFonts w:ascii="Calibri" w:hAnsi="Calibri"/>
          <w:b w:val="0"/>
          <w:i w:val="0"/>
          <w:color w:val="222222"/>
          <w:sz w:val="21"/>
        </w:rPr>
        <w:t>Industries Qatar has no perfect comparable — it is a three-way holding company, not a pure play. The closest reads are SABIC and the GCC petrochemical names on the chemicals side, and CF Industries, Nutrien and Yara on nitrogen; regionally, the QSE large-cap cohort sets the quasi-sovereign multiple. The structure below and the risk list frame what the peer multiples do and do not capture.</w:t>
      </w:r>
    </w:p>
    <w:tbl>
      <w:tblPr>
        <w:tblW w:type="auto" w:w="0"/>
        <w:jc w:val="center"/>
        <w:tblLayout w:type="fixed"/>
        <w:tblLook w:firstColumn="1" w:firstRow="1" w:lastColumn="0" w:lastRow="0" w:noHBand="0" w:noVBand="1" w:val="04A0"/>
      </w:tblPr>
      <w:tblGrid>
        <w:gridCol w:w="2880"/>
        <w:gridCol w:w="2880"/>
        <w:gridCol w:w="2880"/>
      </w:tblGrid>
      <w:tr>
        <w:tc>
          <w:tcPr>
            <w:tcW w:type="dxa" w:w="2736"/>
            <w:shd w:val="clear" w:fill="1B5E5E"/>
          </w:tcPr>
          <w:p>
            <w:pPr>
              <w:jc w:val="left"/>
            </w:pPr>
            <w:r/>
            <w:r>
              <w:rPr>
                <w:b/>
                <w:color w:val="FFFFFF"/>
                <w:sz w:val="19"/>
              </w:rPr>
              <w:t>Entity</w:t>
            </w:r>
          </w:p>
        </w:tc>
        <w:tc>
          <w:tcPr>
            <w:tcW w:type="dxa" w:w="1296"/>
            <w:shd w:val="clear" w:fill="1B5E5E"/>
          </w:tcPr>
          <w:p>
            <w:pPr>
              <w:jc w:val="center"/>
            </w:pPr>
            <w:r/>
            <w:r>
              <w:rPr>
                <w:b/>
                <w:color w:val="FFFFFF"/>
                <w:sz w:val="19"/>
              </w:rPr>
              <w:t>IQ stake</w:t>
            </w:r>
          </w:p>
        </w:tc>
        <w:tc>
          <w:tcPr>
            <w:tcW w:type="dxa" w:w="5328"/>
            <w:shd w:val="clear" w:fill="1B5E5E"/>
          </w:tcPr>
          <w:p>
            <w:pPr>
              <w:jc w:val="center"/>
            </w:pPr>
            <w:r/>
            <w:r>
              <w:rPr>
                <w:b/>
                <w:color w:val="FFFFFF"/>
                <w:sz w:val="19"/>
              </w:rPr>
              <w:t>What it makes</w:t>
            </w:r>
          </w:p>
        </w:tc>
      </w:tr>
      <w:tr>
        <w:tc>
          <w:tcPr>
            <w:tcW w:type="dxa" w:w="2736"/>
          </w:tcPr>
          <w:p>
            <w:pPr>
              <w:jc w:val="left"/>
            </w:pPr>
            <w:r/>
            <w:r>
              <w:rPr>
                <w:b/>
                <w:color w:val="222222"/>
                <w:sz w:val="19"/>
              </w:rPr>
              <w:t>QAFCO (fertilizers)</w:t>
            </w:r>
          </w:p>
        </w:tc>
        <w:tc>
          <w:tcPr>
            <w:tcW w:type="dxa" w:w="1296"/>
          </w:tcPr>
          <w:p>
            <w:pPr>
              <w:jc w:val="center"/>
            </w:pPr>
            <w:r/>
            <w:r>
              <w:rPr>
                <w:color w:val="222222"/>
                <w:sz w:val="19"/>
              </w:rPr>
              <w:t>100%</w:t>
            </w:r>
          </w:p>
        </w:tc>
        <w:tc>
          <w:tcPr>
            <w:tcW w:type="dxa" w:w="5328"/>
          </w:tcPr>
          <w:p>
            <w:pPr>
              <w:jc w:val="center"/>
            </w:pPr>
            <w:r/>
            <w:r>
              <w:rPr>
                <w:color w:val="222222"/>
                <w:sz w:val="19"/>
              </w:rPr>
              <w:t>Ammonia, urea, melamine, formaldehyde — world-scale, low-cost gas</w:t>
            </w:r>
          </w:p>
        </w:tc>
      </w:tr>
      <w:tr>
        <w:tc>
          <w:tcPr>
            <w:tcW w:type="dxa" w:w="2736"/>
            <w:shd w:val="clear" w:fill="F2F6F6"/>
          </w:tcPr>
          <w:p>
            <w:pPr>
              <w:jc w:val="left"/>
            </w:pPr>
            <w:r/>
            <w:r>
              <w:rPr>
                <w:b/>
                <w:color w:val="222222"/>
                <w:sz w:val="19"/>
              </w:rPr>
              <w:t>QAPCO (petrochemicals)</w:t>
            </w:r>
          </w:p>
        </w:tc>
        <w:tc>
          <w:tcPr>
            <w:tcW w:type="dxa" w:w="1296"/>
            <w:shd w:val="clear" w:fill="F2F6F6"/>
          </w:tcPr>
          <w:p>
            <w:pPr>
              <w:jc w:val="center"/>
            </w:pPr>
            <w:r/>
            <w:r>
              <w:rPr>
                <w:color w:val="222222"/>
                <w:sz w:val="19"/>
              </w:rPr>
              <w:t>80%</w:t>
            </w:r>
          </w:p>
        </w:tc>
        <w:tc>
          <w:tcPr>
            <w:tcW w:type="dxa" w:w="5328"/>
            <w:shd w:val="clear" w:fill="F2F6F6"/>
          </w:tcPr>
          <w:p>
            <w:pPr>
              <w:jc w:val="center"/>
            </w:pPr>
            <w:r/>
            <w:r>
              <w:rPr>
                <w:color w:val="222222"/>
                <w:sz w:val="19"/>
              </w:rPr>
              <w:t>Ethylene, LDPE/LLDPE, sulphur; TotalEnergies holds 20% to 2029</w:t>
            </w:r>
          </w:p>
        </w:tc>
      </w:tr>
      <w:tr>
        <w:tc>
          <w:tcPr>
            <w:tcW w:type="dxa" w:w="2736"/>
          </w:tcPr>
          <w:p>
            <w:pPr>
              <w:jc w:val="left"/>
            </w:pPr>
            <w:r/>
            <w:r>
              <w:rPr>
                <w:b/>
                <w:color w:val="222222"/>
                <w:sz w:val="19"/>
              </w:rPr>
              <w:t>QAFAC (fuel additives)</w:t>
            </w:r>
          </w:p>
        </w:tc>
        <w:tc>
          <w:tcPr>
            <w:tcW w:type="dxa" w:w="1296"/>
          </w:tcPr>
          <w:p>
            <w:pPr>
              <w:jc w:val="center"/>
            </w:pPr>
            <w:r/>
            <w:r>
              <w:rPr>
                <w:color w:val="222222"/>
                <w:sz w:val="19"/>
              </w:rPr>
              <w:t>50%</w:t>
            </w:r>
          </w:p>
        </w:tc>
        <w:tc>
          <w:tcPr>
            <w:tcW w:type="dxa" w:w="5328"/>
          </w:tcPr>
          <w:p>
            <w:pPr>
              <w:jc w:val="center"/>
            </w:pPr>
            <w:r/>
            <w:r>
              <w:rPr>
                <w:color w:val="222222"/>
                <w:sz w:val="19"/>
              </w:rPr>
              <w:t>Methanol and MTBE; reclassified to 50%-owned subsidiary in 2024</w:t>
            </w:r>
          </w:p>
        </w:tc>
      </w:tr>
      <w:tr>
        <w:tc>
          <w:tcPr>
            <w:tcW w:type="dxa" w:w="2736"/>
            <w:shd w:val="clear" w:fill="F2F6F6"/>
          </w:tcPr>
          <w:p>
            <w:pPr>
              <w:jc w:val="left"/>
            </w:pPr>
            <w:r/>
            <w:r>
              <w:rPr>
                <w:b/>
                <w:color w:val="222222"/>
                <w:sz w:val="19"/>
              </w:rPr>
              <w:t>Qatar Steel</w:t>
            </w:r>
          </w:p>
        </w:tc>
        <w:tc>
          <w:tcPr>
            <w:tcW w:type="dxa" w:w="1296"/>
            <w:shd w:val="clear" w:fill="F2F6F6"/>
          </w:tcPr>
          <w:p>
            <w:pPr>
              <w:jc w:val="center"/>
            </w:pPr>
            <w:r/>
            <w:r>
              <w:rPr>
                <w:color w:val="222222"/>
                <w:sz w:val="19"/>
              </w:rPr>
              <w:t>100%</w:t>
            </w:r>
          </w:p>
        </w:tc>
        <w:tc>
          <w:tcPr>
            <w:tcW w:type="dxa" w:w="5328"/>
            <w:shd w:val="clear" w:fill="F2F6F6"/>
          </w:tcPr>
          <w:p>
            <w:pPr>
              <w:jc w:val="center"/>
            </w:pPr>
            <w:r/>
            <w:r>
              <w:rPr>
                <w:color w:val="222222"/>
                <w:sz w:val="19"/>
              </w:rPr>
              <w:t>Billets, rebar, DRI/HBI; partly restarted from mothballed state</w:t>
            </w:r>
          </w:p>
        </w:tc>
      </w:tr>
    </w:tbl>
    <w:p>
      <w:pPr>
        <w:spacing w:after="40"/>
      </w:pPr>
    </w:p>
    <w:tbl>
      <w:tblPr>
        <w:tblW w:type="auto" w:w="0"/>
        <w:jc w:val="center"/>
        <w:tblLayout w:type="fixed"/>
        <w:tblLook w:firstColumn="1" w:firstRow="1" w:lastColumn="0" w:lastRow="0" w:noHBand="0" w:noVBand="1" w:val="04A0"/>
      </w:tblPr>
      <w:tblGrid>
        <w:gridCol w:w="2880"/>
        <w:gridCol w:w="2880"/>
        <w:gridCol w:w="2880"/>
      </w:tblGrid>
      <w:tr>
        <w:tc>
          <w:tcPr>
            <w:tcW w:type="dxa" w:w="3312"/>
            <w:shd w:val="clear" w:fill="1B5E5E"/>
          </w:tcPr>
          <w:p>
            <w:pPr>
              <w:jc w:val="left"/>
            </w:pPr>
            <w:r/>
            <w:r>
              <w:rPr>
                <w:b/>
                <w:color w:val="FFFFFF"/>
                <w:sz w:val="19"/>
              </w:rPr>
              <w:t>Risk</w:t>
            </w:r>
          </w:p>
        </w:tc>
        <w:tc>
          <w:tcPr>
            <w:tcW w:type="dxa" w:w="1440"/>
            <w:shd w:val="clear" w:fill="1B5E5E"/>
          </w:tcPr>
          <w:p>
            <w:pPr>
              <w:jc w:val="center"/>
            </w:pPr>
            <w:r/>
            <w:r>
              <w:rPr>
                <w:b/>
                <w:color w:val="FFFFFF"/>
                <w:sz w:val="19"/>
              </w:rPr>
              <w:t>Severity</w:t>
            </w:r>
          </w:p>
        </w:tc>
        <w:tc>
          <w:tcPr>
            <w:tcW w:type="dxa" w:w="4608"/>
            <w:shd w:val="clear" w:fill="1B5E5E"/>
          </w:tcPr>
          <w:p>
            <w:pPr>
              <w:jc w:val="center"/>
            </w:pPr>
            <w:r/>
            <w:r>
              <w:rPr>
                <w:b/>
                <w:color w:val="FFFFFF"/>
                <w:sz w:val="19"/>
              </w:rPr>
              <w:t>Note</w:t>
            </w:r>
          </w:p>
        </w:tc>
      </w:tr>
      <w:tr>
        <w:tc>
          <w:tcPr>
            <w:tcW w:type="dxa" w:w="3312"/>
          </w:tcPr>
          <w:p>
            <w:pPr>
              <w:jc w:val="left"/>
            </w:pPr>
            <w:r/>
            <w:r>
              <w:rPr>
                <w:b/>
                <w:color w:val="222222"/>
                <w:sz w:val="19"/>
              </w:rPr>
              <w:t>Petrochemical cycle</w:t>
            </w:r>
          </w:p>
        </w:tc>
        <w:tc>
          <w:tcPr>
            <w:tcW w:type="dxa" w:w="1440"/>
          </w:tcPr>
          <w:p>
            <w:pPr>
              <w:jc w:val="center"/>
            </w:pPr>
            <w:r/>
            <w:r>
              <w:rPr>
                <w:color w:val="222222"/>
                <w:sz w:val="19"/>
              </w:rPr>
              <w:t>High</w:t>
            </w:r>
          </w:p>
        </w:tc>
        <w:tc>
          <w:tcPr>
            <w:tcW w:type="dxa" w:w="4608"/>
          </w:tcPr>
          <w:p>
            <w:pPr>
              <w:jc w:val="center"/>
            </w:pPr>
            <w:r/>
            <w:r>
              <w:rPr>
                <w:color w:val="222222"/>
                <w:sz w:val="19"/>
              </w:rPr>
              <w:t>Chinese overcapacity; PE spreads at multi-year lows</w:t>
            </w:r>
          </w:p>
        </w:tc>
      </w:tr>
      <w:tr>
        <w:tc>
          <w:tcPr>
            <w:tcW w:type="dxa" w:w="3312"/>
            <w:shd w:val="clear" w:fill="F2F6F6"/>
          </w:tcPr>
          <w:p>
            <w:pPr>
              <w:jc w:val="left"/>
            </w:pPr>
            <w:r/>
            <w:r>
              <w:rPr>
                <w:b/>
                <w:color w:val="222222"/>
                <w:sz w:val="19"/>
              </w:rPr>
              <w:t>Geopolitical / Gulf security</w:t>
            </w:r>
          </w:p>
        </w:tc>
        <w:tc>
          <w:tcPr>
            <w:tcW w:type="dxa" w:w="1440"/>
            <w:shd w:val="clear" w:fill="F2F6F6"/>
          </w:tcPr>
          <w:p>
            <w:pPr>
              <w:jc w:val="center"/>
            </w:pPr>
            <w:r/>
            <w:r>
              <w:rPr>
                <w:color w:val="222222"/>
                <w:sz w:val="19"/>
              </w:rPr>
              <w:t>High</w:t>
            </w:r>
          </w:p>
        </w:tc>
        <w:tc>
          <w:tcPr>
            <w:tcW w:type="dxa" w:w="4608"/>
            <w:shd w:val="clear" w:fill="F2F6F6"/>
          </w:tcPr>
          <w:p>
            <w:pPr>
              <w:jc w:val="center"/>
            </w:pPr>
            <w:r/>
            <w:r>
              <w:rPr>
                <w:color w:val="222222"/>
                <w:sz w:val="19"/>
              </w:rPr>
              <w:t>Direct disruption to production and logistics (Q1-26)</w:t>
            </w:r>
          </w:p>
        </w:tc>
      </w:tr>
      <w:tr>
        <w:tc>
          <w:tcPr>
            <w:tcW w:type="dxa" w:w="3312"/>
          </w:tcPr>
          <w:p>
            <w:pPr>
              <w:jc w:val="left"/>
            </w:pPr>
            <w:r/>
            <w:r>
              <w:rPr>
                <w:b/>
                <w:color w:val="222222"/>
                <w:sz w:val="19"/>
              </w:rPr>
              <w:t>Commodity price (urea/gas)</w:t>
            </w:r>
          </w:p>
        </w:tc>
        <w:tc>
          <w:tcPr>
            <w:tcW w:type="dxa" w:w="1440"/>
          </w:tcPr>
          <w:p>
            <w:pPr>
              <w:jc w:val="center"/>
            </w:pPr>
            <w:r/>
            <w:r>
              <w:rPr>
                <w:color w:val="222222"/>
                <w:sz w:val="19"/>
              </w:rPr>
              <w:t>Medium</w:t>
            </w:r>
          </w:p>
        </w:tc>
        <w:tc>
          <w:tcPr>
            <w:tcW w:type="dxa" w:w="4608"/>
          </w:tcPr>
          <w:p>
            <w:pPr>
              <w:jc w:val="center"/>
            </w:pPr>
            <w:r/>
            <w:r>
              <w:rPr>
                <w:color w:val="222222"/>
                <w:sz w:val="19"/>
              </w:rPr>
              <w:t>Nitrogen and gas swings move margins directly</w:t>
            </w:r>
          </w:p>
        </w:tc>
      </w:tr>
      <w:tr>
        <w:tc>
          <w:tcPr>
            <w:tcW w:type="dxa" w:w="3312"/>
            <w:shd w:val="clear" w:fill="F2F6F6"/>
          </w:tcPr>
          <w:p>
            <w:pPr>
              <w:jc w:val="left"/>
            </w:pPr>
            <w:r/>
            <w:r>
              <w:rPr>
                <w:b/>
                <w:color w:val="222222"/>
                <w:sz w:val="19"/>
              </w:rPr>
              <w:t>US rate / peg linkage</w:t>
            </w:r>
          </w:p>
        </w:tc>
        <w:tc>
          <w:tcPr>
            <w:tcW w:type="dxa" w:w="1440"/>
            <w:shd w:val="clear" w:fill="F2F6F6"/>
          </w:tcPr>
          <w:p>
            <w:pPr>
              <w:jc w:val="center"/>
            </w:pPr>
            <w:r/>
            <w:r>
              <w:rPr>
                <w:color w:val="222222"/>
                <w:sz w:val="19"/>
              </w:rPr>
              <w:t>Medium</w:t>
            </w:r>
          </w:p>
        </w:tc>
        <w:tc>
          <w:tcPr>
            <w:tcW w:type="dxa" w:w="4608"/>
            <w:shd w:val="clear" w:fill="F2F6F6"/>
          </w:tcPr>
          <w:p>
            <w:pPr>
              <w:jc w:val="center"/>
            </w:pPr>
            <w:r/>
            <w:r>
              <w:rPr>
                <w:color w:val="222222"/>
                <w:sz w:val="19"/>
              </w:rPr>
              <w:t>High-payout yield name; QAR pegged to USD</w:t>
            </w:r>
          </w:p>
        </w:tc>
      </w:tr>
      <w:tr>
        <w:tc>
          <w:tcPr>
            <w:tcW w:type="dxa" w:w="3312"/>
          </w:tcPr>
          <w:p>
            <w:pPr>
              <w:jc w:val="left"/>
            </w:pPr>
            <w:r/>
            <w:r>
              <w:rPr>
                <w:b/>
                <w:color w:val="222222"/>
                <w:sz w:val="19"/>
              </w:rPr>
              <w:t>Concentration / control</w:t>
            </w:r>
          </w:p>
        </w:tc>
        <w:tc>
          <w:tcPr>
            <w:tcW w:type="dxa" w:w="1440"/>
          </w:tcPr>
          <w:p>
            <w:pPr>
              <w:jc w:val="center"/>
            </w:pPr>
            <w:r/>
            <w:r>
              <w:rPr>
                <w:color w:val="222222"/>
                <w:sz w:val="19"/>
              </w:rPr>
              <w:t>Medium</w:t>
            </w:r>
          </w:p>
        </w:tc>
        <w:tc>
          <w:tcPr>
            <w:tcW w:type="dxa" w:w="4608"/>
          </w:tcPr>
          <w:p>
            <w:pPr>
              <w:jc w:val="center"/>
            </w:pPr>
            <w:r/>
            <w:r>
              <w:rPr>
                <w:color w:val="222222"/>
                <w:sz w:val="19"/>
              </w:rPr>
              <w:t>QatarEnergy ~51%; minority-holder influence limited</w:t>
            </w:r>
          </w:p>
        </w:tc>
      </w:tr>
      <w:tr>
        <w:tc>
          <w:tcPr>
            <w:tcW w:type="dxa" w:w="3312"/>
            <w:shd w:val="clear" w:fill="F2F6F6"/>
          </w:tcPr>
          <w:p>
            <w:pPr>
              <w:jc w:val="left"/>
            </w:pPr>
            <w:r/>
            <w:r>
              <w:rPr>
                <w:b/>
                <w:color w:val="222222"/>
                <w:sz w:val="19"/>
              </w:rPr>
              <w:t>Execution (Ammonia-7/Ras Laffan)</w:t>
            </w:r>
          </w:p>
        </w:tc>
        <w:tc>
          <w:tcPr>
            <w:tcW w:type="dxa" w:w="1440"/>
            <w:shd w:val="clear" w:fill="F2F6F6"/>
          </w:tcPr>
          <w:p>
            <w:pPr>
              <w:jc w:val="center"/>
            </w:pPr>
            <w:r/>
            <w:r>
              <w:rPr>
                <w:color w:val="222222"/>
                <w:sz w:val="19"/>
              </w:rPr>
              <w:t>Medium</w:t>
            </w:r>
          </w:p>
        </w:tc>
        <w:tc>
          <w:tcPr>
            <w:tcW w:type="dxa" w:w="4608"/>
            <w:shd w:val="clear" w:fill="F2F6F6"/>
          </w:tcPr>
          <w:p>
            <w:pPr>
              <w:jc w:val="center"/>
            </w:pPr>
            <w:r/>
            <w:r>
              <w:rPr>
                <w:color w:val="222222"/>
                <w:sz w:val="19"/>
              </w:rPr>
              <w:t>Pipeline delivery underpins the growth options</w:t>
            </w:r>
          </w:p>
        </w:tc>
      </w:tr>
    </w:tbl>
    <w:p>
      <w:pPr>
        <w:spacing w:after="40"/>
      </w:pPr>
    </w:p>
    <w:p>
      <w:pPr>
        <w:keepNext/>
        <w:spacing w:before="280" w:after="120"/>
      </w:pPr>
      <w:r>
        <w:rPr>
          <w:b/>
          <w:color w:val="1B5E5E"/>
          <w:sz w:val="26"/>
        </w:rPr>
        <w:t>About this series</w:t>
      </w:r>
    </w:p>
    <w:p>
      <w:pPr>
        <w:spacing w:after="120" w:before="0"/>
      </w:pPr>
      <w:r>
        <w:rPr>
          <w:rFonts w:ascii="Calibri" w:hAnsi="Calibri"/>
          <w:b w:val="0"/>
          <w:i w:val="0"/>
          <w:color w:val="222222"/>
          <w:sz w:val="21"/>
        </w:rPr>
        <w:t>Testahil publishes independent, educational valuation studies under a single house method: a fundamental valuation on the instrument-appropriate lens, a technical read, and a Monte Carlo simulation calibrated against a random-walk benchmark, closed by a panel of method experts. We publish fair-value ranges and probability distributions — never ratings, targets, or buy/sell language. Every study is scored after the fact in a public calibration ledger.</w:t>
      </w:r>
    </w:p>
    <w:p>
      <w:pPr>
        <w:keepNext/>
        <w:spacing w:before="280" w:after="120"/>
      </w:pPr>
      <w:r>
        <w:rPr>
          <w:b/>
          <w:color w:val="1B5E5E"/>
          <w:sz w:val="26"/>
        </w:rPr>
        <w:t>Disclosure &amp; disclaimer</w:t>
      </w:r>
    </w:p>
    <w:p>
      <w:pPr>
        <w:spacing w:after="80"/>
      </w:pPr>
      <w:r>
        <w:rPr>
          <w:b/>
          <w:color w:val="1B5E5E"/>
          <w:sz w:val="18"/>
        </w:rPr>
        <w:t xml:space="preserve">Not investment advice.  </w:t>
      </w:r>
      <w:r>
        <w:rPr>
          <w:color w:val="6B6B6B"/>
          <w:sz w:val="18"/>
        </w:rPr>
        <w:t>This document is educational and does not constitute investment advice, a recommendation, an offer, or a solicitation to buy or sell any security. It states no rating and no price target.</w:t>
      </w:r>
    </w:p>
    <w:p>
      <w:pPr>
        <w:spacing w:after="80"/>
      </w:pPr>
      <w:r>
        <w:rPr>
          <w:b/>
          <w:color w:val="1B5E5E"/>
          <w:sz w:val="18"/>
        </w:rPr>
        <w:t xml:space="preserve">No licence.  </w:t>
      </w:r>
      <w:r>
        <w:rPr>
          <w:color w:val="6B6B6B"/>
          <w:sz w:val="18"/>
        </w:rPr>
        <w:t>The preparer is not a licensed financial advisor and is not regulated by the Egyptian Financial Regulatory Authority or any other body. Nothing here is a regulated research recommendation.</w:t>
      </w:r>
    </w:p>
    <w:p>
      <w:pPr>
        <w:spacing w:after="80"/>
      </w:pPr>
      <w:r>
        <w:rPr>
          <w:b/>
          <w:color w:val="1B5E5E"/>
          <w:sz w:val="18"/>
        </w:rPr>
        <w:t xml:space="preserve">Holdings disclosure.  </w:t>
      </w:r>
      <w:r>
        <w:rPr>
          <w:color w:val="6B6B6B"/>
          <w:sz w:val="18"/>
        </w:rPr>
        <w:t>The preparer may hold, and may in the future take or dispose of, a position in the security discussed in this report.</w:t>
      </w:r>
    </w:p>
    <w:p>
      <w:pPr>
        <w:spacing w:after="80"/>
      </w:pPr>
      <w:r>
        <w:rPr>
          <w:b/>
          <w:color w:val="1B5E5E"/>
          <w:sz w:val="18"/>
        </w:rPr>
        <w:t xml:space="preserve">Sources.  </w:t>
      </w:r>
      <w:r>
        <w:rPr>
          <w:color w:val="6B6B6B"/>
          <w:sz w:val="18"/>
        </w:rPr>
        <w:t>Figures are drawn from public company disclosures, filings and reputable aggregators, with reporting dates noted where used; some inputs are the preparer's own estimates and are flagged as such.</w:t>
      </w:r>
    </w:p>
    <w:p>
      <w:pPr>
        <w:spacing w:after="80"/>
      </w:pPr>
      <w:r>
        <w:rPr>
          <w:b/>
          <w:color w:val="1B5E5E"/>
          <w:sz w:val="18"/>
        </w:rPr>
        <w:t xml:space="preserve">Forward-looking.  </w:t>
      </w:r>
      <w:r>
        <w:rPr>
          <w:color w:val="6B6B6B"/>
          <w:sz w:val="18"/>
        </w:rPr>
        <w:t>Any forward-looking statements, forecasts, scenarios and probabilities are uncertain by nature, may prove wrong, and should not be relied upon. Past performance and simulated outcomes do not guarantee future results.</w:t>
      </w:r>
    </w:p>
    <w:p>
      <w:pPr>
        <w:spacing w:after="80"/>
      </w:pPr>
      <w:r>
        <w:rPr>
          <w:b/>
          <w:color w:val="1B5E5E"/>
          <w:sz w:val="18"/>
        </w:rPr>
        <w:t xml:space="preserve">No reliance.  </w:t>
      </w:r>
      <w:r>
        <w:rPr>
          <w:color w:val="6B6B6B"/>
          <w:sz w:val="18"/>
        </w:rPr>
        <w:t>Readers must make their own independent decisions and seek professional advice suited to their circumstances. The preparer accepts no liability for any loss arising from use of this document. All figures in Qatari riyal (QR) unless stated; USD conversions at USD/QR 3.64.</w:t>
      </w:r>
    </w:p>
    <w:p>
      <w:pPr>
        <w:pBdr>
          <w:bottom w:val="single" w:sz="8" w:space="1" w:color="B0894B"/>
        </w:pBdr>
        <w:spacing w:after="120"/>
      </w:pPr>
    </w:p>
    <w:p>
      <w:pPr>
        <w:spacing w:after="120" w:before="0"/>
        <w:jc w:val="center"/>
      </w:pPr>
      <w:r>
        <w:rPr>
          <w:rFonts w:ascii="Calibri" w:hAnsi="Calibri"/>
          <w:b w:val="0"/>
          <w:i w:val="0"/>
          <w:color w:val="6B6B6B"/>
          <w:sz w:val="17"/>
        </w:rPr>
        <w:t>testahil.com   ·   Educational analysis · Not investment advice   ·   Industries Qatar (QSE: IQCD) · Edition 05-07-2026</w:t>
      </w:r>
    </w:p>
    <w:p>
      <w:r>
        <w:br w:type="page"/>
      </w:r>
    </w:p>
    <w:p>
      <w:pPr>
        <w:keepNext/>
        <w:spacing w:before="280" w:after="120"/>
      </w:pPr>
      <w:r>
        <w:rPr>
          <w:b/>
          <w:color w:val="1B5E5E"/>
          <w:sz w:val="30"/>
        </w:rPr>
        <w:t>Appendix D · The expert panel</w:t>
      </w:r>
    </w:p>
    <w:p>
      <w:pPr>
        <w:spacing w:after="120" w:before="0"/>
      </w:pPr>
      <w:r>
        <w:rPr>
          <w:rFonts w:ascii="Calibri" w:hAnsi="Calibri"/>
          <w:b w:val="0"/>
          <w:i w:val="0"/>
          <w:color w:val="222222"/>
          <w:sz w:val="21"/>
        </w:rPr>
        <w:t>We close by handing Industries Qatar to three method experts, each cast for a holding company and each running a genuinely different valuation. Expert 1 values the group as a discounted collection of assets. Expert 2 is an accountant who trusts only realizable value and cash. Expert 3 is a macro-policy strategist who prices the group as a bundle of options on commodities and regional risk. They are labelled Expert 1, 2 and 3; their fair values are derived from shown workings, and each states what would prove them wrong.</w:t>
      </w:r>
    </w:p>
    <w:p>
      <w:pPr>
        <w:keepNext/>
        <w:spacing w:before="280" w:after="120"/>
      </w:pPr>
      <w:r>
        <w:rPr>
          <w:b/>
          <w:color w:val="2A8F8F"/>
          <w:sz w:val="24"/>
        </w:rPr>
        <w:t>Expert 1 · Net asset value and the holding-company discount</w:t>
      </w:r>
    </w:p>
    <w:p>
      <w:pPr>
        <w:spacing w:after="120" w:before="0"/>
      </w:pPr>
      <w:r>
        <w:rPr>
          <w:rFonts w:ascii="Calibri" w:hAnsi="Calibri"/>
          <w:b w:val="0"/>
          <w:i w:val="0"/>
          <w:color w:val="222222"/>
          <w:sz w:val="21"/>
        </w:rPr>
        <w:t>Worldview. A holding company is worth the sum of what its pieces would fetch, plus the cash, minus a discount for the friction of holding them together — the conglomerate's tax on its own complexity. Expert 1's tradition is the break-up analyst's: value each leg on the multiple its own industry commands, add the balance sheet, and argue about the discount. The method works when the parts are separable and their markets are liquid; it fails when the parts are so entangled that no piece could actually be sold, or when the 'discount' is really a permanent feature of controlled ownership.</w:t>
      </w:r>
    </w:p>
    <w:p>
      <w:pPr>
        <w:spacing w:after="120" w:before="0"/>
      </w:pPr>
      <w:r>
        <w:rPr>
          <w:rFonts w:ascii="Calibri" w:hAnsi="Calibri"/>
          <w:b w:val="0"/>
          <w:i w:val="0"/>
          <w:color w:val="222222"/>
          <w:sz w:val="21"/>
        </w:rPr>
        <w:t>Standard workings. Expert 1 takes normalized mid-cycle earnings for each of the three legs — fertilizers QR 2.5bn, petrochemicals QR 1.3bn, steel QR 0.5bn — applies industry multiples of 14.5×, 13× and 7.5×, sums to a segment enterprise value of QR 56.9bn, adds QR 8.5bn of net cash for QR 65.4bn of gross asset value, and applies a holdco discount. The discount is the argument. For a clean, three-segment, 100%-payout, net-cash structure controlled by a stable sovereign shareholder, Expert 1 sees little justification for a large haircut — the dividend certainty is worth something — and settles on 4%, giving equity value of QR 62.8bn and QR 10.38 per share as the base.</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736"/>
            <w:shd w:val="clear" w:fill="1B5E5E"/>
          </w:tcPr>
          <w:p>
            <w:pPr>
              <w:jc w:val="left"/>
            </w:pPr>
            <w:r/>
            <w:r>
              <w:rPr>
                <w:b/>
                <w:color w:val="FFFFFF"/>
                <w:sz w:val="18"/>
              </w:rPr>
              <w:t>Leg / step</w:t>
            </w:r>
          </w:p>
        </w:tc>
        <w:tc>
          <w:tcPr>
            <w:tcW w:type="dxa" w:w="1872"/>
            <w:shd w:val="clear" w:fill="1B5E5E"/>
          </w:tcPr>
          <w:p>
            <w:pPr>
              <w:jc w:val="center"/>
            </w:pPr>
            <w:r/>
            <w:r>
              <w:rPr>
                <w:b/>
                <w:color w:val="FFFFFF"/>
                <w:sz w:val="18"/>
              </w:rPr>
              <w:t>Norm. NI (QRbn)</w:t>
            </w:r>
          </w:p>
        </w:tc>
        <w:tc>
          <w:tcPr>
            <w:tcW w:type="dxa" w:w="1584"/>
            <w:shd w:val="clear" w:fill="1B5E5E"/>
          </w:tcPr>
          <w:p>
            <w:pPr>
              <w:jc w:val="center"/>
            </w:pPr>
            <w:r/>
            <w:r>
              <w:rPr>
                <w:b/>
                <w:color w:val="FFFFFF"/>
                <w:sz w:val="18"/>
              </w:rPr>
              <w:t>Multiple</w:t>
            </w:r>
          </w:p>
        </w:tc>
        <w:tc>
          <w:tcPr>
            <w:tcW w:type="dxa" w:w="2016"/>
            <w:shd w:val="clear" w:fill="1B5E5E"/>
          </w:tcPr>
          <w:p>
            <w:pPr>
              <w:jc w:val="center"/>
            </w:pPr>
            <w:r/>
            <w:r>
              <w:rPr>
                <w:b/>
                <w:color w:val="FFFFFF"/>
                <w:sz w:val="18"/>
              </w:rPr>
              <w:t>Value (QRbn)</w:t>
            </w:r>
          </w:p>
        </w:tc>
      </w:tr>
      <w:tr>
        <w:tc>
          <w:tcPr>
            <w:tcW w:type="dxa" w:w="2736"/>
          </w:tcPr>
          <w:p>
            <w:pPr>
              <w:jc w:val="left"/>
            </w:pPr>
            <w:r/>
            <w:r>
              <w:rPr>
                <w:b/>
                <w:color w:val="222222"/>
                <w:sz w:val="18"/>
              </w:rPr>
              <w:t>Fertilizers</w:t>
            </w:r>
          </w:p>
        </w:tc>
        <w:tc>
          <w:tcPr>
            <w:tcW w:type="dxa" w:w="1872"/>
          </w:tcPr>
          <w:p>
            <w:pPr>
              <w:jc w:val="center"/>
            </w:pPr>
            <w:r/>
            <w:r>
              <w:rPr>
                <w:color w:val="222222"/>
                <w:sz w:val="18"/>
              </w:rPr>
              <w:t>2.50</w:t>
            </w:r>
          </w:p>
        </w:tc>
        <w:tc>
          <w:tcPr>
            <w:tcW w:type="dxa" w:w="1584"/>
          </w:tcPr>
          <w:p>
            <w:pPr>
              <w:jc w:val="center"/>
            </w:pPr>
            <w:r/>
            <w:r>
              <w:rPr>
                <w:color w:val="222222"/>
                <w:sz w:val="18"/>
              </w:rPr>
              <w:t>14.5×</w:t>
            </w:r>
          </w:p>
        </w:tc>
        <w:tc>
          <w:tcPr>
            <w:tcW w:type="dxa" w:w="2016"/>
          </w:tcPr>
          <w:p>
            <w:pPr>
              <w:jc w:val="center"/>
            </w:pPr>
            <w:r/>
            <w:r>
              <w:rPr>
                <w:color w:val="222222"/>
                <w:sz w:val="18"/>
              </w:rPr>
              <w:t>36.3</w:t>
            </w:r>
          </w:p>
        </w:tc>
      </w:tr>
      <w:tr>
        <w:tc>
          <w:tcPr>
            <w:tcW w:type="dxa" w:w="2736"/>
            <w:shd w:val="clear" w:fill="F2F6F6"/>
          </w:tcPr>
          <w:p>
            <w:pPr>
              <w:jc w:val="left"/>
            </w:pPr>
            <w:r/>
            <w:r>
              <w:rPr>
                <w:b/>
                <w:color w:val="222222"/>
                <w:sz w:val="18"/>
              </w:rPr>
              <w:t>Petrochemicals</w:t>
            </w:r>
          </w:p>
        </w:tc>
        <w:tc>
          <w:tcPr>
            <w:tcW w:type="dxa" w:w="1872"/>
            <w:shd w:val="clear" w:fill="F2F6F6"/>
          </w:tcPr>
          <w:p>
            <w:pPr>
              <w:jc w:val="center"/>
            </w:pPr>
            <w:r/>
            <w:r>
              <w:rPr>
                <w:color w:val="222222"/>
                <w:sz w:val="18"/>
              </w:rPr>
              <w:t>1.30</w:t>
            </w:r>
          </w:p>
        </w:tc>
        <w:tc>
          <w:tcPr>
            <w:tcW w:type="dxa" w:w="1584"/>
            <w:shd w:val="clear" w:fill="F2F6F6"/>
          </w:tcPr>
          <w:p>
            <w:pPr>
              <w:jc w:val="center"/>
            </w:pPr>
            <w:r/>
            <w:r>
              <w:rPr>
                <w:color w:val="222222"/>
                <w:sz w:val="18"/>
              </w:rPr>
              <w:t>13.0×</w:t>
            </w:r>
          </w:p>
        </w:tc>
        <w:tc>
          <w:tcPr>
            <w:tcW w:type="dxa" w:w="2016"/>
            <w:shd w:val="clear" w:fill="F2F6F6"/>
          </w:tcPr>
          <w:p>
            <w:pPr>
              <w:jc w:val="center"/>
            </w:pPr>
            <w:r/>
            <w:r>
              <w:rPr>
                <w:color w:val="222222"/>
                <w:sz w:val="18"/>
              </w:rPr>
              <w:t>16.9</w:t>
            </w:r>
          </w:p>
        </w:tc>
      </w:tr>
      <w:tr>
        <w:tc>
          <w:tcPr>
            <w:tcW w:type="dxa" w:w="2736"/>
          </w:tcPr>
          <w:p>
            <w:pPr>
              <w:jc w:val="left"/>
            </w:pPr>
            <w:r/>
            <w:r>
              <w:rPr>
                <w:b/>
                <w:color w:val="222222"/>
                <w:sz w:val="18"/>
              </w:rPr>
              <w:t>Steel</w:t>
            </w:r>
          </w:p>
        </w:tc>
        <w:tc>
          <w:tcPr>
            <w:tcW w:type="dxa" w:w="1872"/>
          </w:tcPr>
          <w:p>
            <w:pPr>
              <w:jc w:val="center"/>
            </w:pPr>
            <w:r/>
            <w:r>
              <w:rPr>
                <w:color w:val="222222"/>
                <w:sz w:val="18"/>
              </w:rPr>
              <w:t>0.50</w:t>
            </w:r>
          </w:p>
        </w:tc>
        <w:tc>
          <w:tcPr>
            <w:tcW w:type="dxa" w:w="1584"/>
          </w:tcPr>
          <w:p>
            <w:pPr>
              <w:jc w:val="center"/>
            </w:pPr>
            <w:r/>
            <w:r>
              <w:rPr>
                <w:color w:val="222222"/>
                <w:sz w:val="18"/>
              </w:rPr>
              <w:t>7.5×</w:t>
            </w:r>
          </w:p>
        </w:tc>
        <w:tc>
          <w:tcPr>
            <w:tcW w:type="dxa" w:w="2016"/>
          </w:tcPr>
          <w:p>
            <w:pPr>
              <w:jc w:val="center"/>
            </w:pPr>
            <w:r/>
            <w:r>
              <w:rPr>
                <w:color w:val="222222"/>
                <w:sz w:val="18"/>
              </w:rPr>
              <w:t>3.8</w:t>
            </w:r>
          </w:p>
        </w:tc>
      </w:tr>
      <w:tr>
        <w:tc>
          <w:tcPr>
            <w:tcW w:type="dxa" w:w="2736"/>
            <w:shd w:val="clear" w:fill="F2F6F6"/>
          </w:tcPr>
          <w:p>
            <w:pPr>
              <w:jc w:val="left"/>
            </w:pPr>
            <w:r/>
            <w:r>
              <w:rPr>
                <w:b/>
                <w:color w:val="222222"/>
                <w:sz w:val="18"/>
              </w:rPr>
              <w:t>Net cash</w:t>
            </w:r>
          </w:p>
        </w:tc>
        <w:tc>
          <w:tcPr>
            <w:tcW w:type="dxa" w:w="1872"/>
            <w:shd w:val="clear" w:fill="F2F6F6"/>
          </w:tcPr>
          <w:p>
            <w:pPr>
              <w:jc w:val="center"/>
            </w:pPr>
            <w:r/>
            <w:r>
              <w:rPr>
                <w:color w:val="222222"/>
                <w:sz w:val="18"/>
              </w:rPr>
              <w:t>—</w:t>
            </w:r>
          </w:p>
        </w:tc>
        <w:tc>
          <w:tcPr>
            <w:tcW w:type="dxa" w:w="1584"/>
            <w:shd w:val="clear" w:fill="F2F6F6"/>
          </w:tcPr>
          <w:p>
            <w:pPr>
              <w:jc w:val="center"/>
            </w:pPr>
            <w:r/>
            <w:r>
              <w:rPr>
                <w:color w:val="222222"/>
                <w:sz w:val="18"/>
              </w:rPr>
              <w:t>—</w:t>
            </w:r>
          </w:p>
        </w:tc>
        <w:tc>
          <w:tcPr>
            <w:tcW w:type="dxa" w:w="2016"/>
            <w:shd w:val="clear" w:fill="F2F6F6"/>
          </w:tcPr>
          <w:p>
            <w:pPr>
              <w:jc w:val="center"/>
            </w:pPr>
            <w:r/>
            <w:r>
              <w:rPr>
                <w:color w:val="222222"/>
                <w:sz w:val="18"/>
              </w:rPr>
              <w:t>8.5</w:t>
            </w:r>
          </w:p>
        </w:tc>
      </w:tr>
      <w:tr>
        <w:tc>
          <w:tcPr>
            <w:tcW w:type="dxa" w:w="2736"/>
          </w:tcPr>
          <w:p>
            <w:pPr>
              <w:jc w:val="left"/>
            </w:pPr>
            <w:r/>
            <w:r>
              <w:rPr>
                <w:b/>
                <w:color w:val="222222"/>
                <w:sz w:val="18"/>
              </w:rPr>
              <w:t>Less 4% discount</w:t>
            </w:r>
          </w:p>
        </w:tc>
        <w:tc>
          <w:tcPr>
            <w:tcW w:type="dxa" w:w="1872"/>
          </w:tcPr>
          <w:p>
            <w:pPr>
              <w:jc w:val="center"/>
            </w:pPr>
            <w:r/>
            <w:r>
              <w:rPr>
                <w:color w:val="222222"/>
                <w:sz w:val="18"/>
              </w:rPr>
              <w:t>—</w:t>
            </w:r>
          </w:p>
        </w:tc>
        <w:tc>
          <w:tcPr>
            <w:tcW w:type="dxa" w:w="1584"/>
          </w:tcPr>
          <w:p>
            <w:pPr>
              <w:jc w:val="center"/>
            </w:pPr>
            <w:r/>
            <w:r>
              <w:rPr>
                <w:color w:val="222222"/>
                <w:sz w:val="18"/>
              </w:rPr>
              <w:t>—</w:t>
            </w:r>
          </w:p>
        </w:tc>
        <w:tc>
          <w:tcPr>
            <w:tcW w:type="dxa" w:w="2016"/>
          </w:tcPr>
          <w:p>
            <w:pPr>
              <w:jc w:val="center"/>
            </w:pPr>
            <w:r/>
            <w:r>
              <w:rPr>
                <w:color w:val="222222"/>
                <w:sz w:val="18"/>
              </w:rPr>
              <w:t>(2.6)</w:t>
            </w:r>
          </w:p>
        </w:tc>
      </w:tr>
      <w:tr>
        <w:tc>
          <w:tcPr>
            <w:tcW w:type="dxa" w:w="2736"/>
            <w:shd w:val="clear" w:fill="F2F6F6"/>
          </w:tcPr>
          <w:p>
            <w:pPr>
              <w:jc w:val="left"/>
            </w:pPr>
            <w:r/>
            <w:r>
              <w:rPr>
                <w:b/>
                <w:color w:val="222222"/>
                <w:sz w:val="18"/>
              </w:rPr>
              <w:t>Equity value</w:t>
            </w:r>
          </w:p>
        </w:tc>
        <w:tc>
          <w:tcPr>
            <w:tcW w:type="dxa" w:w="1872"/>
            <w:shd w:val="clear" w:fill="F2F6F6"/>
          </w:tcPr>
          <w:p>
            <w:pPr>
              <w:jc w:val="center"/>
            </w:pPr>
            <w:r/>
            <w:r>
              <w:rPr>
                <w:color w:val="222222"/>
                <w:sz w:val="18"/>
              </w:rPr>
              <w:t>—</w:t>
            </w:r>
          </w:p>
        </w:tc>
        <w:tc>
          <w:tcPr>
            <w:tcW w:type="dxa" w:w="1584"/>
            <w:shd w:val="clear" w:fill="F2F6F6"/>
          </w:tcPr>
          <w:p>
            <w:pPr>
              <w:jc w:val="center"/>
            </w:pPr>
            <w:r/>
            <w:r>
              <w:rPr>
                <w:color w:val="222222"/>
                <w:sz w:val="18"/>
              </w:rPr>
              <w:t>—</w:t>
            </w:r>
          </w:p>
        </w:tc>
        <w:tc>
          <w:tcPr>
            <w:tcW w:type="dxa" w:w="2016"/>
            <w:shd w:val="clear" w:fill="F2F6F6"/>
          </w:tcPr>
          <w:p>
            <w:pPr>
              <w:jc w:val="center"/>
            </w:pPr>
            <w:r/>
            <w:r>
              <w:rPr>
                <w:color w:val="222222"/>
                <w:sz w:val="18"/>
              </w:rPr>
              <w:t>62.8</w:t>
            </w:r>
          </w:p>
        </w:tc>
      </w:tr>
      <w:tr>
        <w:tc>
          <w:tcPr>
            <w:tcW w:type="dxa" w:w="2736"/>
          </w:tcPr>
          <w:p>
            <w:pPr>
              <w:jc w:val="left"/>
            </w:pPr>
            <w:r/>
            <w:r>
              <w:rPr>
                <w:b/>
                <w:color w:val="222222"/>
                <w:sz w:val="18"/>
              </w:rPr>
              <w:t>Per share</w:t>
            </w:r>
          </w:p>
        </w:tc>
        <w:tc>
          <w:tcPr>
            <w:tcW w:type="dxa" w:w="1872"/>
          </w:tcPr>
          <w:p>
            <w:pPr>
              <w:jc w:val="center"/>
            </w:pPr>
            <w:r/>
            <w:r>
              <w:rPr>
                <w:color w:val="222222"/>
                <w:sz w:val="18"/>
              </w:rPr>
              <w:t>—</w:t>
            </w:r>
          </w:p>
        </w:tc>
        <w:tc>
          <w:tcPr>
            <w:tcW w:type="dxa" w:w="1584"/>
          </w:tcPr>
          <w:p>
            <w:pPr>
              <w:jc w:val="center"/>
            </w:pPr>
            <w:r/>
            <w:r>
              <w:rPr>
                <w:color w:val="222222"/>
                <w:sz w:val="18"/>
              </w:rPr>
              <w:t>—</w:t>
            </w:r>
          </w:p>
        </w:tc>
        <w:tc>
          <w:tcPr>
            <w:tcW w:type="dxa" w:w="2016"/>
          </w:tcPr>
          <w:p>
            <w:pPr>
              <w:jc w:val="center"/>
            </w:pPr>
            <w:r/>
            <w:r>
              <w:rPr>
                <w:color w:val="222222"/>
                <w:sz w:val="18"/>
              </w:rPr>
              <w:t>QR 10.38</w:t>
            </w:r>
          </w:p>
        </w:tc>
      </w:tr>
    </w:tbl>
    <w:p>
      <w:pPr>
        <w:spacing w:after="40"/>
      </w:pPr>
    </w:p>
    <w:p>
      <w:pPr>
        <w:spacing w:after="120" w:before="0"/>
      </w:pPr>
      <w:r>
        <w:rPr>
          <w:rFonts w:ascii="Calibri" w:hAnsi="Calibri"/>
          <w:b w:val="0"/>
          <w:i w:val="0"/>
          <w:color w:val="222222"/>
          <w:sz w:val="21"/>
        </w:rPr>
        <w:t>Why these multiples. Expert 1 defends each mark from its own peer set. The 14.5× on fertilizers is a premium to CF Industries' 11× and Yara's 12×, justified because QAFCO is 100%-owned, world-scale, and fed by structurally cheaper gas than any Western nitrogen producer — a genuine cost moat that earns a higher multiple through the cycle. The 13× on petrochemicals is a mid-cycle number, above the trough the segment trades through today but below the 15× the market pays GCC chemical names in good times; Expert 1 is explicit that this multiple assumes a recovery, and that the assumption is the vulnerability. The 7.5× on steel is deliberately low — steel is cyclical, globally oversupplied, and Qatar Steel spent years mothballed — so Expert 1 refuses to pay a franchise multiple for a restart. Net cash is taken at face value because it is exactly that: cash and bank balances, not goodwill.</w:t>
      </w:r>
    </w:p>
    <w:p>
      <w:pPr>
        <w:spacing w:after="120" w:before="0"/>
      </w:pPr>
      <w:r>
        <w:rPr>
          <w:rFonts w:ascii="Calibri" w:hAnsi="Calibri"/>
          <w:b w:val="0"/>
          <w:i w:val="0"/>
          <w:color w:val="222222"/>
          <w:sz w:val="21"/>
        </w:rPr>
        <w:t>Sensitivity. The swing input is the holdco discount and the petrochemical multiple together. At a 0% discount and a recovered 15× petrochemical multiple the parts are worth about QR 15; at a 10% discount and a 9× trough multiple, about QR 7.5. Expert 1's base of QR 10.6 (a hair above the mechanical 10.38, giving some credit for the pipeline) sits in the middle. Expert 1 notes the discount itself is not academic: Industries Qatar has historically traded around and sometimes above its parts, precisely because the 100% payout converts the holding structure's cash into a certain dividend — the opposite of the trapped-cash problem that earns most conglomerates a wide discount.</w:t>
      </w:r>
    </w:p>
    <w:p>
      <w:pPr>
        <w:spacing w:after="120" w:before="0"/>
      </w:pPr>
      <w:r>
        <w:rPr>
          <w:rFonts w:ascii="Calibri" w:hAnsi="Calibri"/>
          <w:b w:val="0"/>
          <w:i w:val="0"/>
          <w:color w:val="222222"/>
          <w:sz w:val="21"/>
        </w:rPr>
        <w:t>Cross-examination. Expert 1 tells Expert 2 that marking everything to conservative realizable value ignores that these are cash-generating franchises, not liquidation assets — QAFCO is not going to be sold for scrap. And Expert 1 tells Expert 3 that pricing the group as a basket of macro options is elegant but unfalsifiable: at some point you have to put a multiple on the earnings. Verdict: QR 10.6, fairly valued. Falsification: if a segment were actually put up for sale at a multiple far from Expert 1's mark, the method's core assumption — that quoted-peer multiples equal realizable value — would be tested directly. Market-implied: at spot QR 11.07 the market is paying about a 6% premium to the mechanical parts, which Expert 1 reads as the quasi-sovereign premium.</w:t>
      </w:r>
    </w:p>
    <w:p>
      <w:pPr>
        <w:keepNext/>
        <w:spacing w:before="280" w:after="120"/>
      </w:pPr>
      <w:r>
        <w:rPr>
          <w:b/>
          <w:color w:val="2A8F8F"/>
          <w:sz w:val="24"/>
        </w:rPr>
        <w:t>Expert 2 · The accountant — realizable value and cash quality</w:t>
      </w:r>
    </w:p>
    <w:p>
      <w:pPr>
        <w:spacing w:after="120" w:before="0"/>
      </w:pPr>
      <w:r>
        <w:rPr>
          <w:rFonts w:ascii="Calibri" w:hAnsi="Calibri"/>
          <w:b w:val="0"/>
          <w:i w:val="0"/>
          <w:color w:val="222222"/>
          <w:sz w:val="21"/>
        </w:rPr>
        <w:t>Worldview. Trust the balance sheet and the cash, distrust the multiple. Expert 2's tradition is the auditor's: earnings can be dressed by one-offs, cycles and accounting choices, but cash conversion and realizable asset value are harder to fake. This is the most conservative of the three methods, and it is deliberately so — it works as a floor, and it fails as a ceiling, because it systematically undervalues genuine franchise and growth.</w:t>
      </w:r>
    </w:p>
    <w:p>
      <w:pPr>
        <w:spacing w:after="120" w:before="0"/>
      </w:pPr>
      <w:r>
        <w:rPr>
          <w:rFonts w:ascii="Calibri" w:hAnsi="Calibri"/>
          <w:b w:val="0"/>
          <w:i w:val="0"/>
          <w:color w:val="222222"/>
          <w:sz w:val="21"/>
        </w:rPr>
        <w:t>Standard workings. Expert 2 starts from the same segment earnings but strips them harder: the 2025 fertilizer figure is flagged as near a cyclical peak and marked down; the petrochemical figure is taken close to its actual depressed run-rate rather than a hoped-for recovery; the steel figure has its impairment reversal removed. Expert 2 then applies conservative, sub-peer multiples and adds cash at face value. Crucially, Expert 2 examines cash quality: IQ generated positive operating cash flow every quarter, free cash flow of about QR 1.9bn in the first nine months of 2025, and funds a 100% payout partly from the cash pile — sustainable for now, but a drawdown to watch. The result is a deliberately low base: QR 9.8 per share.</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3168"/>
            <w:shd w:val="clear" w:fill="1B5E5E"/>
          </w:tcPr>
          <w:p>
            <w:pPr>
              <w:jc w:val="left"/>
            </w:pPr>
            <w:r/>
            <w:r>
              <w:rPr>
                <w:b/>
                <w:color w:val="FFFFFF"/>
                <w:sz w:val="18"/>
              </w:rPr>
              <w:t>Leg / step</w:t>
            </w:r>
          </w:p>
        </w:tc>
        <w:tc>
          <w:tcPr>
            <w:tcW w:type="dxa" w:w="1728"/>
            <w:shd w:val="clear" w:fill="1B5E5E"/>
          </w:tcPr>
          <w:p>
            <w:pPr>
              <w:jc w:val="center"/>
            </w:pPr>
            <w:r/>
            <w:r>
              <w:rPr>
                <w:b/>
                <w:color w:val="FFFFFF"/>
                <w:sz w:val="18"/>
              </w:rPr>
              <w:t>Norm. NI (QRbn)</w:t>
            </w:r>
          </w:p>
        </w:tc>
        <w:tc>
          <w:tcPr>
            <w:tcW w:type="dxa" w:w="1440"/>
            <w:shd w:val="clear" w:fill="1B5E5E"/>
          </w:tcPr>
          <w:p>
            <w:pPr>
              <w:jc w:val="center"/>
            </w:pPr>
            <w:r/>
            <w:r>
              <w:rPr>
                <w:b/>
                <w:color w:val="FFFFFF"/>
                <w:sz w:val="18"/>
              </w:rPr>
              <w:t>Multiple</w:t>
            </w:r>
          </w:p>
        </w:tc>
        <w:tc>
          <w:tcPr>
            <w:tcW w:type="dxa" w:w="1872"/>
            <w:shd w:val="clear" w:fill="1B5E5E"/>
          </w:tcPr>
          <w:p>
            <w:pPr>
              <w:jc w:val="center"/>
            </w:pPr>
            <w:r/>
            <w:r>
              <w:rPr>
                <w:b/>
                <w:color w:val="FFFFFF"/>
                <w:sz w:val="18"/>
              </w:rPr>
              <w:t>Value (QRbn)</w:t>
            </w:r>
          </w:p>
        </w:tc>
      </w:tr>
      <w:tr>
        <w:tc>
          <w:tcPr>
            <w:tcW w:type="dxa" w:w="3168"/>
          </w:tcPr>
          <w:p>
            <w:pPr>
              <w:jc w:val="left"/>
            </w:pPr>
            <w:r/>
            <w:r>
              <w:rPr>
                <w:b/>
                <w:color w:val="222222"/>
                <w:sz w:val="18"/>
              </w:rPr>
              <w:t>Fertilizers (marked down from peak)</w:t>
            </w:r>
          </w:p>
        </w:tc>
        <w:tc>
          <w:tcPr>
            <w:tcW w:type="dxa" w:w="1728"/>
          </w:tcPr>
          <w:p>
            <w:pPr>
              <w:jc w:val="center"/>
            </w:pPr>
            <w:r/>
            <w:r>
              <w:rPr>
                <w:color w:val="222222"/>
                <w:sz w:val="18"/>
              </w:rPr>
              <w:t>2.30</w:t>
            </w:r>
          </w:p>
        </w:tc>
        <w:tc>
          <w:tcPr>
            <w:tcW w:type="dxa" w:w="1440"/>
          </w:tcPr>
          <w:p>
            <w:pPr>
              <w:jc w:val="center"/>
            </w:pPr>
            <w:r/>
            <w:r>
              <w:rPr>
                <w:color w:val="222222"/>
                <w:sz w:val="18"/>
              </w:rPr>
              <w:t>12.0×</w:t>
            </w:r>
          </w:p>
        </w:tc>
        <w:tc>
          <w:tcPr>
            <w:tcW w:type="dxa" w:w="1872"/>
          </w:tcPr>
          <w:p>
            <w:pPr>
              <w:jc w:val="center"/>
            </w:pPr>
            <w:r/>
            <w:r>
              <w:rPr>
                <w:color w:val="222222"/>
                <w:sz w:val="18"/>
              </w:rPr>
              <w:t>27.6</w:t>
            </w:r>
          </w:p>
        </w:tc>
      </w:tr>
      <w:tr>
        <w:tc>
          <w:tcPr>
            <w:tcW w:type="dxa" w:w="3168"/>
            <w:shd w:val="clear" w:fill="F2F6F6"/>
          </w:tcPr>
          <w:p>
            <w:pPr>
              <w:jc w:val="left"/>
            </w:pPr>
            <w:r/>
            <w:r>
              <w:rPr>
                <w:b/>
                <w:color w:val="222222"/>
                <w:sz w:val="18"/>
              </w:rPr>
              <w:t>Petrochemicals (near run-rate)</w:t>
            </w:r>
          </w:p>
        </w:tc>
        <w:tc>
          <w:tcPr>
            <w:tcW w:type="dxa" w:w="1728"/>
            <w:shd w:val="clear" w:fill="F2F6F6"/>
          </w:tcPr>
          <w:p>
            <w:pPr>
              <w:jc w:val="center"/>
            </w:pPr>
            <w:r/>
            <w:r>
              <w:rPr>
                <w:color w:val="222222"/>
                <w:sz w:val="18"/>
              </w:rPr>
              <w:t>0.90</w:t>
            </w:r>
          </w:p>
        </w:tc>
        <w:tc>
          <w:tcPr>
            <w:tcW w:type="dxa" w:w="1440"/>
            <w:shd w:val="clear" w:fill="F2F6F6"/>
          </w:tcPr>
          <w:p>
            <w:pPr>
              <w:jc w:val="center"/>
            </w:pPr>
            <w:r/>
            <w:r>
              <w:rPr>
                <w:color w:val="222222"/>
                <w:sz w:val="18"/>
              </w:rPr>
              <w:t>10.0×</w:t>
            </w:r>
          </w:p>
        </w:tc>
        <w:tc>
          <w:tcPr>
            <w:tcW w:type="dxa" w:w="1872"/>
            <w:shd w:val="clear" w:fill="F2F6F6"/>
          </w:tcPr>
          <w:p>
            <w:pPr>
              <w:jc w:val="center"/>
            </w:pPr>
            <w:r/>
            <w:r>
              <w:rPr>
                <w:color w:val="222222"/>
                <w:sz w:val="18"/>
              </w:rPr>
              <w:t>9.0</w:t>
            </w:r>
          </w:p>
        </w:tc>
      </w:tr>
      <w:tr>
        <w:tc>
          <w:tcPr>
            <w:tcW w:type="dxa" w:w="3168"/>
          </w:tcPr>
          <w:p>
            <w:pPr>
              <w:jc w:val="left"/>
            </w:pPr>
            <w:r/>
            <w:r>
              <w:rPr>
                <w:b/>
                <w:color w:val="222222"/>
                <w:sz w:val="18"/>
              </w:rPr>
              <w:t>Steel (ex one-off)</w:t>
            </w:r>
          </w:p>
        </w:tc>
        <w:tc>
          <w:tcPr>
            <w:tcW w:type="dxa" w:w="1728"/>
          </w:tcPr>
          <w:p>
            <w:pPr>
              <w:jc w:val="center"/>
            </w:pPr>
            <w:r/>
            <w:r>
              <w:rPr>
                <w:color w:val="222222"/>
                <w:sz w:val="18"/>
              </w:rPr>
              <w:t>0.40</w:t>
            </w:r>
          </w:p>
        </w:tc>
        <w:tc>
          <w:tcPr>
            <w:tcW w:type="dxa" w:w="1440"/>
          </w:tcPr>
          <w:p>
            <w:pPr>
              <w:jc w:val="center"/>
            </w:pPr>
            <w:r/>
            <w:r>
              <w:rPr>
                <w:color w:val="222222"/>
                <w:sz w:val="18"/>
              </w:rPr>
              <w:t>6.0×</w:t>
            </w:r>
          </w:p>
        </w:tc>
        <w:tc>
          <w:tcPr>
            <w:tcW w:type="dxa" w:w="1872"/>
          </w:tcPr>
          <w:p>
            <w:pPr>
              <w:jc w:val="center"/>
            </w:pPr>
            <w:r/>
            <w:r>
              <w:rPr>
                <w:color w:val="222222"/>
                <w:sz w:val="18"/>
              </w:rPr>
              <w:t>2.4</w:t>
            </w:r>
          </w:p>
        </w:tc>
      </w:tr>
      <w:tr>
        <w:tc>
          <w:tcPr>
            <w:tcW w:type="dxa" w:w="3168"/>
            <w:shd w:val="clear" w:fill="F2F6F6"/>
          </w:tcPr>
          <w:p>
            <w:pPr>
              <w:jc w:val="left"/>
            </w:pPr>
            <w:r/>
            <w:r>
              <w:rPr>
                <w:b/>
                <w:color w:val="222222"/>
                <w:sz w:val="18"/>
              </w:rPr>
              <w:t>Net cash at face value</w:t>
            </w:r>
          </w:p>
        </w:tc>
        <w:tc>
          <w:tcPr>
            <w:tcW w:type="dxa" w:w="1728"/>
            <w:shd w:val="clear" w:fill="F2F6F6"/>
          </w:tcPr>
          <w:p>
            <w:pPr>
              <w:jc w:val="center"/>
            </w:pPr>
            <w:r/>
            <w:r>
              <w:rPr>
                <w:color w:val="222222"/>
                <w:sz w:val="18"/>
              </w:rPr>
              <w:t>—</w:t>
            </w:r>
          </w:p>
        </w:tc>
        <w:tc>
          <w:tcPr>
            <w:tcW w:type="dxa" w:w="1440"/>
            <w:shd w:val="clear" w:fill="F2F6F6"/>
          </w:tcPr>
          <w:p>
            <w:pPr>
              <w:jc w:val="center"/>
            </w:pPr>
            <w:r/>
            <w:r>
              <w:rPr>
                <w:color w:val="222222"/>
                <w:sz w:val="18"/>
              </w:rPr>
              <w:t>—</w:t>
            </w:r>
          </w:p>
        </w:tc>
        <w:tc>
          <w:tcPr>
            <w:tcW w:type="dxa" w:w="1872"/>
            <w:shd w:val="clear" w:fill="F2F6F6"/>
          </w:tcPr>
          <w:p>
            <w:pPr>
              <w:jc w:val="center"/>
            </w:pPr>
            <w:r/>
            <w:r>
              <w:rPr>
                <w:color w:val="222222"/>
                <w:sz w:val="18"/>
              </w:rPr>
              <w:t>8.5</w:t>
            </w:r>
          </w:p>
        </w:tc>
      </w:tr>
      <w:tr>
        <w:tc>
          <w:tcPr>
            <w:tcW w:type="dxa" w:w="3168"/>
          </w:tcPr>
          <w:p>
            <w:pPr>
              <w:jc w:val="left"/>
            </w:pPr>
            <w:r/>
            <w:r>
              <w:rPr>
                <w:b/>
                <w:color w:val="222222"/>
                <w:sz w:val="18"/>
              </w:rPr>
              <w:t>Less 6% discount</w:t>
            </w:r>
          </w:p>
        </w:tc>
        <w:tc>
          <w:tcPr>
            <w:tcW w:type="dxa" w:w="1728"/>
          </w:tcPr>
          <w:p>
            <w:pPr>
              <w:jc w:val="center"/>
            </w:pPr>
            <w:r/>
            <w:r>
              <w:rPr>
                <w:color w:val="222222"/>
                <w:sz w:val="18"/>
              </w:rPr>
              <w:t>—</w:t>
            </w:r>
          </w:p>
        </w:tc>
        <w:tc>
          <w:tcPr>
            <w:tcW w:type="dxa" w:w="1440"/>
          </w:tcPr>
          <w:p>
            <w:pPr>
              <w:jc w:val="center"/>
            </w:pPr>
            <w:r/>
            <w:r>
              <w:rPr>
                <w:color w:val="222222"/>
                <w:sz w:val="18"/>
              </w:rPr>
              <w:t>—</w:t>
            </w:r>
          </w:p>
        </w:tc>
        <w:tc>
          <w:tcPr>
            <w:tcW w:type="dxa" w:w="1872"/>
          </w:tcPr>
          <w:p>
            <w:pPr>
              <w:jc w:val="center"/>
            </w:pPr>
            <w:r/>
            <w:r>
              <w:rPr>
                <w:color w:val="222222"/>
                <w:sz w:val="18"/>
              </w:rPr>
              <w:t>(2.9)</w:t>
            </w:r>
          </w:p>
        </w:tc>
      </w:tr>
      <w:tr>
        <w:tc>
          <w:tcPr>
            <w:tcW w:type="dxa" w:w="3168"/>
            <w:shd w:val="clear" w:fill="F2F6F6"/>
          </w:tcPr>
          <w:p>
            <w:pPr>
              <w:jc w:val="left"/>
            </w:pPr>
            <w:r/>
            <w:r>
              <w:rPr>
                <w:b/>
                <w:color w:val="222222"/>
                <w:sz w:val="18"/>
              </w:rPr>
              <w:t>Equity value</w:t>
            </w:r>
          </w:p>
        </w:tc>
        <w:tc>
          <w:tcPr>
            <w:tcW w:type="dxa" w:w="1728"/>
            <w:shd w:val="clear" w:fill="F2F6F6"/>
          </w:tcPr>
          <w:p>
            <w:pPr>
              <w:jc w:val="center"/>
            </w:pPr>
            <w:r/>
            <w:r>
              <w:rPr>
                <w:color w:val="222222"/>
                <w:sz w:val="18"/>
              </w:rPr>
              <w:t>—</w:t>
            </w:r>
          </w:p>
        </w:tc>
        <w:tc>
          <w:tcPr>
            <w:tcW w:type="dxa" w:w="1440"/>
            <w:shd w:val="clear" w:fill="F2F6F6"/>
          </w:tcPr>
          <w:p>
            <w:pPr>
              <w:jc w:val="center"/>
            </w:pPr>
            <w:r/>
            <w:r>
              <w:rPr>
                <w:color w:val="222222"/>
                <w:sz w:val="18"/>
              </w:rPr>
              <w:t>—</w:t>
            </w:r>
          </w:p>
        </w:tc>
        <w:tc>
          <w:tcPr>
            <w:tcW w:type="dxa" w:w="1872"/>
            <w:shd w:val="clear" w:fill="F2F6F6"/>
          </w:tcPr>
          <w:p>
            <w:pPr>
              <w:jc w:val="center"/>
            </w:pPr>
            <w:r/>
            <w:r>
              <w:rPr>
                <w:color w:val="222222"/>
                <w:sz w:val="18"/>
              </w:rPr>
              <w:t>44.6</w:t>
            </w:r>
          </w:p>
        </w:tc>
      </w:tr>
      <w:tr>
        <w:tc>
          <w:tcPr>
            <w:tcW w:type="dxa" w:w="3168"/>
          </w:tcPr>
          <w:p>
            <w:pPr>
              <w:jc w:val="left"/>
            </w:pPr>
            <w:r/>
            <w:r>
              <w:rPr>
                <w:b/>
                <w:color w:val="222222"/>
                <w:sz w:val="18"/>
              </w:rPr>
              <w:t>Per share</w:t>
            </w:r>
          </w:p>
        </w:tc>
        <w:tc>
          <w:tcPr>
            <w:tcW w:type="dxa" w:w="1728"/>
          </w:tcPr>
          <w:p>
            <w:pPr>
              <w:jc w:val="center"/>
            </w:pPr>
            <w:r/>
            <w:r>
              <w:rPr>
                <w:color w:val="222222"/>
                <w:sz w:val="18"/>
              </w:rPr>
              <w:t>—</w:t>
            </w:r>
          </w:p>
        </w:tc>
        <w:tc>
          <w:tcPr>
            <w:tcW w:type="dxa" w:w="1440"/>
          </w:tcPr>
          <w:p>
            <w:pPr>
              <w:jc w:val="center"/>
            </w:pPr>
            <w:r/>
            <w:r>
              <w:rPr>
                <w:color w:val="222222"/>
                <w:sz w:val="18"/>
              </w:rPr>
              <w:t>—</w:t>
            </w:r>
          </w:p>
        </w:tc>
        <w:tc>
          <w:tcPr>
            <w:tcW w:type="dxa" w:w="1872"/>
          </w:tcPr>
          <w:p>
            <w:pPr>
              <w:jc w:val="center"/>
            </w:pPr>
            <w:r/>
            <w:r>
              <w:rPr>
                <w:color w:val="222222"/>
                <w:sz w:val="18"/>
              </w:rPr>
              <w:t>≈ QR 9.8 (rounded)</w:t>
            </w:r>
          </w:p>
        </w:tc>
      </w:tr>
    </w:tbl>
    <w:p>
      <w:pPr>
        <w:spacing w:after="40"/>
      </w:pPr>
    </w:p>
    <w:p>
      <w:pPr>
        <w:spacing w:after="120" w:before="0"/>
      </w:pPr>
      <w:r>
        <w:rPr>
          <w:rFonts w:ascii="Calibri" w:hAnsi="Calibri"/>
          <w:b w:val="0"/>
          <w:i w:val="0"/>
          <w:color w:val="222222"/>
          <w:sz w:val="21"/>
        </w:rPr>
        <w:t>When the method works and fails. Expert 2's floor is most reliable exactly when the others are least — at a cyclical top, when reported earnings flatter and multiples look cheap on numbers that will not repeat. It is least reliable at a trough, when it marks a franchise to its worst quarter and calls a durable business impaired. For Industries Qatar today the two legs sit at opposite ends of that trap: fertilizers near a peak (where Expert 2's caution is well-placed) and petrochemicals near a trough (where it is probably too harsh). That tension is why Expert 2 lands lowest of the three, and why it is honest about being a floor rather than a fair value.</w:t>
      </w:r>
    </w:p>
    <w:p>
      <w:pPr>
        <w:spacing w:after="120" w:before="0"/>
      </w:pPr>
      <w:r>
        <w:rPr>
          <w:rFonts w:ascii="Calibri" w:hAnsi="Calibri"/>
          <w:b w:val="0"/>
          <w:i w:val="0"/>
          <w:color w:val="222222"/>
          <w:sz w:val="21"/>
        </w:rPr>
        <w:t>Cash-conversion detail. Expert 2's second discipline is to check that reported profit is real cash. Here it largely is: IQ's operating cash flow tracked net income closely through 2025, capital expenditure of about QR 2.2bn was funded from operations, and the cash pile sat near QR 8.5bn at the start of 2026. The one yellow flag is that a 100% payout exceeds free cash flow in most years, so the dividend is topped up from the balance sheet — sustainable while the cash lasts, but a slow drawdown Expert 2 watches. A move to a below-earnings payout would, paradoxically, strengthen this balance-sheet view even as the market read it as bad news.</w:t>
      </w:r>
    </w:p>
    <w:p>
      <w:pPr>
        <w:spacing w:after="120" w:before="0"/>
      </w:pPr>
      <w:r>
        <w:rPr>
          <w:rFonts w:ascii="Calibri" w:hAnsi="Calibri"/>
          <w:b w:val="0"/>
          <w:i w:val="0"/>
          <w:color w:val="222222"/>
          <w:sz w:val="21"/>
        </w:rPr>
        <w:t>Sensitivity. Expert 2's number is most sensitive to the fertilizer normalization: if 2025's strength proves durable rather than peak-ish, the floor lifts toward QR 11; if nitrogen prices mean-revert hard, it drops toward QR 8.5.</w:t>
      </w:r>
    </w:p>
    <w:p>
      <w:pPr>
        <w:spacing w:after="120" w:before="0"/>
      </w:pPr>
      <w:r>
        <w:rPr>
          <w:rFonts w:ascii="Calibri" w:hAnsi="Calibri"/>
          <w:b w:val="0"/>
          <w:i w:val="0"/>
          <w:color w:val="222222"/>
          <w:sz w:val="21"/>
        </w:rPr>
        <w:t>Cross-examination. Expert 2 tells Expert 1 that a 4% discount is too generous for a company whose largest segment just earned QR 4mn in a quarter — complexity and cyclicality deserve a wider haircut. And Expert 2 tells Expert 3 that options on a recovery are worth nothing until they are in the cash flow. Verdict: QR 9.8, modestly rich versus spot. Falsification: a sustained run of petrochemical earnings well above the depressed run-rate, or fertilizer holding its 2025 strength for several years, would show the conservative marks were too harsh. Market-implied: the market pays QR 11.07, about 13% above Expert 2's floor — the gap is the franchise and growth Expert 2 refuses to pay for.</w:t>
      </w:r>
    </w:p>
    <w:p>
      <w:pPr>
        <w:keepNext/>
        <w:spacing w:before="280" w:after="120"/>
      </w:pPr>
      <w:r>
        <w:rPr>
          <w:b/>
          <w:color w:val="2A8F8F"/>
          <w:sz w:val="24"/>
        </w:rPr>
        <w:t>Expert 3 · The macro-policy strategist — scenario-weighted options</w:t>
      </w:r>
    </w:p>
    <w:p>
      <w:pPr>
        <w:spacing w:after="120" w:before="0"/>
      </w:pPr>
      <w:r>
        <w:rPr>
          <w:rFonts w:ascii="Calibri" w:hAnsi="Calibri"/>
          <w:b w:val="0"/>
          <w:i w:val="0"/>
          <w:color w:val="222222"/>
          <w:sz w:val="21"/>
        </w:rPr>
        <w:t>Worldview. Industries Qatar is not really an earnings stream; it is a bundle of options on urea, on polyethylene spreads, on the price of gas, and — crucially — on regional peace. Expert 3's tradition is the macro strategist's: define scenarios, attach probabilities, value the group in each, and take the weighted average. The method works when the value genuinely hinges on a few external variables (it does here); it fails when it becomes a way to smuggle in optimism through generous scenario weights.</w:t>
      </w:r>
    </w:p>
    <w:p>
      <w:pPr>
        <w:spacing w:after="120" w:before="0"/>
      </w:pPr>
      <w:r>
        <w:rPr>
          <w:rFonts w:ascii="Calibri" w:hAnsi="Calibri"/>
          <w:b w:val="0"/>
          <w:i w:val="0"/>
          <w:color w:val="222222"/>
          <w:sz w:val="21"/>
        </w:rPr>
        <w:t>Standard workings. Expert 3 builds three states. In the base case (55%), petrochemicals recover partially, Ammonia-7 lands on schedule, urea holds, and regional tensions stay contained — worth about QR 11.5. In the bull case (20%), spreads recover fully, a gas or urea shock lifts the complex, and the Ras Laffan pipeline re-rates the group — worth about QR 15.5. In the bear case (25%), regional conflict re-escalates and disrupts logistics as it did in early 2026, petrochemicals stay at the trough, and urea softens — worth about QR 7.5. The probability-weighted value is about QR 11.2.</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4032"/>
            <w:shd w:val="clear" w:fill="1B5E5E"/>
          </w:tcPr>
          <w:p>
            <w:pPr>
              <w:jc w:val="left"/>
            </w:pPr>
            <w:r/>
            <w:r>
              <w:rPr>
                <w:b/>
                <w:color w:val="FFFFFF"/>
                <w:sz w:val="18"/>
              </w:rPr>
              <w:t>Scenario</w:t>
            </w:r>
          </w:p>
        </w:tc>
        <w:tc>
          <w:tcPr>
            <w:tcW w:type="dxa" w:w="1584"/>
            <w:shd w:val="clear" w:fill="1B5E5E"/>
          </w:tcPr>
          <w:p>
            <w:pPr>
              <w:jc w:val="center"/>
            </w:pPr>
            <w:r/>
            <w:r>
              <w:rPr>
                <w:b/>
                <w:color w:val="FFFFFF"/>
                <w:sz w:val="18"/>
              </w:rPr>
              <w:t>Probability</w:t>
            </w:r>
          </w:p>
        </w:tc>
        <w:tc>
          <w:tcPr>
            <w:tcW w:type="dxa" w:w="1440"/>
            <w:shd w:val="clear" w:fill="1B5E5E"/>
          </w:tcPr>
          <w:p>
            <w:pPr>
              <w:jc w:val="center"/>
            </w:pPr>
            <w:r/>
            <w:r>
              <w:rPr>
                <w:b/>
                <w:color w:val="FFFFFF"/>
                <w:sz w:val="18"/>
              </w:rPr>
              <w:t>Value (QR)</w:t>
            </w:r>
          </w:p>
        </w:tc>
        <w:tc>
          <w:tcPr>
            <w:tcW w:type="dxa" w:w="1584"/>
            <w:shd w:val="clear" w:fill="1B5E5E"/>
          </w:tcPr>
          <w:p>
            <w:pPr>
              <w:jc w:val="center"/>
            </w:pPr>
            <w:r/>
            <w:r>
              <w:rPr>
                <w:b/>
                <w:color w:val="FFFFFF"/>
                <w:sz w:val="18"/>
              </w:rPr>
              <w:t>Contribution</w:t>
            </w:r>
          </w:p>
        </w:tc>
      </w:tr>
      <w:tr>
        <w:tc>
          <w:tcPr>
            <w:tcW w:type="dxa" w:w="4032"/>
          </w:tcPr>
          <w:p>
            <w:pPr>
              <w:jc w:val="left"/>
            </w:pPr>
            <w:r/>
            <w:r>
              <w:rPr>
                <w:b/>
                <w:color w:val="222222"/>
                <w:sz w:val="18"/>
              </w:rPr>
              <w:t>Bull — full recovery + shock + Ras Laffan</w:t>
            </w:r>
          </w:p>
        </w:tc>
        <w:tc>
          <w:tcPr>
            <w:tcW w:type="dxa" w:w="1584"/>
          </w:tcPr>
          <w:p>
            <w:pPr>
              <w:jc w:val="center"/>
            </w:pPr>
            <w:r/>
            <w:r>
              <w:rPr>
                <w:color w:val="222222"/>
                <w:sz w:val="18"/>
              </w:rPr>
              <w:t>20%</w:t>
            </w:r>
          </w:p>
        </w:tc>
        <w:tc>
          <w:tcPr>
            <w:tcW w:type="dxa" w:w="1440"/>
          </w:tcPr>
          <w:p>
            <w:pPr>
              <w:jc w:val="center"/>
            </w:pPr>
            <w:r/>
            <w:r>
              <w:rPr>
                <w:color w:val="222222"/>
                <w:sz w:val="18"/>
              </w:rPr>
              <w:t>15.5</w:t>
            </w:r>
          </w:p>
        </w:tc>
        <w:tc>
          <w:tcPr>
            <w:tcW w:type="dxa" w:w="1584"/>
          </w:tcPr>
          <w:p>
            <w:pPr>
              <w:jc w:val="center"/>
            </w:pPr>
            <w:r/>
            <w:r>
              <w:rPr>
                <w:color w:val="222222"/>
                <w:sz w:val="18"/>
              </w:rPr>
              <w:t>3.10</w:t>
            </w:r>
          </w:p>
        </w:tc>
      </w:tr>
      <w:tr>
        <w:tc>
          <w:tcPr>
            <w:tcW w:type="dxa" w:w="4032"/>
            <w:shd w:val="clear" w:fill="F2F6F6"/>
          </w:tcPr>
          <w:p>
            <w:pPr>
              <w:jc w:val="left"/>
            </w:pPr>
            <w:r/>
            <w:r>
              <w:rPr>
                <w:b/>
                <w:color w:val="222222"/>
                <w:sz w:val="18"/>
              </w:rPr>
              <w:t>Base — partial recovery, Ammonia-7 lands</w:t>
            </w:r>
          </w:p>
        </w:tc>
        <w:tc>
          <w:tcPr>
            <w:tcW w:type="dxa" w:w="1584"/>
            <w:shd w:val="clear" w:fill="F2F6F6"/>
          </w:tcPr>
          <w:p>
            <w:pPr>
              <w:jc w:val="center"/>
            </w:pPr>
            <w:r/>
            <w:r>
              <w:rPr>
                <w:color w:val="222222"/>
                <w:sz w:val="18"/>
              </w:rPr>
              <w:t>55%</w:t>
            </w:r>
          </w:p>
        </w:tc>
        <w:tc>
          <w:tcPr>
            <w:tcW w:type="dxa" w:w="1440"/>
            <w:shd w:val="clear" w:fill="F2F6F6"/>
          </w:tcPr>
          <w:p>
            <w:pPr>
              <w:jc w:val="center"/>
            </w:pPr>
            <w:r/>
            <w:r>
              <w:rPr>
                <w:color w:val="222222"/>
                <w:sz w:val="18"/>
              </w:rPr>
              <w:t>11.5</w:t>
            </w:r>
          </w:p>
        </w:tc>
        <w:tc>
          <w:tcPr>
            <w:tcW w:type="dxa" w:w="1584"/>
            <w:shd w:val="clear" w:fill="F2F6F6"/>
          </w:tcPr>
          <w:p>
            <w:pPr>
              <w:jc w:val="center"/>
            </w:pPr>
            <w:r/>
            <w:r>
              <w:rPr>
                <w:color w:val="222222"/>
                <w:sz w:val="18"/>
              </w:rPr>
              <w:t>6.33</w:t>
            </w:r>
          </w:p>
        </w:tc>
      </w:tr>
      <w:tr>
        <w:tc>
          <w:tcPr>
            <w:tcW w:type="dxa" w:w="4032"/>
          </w:tcPr>
          <w:p>
            <w:pPr>
              <w:jc w:val="left"/>
            </w:pPr>
            <w:r/>
            <w:r>
              <w:rPr>
                <w:b/>
                <w:color w:val="222222"/>
                <w:sz w:val="18"/>
              </w:rPr>
              <w:t>Bear — conflict re-escalates, trough holds</w:t>
            </w:r>
          </w:p>
        </w:tc>
        <w:tc>
          <w:tcPr>
            <w:tcW w:type="dxa" w:w="1584"/>
          </w:tcPr>
          <w:p>
            <w:pPr>
              <w:jc w:val="center"/>
            </w:pPr>
            <w:r/>
            <w:r>
              <w:rPr>
                <w:color w:val="222222"/>
                <w:sz w:val="18"/>
              </w:rPr>
              <w:t>25%</w:t>
            </w:r>
          </w:p>
        </w:tc>
        <w:tc>
          <w:tcPr>
            <w:tcW w:type="dxa" w:w="1440"/>
          </w:tcPr>
          <w:p>
            <w:pPr>
              <w:jc w:val="center"/>
            </w:pPr>
            <w:r/>
            <w:r>
              <w:rPr>
                <w:color w:val="222222"/>
                <w:sz w:val="18"/>
              </w:rPr>
              <w:t>7.5</w:t>
            </w:r>
          </w:p>
        </w:tc>
        <w:tc>
          <w:tcPr>
            <w:tcW w:type="dxa" w:w="1584"/>
          </w:tcPr>
          <w:p>
            <w:pPr>
              <w:jc w:val="center"/>
            </w:pPr>
            <w:r/>
            <w:r>
              <w:rPr>
                <w:color w:val="222222"/>
                <w:sz w:val="18"/>
              </w:rPr>
              <w:t>1.88</w:t>
            </w:r>
          </w:p>
        </w:tc>
      </w:tr>
      <w:tr>
        <w:tc>
          <w:tcPr>
            <w:tcW w:type="dxa" w:w="4032"/>
            <w:shd w:val="clear" w:fill="F2F6F6"/>
          </w:tcPr>
          <w:p>
            <w:pPr>
              <w:jc w:val="left"/>
            </w:pPr>
            <w:r/>
            <w:r>
              <w:rPr>
                <w:b/>
                <w:color w:val="222222"/>
                <w:sz w:val="18"/>
              </w:rPr>
              <w:t>Probability-weighted value</w:t>
            </w:r>
          </w:p>
        </w:tc>
        <w:tc>
          <w:tcPr>
            <w:tcW w:type="dxa" w:w="1584"/>
            <w:shd w:val="clear" w:fill="F2F6F6"/>
          </w:tcPr>
          <w:p>
            <w:pPr>
              <w:jc w:val="center"/>
            </w:pPr>
            <w:r/>
            <w:r>
              <w:rPr>
                <w:color w:val="222222"/>
                <w:sz w:val="18"/>
              </w:rPr>
              <w:t>100%</w:t>
            </w:r>
          </w:p>
        </w:tc>
        <w:tc>
          <w:tcPr>
            <w:tcW w:type="dxa" w:w="1440"/>
            <w:shd w:val="clear" w:fill="F2F6F6"/>
          </w:tcPr>
          <w:p>
            <w:pPr>
              <w:jc w:val="center"/>
            </w:pPr>
            <w:r/>
            <w:r>
              <w:rPr>
                <w:color w:val="222222"/>
                <w:sz w:val="18"/>
              </w:rPr>
              <w:t>—</w:t>
            </w:r>
          </w:p>
        </w:tc>
        <w:tc>
          <w:tcPr>
            <w:tcW w:type="dxa" w:w="1584"/>
            <w:shd w:val="clear" w:fill="F2F6F6"/>
          </w:tcPr>
          <w:p>
            <w:pPr>
              <w:jc w:val="center"/>
            </w:pPr>
            <w:r/>
            <w:r>
              <w:rPr>
                <w:color w:val="222222"/>
                <w:sz w:val="18"/>
              </w:rPr>
              <w:t>≈ QR 11.2</w:t>
            </w:r>
          </w:p>
        </w:tc>
      </w:tr>
    </w:tbl>
    <w:p>
      <w:pPr>
        <w:spacing w:after="40"/>
      </w:pPr>
    </w:p>
    <w:p>
      <w:pPr>
        <w:spacing w:after="120" w:before="0"/>
      </w:pPr>
      <w:r>
        <w:rPr>
          <w:rFonts w:ascii="Calibri" w:hAnsi="Calibri"/>
          <w:b w:val="0"/>
          <w:i w:val="0"/>
          <w:color w:val="222222"/>
          <w:sz w:val="21"/>
        </w:rPr>
        <w:t>When the method works and fails. Scenario-weighting earns its keep precisely when a name's value hinges on a few external variables that a point estimate cannot capture — and Industries Qatar qualifies, because its worth genuinely turns on urea, on polyethylene spreads, on gas, and on regional peace. It fails when the scenarios become a vehicle for smuggling in a predetermined answer through convenient weights; Expert 3 guards against that by tying each state to an observable — a urea price, an operating rate, a conflict headline — rather than a mood. The discipline is that the weights must be defensible to someone who disagrees, and the 25% bear weight is deliberately not trivial because the first quarter of 2026 showed the bear state is live, not tail.</w:t>
      </w:r>
    </w:p>
    <w:p>
      <w:pPr>
        <w:spacing w:after="120" w:before="0"/>
      </w:pPr>
      <w:r>
        <w:rPr>
          <w:rFonts w:ascii="Calibri" w:hAnsi="Calibri"/>
          <w:b w:val="0"/>
          <w:i w:val="0"/>
          <w:color w:val="222222"/>
          <w:sz w:val="21"/>
        </w:rPr>
        <w:t>What the options framing captures that the others miss. A static sum-of-the-parts prices the petrochemical leg at one number; an accountant prices it near zero. Neither captures that the leg is genuinely optional — worth little if the trough persists, worth a great deal if spreads recover and Ras Laffan ramps — and that optionality has value even before it pays off. Expert 3's probability weighting is a crude option pricing: it assigns the recovery a chance and a magnitude rather than an all-or-nothing point, which is why the scenario-weighted value (QR 11.2) sits above the accountant's floor and near the NAV analyst's mark. The cost of the method is that its inputs are the least observable of the three.</w:t>
      </w:r>
    </w:p>
    <w:p>
      <w:pPr>
        <w:spacing w:after="120" w:before="0"/>
      </w:pPr>
      <w:r>
        <w:rPr>
          <w:rFonts w:ascii="Calibri" w:hAnsi="Calibri"/>
          <w:b w:val="0"/>
          <w:i w:val="0"/>
          <w:color w:val="222222"/>
          <w:sz w:val="21"/>
        </w:rPr>
        <w:t>Sensitivity. Expert 3's number is most sensitive to the bear-case probability — the geopolitical weight. Raising it from 25% to 40% pulls the weighted value below QR 10.5; the first quarter of 2026 is a live reminder that the bear case is not remote. The second lever is the bull-case magnitude, which rests on the pipeline and a spread recovery that has not yet begun.</w:t>
      </w:r>
    </w:p>
    <w:p>
      <w:pPr>
        <w:spacing w:after="120" w:before="0"/>
      </w:pPr>
      <w:r>
        <w:rPr>
          <w:rFonts w:ascii="Calibri" w:hAnsi="Calibri"/>
          <w:b w:val="0"/>
          <w:i w:val="0"/>
          <w:color w:val="222222"/>
          <w:sz w:val="21"/>
        </w:rPr>
        <w:t>Cross-examination. Expert 3 tells Expert 1 that a static sum-of-the-parts misses the optionality entirely — the value is in the distribution, not the point. And Expert 3 tells Expert 2 that marking to the trough ignores that troughs end, and that a franchise fed by the cheapest gas on earth has embedded optionality a liquidation view cannot see. Verdict: QR 11.2, fairly valued. Falsification: a structural, multi-year re-rating of Gulf risk (up or down) that the scenario weights do not anticipate would invalidate the weighting. Market-implied: at QR 11.07 the market is pricing almost exactly Expert 3's probability-weighted base — the market and the strategist agree.</w:t>
      </w:r>
    </w:p>
    <w:p>
      <w:pPr>
        <w:keepNext/>
        <w:spacing w:before="280" w:after="120"/>
      </w:pPr>
      <w:r>
        <w:rPr>
          <w:b/>
          <w:color w:val="2A8F8F"/>
          <w:sz w:val="24"/>
        </w:rPr>
        <w:t>The three in one room</w:t>
      </w:r>
    </w:p>
    <w:p>
      <w:pPr>
        <w:spacing w:after="120" w:before="0"/>
      </w:pPr>
      <w:r>
        <w:rPr>
          <w:rFonts w:ascii="Calibri" w:hAnsi="Calibri"/>
          <w:b w:val="0"/>
          <w:i w:val="0"/>
          <w:color w:val="222222"/>
          <w:sz w:val="21"/>
        </w:rPr>
        <w:t>Put them together and the argument narrows to one asset: the petrochemical leg. Expert 1 values it at QR 16.9bn on a normalized 13× — a recovery he assumes but cannot see yet. Expert 2 will barely credit it, marking it near its QR 4mn quarterly run-rate and calling the recovery speculative. Expert 3 doesn't argue the point estimate at all — he prices the recovery as an option with a probability, which is why his fair value ends up between the other two. The fertilizer leg they broadly agree on (QAFCO is a genuine franchise); the steel leg is too small to fight over. So the entire spread between QR 9.8 and QR 11.2 is a single disagreement about one question — how much to pay today for a petrochemical recovery that has not started — dressed three different ways.</w:t>
      </w:r>
    </w:p>
    <w:p>
      <w:pPr>
        <w:spacing w:after="120" w:before="0"/>
      </w:pPr>
      <w:r>
        <w:rPr>
          <w:rFonts w:ascii="Calibri" w:hAnsi="Calibri"/>
          <w:b w:val="0"/>
          <w:i w:val="0"/>
          <w:color w:val="222222"/>
          <w:sz w:val="21"/>
        </w:rPr>
        <w:t>The exchange sharpens when they turn to the balance sheet. Expert 2 points out that whatever multiple the others assign the operating legs, roughly QR 8.5bn — about QR 1.40 per share — is simply cash, and that this floor is the one number none of them disputes. Expert 1 agrees but adds that the cash is only worth face value because it is paid out; a hoarded pile would earn a discount. Expert 3 closes the point by noting that the cash is also what lets Industries Qatar fund a 100% payout through the petrochemical trough without cutting the dividend — the balance sheet is what converts a cyclical earnings stream into the steady 6% yield that supports the price. On that, at least, all three agree: the dividend is real, and it is what the holder is paid to wait with.</w:t>
      </w:r>
    </w:p>
    <w:p>
      <w:pPr>
        <w:keepNext/>
        <w:spacing w:before="280" w:after="120"/>
      </w:pPr>
      <w:r>
        <w:rPr>
          <w:b/>
          <w:color w:val="2A8F8F"/>
          <w:sz w:val="24"/>
        </w:rPr>
        <w:t>Reading the divergence</w:t>
      </w:r>
    </w:p>
    <w:p>
      <w:pPr>
        <w:jc w:val="center"/>
      </w:pPr>
      <w:r>
        <w:drawing>
          <wp:inline xmlns:a="http://schemas.openxmlformats.org/drawingml/2006/main" xmlns:pic="http://schemas.openxmlformats.org/drawingml/2006/picture">
            <wp:extent cx="5760720" cy="2688336"/>
            <wp:docPr id="8" name="Picture 8"/>
            <wp:cNvGraphicFramePr>
              <a:graphicFrameLocks noChangeAspect="1"/>
            </wp:cNvGraphicFramePr>
            <a:graphic>
              <a:graphicData uri="http://schemas.openxmlformats.org/drawingml/2006/picture">
                <pic:pic>
                  <pic:nvPicPr>
                    <pic:cNvPr id="0" name="figD1_expert.png"/>
                    <pic:cNvPicPr/>
                  </pic:nvPicPr>
                  <pic:blipFill>
                    <a:blip r:embed="rId16"/>
                    <a:stretch>
                      <a:fillRect/>
                    </a:stretch>
                  </pic:blipFill>
                  <pic:spPr>
                    <a:xfrm>
                      <a:off x="0" y="0"/>
                      <a:ext cx="5760720" cy="2688336"/>
                    </a:xfrm>
                    <a:prstGeom prst="rect"/>
                  </pic:spPr>
                </pic:pic>
              </a:graphicData>
            </a:graphic>
          </wp:inline>
        </w:drawing>
      </w:r>
    </w:p>
    <w:p>
      <w:pPr>
        <w:spacing w:after="160"/>
        <w:jc w:val="center"/>
      </w:pPr>
      <w:r>
        <w:rPr>
          <w:i/>
          <w:color w:val="6B6B6B"/>
          <w:sz w:val="17"/>
        </w:rPr>
        <w:t>Figure D-1 · The three experts' fair-value ranges. Brass marks are base cases; the gold band spans the base estimates; dashed = spot.</w:t>
      </w:r>
    </w:p>
    <w:p>
      <w:pPr>
        <w:spacing w:after="120" w:before="0"/>
      </w:pPr>
      <w:r>
        <w:rPr>
          <w:rFonts w:ascii="Calibri" w:hAnsi="Calibri"/>
          <w:b w:val="0"/>
          <w:i w:val="0"/>
          <w:color w:val="222222"/>
          <w:sz w:val="21"/>
        </w:rPr>
        <w:t>The experts span QR 9.8 to QR 11.2 at the base — a tight 14% spread, unusually narrow, because all three are anchored to the same net-cash balance sheet and the same durable fertilizer franchise. The one assumption driving each: Expert 1 the holdco discount and recovery multiple; Expert 2 the fertilizer normalization and cash sustainability; Expert 3 the geopolitical probability weight. What the spread measures is not whether Industries Qatar is cheap or dear — all three land near spot — but how you choose to treat a single unresolved question: the petrochemical recovery. Value it (Expert 1), refuse to (Expert 2), or price it as an option (Expert 3), and you get QR 10.6, QR 9.8, or QR 11.2. The market, at QR 11.07, sits at the optimistic end of that narrow band — paying for a partial recovery, with the dividend paying it to wait.</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3312"/>
            <w:shd w:val="clear" w:fill="1B5E5E"/>
          </w:tcPr>
          <w:p>
            <w:pPr>
              <w:jc w:val="left"/>
            </w:pPr>
            <w:r/>
            <w:r>
              <w:rPr>
                <w:b/>
                <w:color w:val="FFFFFF"/>
                <w:sz w:val="19"/>
              </w:rPr>
              <w:t>Expert</w:t>
            </w:r>
          </w:p>
        </w:tc>
        <w:tc>
          <w:tcPr>
            <w:tcW w:type="dxa" w:w="1440"/>
            <w:shd w:val="clear" w:fill="1B5E5E"/>
          </w:tcPr>
          <w:p>
            <w:pPr>
              <w:jc w:val="center"/>
            </w:pPr>
            <w:r/>
            <w:r>
              <w:rPr>
                <w:b/>
                <w:color w:val="FFFFFF"/>
                <w:sz w:val="19"/>
              </w:rPr>
              <w:t>Base (QR)</w:t>
            </w:r>
          </w:p>
        </w:tc>
        <w:tc>
          <w:tcPr>
            <w:tcW w:type="dxa" w:w="2016"/>
            <w:shd w:val="clear" w:fill="1B5E5E"/>
          </w:tcPr>
          <w:p>
            <w:pPr>
              <w:jc w:val="center"/>
            </w:pPr>
            <w:r/>
            <w:r>
              <w:rPr>
                <w:b/>
                <w:color w:val="FFFFFF"/>
                <w:sz w:val="19"/>
              </w:rPr>
              <w:t>Bear / Bull (QR)</w:t>
            </w:r>
          </w:p>
        </w:tc>
        <w:tc>
          <w:tcPr>
            <w:tcW w:type="dxa" w:w="2880"/>
            <w:shd w:val="clear" w:fill="1B5E5E"/>
          </w:tcPr>
          <w:p>
            <w:pPr>
              <w:jc w:val="center"/>
            </w:pPr>
            <w:r/>
            <w:r>
              <w:rPr>
                <w:b/>
                <w:color w:val="FFFFFF"/>
                <w:sz w:val="19"/>
              </w:rPr>
              <w:t>Single driving assumption</w:t>
            </w:r>
          </w:p>
        </w:tc>
      </w:tr>
      <w:tr>
        <w:tc>
          <w:tcPr>
            <w:tcW w:type="dxa" w:w="3312"/>
          </w:tcPr>
          <w:p>
            <w:pPr>
              <w:jc w:val="left"/>
            </w:pPr>
            <w:r/>
            <w:r>
              <w:rPr>
                <w:b/>
                <w:color w:val="222222"/>
                <w:sz w:val="19"/>
              </w:rPr>
              <w:t>Expert 1 — NAV &amp; discount</w:t>
            </w:r>
          </w:p>
        </w:tc>
        <w:tc>
          <w:tcPr>
            <w:tcW w:type="dxa" w:w="1440"/>
          </w:tcPr>
          <w:p>
            <w:pPr>
              <w:jc w:val="center"/>
            </w:pPr>
            <w:r/>
            <w:r>
              <w:rPr>
                <w:color w:val="222222"/>
                <w:sz w:val="19"/>
              </w:rPr>
              <w:t>10.6</w:t>
            </w:r>
          </w:p>
        </w:tc>
        <w:tc>
          <w:tcPr>
            <w:tcW w:type="dxa" w:w="2016"/>
          </w:tcPr>
          <w:p>
            <w:pPr>
              <w:jc w:val="center"/>
            </w:pPr>
            <w:r/>
            <w:r>
              <w:rPr>
                <w:color w:val="222222"/>
                <w:sz w:val="19"/>
              </w:rPr>
              <w:t>7.5 / 15.0</w:t>
            </w:r>
          </w:p>
        </w:tc>
        <w:tc>
          <w:tcPr>
            <w:tcW w:type="dxa" w:w="2880"/>
          </w:tcPr>
          <w:p>
            <w:pPr>
              <w:jc w:val="center"/>
            </w:pPr>
            <w:r/>
            <w:r>
              <w:rPr>
                <w:color w:val="222222"/>
                <w:sz w:val="19"/>
              </w:rPr>
              <w:t>Holdco discount + recovery multiple</w:t>
            </w:r>
          </w:p>
        </w:tc>
      </w:tr>
      <w:tr>
        <w:tc>
          <w:tcPr>
            <w:tcW w:type="dxa" w:w="3312"/>
            <w:shd w:val="clear" w:fill="F2F6F6"/>
          </w:tcPr>
          <w:p>
            <w:pPr>
              <w:jc w:val="left"/>
            </w:pPr>
            <w:r/>
            <w:r>
              <w:rPr>
                <w:b/>
                <w:color w:val="222222"/>
                <w:sz w:val="19"/>
              </w:rPr>
              <w:t>Expert 2 — Accountant</w:t>
            </w:r>
          </w:p>
        </w:tc>
        <w:tc>
          <w:tcPr>
            <w:tcW w:type="dxa" w:w="1440"/>
            <w:shd w:val="clear" w:fill="F2F6F6"/>
          </w:tcPr>
          <w:p>
            <w:pPr>
              <w:jc w:val="center"/>
            </w:pPr>
            <w:r/>
            <w:r>
              <w:rPr>
                <w:color w:val="222222"/>
                <w:sz w:val="19"/>
              </w:rPr>
              <w:t>9.8</w:t>
            </w:r>
          </w:p>
        </w:tc>
        <w:tc>
          <w:tcPr>
            <w:tcW w:type="dxa" w:w="2016"/>
            <w:shd w:val="clear" w:fill="F2F6F6"/>
          </w:tcPr>
          <w:p>
            <w:pPr>
              <w:jc w:val="center"/>
            </w:pPr>
            <w:r/>
            <w:r>
              <w:rPr>
                <w:color w:val="222222"/>
                <w:sz w:val="19"/>
              </w:rPr>
              <w:t>7.0 / 12.5</w:t>
            </w:r>
          </w:p>
        </w:tc>
        <w:tc>
          <w:tcPr>
            <w:tcW w:type="dxa" w:w="2880"/>
            <w:shd w:val="clear" w:fill="F2F6F6"/>
          </w:tcPr>
          <w:p>
            <w:pPr>
              <w:jc w:val="center"/>
            </w:pPr>
            <w:r/>
            <w:r>
              <w:rPr>
                <w:color w:val="222222"/>
                <w:sz w:val="19"/>
              </w:rPr>
              <w:t>Fertilizer normalization + cash quality</w:t>
            </w:r>
          </w:p>
        </w:tc>
      </w:tr>
      <w:tr>
        <w:tc>
          <w:tcPr>
            <w:tcW w:type="dxa" w:w="3312"/>
          </w:tcPr>
          <w:p>
            <w:pPr>
              <w:jc w:val="left"/>
            </w:pPr>
            <w:r/>
            <w:r>
              <w:rPr>
                <w:b/>
                <w:color w:val="222222"/>
                <w:sz w:val="19"/>
              </w:rPr>
              <w:t>Expert 3 — Macro-Policy</w:t>
            </w:r>
          </w:p>
        </w:tc>
        <w:tc>
          <w:tcPr>
            <w:tcW w:type="dxa" w:w="1440"/>
          </w:tcPr>
          <w:p>
            <w:pPr>
              <w:jc w:val="center"/>
            </w:pPr>
            <w:r/>
            <w:r>
              <w:rPr>
                <w:color w:val="222222"/>
                <w:sz w:val="19"/>
              </w:rPr>
              <w:t>11.2</w:t>
            </w:r>
          </w:p>
        </w:tc>
        <w:tc>
          <w:tcPr>
            <w:tcW w:type="dxa" w:w="2016"/>
          </w:tcPr>
          <w:p>
            <w:pPr>
              <w:jc w:val="center"/>
            </w:pPr>
            <w:r/>
            <w:r>
              <w:rPr>
                <w:color w:val="222222"/>
                <w:sz w:val="19"/>
              </w:rPr>
              <w:t>7.5 / 15.5</w:t>
            </w:r>
          </w:p>
        </w:tc>
        <w:tc>
          <w:tcPr>
            <w:tcW w:type="dxa" w:w="2880"/>
          </w:tcPr>
          <w:p>
            <w:pPr>
              <w:jc w:val="center"/>
            </w:pPr>
            <w:r/>
            <w:r>
              <w:rPr>
                <w:color w:val="222222"/>
                <w:sz w:val="19"/>
              </w:rPr>
              <w:t>Geopolitical scenario weight</w:t>
            </w:r>
          </w:p>
        </w:tc>
      </w:tr>
    </w:tbl>
    <w:p>
      <w:pPr>
        <w:spacing w:after="40"/>
      </w:pPr>
    </w:p>
    <w:p>
      <w:pPr>
        <w:pBdr>
          <w:bottom w:val="single" w:sz="8" w:space="1" w:color="B0894B"/>
        </w:pBdr>
        <w:spacing w:after="120"/>
      </w:pPr>
    </w:p>
    <w:p>
      <w:pPr>
        <w:spacing w:after="120" w:before="0"/>
        <w:jc w:val="center"/>
      </w:pPr>
      <w:r>
        <w:rPr>
          <w:rFonts w:ascii="Calibri" w:hAnsi="Calibri"/>
          <w:b w:val="0"/>
          <w:i w:val="0"/>
          <w:color w:val="6B6B6B"/>
          <w:sz w:val="17"/>
        </w:rPr>
        <w:t>testahil.com   ·   Educational analysis · Not investment advice   ·   Industries Qatar (QSE: IQCD) · Edition 05-07-2026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