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B5E5E"/>
          </w:tcPr>
          <w:p>
            <w:pPr>
              <w:spacing w:before="0" w:after="0"/>
              <w:jc w:val="center"/>
            </w:pPr>
            <w:r>
              <w:rPr>
                <w:b/>
                <w:color w:val="FFFFFF"/>
                <w:sz w:val="19"/>
              </w:rPr>
              <w:t>TESTAHIL   ·   Independent Valuation Study — Educational Analysis   ·   Not investment advice</w:t>
            </w:r>
          </w:p>
        </w:tc>
      </w:tr>
    </w:tbl>
    <w:p>
      <w:pPr>
        <w:spacing w:after="40" w:before="120"/>
      </w:pPr>
      <w:r>
        <w:rPr>
          <w:b/>
          <w:i w:val="0"/>
          <w:color w:val="1B5E5E"/>
          <w:sz w:val="40"/>
        </w:rPr>
        <w:t>Ibnsina Pharma — is it worth it?</w:t>
      </w:r>
    </w:p>
    <w:p>
      <w:pPr>
        <w:spacing w:after="20" w:before="0"/>
      </w:pPr>
      <w:r>
        <w:rPr>
          <w:b/>
          <w:i w:val="0"/>
          <w:color w:val="222222"/>
          <w:sz w:val="26"/>
        </w:rPr>
        <w:t>Ibnsina Pharma S.A.E.  (EGX: ISPH)</w:t>
      </w:r>
    </w:p>
    <w:p>
      <w:pPr>
        <w:spacing w:after="80" w:before="0"/>
      </w:pPr>
      <w:r>
        <w:rPr>
          <w:b w:val="0"/>
          <w:i/>
          <w:color w:val="2A8F8F"/>
          <w:sz w:val="20"/>
        </w:rPr>
        <w:t>Fundamental analysis · Technical analysis · Monte Carlo simulation — one integrated read</w:t>
      </w:r>
    </w:p>
    <w:p>
      <w:pPr>
        <w:spacing w:after="120" w:before="0"/>
      </w:pPr>
      <w:r>
        <w:rPr>
          <w:b w:val="0"/>
          <w:i w:val="0"/>
          <w:color w:val="222222"/>
          <w:sz w:val="19"/>
        </w:rPr>
        <w:t>Spot EGP 11.67 (close 07 Jul 2026) · 1,008 mn shares · market cap ~EGP 11.76 bn · Egypt's #1–2 pharmaceutical distributor — thin margins, near-zero cash-conversion cycle, growth financed by suppliers.</w:t>
      </w:r>
    </w:p>
    <w:tbl>
      <w:tblPr>
        <w:tblW w:type="auto" w:w="0"/>
        <w:tblLook w:firstColumn="1" w:firstRow="1" w:lastColumn="0" w:lastRow="0" w:noHBand="0" w:noVBand="1" w:val="04A0"/>
      </w:tblPr>
      <w:tblGrid>
        <w:gridCol w:w="9936"/>
      </w:tblGrid>
      <w:tr>
        <w:tc>
          <w:tcPr>
            <w:tcW w:type="dxa" w:w="9936"/>
            <w:shd w:val="clear" w:fill="F6F1E4"/>
            <w:tcBorders>
              <w:top w:val="single" w:sz="8" w:color="B0894B"/>
              <w:left w:val="single" w:sz="8" w:color="B0894B"/>
              <w:bottom w:val="single" w:sz="8" w:color="B0894B"/>
              <w:right w:val="single" w:sz="8" w:color="B0894B"/>
            </w:tcBorders>
          </w:tcPr>
          <w:p>
            <w:pPr>
              <w:spacing w:before="0" w:after="0"/>
            </w:pPr>
            <w:r>
              <w:rPr>
                <w:b/>
                <w:color w:val="1B5E5E"/>
                <w:sz w:val="20"/>
              </w:rPr>
              <w:t>READ FIRST</w:t>
            </w:r>
          </w:p>
          <w:p>
            <w:pPr>
              <w:spacing w:before="0" w:after="0"/>
            </w:pPr>
            <w:r>
              <w:rPr>
                <w:b w:val="0"/>
                <w:color w:val="222222"/>
                <w:sz w:val="19"/>
              </w:rPr>
              <w:t>This document is an educational analysis, not investment advice, and contains no recommendation, rating or price target. The preparer is not licensed by any securities regulator, holds no brokerage authorisation, manages no money and accepts no fees or clients. All values are model outputs presented as ranges and distributions because no single number should be relied on. Reported financials are the company's own disclosure (FY2023–FY2025 consolidated results, EGX filings); forward-looking inputs — the DCF, the multiples, the normalized-earnings marks and the Monte-Carlo factor probabilities — are the preparer's judgments and are flagged throughout. A few balance-sheet items (net interest-bearing debt, working-capital splits) are estimated to tie to disclosed totals and are flagged.</w:t>
            </w:r>
          </w:p>
          <w:p>
            <w:pPr>
              <w:spacing w:before="0" w:after="0"/>
            </w:pPr>
            <w:r>
              <w:rPr>
                <w:b/>
                <w:color w:val="222222"/>
                <w:sz w:val="19"/>
              </w:rPr>
              <w:t>Illustrative Monte Carlo — a specific limitation on this name. For Ibnsina Pharma the probabilistic engine (§3) did NOT beat its naïve zero-drift random-walk benchmark in the Step-0 calibration backtest: its CRPS skill is negative on every window scheme. The §3 price map is therefore included for illustration and methodological transparency only — to show how the engine works and to bound the stock's own quarter-ahead uncertainty — and must not be relied upon as an accurate forecast for this stock. It is retained because the same engine adds value on other names and may do so for Ibnsina as its history lengthens and the calibration is refreshed. Consult a licensed financial advisor before any decision.</w:t>
            </w:r>
          </w:p>
        </w:tc>
      </w:tr>
    </w:tbl>
    <w:p>
      <w:pPr>
        <w:spacing w:after="80" w:before="0"/>
      </w:pPr>
      <w:r>
        <w:rPr>
          <w:b w:val="0"/>
          <w:i w:val="0"/>
          <w:color w:val="222222"/>
          <w:sz w:val="8"/>
        </w:rPr>
      </w:r>
    </w:p>
    <w:p>
      <w:pPr>
        <w:spacing w:after="80" w:before="200"/>
      </w:pPr>
      <w:r>
        <w:rPr>
          <w:b/>
          <w:i w:val="0"/>
          <w:color w:val="1B5E5E"/>
          <w:sz w:val="28"/>
        </w:rPr>
        <w:t>Headline</w:t>
      </w:r>
    </w:p>
    <w:p>
      <w:pPr>
        <w:spacing w:after="80" w:before="0"/>
      </w:pPr>
      <w:r>
        <w:rPr>
          <w:b w:val="0"/>
          <w:i w:val="0"/>
          <w:color w:val="222222"/>
          <w:sz w:val="20"/>
        </w:rPr>
        <w:t>The model's read: cheap on fundamentals, but priced for Egyptian risk. Ibnsina Pharma is the number-one/number-two drug distributor in Egypt, and the disclosed financials tell a clean scale story — revenue up from EGP 33.9 bn (FY23) to EGP 76.6 bn (FY25), EBITDA margin edging from 4.6% toward 5.1%, net profit up 4.5x to EGP 952 mn. Our four fundamental lenses cluster around a central fair value of EGP 17.8 per share (range EGP 12.8–22.7) against a spot of EGP 11.67 — roughly +52%. That is close to where the visible analyst range sits (~EGP 14.5–21).</w:t>
      </w:r>
    </w:p>
    <w:p>
      <w:pPr>
        <w:spacing w:after="80" w:before="0"/>
      </w:pPr>
      <w:r>
        <w:rPr>
          <w:b w:val="0"/>
          <w:i w:val="0"/>
          <w:color w:val="222222"/>
          <w:sz w:val="20"/>
        </w:rPr>
        <w:t>But the market prices ISPH at only ~4.2x trailing EV/EBITDA and ~12x earnings — a deep discount to global healthcare distributors — and it is doing so for reasons that are real, not irrational: a razor-thin net margin (~1.2%) that is highly geared to Egypt's very high interest rates, heavy balance-sheet leverage funded by supplier credit, and receivables risk in a stressed macro. The gap between our fundamental central and the price is therefore best read as a bet on two things normalising together — the drug-re-pricing cycle feeding through to margins, and the CBE rate path easing finance costs — rather than as a free lunch. This study is issued with a calibration caveat: the Monte-Carlo forecast engine does not beat a random walk for this particular name, so §3 is an honest probability map, not a validated forecast.</w:t>
      </w:r>
    </w:p>
    <w:p>
      <w:pPr>
        <w:spacing w:after="80" w:before="200"/>
      </w:pPr>
      <w:r>
        <w:rPr>
          <w:b/>
          <w:i w:val="0"/>
          <w:color w:val="1B5E5E"/>
          <w:sz w:val="28"/>
        </w:rPr>
        <w:t>Valuation summary — every read at a glance</w:t>
      </w:r>
    </w:p>
    <w:p>
      <w:pPr>
        <w:spacing w:after="80" w:before="0"/>
      </w:pPr>
      <w:r>
        <w:rPr>
          <w:b w:val="0"/>
          <w:i w:val="0"/>
          <w:color w:val="222222"/>
          <w:sz w:val="20"/>
        </w:rPr>
        <w:t>One table for the reads that follow — what the business is worth (fundamental), what the tape is doing (technical), where price could travel over three months (Monte Carlo — illustrative for this name),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08"/>
            <w:shd w:val="clear" w:fill="1B5E5E"/>
          </w:tcPr>
          <w:p>
            <w:pPr>
              <w:spacing w:before="0" w:after="0"/>
              <w:jc w:val="left"/>
            </w:pPr>
            <w:r>
              <w:rPr>
                <w:b/>
                <w:color w:val="FFFFFF"/>
                <w:sz w:val="17"/>
              </w:rPr>
              <w:t>Lens / read</w:t>
            </w:r>
          </w:p>
        </w:tc>
        <w:tc>
          <w:tcPr>
            <w:tcW w:type="dxa" w:w="3096"/>
            <w:shd w:val="clear" w:fill="1B5E5E"/>
          </w:tcPr>
          <w:p>
            <w:pPr>
              <w:spacing w:before="0" w:after="0"/>
              <w:jc w:val="center"/>
            </w:pPr>
            <w:r>
              <w:rPr>
                <w:b/>
                <w:color w:val="FFFFFF"/>
                <w:sz w:val="17"/>
              </w:rPr>
              <w:t>What it measures</w:t>
            </w:r>
          </w:p>
        </w:tc>
        <w:tc>
          <w:tcPr>
            <w:tcW w:type="dxa" w:w="2520"/>
            <w:shd w:val="clear" w:fill="1B5E5E"/>
          </w:tcPr>
          <w:p>
            <w:pPr>
              <w:spacing w:before="0" w:after="0"/>
              <w:jc w:val="center"/>
            </w:pPr>
            <w:r>
              <w:rPr>
                <w:b/>
                <w:color w:val="FFFFFF"/>
                <w:sz w:val="17"/>
              </w:rPr>
              <w:t>Output</w:t>
            </w:r>
          </w:p>
        </w:tc>
        <w:tc>
          <w:tcPr>
            <w:tcW w:type="dxa" w:w="1512"/>
            <w:shd w:val="clear" w:fill="1B5E5E"/>
          </w:tcPr>
          <w:p>
            <w:pPr>
              <w:spacing w:before="0" w:after="0"/>
              <w:jc w:val="center"/>
            </w:pPr>
            <w:r>
              <w:rPr>
                <w:b/>
                <w:color w:val="FFFFFF"/>
                <w:sz w:val="17"/>
              </w:rPr>
              <w:t>Takeaway</w:t>
            </w:r>
          </w:p>
        </w:tc>
      </w:tr>
      <w:tr>
        <w:tc>
          <w:tcPr>
            <w:tcW w:type="dxa" w:w="1512"/>
            <w:gridSpan w:val="4"/>
            <w:shd w:val="clear" w:fill="EAF2F1"/>
          </w:tcPr>
          <w:p>
            <w:pPr>
              <w:spacing w:before="0" w:after="0"/>
            </w:pPr>
            <w:r>
              <w:rPr>
                <w:b/>
                <w:color w:val="1B5E5E"/>
                <w:sz w:val="17"/>
              </w:rPr>
              <w:t>FUNDAMENTAL — what the business is worth (the anchor)</w:t>
            </w:r>
          </w:p>
        </w:tc>
      </w:tr>
      <w:tr>
        <w:tc>
          <w:tcPr>
            <w:tcW w:type="dxa" w:w="2808"/>
          </w:tcPr>
          <w:p>
            <w:pPr>
              <w:spacing w:before="0" w:after="0"/>
              <w:jc w:val="left"/>
            </w:pPr>
            <w:r>
              <w:rPr>
                <w:b w:val="0"/>
                <w:sz w:val="17"/>
              </w:rPr>
              <w:t>Discounted cash flow (primary)</w:t>
            </w:r>
          </w:p>
        </w:tc>
        <w:tc>
          <w:tcPr>
            <w:tcW w:type="dxa" w:w="3096"/>
          </w:tcPr>
          <w:p>
            <w:pPr>
              <w:spacing w:before="0" w:after="0"/>
              <w:jc w:val="left"/>
            </w:pPr>
            <w:r>
              <w:rPr>
                <w:b w:val="0"/>
                <w:sz w:val="17"/>
              </w:rPr>
              <w:t>Discounted 5-yr FCFF + terminal</w:t>
            </w:r>
          </w:p>
        </w:tc>
        <w:tc>
          <w:tcPr>
            <w:tcW w:type="dxa" w:w="2520"/>
          </w:tcPr>
          <w:p>
            <w:pPr>
              <w:spacing w:before="0" w:after="0"/>
              <w:jc w:val="center"/>
            </w:pPr>
            <w:r>
              <w:rPr>
                <w:b w:val="0"/>
                <w:sz w:val="17"/>
              </w:rPr>
              <w:t>EGP 19.8</w:t>
            </w:r>
          </w:p>
        </w:tc>
        <w:tc>
          <w:tcPr>
            <w:tcW w:type="dxa" w:w="1512"/>
          </w:tcPr>
          <w:p>
            <w:pPr>
              <w:spacing w:before="0" w:after="0"/>
              <w:jc w:val="center"/>
            </w:pPr>
            <w:r>
              <w:rPr>
                <w:b w:val="0"/>
                <w:sz w:val="17"/>
              </w:rPr>
              <w:t>+70% vs spot</w:t>
            </w:r>
          </w:p>
        </w:tc>
      </w:tr>
      <w:tr>
        <w:tc>
          <w:tcPr>
            <w:tcW w:type="dxa" w:w="2808"/>
          </w:tcPr>
          <w:p>
            <w:pPr>
              <w:spacing w:before="0" w:after="0"/>
              <w:jc w:val="left"/>
            </w:pPr>
            <w:r>
              <w:rPr>
                <w:b w:val="0"/>
                <w:sz w:val="17"/>
              </w:rPr>
              <w:t>Relative multiples</w:t>
            </w:r>
          </w:p>
        </w:tc>
        <w:tc>
          <w:tcPr>
            <w:tcW w:type="dxa" w:w="3096"/>
          </w:tcPr>
          <w:p>
            <w:pPr>
              <w:spacing w:before="0" w:after="0"/>
              <w:jc w:val="left"/>
            </w:pPr>
            <w:r>
              <w:rPr>
                <w:b w:val="0"/>
                <w:sz w:val="17"/>
              </w:rPr>
              <w:t>Trailing EV/EBITDA, re-rated</w:t>
            </w:r>
          </w:p>
        </w:tc>
        <w:tc>
          <w:tcPr>
            <w:tcW w:type="dxa" w:w="2520"/>
          </w:tcPr>
          <w:p>
            <w:pPr>
              <w:spacing w:before="0" w:after="0"/>
              <w:jc w:val="center"/>
            </w:pPr>
            <w:r>
              <w:rPr>
                <w:b w:val="0"/>
                <w:sz w:val="17"/>
              </w:rPr>
              <w:t>EGP 16.7</w:t>
            </w:r>
          </w:p>
        </w:tc>
        <w:tc>
          <w:tcPr>
            <w:tcW w:type="dxa" w:w="1512"/>
          </w:tcPr>
          <w:p>
            <w:pPr>
              <w:spacing w:before="0" w:after="0"/>
              <w:jc w:val="center"/>
            </w:pPr>
            <w:r>
              <w:rPr>
                <w:b w:val="0"/>
                <w:sz w:val="17"/>
              </w:rPr>
              <w:t>+43%</w:t>
            </w:r>
          </w:p>
        </w:tc>
      </w:tr>
      <w:tr>
        <w:tc>
          <w:tcPr>
            <w:tcW w:type="dxa" w:w="2808"/>
          </w:tcPr>
          <w:p>
            <w:pPr>
              <w:spacing w:before="0" w:after="0"/>
              <w:jc w:val="left"/>
            </w:pPr>
            <w:r>
              <w:rPr>
                <w:b w:val="0"/>
                <w:sz w:val="17"/>
              </w:rPr>
              <w:t>Normalized earnings</w:t>
            </w:r>
          </w:p>
        </w:tc>
        <w:tc>
          <w:tcPr>
            <w:tcW w:type="dxa" w:w="3096"/>
          </w:tcPr>
          <w:p>
            <w:pPr>
              <w:spacing w:before="0" w:after="0"/>
              <w:jc w:val="left"/>
            </w:pPr>
            <w:r>
              <w:rPr>
                <w:b w:val="0"/>
                <w:sz w:val="17"/>
              </w:rPr>
              <w:t>Mid-cycle net margin × P/E</w:t>
            </w:r>
          </w:p>
        </w:tc>
        <w:tc>
          <w:tcPr>
            <w:tcW w:type="dxa" w:w="2520"/>
          </w:tcPr>
          <w:p>
            <w:pPr>
              <w:spacing w:before="0" w:after="0"/>
              <w:jc w:val="center"/>
            </w:pPr>
            <w:r>
              <w:rPr>
                <w:b w:val="0"/>
                <w:sz w:val="17"/>
              </w:rPr>
              <w:t>EGP 18.0</w:t>
            </w:r>
          </w:p>
        </w:tc>
        <w:tc>
          <w:tcPr>
            <w:tcW w:type="dxa" w:w="1512"/>
          </w:tcPr>
          <w:p>
            <w:pPr>
              <w:spacing w:before="0" w:after="0"/>
              <w:jc w:val="center"/>
            </w:pPr>
            <w:r>
              <w:rPr>
                <w:b w:val="0"/>
                <w:sz w:val="17"/>
              </w:rPr>
              <w:t>+54% · the ceiling</w:t>
            </w:r>
          </w:p>
        </w:tc>
      </w:tr>
      <w:tr>
        <w:tc>
          <w:tcPr>
            <w:tcW w:type="dxa" w:w="2808"/>
          </w:tcPr>
          <w:p>
            <w:pPr>
              <w:spacing w:before="0" w:after="0"/>
              <w:jc w:val="left"/>
            </w:pPr>
            <w:r>
              <w:rPr>
                <w:b w:val="0"/>
                <w:sz w:val="17"/>
              </w:rPr>
              <w:t>Dividend / yield floor</w:t>
            </w:r>
          </w:p>
        </w:tc>
        <w:tc>
          <w:tcPr>
            <w:tcW w:type="dxa" w:w="3096"/>
          </w:tcPr>
          <w:p>
            <w:pPr>
              <w:spacing w:before="0" w:after="0"/>
              <w:jc w:val="left"/>
            </w:pPr>
            <w:r>
              <w:rPr>
                <w:b w:val="0"/>
                <w:sz w:val="17"/>
              </w:rPr>
              <w:t>Sustainable DPS capitalised</w:t>
            </w:r>
          </w:p>
        </w:tc>
        <w:tc>
          <w:tcPr>
            <w:tcW w:type="dxa" w:w="2520"/>
          </w:tcPr>
          <w:p>
            <w:pPr>
              <w:spacing w:before="0" w:after="0"/>
              <w:jc w:val="center"/>
            </w:pPr>
            <w:r>
              <w:rPr>
                <w:b w:val="0"/>
                <w:sz w:val="17"/>
              </w:rPr>
              <w:t>EGP 11.0</w:t>
            </w:r>
          </w:p>
        </w:tc>
        <w:tc>
          <w:tcPr>
            <w:tcW w:type="dxa" w:w="1512"/>
          </w:tcPr>
          <w:p>
            <w:pPr>
              <w:spacing w:before="0" w:after="0"/>
              <w:jc w:val="center"/>
            </w:pPr>
            <w:r>
              <w:rPr>
                <w:b w:val="0"/>
                <w:sz w:val="17"/>
              </w:rPr>
              <w:t>−6% · the floor</w:t>
            </w:r>
          </w:p>
        </w:tc>
      </w:tr>
      <w:tr>
        <w:tc>
          <w:tcPr>
            <w:tcW w:type="dxa" w:w="2808"/>
            <w:shd w:val="clear" w:fill="F6F1E4"/>
          </w:tcPr>
          <w:p>
            <w:pPr>
              <w:spacing w:before="0" w:after="0"/>
              <w:jc w:val="left"/>
            </w:pPr>
            <w:r>
              <w:rPr>
                <w:b/>
                <w:sz w:val="17"/>
              </w:rPr>
              <w:t>Weighted central</w:t>
            </w:r>
          </w:p>
        </w:tc>
        <w:tc>
          <w:tcPr>
            <w:tcW w:type="dxa" w:w="3096"/>
            <w:shd w:val="clear" w:fill="F6F1E4"/>
          </w:tcPr>
          <w:p>
            <w:pPr>
              <w:spacing w:before="0" w:after="0"/>
              <w:jc w:val="left"/>
            </w:pPr>
            <w:r>
              <w:rPr>
                <w:b/>
                <w:sz w:val="17"/>
              </w:rPr>
              <w:t>Blend 45 / 25 / 20 / 10</w:t>
            </w:r>
          </w:p>
        </w:tc>
        <w:tc>
          <w:tcPr>
            <w:tcW w:type="dxa" w:w="2520"/>
            <w:shd w:val="clear" w:fill="F6F1E4"/>
          </w:tcPr>
          <w:p>
            <w:pPr>
              <w:spacing w:before="0" w:after="0"/>
              <w:jc w:val="center"/>
            </w:pPr>
            <w:r>
              <w:rPr>
                <w:b/>
                <w:sz w:val="17"/>
              </w:rPr>
              <w:t>EGP 17.8</w:t>
            </w:r>
          </w:p>
        </w:tc>
        <w:tc>
          <w:tcPr>
            <w:tcW w:type="dxa" w:w="1512"/>
            <w:shd w:val="clear" w:fill="F6F1E4"/>
          </w:tcPr>
          <w:p>
            <w:pPr>
              <w:spacing w:before="0" w:after="0"/>
              <w:jc w:val="center"/>
            </w:pPr>
            <w:r>
              <w:rPr>
                <w:b/>
                <w:sz w:val="17"/>
              </w:rPr>
              <w:t>+52% vs EGP 11.67</w:t>
            </w:r>
          </w:p>
        </w:tc>
      </w:tr>
      <w:tr>
        <w:tc>
          <w:tcPr>
            <w:tcW w:type="dxa" w:w="1512"/>
            <w:gridSpan w:val="4"/>
            <w:shd w:val="clear" w:fill="EAF2F1"/>
          </w:tcPr>
          <w:p>
            <w:pPr>
              <w:spacing w:before="0" w:after="0"/>
            </w:pPr>
            <w:r>
              <w:rPr>
                <w:b/>
                <w:color w:val="1B5E5E"/>
                <w:sz w:val="17"/>
              </w:rPr>
              <w:t>TECHNICAL — what the tape is doing (timing, not value)</w:t>
            </w:r>
          </w:p>
        </w:tc>
      </w:tr>
      <w:tr>
        <w:tc>
          <w:tcPr>
            <w:tcW w:type="dxa" w:w="2808"/>
          </w:tcPr>
          <w:p>
            <w:pPr>
              <w:spacing w:before="0" w:after="0"/>
              <w:jc w:val="left"/>
            </w:pPr>
            <w:r>
              <w:rPr>
                <w:b w:val="0"/>
                <w:sz w:val="17"/>
              </w:rPr>
              <w:t>Trend &amp; moving averages</w:t>
            </w:r>
          </w:p>
        </w:tc>
        <w:tc>
          <w:tcPr>
            <w:tcW w:type="dxa" w:w="3096"/>
          </w:tcPr>
          <w:p>
            <w:pPr>
              <w:spacing w:before="0" w:after="0"/>
              <w:jc w:val="left"/>
            </w:pPr>
            <w:r>
              <w:rPr>
                <w:b w:val="0"/>
                <w:sz w:val="17"/>
              </w:rPr>
              <w:t>Price vs 20/50/100/200-day</w:t>
            </w:r>
          </w:p>
        </w:tc>
        <w:tc>
          <w:tcPr>
            <w:tcW w:type="dxa" w:w="2520"/>
          </w:tcPr>
          <w:p>
            <w:pPr>
              <w:spacing w:before="0" w:after="0"/>
              <w:jc w:val="center"/>
            </w:pPr>
            <w:r>
              <w:rPr>
                <w:b w:val="0"/>
                <w:sz w:val="17"/>
              </w:rPr>
              <w:t>Below the two short</w:t>
            </w:r>
          </w:p>
        </w:tc>
        <w:tc>
          <w:tcPr>
            <w:tcW w:type="dxa" w:w="1512"/>
          </w:tcPr>
          <w:p>
            <w:pPr>
              <w:spacing w:before="0" w:after="0"/>
              <w:jc w:val="center"/>
            </w:pPr>
            <w:r>
              <w:rPr>
                <w:b w:val="0"/>
                <w:sz w:val="17"/>
              </w:rPr>
              <w:t>Consolidating</w:t>
            </w:r>
          </w:p>
        </w:tc>
      </w:tr>
      <w:tr>
        <w:tc>
          <w:tcPr>
            <w:tcW w:type="dxa" w:w="2808"/>
          </w:tcPr>
          <w:p>
            <w:pPr>
              <w:spacing w:before="0" w:after="0"/>
              <w:jc w:val="left"/>
            </w:pPr>
            <w:r>
              <w:rPr>
                <w:b w:val="0"/>
                <w:sz w:val="17"/>
              </w:rPr>
              <w:t>Momentum / range</w:t>
            </w:r>
          </w:p>
        </w:tc>
        <w:tc>
          <w:tcPr>
            <w:tcW w:type="dxa" w:w="3096"/>
          </w:tcPr>
          <w:p>
            <w:pPr>
              <w:spacing w:before="0" w:after="0"/>
              <w:jc w:val="left"/>
            </w:pPr>
            <w:r>
              <w:rPr>
                <w:b w:val="0"/>
                <w:sz w:val="17"/>
              </w:rPr>
              <w:t>RSI · MACD · 52-week range</w:t>
            </w:r>
          </w:p>
        </w:tc>
        <w:tc>
          <w:tcPr>
            <w:tcW w:type="dxa" w:w="2520"/>
          </w:tcPr>
          <w:p>
            <w:pPr>
              <w:spacing w:before="0" w:after="0"/>
              <w:jc w:val="center"/>
            </w:pPr>
            <w:r>
              <w:rPr>
                <w:b w:val="0"/>
                <w:sz w:val="17"/>
              </w:rPr>
              <w:t>RSI 40 · MACD −0.09 · 9.09–12.75</w:t>
            </w:r>
          </w:p>
        </w:tc>
        <w:tc>
          <w:tcPr>
            <w:tcW w:type="dxa" w:w="1512"/>
          </w:tcPr>
          <w:p>
            <w:pPr>
              <w:spacing w:before="0" w:after="0"/>
              <w:jc w:val="center"/>
            </w:pPr>
            <w:r>
              <w:rPr>
                <w:b w:val="0"/>
                <w:sz w:val="17"/>
              </w:rPr>
              <w:t>Neutral-to-soft</w:t>
            </w:r>
          </w:p>
        </w:tc>
      </w:tr>
      <w:tr>
        <w:tc>
          <w:tcPr>
            <w:tcW w:type="dxa" w:w="1512"/>
            <w:gridSpan w:val="4"/>
            <w:shd w:val="clear" w:fill="EAF2F1"/>
          </w:tcPr>
          <w:p>
            <w:pPr>
              <w:spacing w:before="0" w:after="0"/>
            </w:pPr>
            <w:r>
              <w:rPr>
                <w:b/>
                <w:color w:val="1B5E5E"/>
                <w:sz w:val="17"/>
              </w:rPr>
              <w:t>MONTE CARLO — illustrative only · calibration failed (§3)</w:t>
            </w:r>
          </w:p>
        </w:tc>
      </w:tr>
      <w:tr>
        <w:tc>
          <w:tcPr>
            <w:tcW w:type="dxa" w:w="2808"/>
          </w:tcPr>
          <w:p>
            <w:pPr>
              <w:spacing w:before="0" w:after="0"/>
              <w:jc w:val="left"/>
            </w:pPr>
            <w:r>
              <w:rPr>
                <w:b w:val="0"/>
                <w:sz w:val="17"/>
              </w:rPr>
              <w:t>T+20 sessions</w:t>
            </w:r>
          </w:p>
        </w:tc>
        <w:tc>
          <w:tcPr>
            <w:tcW w:type="dxa" w:w="3096"/>
          </w:tcPr>
          <w:p>
            <w:pPr>
              <w:spacing w:before="0" w:after="0"/>
              <w:jc w:val="left"/>
            </w:pPr>
            <w:r>
              <w:rPr>
                <w:b w:val="0"/>
                <w:sz w:val="17"/>
              </w:rPr>
              <w:t>50,000 paths · 16 factors</w:t>
            </w:r>
          </w:p>
        </w:tc>
        <w:tc>
          <w:tcPr>
            <w:tcW w:type="dxa" w:w="2520"/>
          </w:tcPr>
          <w:p>
            <w:pPr>
              <w:spacing w:before="0" w:after="0"/>
              <w:jc w:val="center"/>
            </w:pPr>
            <w:r>
              <w:rPr>
                <w:b w:val="0"/>
                <w:sz w:val="17"/>
              </w:rPr>
              <w:t>p5 10.16 · p50 11.75 · p95 13.52</w:t>
            </w:r>
          </w:p>
        </w:tc>
        <w:tc>
          <w:tcPr>
            <w:tcW w:type="dxa" w:w="1512"/>
          </w:tcPr>
          <w:p>
            <w:pPr>
              <w:spacing w:before="0" w:after="0"/>
              <w:jc w:val="center"/>
            </w:pPr>
            <w:r>
              <w:rPr>
                <w:b w:val="0"/>
                <w:sz w:val="17"/>
              </w:rPr>
              <w:t>≈ spot (illustrative)</w:t>
            </w:r>
          </w:p>
        </w:tc>
      </w:tr>
      <w:tr>
        <w:tc>
          <w:tcPr>
            <w:tcW w:type="dxa" w:w="2808"/>
          </w:tcPr>
          <w:p>
            <w:pPr>
              <w:spacing w:before="0" w:after="0"/>
              <w:jc w:val="left"/>
            </w:pPr>
            <w:r>
              <w:rPr>
                <w:b w:val="0"/>
                <w:sz w:val="17"/>
              </w:rPr>
              <w:t>T+60 sessions</w:t>
            </w:r>
          </w:p>
        </w:tc>
        <w:tc>
          <w:tcPr>
            <w:tcW w:type="dxa" w:w="3096"/>
          </w:tcPr>
          <w:p>
            <w:pPr>
              <w:spacing w:before="0" w:after="0"/>
              <w:jc w:val="left"/>
            </w:pPr>
            <w:r>
              <w:rPr>
                <w:b w:val="0"/>
                <w:sz w:val="17"/>
              </w:rPr>
              <w:t>same engine, longer horizon</w:t>
            </w:r>
          </w:p>
        </w:tc>
        <w:tc>
          <w:tcPr>
            <w:tcW w:type="dxa" w:w="2520"/>
          </w:tcPr>
          <w:p>
            <w:pPr>
              <w:spacing w:before="0" w:after="0"/>
              <w:jc w:val="center"/>
            </w:pPr>
            <w:r>
              <w:rPr>
                <w:b w:val="0"/>
                <w:sz w:val="17"/>
              </w:rPr>
              <w:t>p5 9.29 · p50 11.91 · p95 15.18</w:t>
            </w:r>
          </w:p>
        </w:tc>
        <w:tc>
          <w:tcPr>
            <w:tcW w:type="dxa" w:w="1512"/>
          </w:tcPr>
          <w:p>
            <w:pPr>
              <w:spacing w:before="0" w:after="0"/>
              <w:jc w:val="center"/>
            </w:pPr>
            <w:r>
              <w:rPr>
                <w:b w:val="0"/>
                <w:sz w:val="17"/>
              </w:rPr>
              <w:t>Wide (illustrative)</w:t>
            </w:r>
          </w:p>
        </w:tc>
      </w:tr>
      <w:tr>
        <w:tc>
          <w:tcPr>
            <w:tcW w:type="dxa" w:w="1512"/>
            <w:gridSpan w:val="4"/>
            <w:shd w:val="clear" w:fill="EAF2F1"/>
          </w:tcPr>
          <w:p>
            <w:pPr>
              <w:spacing w:before="0" w:after="0"/>
            </w:pPr>
            <w:r>
              <w:rPr>
                <w:b/>
                <w:color w:val="1B5E5E"/>
                <w:sz w:val="17"/>
              </w:rPr>
              <w:t>EXPERT PANEL — three independent methods (Appendix C)</w:t>
            </w:r>
          </w:p>
        </w:tc>
      </w:tr>
      <w:tr>
        <w:tc>
          <w:tcPr>
            <w:tcW w:type="dxa" w:w="2808"/>
          </w:tcPr>
          <w:p>
            <w:pPr>
              <w:spacing w:before="0" w:after="0"/>
              <w:jc w:val="left"/>
            </w:pPr>
            <w:r>
              <w:rPr>
                <w:b w:val="0"/>
                <w:sz w:val="17"/>
              </w:rPr>
              <w:t>Expert 1 — earnings-power</w:t>
            </w:r>
          </w:p>
        </w:tc>
        <w:tc>
          <w:tcPr>
            <w:tcW w:type="dxa" w:w="3096"/>
          </w:tcPr>
          <w:p>
            <w:pPr>
              <w:spacing w:before="0" w:after="0"/>
              <w:jc w:val="left"/>
            </w:pPr>
            <w:r>
              <w:rPr>
                <w:b w:val="0"/>
                <w:sz w:val="17"/>
              </w:rPr>
              <w:t>Normalized net margin × P/E</w:t>
            </w:r>
          </w:p>
        </w:tc>
        <w:tc>
          <w:tcPr>
            <w:tcW w:type="dxa" w:w="2520"/>
          </w:tcPr>
          <w:p>
            <w:pPr>
              <w:spacing w:before="0" w:after="0"/>
              <w:jc w:val="center"/>
            </w:pPr>
            <w:r>
              <w:rPr>
                <w:b w:val="0"/>
                <w:sz w:val="17"/>
              </w:rPr>
              <w:t>EGP ~20.1</w:t>
            </w:r>
          </w:p>
        </w:tc>
        <w:tc>
          <w:tcPr>
            <w:tcW w:type="dxa" w:w="1512"/>
          </w:tcPr>
          <w:p>
            <w:pPr>
              <w:spacing w:before="0" w:after="0"/>
              <w:jc w:val="center"/>
            </w:pPr>
            <w:r>
              <w:rPr>
                <w:b w:val="0"/>
                <w:sz w:val="17"/>
              </w:rPr>
              <w:t>Most bullish</w:t>
            </w:r>
          </w:p>
        </w:tc>
      </w:tr>
      <w:tr>
        <w:tc>
          <w:tcPr>
            <w:tcW w:type="dxa" w:w="2808"/>
          </w:tcPr>
          <w:p>
            <w:pPr>
              <w:spacing w:before="0" w:after="0"/>
              <w:jc w:val="left"/>
            </w:pPr>
            <w:r>
              <w:rPr>
                <w:b w:val="0"/>
                <w:sz w:val="17"/>
              </w:rPr>
              <w:t>Expert 2 — cash-returns</w:t>
            </w:r>
          </w:p>
        </w:tc>
        <w:tc>
          <w:tcPr>
            <w:tcW w:type="dxa" w:w="3096"/>
          </w:tcPr>
          <w:p>
            <w:pPr>
              <w:spacing w:before="0" w:after="0"/>
              <w:jc w:val="left"/>
            </w:pPr>
            <w:r>
              <w:rPr>
                <w:b w:val="0"/>
                <w:sz w:val="17"/>
              </w:rPr>
              <w:t>FCFF yield / ROIC vs WACC</w:t>
            </w:r>
          </w:p>
        </w:tc>
        <w:tc>
          <w:tcPr>
            <w:tcW w:type="dxa" w:w="2520"/>
          </w:tcPr>
          <w:p>
            <w:pPr>
              <w:spacing w:before="0" w:after="0"/>
              <w:jc w:val="center"/>
            </w:pPr>
            <w:r>
              <w:rPr>
                <w:b w:val="0"/>
                <w:sz w:val="17"/>
              </w:rPr>
              <w:t>EGP ~15.5</w:t>
            </w:r>
          </w:p>
        </w:tc>
        <w:tc>
          <w:tcPr>
            <w:tcW w:type="dxa" w:w="1512"/>
          </w:tcPr>
          <w:p>
            <w:pPr>
              <w:spacing w:before="0" w:after="0"/>
              <w:jc w:val="center"/>
            </w:pPr>
            <w:r>
              <w:rPr>
                <w:b w:val="0"/>
                <w:sz w:val="17"/>
              </w:rPr>
              <w:t>Mid</w:t>
            </w:r>
          </w:p>
        </w:tc>
      </w:tr>
      <w:tr>
        <w:tc>
          <w:tcPr>
            <w:tcW w:type="dxa" w:w="2808"/>
          </w:tcPr>
          <w:p>
            <w:pPr>
              <w:spacing w:before="0" w:after="0"/>
              <w:jc w:val="left"/>
            </w:pPr>
            <w:r>
              <w:rPr>
                <w:b w:val="0"/>
                <w:sz w:val="17"/>
              </w:rPr>
              <w:t>Expert 3 — accountant</w:t>
            </w:r>
          </w:p>
        </w:tc>
        <w:tc>
          <w:tcPr>
            <w:tcW w:type="dxa" w:w="3096"/>
          </w:tcPr>
          <w:p>
            <w:pPr>
              <w:spacing w:before="0" w:after="0"/>
              <w:jc w:val="left"/>
            </w:pPr>
            <w:r>
              <w:rPr>
                <w:b w:val="0"/>
                <w:sz w:val="17"/>
              </w:rPr>
              <w:t>Asset-backing + sustainable EPS</w:t>
            </w:r>
          </w:p>
        </w:tc>
        <w:tc>
          <w:tcPr>
            <w:tcW w:type="dxa" w:w="2520"/>
          </w:tcPr>
          <w:p>
            <w:pPr>
              <w:spacing w:before="0" w:after="0"/>
              <w:jc w:val="center"/>
            </w:pPr>
            <w:r>
              <w:rPr>
                <w:b w:val="0"/>
                <w:sz w:val="17"/>
              </w:rPr>
              <w:t>EGP ~13.5</w:t>
            </w:r>
          </w:p>
        </w:tc>
        <w:tc>
          <w:tcPr>
            <w:tcW w:type="dxa" w:w="1512"/>
          </w:tcPr>
          <w:p>
            <w:pPr>
              <w:spacing w:before="0" w:after="0"/>
              <w:jc w:val="center"/>
            </w:pPr>
            <w:r>
              <w:rPr>
                <w:b w:val="0"/>
                <w:sz w:val="17"/>
              </w:rPr>
              <w:t>Most conservative</w:t>
            </w:r>
          </w:p>
        </w:tc>
      </w:tr>
      <w:tr>
        <w:tc>
          <w:tcPr>
            <w:tcW w:type="dxa" w:w="2808"/>
            <w:shd w:val="clear" w:fill="F6F1E4"/>
          </w:tcPr>
          <w:p>
            <w:pPr>
              <w:spacing w:before="0" w:after="0"/>
              <w:jc w:val="left"/>
            </w:pPr>
            <w:r>
              <w:rPr>
                <w:b/>
                <w:sz w:val="17"/>
              </w:rPr>
              <w:t>Panel range</w:t>
            </w:r>
          </w:p>
        </w:tc>
        <w:tc>
          <w:tcPr>
            <w:tcW w:type="dxa" w:w="3096"/>
            <w:shd w:val="clear" w:fill="F6F1E4"/>
          </w:tcPr>
          <w:p>
            <w:pPr>
              <w:spacing w:before="0" w:after="0"/>
              <w:jc w:val="left"/>
            </w:pPr>
            <w:r>
              <w:rPr>
                <w:b/>
                <w:sz w:val="17"/>
              </w:rPr>
              <w:t>Spread = the net-margin question</w:t>
            </w:r>
          </w:p>
        </w:tc>
        <w:tc>
          <w:tcPr>
            <w:tcW w:type="dxa" w:w="2520"/>
            <w:shd w:val="clear" w:fill="F6F1E4"/>
          </w:tcPr>
          <w:p>
            <w:pPr>
              <w:spacing w:before="0" w:after="0"/>
              <w:jc w:val="center"/>
            </w:pPr>
            <w:r>
              <w:rPr>
                <w:b/>
                <w:sz w:val="17"/>
              </w:rPr>
              <w:t>EGP 13.5–20.1</w:t>
            </w:r>
          </w:p>
        </w:tc>
        <w:tc>
          <w:tcPr>
            <w:tcW w:type="dxa" w:w="1512"/>
            <w:shd w:val="clear" w:fill="F6F1E4"/>
          </w:tcPr>
          <w:p>
            <w:pPr>
              <w:spacing w:before="0" w:after="0"/>
              <w:jc w:val="center"/>
            </w:pPr>
            <w:r>
              <w:rPr>
                <w:b/>
                <w:sz w:val="17"/>
              </w:rPr>
              <w:t>Centres ~16.8</w:t>
            </w:r>
          </w:p>
        </w:tc>
      </w:tr>
    </w:tbl>
    <w:p>
      <w:pPr>
        <w:spacing w:after="80" w:before="0"/>
      </w:pPr>
      <w:r>
        <w:rPr>
          <w:b w:val="0"/>
          <w:i w:val="0"/>
          <w:color w:val="222222"/>
          <w:sz w:val="4"/>
        </w:rPr>
      </w:r>
    </w:p>
    <w:p>
      <w:pPr>
        <w:spacing w:after="160"/>
      </w:pPr>
      <w:r>
        <w:rPr>
          <w:b/>
          <w:color w:val="222222"/>
          <w:sz w:val="20"/>
        </w:rPr>
        <w:t xml:space="preserve">Bottom line. </w:t>
      </w:r>
      <w:r>
        <w:rPr>
          <w:color w:val="222222"/>
          <w:sz w:val="20"/>
        </w:rPr>
        <w:t>Every fundamental read points the same way — cheap — and disagrees only on magnitude: the central sits near EGP 17.8, about +52% above the EGP 11.67 spot, and the three experts span EGP 13.5–20.1, each turning on one question — whether the thin net margin normalises as Egyptian rates ease. The technical tape is neutral-to-soft, below its short averages; and the three-month Monte Carlo is illustrative only for this name (it does not beat a random walk, §3), so it frames near-term uncertainty rather than direction.</w:t>
      </w:r>
    </w:p>
    <w:p>
      <w:pPr>
        <w:spacing w:after="80" w:before="200"/>
      </w:pPr>
      <w:r>
        <w:rPr>
          <w:b/>
          <w:i w:val="0"/>
          <w:color w:val="1B5E5E"/>
          <w:sz w:val="28"/>
        </w:rPr>
        <w:t>Company overview</w:t>
      </w:r>
    </w:p>
    <w:p>
      <w:pPr>
        <w:spacing w:after="80" w:before="0"/>
      </w:pPr>
      <w:r>
        <w:rPr>
          <w:b w:val="0"/>
          <w:i w:val="0"/>
          <w:color w:val="222222"/>
          <w:sz w:val="20"/>
        </w:rPr>
        <w:t>Ibnsina Pharma S.A.E. (founded 2001, listed on the EGX in December 2017) stores, imports and distributes pharmaceuticals, OTC products, cosmetics, food supplements and medical supplies to more than 35,000 customers — retail pharmacies, wholesalers, hospitals and healthcare institutions — from a national network of warehouses and a delivery fleet. It is the #1–2 distributor by market share (~24% per IQVIA). The economics are those of a distribution utility: an ~8% gross margin on very high volume, an ~5% EBITDA margin, a ~1.2% net margin, and — crucially — a near-zero (historically slightly negative) cash-conversion cycle, so growth is financed largely by suppliers ('spontaneous financing') rather than equity.</w:t>
      </w:r>
    </w:p>
    <w:tbl>
      <w:tblPr>
        <w:tblStyle w:val="TableGrid"/>
        <w:tblW w:type="auto" w:w="0"/>
        <w:jc w:val="center"/>
        <w:tblLook w:firstColumn="1" w:firstRow="1" w:lastColumn="0" w:lastRow="0" w:noHBand="0" w:noVBand="1" w:val="04A0"/>
      </w:tblPr>
      <w:tblGrid>
        <w:gridCol w:w="4968"/>
        <w:gridCol w:w="4968"/>
      </w:tblGrid>
      <w:tr>
        <w:tc>
          <w:tcPr>
            <w:tcW w:type="dxa" w:w="3456"/>
            <w:shd w:val="clear" w:fill="1B5E5E"/>
          </w:tcPr>
          <w:p>
            <w:pPr>
              <w:spacing w:before="0" w:after="0"/>
              <w:jc w:val="left"/>
            </w:pPr>
            <w:r>
              <w:rPr>
                <w:b/>
                <w:color w:val="FFFFFF"/>
                <w:sz w:val="17"/>
              </w:rPr>
              <w:t>Item</w:t>
            </w:r>
          </w:p>
        </w:tc>
        <w:tc>
          <w:tcPr>
            <w:tcW w:type="dxa" w:w="6048"/>
            <w:shd w:val="clear" w:fill="1B5E5E"/>
          </w:tcPr>
          <w:p>
            <w:pPr>
              <w:spacing w:before="0" w:after="0"/>
              <w:jc w:val="center"/>
            </w:pPr>
            <w:r>
              <w:rPr>
                <w:b/>
                <w:color w:val="FFFFFF"/>
                <w:sz w:val="17"/>
              </w:rPr>
              <w:t>Value</w:t>
            </w:r>
          </w:p>
        </w:tc>
      </w:tr>
      <w:tr>
        <w:tc>
          <w:tcPr>
            <w:tcW w:type="dxa" w:w="3456"/>
          </w:tcPr>
          <w:p>
            <w:pPr>
              <w:spacing w:before="0" w:after="0"/>
              <w:jc w:val="left"/>
            </w:pPr>
            <w:r>
              <w:rPr>
                <w:b/>
                <w:sz w:val="17"/>
              </w:rPr>
              <w:t>Ticker / exchange</w:t>
            </w:r>
          </w:p>
        </w:tc>
        <w:tc>
          <w:tcPr>
            <w:tcW w:type="dxa" w:w="6048"/>
          </w:tcPr>
          <w:p>
            <w:pPr>
              <w:spacing w:before="0" w:after="0"/>
              <w:jc w:val="right"/>
            </w:pPr>
            <w:r>
              <w:rPr>
                <w:sz w:val="17"/>
              </w:rPr>
              <w:t>ISPH · EGX (Egyptian Exchange)</w:t>
            </w:r>
          </w:p>
        </w:tc>
      </w:tr>
      <w:tr>
        <w:tc>
          <w:tcPr>
            <w:tcW w:type="dxa" w:w="3456"/>
          </w:tcPr>
          <w:p>
            <w:pPr>
              <w:spacing w:before="0" w:after="0"/>
              <w:jc w:val="left"/>
            </w:pPr>
            <w:r>
              <w:rPr>
                <w:b/>
                <w:sz w:val="17"/>
              </w:rPr>
              <w:t>Reporting currency</w:t>
            </w:r>
          </w:p>
        </w:tc>
        <w:tc>
          <w:tcPr>
            <w:tcW w:type="dxa" w:w="6048"/>
          </w:tcPr>
          <w:p>
            <w:pPr>
              <w:spacing w:before="0" w:after="0"/>
              <w:jc w:val="right"/>
            </w:pPr>
            <w:r>
              <w:rPr>
                <w:sz w:val="17"/>
              </w:rPr>
              <w:t>EGP</w:t>
            </w:r>
          </w:p>
        </w:tc>
      </w:tr>
      <w:tr>
        <w:tc>
          <w:tcPr>
            <w:tcW w:type="dxa" w:w="3456"/>
          </w:tcPr>
          <w:p>
            <w:pPr>
              <w:spacing w:before="0" w:after="0"/>
              <w:jc w:val="left"/>
            </w:pPr>
            <w:r>
              <w:rPr>
                <w:b/>
                <w:sz w:val="17"/>
              </w:rPr>
              <w:t>Spot / close date</w:t>
            </w:r>
          </w:p>
        </w:tc>
        <w:tc>
          <w:tcPr>
            <w:tcW w:type="dxa" w:w="6048"/>
          </w:tcPr>
          <w:p>
            <w:pPr>
              <w:spacing w:before="0" w:after="0"/>
              <w:jc w:val="right"/>
            </w:pPr>
            <w:r>
              <w:rPr>
                <w:sz w:val="17"/>
              </w:rPr>
              <w:t>EGP 11.67 · 07 Jul 2026</w:t>
            </w:r>
          </w:p>
        </w:tc>
      </w:tr>
      <w:tr>
        <w:tc>
          <w:tcPr>
            <w:tcW w:type="dxa" w:w="3456"/>
          </w:tcPr>
          <w:p>
            <w:pPr>
              <w:spacing w:before="0" w:after="0"/>
              <w:jc w:val="left"/>
            </w:pPr>
            <w:r>
              <w:rPr>
                <w:b/>
                <w:sz w:val="17"/>
              </w:rPr>
              <w:t>Shares outstanding</w:t>
            </w:r>
          </w:p>
        </w:tc>
        <w:tc>
          <w:tcPr>
            <w:tcW w:type="dxa" w:w="6048"/>
          </w:tcPr>
          <w:p>
            <w:pPr>
              <w:spacing w:before="0" w:after="0"/>
              <w:jc w:val="right"/>
            </w:pPr>
            <w:r>
              <w:rPr>
                <w:sz w:val="17"/>
              </w:rPr>
              <w:t>1,008 mn (par EGP 0.25; capital EGP 252 mn)</w:t>
            </w:r>
          </w:p>
        </w:tc>
      </w:tr>
      <w:tr>
        <w:tc>
          <w:tcPr>
            <w:tcW w:type="dxa" w:w="3456"/>
          </w:tcPr>
          <w:p>
            <w:pPr>
              <w:spacing w:before="0" w:after="0"/>
              <w:jc w:val="left"/>
            </w:pPr>
            <w:r>
              <w:rPr>
                <w:b/>
                <w:sz w:val="17"/>
              </w:rPr>
              <w:t>Market capitalisation</w:t>
            </w:r>
          </w:p>
        </w:tc>
        <w:tc>
          <w:tcPr>
            <w:tcW w:type="dxa" w:w="6048"/>
          </w:tcPr>
          <w:p>
            <w:pPr>
              <w:spacing w:before="0" w:after="0"/>
              <w:jc w:val="right"/>
            </w:pPr>
            <w:r>
              <w:rPr>
                <w:sz w:val="17"/>
              </w:rPr>
              <w:t>~EGP 11.76 bn</w:t>
            </w:r>
          </w:p>
        </w:tc>
      </w:tr>
      <w:tr>
        <w:tc>
          <w:tcPr>
            <w:tcW w:type="dxa" w:w="3456"/>
          </w:tcPr>
          <w:p>
            <w:pPr>
              <w:spacing w:before="0" w:after="0"/>
              <w:jc w:val="left"/>
            </w:pPr>
            <w:r>
              <w:rPr>
                <w:b/>
                <w:sz w:val="17"/>
              </w:rPr>
              <w:t>Net interest-bearing debt (est.)</w:t>
            </w:r>
          </w:p>
        </w:tc>
        <w:tc>
          <w:tcPr>
            <w:tcW w:type="dxa" w:w="6048"/>
          </w:tcPr>
          <w:p>
            <w:pPr>
              <w:spacing w:before="0" w:after="0"/>
              <w:jc w:val="right"/>
            </w:pPr>
            <w:r>
              <w:rPr>
                <w:sz w:val="17"/>
              </w:rPr>
              <w:t>~EGP 4.5 bn (flagged estimate)</w:t>
            </w:r>
          </w:p>
        </w:tc>
      </w:tr>
      <w:tr>
        <w:tc>
          <w:tcPr>
            <w:tcW w:type="dxa" w:w="3456"/>
          </w:tcPr>
          <w:p>
            <w:pPr>
              <w:spacing w:before="0" w:after="0"/>
              <w:jc w:val="left"/>
            </w:pPr>
            <w:r>
              <w:rPr>
                <w:b/>
                <w:sz w:val="17"/>
              </w:rPr>
              <w:t>FY25 revenue / EBITDA / net profit</w:t>
            </w:r>
          </w:p>
        </w:tc>
        <w:tc>
          <w:tcPr>
            <w:tcW w:type="dxa" w:w="6048"/>
          </w:tcPr>
          <w:p>
            <w:pPr>
              <w:spacing w:before="0" w:after="0"/>
              <w:jc w:val="right"/>
            </w:pPr>
            <w:r>
              <w:rPr>
                <w:sz w:val="17"/>
              </w:rPr>
              <w:t>EGP 76,597 mn / 3,880 mn / 952 mn</w:t>
            </w:r>
          </w:p>
        </w:tc>
      </w:tr>
      <w:tr>
        <w:tc>
          <w:tcPr>
            <w:tcW w:type="dxa" w:w="3456"/>
          </w:tcPr>
          <w:p>
            <w:pPr>
              <w:spacing w:before="0" w:after="0"/>
              <w:jc w:val="left"/>
            </w:pPr>
            <w:r>
              <w:rPr>
                <w:b/>
                <w:sz w:val="17"/>
              </w:rPr>
              <w:t>FY25 EPS / DPS (approx.)</w:t>
            </w:r>
          </w:p>
        </w:tc>
        <w:tc>
          <w:tcPr>
            <w:tcW w:type="dxa" w:w="6048"/>
          </w:tcPr>
          <w:p>
            <w:pPr>
              <w:spacing w:before="0" w:after="0"/>
              <w:jc w:val="right"/>
            </w:pPr>
            <w:r>
              <w:rPr>
                <w:sz w:val="17"/>
              </w:rPr>
              <w:t>EGP 0.94 / ~0.10 (payout ~17%)</w:t>
            </w:r>
          </w:p>
        </w:tc>
      </w:tr>
      <w:tr>
        <w:tc>
          <w:tcPr>
            <w:tcW w:type="dxa" w:w="3456"/>
          </w:tcPr>
          <w:p>
            <w:pPr>
              <w:spacing w:before="0" w:after="0"/>
              <w:jc w:val="left"/>
            </w:pPr>
            <w:r>
              <w:rPr>
                <w:b/>
                <w:sz w:val="17"/>
              </w:rPr>
              <w:t>Business</w:t>
            </w:r>
          </w:p>
        </w:tc>
        <w:tc>
          <w:tcPr>
            <w:tcW w:type="dxa" w:w="6048"/>
          </w:tcPr>
          <w:p>
            <w:pPr>
              <w:spacing w:before="0" w:after="0"/>
              <w:jc w:val="right"/>
            </w:pPr>
            <w:r>
              <w:rPr>
                <w:sz w:val="17"/>
              </w:rPr>
              <w:t>#1–2 Egyptian pharma distributor (~24% share)</w:t>
            </w:r>
          </w:p>
        </w:tc>
      </w:tr>
      <w:tr>
        <w:tc>
          <w:tcPr>
            <w:tcW w:type="dxa" w:w="3456"/>
          </w:tcPr>
          <w:p>
            <w:pPr>
              <w:spacing w:before="0" w:after="0"/>
              <w:jc w:val="left"/>
            </w:pPr>
            <w:r>
              <w:rPr>
                <w:b/>
                <w:sz w:val="17"/>
              </w:rPr>
              <w:t>Cash-conversion cycle</w:t>
            </w:r>
          </w:p>
        </w:tc>
        <w:tc>
          <w:tcPr>
            <w:tcW w:type="dxa" w:w="6048"/>
          </w:tcPr>
          <w:p>
            <w:pPr>
              <w:spacing w:before="0" w:after="0"/>
              <w:jc w:val="right"/>
            </w:pPr>
            <w:r>
              <w:rPr>
                <w:sz w:val="17"/>
              </w:rPr>
              <w:t>≈ 0 days (receivables ~90 + inventory ~30 − payables ~119)</w:t>
            </w:r>
          </w:p>
        </w:tc>
      </w:tr>
      <w:tr>
        <w:tc>
          <w:tcPr>
            <w:tcW w:type="dxa" w:w="3456"/>
          </w:tcPr>
          <w:p>
            <w:pPr>
              <w:spacing w:before="0" w:after="0"/>
              <w:jc w:val="left"/>
            </w:pPr>
            <w:r>
              <w:rPr>
                <w:b/>
                <w:sz w:val="17"/>
              </w:rPr>
              <w:t>Beta (reported)</w:t>
            </w:r>
          </w:p>
        </w:tc>
        <w:tc>
          <w:tcPr>
            <w:tcW w:type="dxa" w:w="6048"/>
          </w:tcPr>
          <w:p>
            <w:pPr>
              <w:spacing w:before="0" w:after="0"/>
              <w:jc w:val="right"/>
            </w:pPr>
            <w:r>
              <w:rPr>
                <w:sz w:val="17"/>
              </w:rPr>
              <w:t>~1.0</w:t>
            </w:r>
          </w:p>
        </w:tc>
      </w:tr>
      <w:tr>
        <w:tc>
          <w:tcPr>
            <w:tcW w:type="dxa" w:w="3456"/>
          </w:tcPr>
          <w:p>
            <w:pPr>
              <w:spacing w:before="0" w:after="0"/>
              <w:jc w:val="left"/>
            </w:pPr>
            <w:r>
              <w:rPr>
                <w:b/>
                <w:sz w:val="17"/>
              </w:rPr>
              <w:t>52-week range</w:t>
            </w:r>
          </w:p>
        </w:tc>
        <w:tc>
          <w:tcPr>
            <w:tcW w:type="dxa" w:w="6048"/>
          </w:tcPr>
          <w:p>
            <w:pPr>
              <w:spacing w:before="0" w:after="0"/>
              <w:jc w:val="right"/>
            </w:pPr>
            <w:r>
              <w:rPr>
                <w:sz w:val="17"/>
              </w:rPr>
              <w:t>EGP 9.09 – 12.75</w:t>
            </w:r>
          </w:p>
        </w:tc>
      </w:tr>
    </w:tbl>
    <w:p>
      <w:pPr>
        <w:spacing w:after="120" w:before="20"/>
      </w:pPr>
      <w:r>
        <w:rPr>
          <w:b w:val="0"/>
          <w:i/>
          <w:color w:val="777777"/>
          <w:sz w:val="16"/>
        </w:rPr>
        <w:t>At a glance. Source: company disclosure (FY25 consolidated), EGX, market data as of 07 Jul 2026.</w:t>
      </w:r>
    </w:p>
    <w:p>
      <w:pPr>
        <w:jc w:val="center"/>
      </w:pPr>
      <w:r>
        <w:drawing>
          <wp:inline xmlns:a="http://schemas.openxmlformats.org/drawingml/2006/main" xmlns:pic="http://schemas.openxmlformats.org/drawingml/2006/picture">
            <wp:extent cx="5669280" cy="2439943"/>
            <wp:docPr id="1" name="Picture 1"/>
            <wp:cNvGraphicFramePr>
              <a:graphicFrameLocks noChangeAspect="1"/>
            </wp:cNvGraphicFramePr>
            <a:graphic>
              <a:graphicData uri="http://schemas.openxmlformats.org/drawingml/2006/picture">
                <pic:pic>
                  <pic:nvPicPr>
                    <pic:cNvPr id="0" name="fig2_trajectory.png"/>
                    <pic:cNvPicPr/>
                  </pic:nvPicPr>
                  <pic:blipFill>
                    <a:blip r:embed="rId9"/>
                    <a:stretch>
                      <a:fillRect/>
                    </a:stretch>
                  </pic:blipFill>
                  <pic:spPr>
                    <a:xfrm>
                      <a:off x="0" y="0"/>
                      <a:ext cx="5669280" cy="2439943"/>
                    </a:xfrm>
                    <a:prstGeom prst="rect"/>
                  </pic:spPr>
                </pic:pic>
              </a:graphicData>
            </a:graphic>
          </wp:inline>
        </w:drawing>
      </w:r>
    </w:p>
    <w:p>
      <w:pPr>
        <w:spacing w:after="120" w:before="20"/>
        <w:jc w:val="center"/>
      </w:pPr>
      <w:r>
        <w:rPr>
          <w:b w:val="0"/>
          <w:i/>
          <w:color w:val="777777"/>
          <w:sz w:val="16"/>
        </w:rPr>
        <w:t>Figure 1 — Revenue and EBITDA margin: three years actual, five years forecast (EGP bn / %).</w:t>
      </w:r>
    </w:p>
    <w:p>
      <w:pPr>
        <w:spacing w:after="80" w:before="200"/>
      </w:pPr>
      <w:r>
        <w:rPr>
          <w:b/>
          <w:i w:val="0"/>
          <w:color w:val="1B5E5E"/>
          <w:sz w:val="28"/>
        </w:rPr>
        <w:t>1  Fundamental valuation</w:t>
      </w:r>
    </w:p>
    <w:p>
      <w:pPr>
        <w:spacing w:after="80" w:before="0"/>
      </w:pPr>
      <w:r>
        <w:rPr>
          <w:b w:val="0"/>
          <w:i w:val="0"/>
          <w:color w:val="222222"/>
          <w:sz w:val="20"/>
        </w:rPr>
        <w:t>We value ISPH with a discounted cash-flow model as the primary lens (a going-concern distributor with a light-asset model and a stable, defensive demand base fits DCF better than an asset-based method), cross-checked against relative multiples and a normalized-earnings lens, with a dividend-yield floor. All four are combined in a football field rather than blended into a single point.</w:t>
      </w:r>
    </w:p>
    <w:p>
      <w:pPr>
        <w:spacing w:after="60" w:before="140"/>
      </w:pPr>
      <w:r>
        <w:rPr>
          <w:b/>
          <w:i w:val="0"/>
          <w:color w:val="2A8F8F"/>
          <w:sz w:val="23"/>
        </w:rPr>
        <w:t>1.1  Primary lens — discounted cash flow (FCFF)</w:t>
      </w:r>
    </w:p>
    <w:p>
      <w:pPr>
        <w:spacing w:after="80" w:before="0"/>
      </w:pPr>
      <w:r>
        <w:rPr>
          <w:b w:val="0"/>
          <w:i w:val="0"/>
          <w:color w:val="222222"/>
          <w:sz w:val="20"/>
        </w:rPr>
        <w:t>We build free cash flow to the firm over an explicit five-year horizon (FY26–FY30), discount at a WACC of 25.8%, and add a Gordon terminal value at 12.5% nominal growth. The cost of equity is stated explicitly as Ke = rf + β·ERP = 23.5% + 1.15×6.0% = 30.4%, reflecting Egypt's high nominal risk-free rate; the pre-tax cost of debt is 26%. Revenue growth fades from the re-pricing-driven ~20% toward ~11%; EBITDA margin expands modestly on scale from 5.1% to 5.5%; capex stays light (~0.6% of sales) and the near-zero cash-conversion cycle keeps the working-capital drag small.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shd w:val="clear" w:fill="1B5E5E"/>
          </w:tcPr>
          <w:p>
            <w:pPr>
              <w:spacing w:before="0" w:after="0"/>
              <w:jc w:val="left"/>
            </w:pPr>
            <w:r>
              <w:rPr>
                <w:b/>
                <w:color w:val="FFFFFF"/>
                <w:sz w:val="16"/>
              </w:rPr>
              <w:t>EGP mn</w:t>
            </w:r>
          </w:p>
        </w:tc>
        <w:tc>
          <w:tcPr>
            <w:tcW w:type="dxa" w:w="1296"/>
            <w:shd w:val="clear" w:fill="1B5E5E"/>
          </w:tcPr>
          <w:p>
            <w:pPr>
              <w:spacing w:before="0" w:after="0"/>
              <w:jc w:val="center"/>
            </w:pPr>
            <w:r>
              <w:rPr>
                <w:b/>
                <w:color w:val="FFFFFF"/>
                <w:sz w:val="16"/>
              </w:rPr>
              <w:t>FY26E</w:t>
            </w:r>
          </w:p>
        </w:tc>
        <w:tc>
          <w:tcPr>
            <w:tcW w:type="dxa" w:w="1296"/>
            <w:shd w:val="clear" w:fill="1B5E5E"/>
          </w:tcPr>
          <w:p>
            <w:pPr>
              <w:spacing w:before="0" w:after="0"/>
              <w:jc w:val="center"/>
            </w:pPr>
            <w:r>
              <w:rPr>
                <w:b/>
                <w:color w:val="FFFFFF"/>
                <w:sz w:val="16"/>
              </w:rPr>
              <w:t>FY27E</w:t>
            </w:r>
          </w:p>
        </w:tc>
        <w:tc>
          <w:tcPr>
            <w:tcW w:type="dxa" w:w="1296"/>
            <w:shd w:val="clear" w:fill="1B5E5E"/>
          </w:tcPr>
          <w:p>
            <w:pPr>
              <w:spacing w:before="0" w:after="0"/>
              <w:jc w:val="center"/>
            </w:pPr>
            <w:r>
              <w:rPr>
                <w:b/>
                <w:color w:val="FFFFFF"/>
                <w:sz w:val="16"/>
              </w:rPr>
              <w:t>FY28E</w:t>
            </w:r>
          </w:p>
        </w:tc>
        <w:tc>
          <w:tcPr>
            <w:tcW w:type="dxa" w:w="1296"/>
            <w:shd w:val="clear" w:fill="1B5E5E"/>
          </w:tcPr>
          <w:p>
            <w:pPr>
              <w:spacing w:before="0" w:after="0"/>
              <w:jc w:val="center"/>
            </w:pPr>
            <w:r>
              <w:rPr>
                <w:b/>
                <w:color w:val="FFFFFF"/>
                <w:sz w:val="16"/>
              </w:rPr>
              <w:t>FY29E</w:t>
            </w:r>
          </w:p>
        </w:tc>
        <w:tc>
          <w:tcPr>
            <w:tcW w:type="dxa" w:w="1296"/>
            <w:shd w:val="clear" w:fill="1B5E5E"/>
          </w:tcPr>
          <w:p>
            <w:pPr>
              <w:spacing w:before="0" w:after="0"/>
              <w:jc w:val="center"/>
            </w:pPr>
            <w:r>
              <w:rPr>
                <w:b/>
                <w:color w:val="FFFFFF"/>
                <w:sz w:val="16"/>
              </w:rPr>
              <w:t>FY30E</w:t>
            </w:r>
          </w:p>
        </w:tc>
      </w:tr>
      <w:tr>
        <w:tc>
          <w:tcPr>
            <w:tcW w:type="dxa" w:w="2736"/>
          </w:tcPr>
          <w:p>
            <w:pPr>
              <w:spacing w:before="0" w:after="0"/>
              <w:jc w:val="left"/>
            </w:pPr>
            <w:r>
              <w:rPr>
                <w:b/>
                <w:sz w:val="16"/>
              </w:rPr>
              <w:t>Revenue</w:t>
            </w:r>
          </w:p>
        </w:tc>
        <w:tc>
          <w:tcPr>
            <w:tcW w:type="dxa" w:w="1296"/>
          </w:tcPr>
          <w:p>
            <w:pPr>
              <w:spacing w:before="0" w:after="0"/>
              <w:jc w:val="right"/>
            </w:pPr>
            <w:r>
              <w:rPr>
                <w:sz w:val="16"/>
              </w:rPr>
              <w:t>91,916</w:t>
            </w:r>
          </w:p>
        </w:tc>
        <w:tc>
          <w:tcPr>
            <w:tcW w:type="dxa" w:w="1296"/>
          </w:tcPr>
          <w:p>
            <w:pPr>
              <w:spacing w:before="0" w:after="0"/>
              <w:jc w:val="right"/>
            </w:pPr>
            <w:r>
              <w:rPr>
                <w:sz w:val="16"/>
              </w:rPr>
              <w:t>106,623</w:t>
            </w:r>
          </w:p>
        </w:tc>
        <w:tc>
          <w:tcPr>
            <w:tcW w:type="dxa" w:w="1296"/>
          </w:tcPr>
          <w:p>
            <w:pPr>
              <w:spacing w:before="0" w:after="0"/>
              <w:jc w:val="right"/>
            </w:pPr>
            <w:r>
              <w:rPr>
                <w:sz w:val="16"/>
              </w:rPr>
              <w:t>121,550</w:t>
            </w:r>
          </w:p>
        </w:tc>
        <w:tc>
          <w:tcPr>
            <w:tcW w:type="dxa" w:w="1296"/>
          </w:tcPr>
          <w:p>
            <w:pPr>
              <w:spacing w:before="0" w:after="0"/>
              <w:jc w:val="right"/>
            </w:pPr>
            <w:r>
              <w:rPr>
                <w:sz w:val="16"/>
              </w:rPr>
              <w:t>136,136</w:t>
            </w:r>
          </w:p>
        </w:tc>
        <w:tc>
          <w:tcPr>
            <w:tcW w:type="dxa" w:w="1296"/>
          </w:tcPr>
          <w:p>
            <w:pPr>
              <w:spacing w:before="0" w:after="0"/>
              <w:jc w:val="right"/>
            </w:pPr>
            <w:r>
              <w:rPr>
                <w:sz w:val="16"/>
              </w:rPr>
              <w:t>151,111</w:t>
            </w:r>
          </w:p>
        </w:tc>
      </w:tr>
      <w:tr>
        <w:tc>
          <w:tcPr>
            <w:tcW w:type="dxa" w:w="2736"/>
          </w:tcPr>
          <w:p>
            <w:pPr>
              <w:spacing w:before="0" w:after="0"/>
              <w:jc w:val="left"/>
            </w:pPr>
            <w:r>
              <w:rPr>
                <w:b/>
                <w:sz w:val="16"/>
              </w:rPr>
              <w:t>EBITDA</w:t>
            </w:r>
          </w:p>
        </w:tc>
        <w:tc>
          <w:tcPr>
            <w:tcW w:type="dxa" w:w="1296"/>
          </w:tcPr>
          <w:p>
            <w:pPr>
              <w:spacing w:before="0" w:after="0"/>
              <w:jc w:val="right"/>
            </w:pPr>
            <w:r>
              <w:rPr>
                <w:sz w:val="16"/>
              </w:rPr>
              <w:t>4,688</w:t>
            </w:r>
          </w:p>
        </w:tc>
        <w:tc>
          <w:tcPr>
            <w:tcW w:type="dxa" w:w="1296"/>
          </w:tcPr>
          <w:p>
            <w:pPr>
              <w:spacing w:before="0" w:after="0"/>
              <w:jc w:val="right"/>
            </w:pPr>
            <w:r>
              <w:rPr>
                <w:sz w:val="16"/>
              </w:rPr>
              <w:t>5,544</w:t>
            </w:r>
          </w:p>
        </w:tc>
        <w:tc>
          <w:tcPr>
            <w:tcW w:type="dxa" w:w="1296"/>
          </w:tcPr>
          <w:p>
            <w:pPr>
              <w:spacing w:before="0" w:after="0"/>
              <w:jc w:val="right"/>
            </w:pPr>
            <w:r>
              <w:rPr>
                <w:sz w:val="16"/>
              </w:rPr>
              <w:t>6,442</w:t>
            </w:r>
          </w:p>
        </w:tc>
        <w:tc>
          <w:tcPr>
            <w:tcW w:type="dxa" w:w="1296"/>
          </w:tcPr>
          <w:p>
            <w:pPr>
              <w:spacing w:before="0" w:after="0"/>
              <w:jc w:val="right"/>
            </w:pPr>
            <w:r>
              <w:rPr>
                <w:sz w:val="16"/>
              </w:rPr>
              <w:t>7,351</w:t>
            </w:r>
          </w:p>
        </w:tc>
        <w:tc>
          <w:tcPr>
            <w:tcW w:type="dxa" w:w="1296"/>
          </w:tcPr>
          <w:p>
            <w:pPr>
              <w:spacing w:before="0" w:after="0"/>
              <w:jc w:val="right"/>
            </w:pPr>
            <w:r>
              <w:rPr>
                <w:sz w:val="16"/>
              </w:rPr>
              <w:t>8,311</w:t>
            </w:r>
          </w:p>
        </w:tc>
      </w:tr>
      <w:tr>
        <w:tc>
          <w:tcPr>
            <w:tcW w:type="dxa" w:w="2736"/>
          </w:tcPr>
          <w:p>
            <w:pPr>
              <w:spacing w:before="0" w:after="0"/>
              <w:jc w:val="left"/>
            </w:pPr>
            <w:r>
              <w:rPr>
                <w:b/>
                <w:sz w:val="16"/>
              </w:rPr>
              <w:t>D&amp;A</w:t>
            </w:r>
          </w:p>
        </w:tc>
        <w:tc>
          <w:tcPr>
            <w:tcW w:type="dxa" w:w="1296"/>
          </w:tcPr>
          <w:p>
            <w:pPr>
              <w:spacing w:before="0" w:after="0"/>
              <w:jc w:val="right"/>
            </w:pPr>
            <w:r>
              <w:rPr>
                <w:sz w:val="16"/>
              </w:rPr>
              <w:t>414</w:t>
            </w:r>
          </w:p>
        </w:tc>
        <w:tc>
          <w:tcPr>
            <w:tcW w:type="dxa" w:w="1296"/>
          </w:tcPr>
          <w:p>
            <w:pPr>
              <w:spacing w:before="0" w:after="0"/>
              <w:jc w:val="right"/>
            </w:pPr>
            <w:r>
              <w:rPr>
                <w:sz w:val="16"/>
              </w:rPr>
              <w:t>480</w:t>
            </w:r>
          </w:p>
        </w:tc>
        <w:tc>
          <w:tcPr>
            <w:tcW w:type="dxa" w:w="1296"/>
          </w:tcPr>
          <w:p>
            <w:pPr>
              <w:spacing w:before="0" w:after="0"/>
              <w:jc w:val="right"/>
            </w:pPr>
            <w:r>
              <w:rPr>
                <w:sz w:val="16"/>
              </w:rPr>
              <w:t>547</w:t>
            </w:r>
          </w:p>
        </w:tc>
        <w:tc>
          <w:tcPr>
            <w:tcW w:type="dxa" w:w="1296"/>
          </w:tcPr>
          <w:p>
            <w:pPr>
              <w:spacing w:before="0" w:after="0"/>
              <w:jc w:val="right"/>
            </w:pPr>
            <w:r>
              <w:rPr>
                <w:sz w:val="16"/>
              </w:rPr>
              <w:t>613</w:t>
            </w:r>
          </w:p>
        </w:tc>
        <w:tc>
          <w:tcPr>
            <w:tcW w:type="dxa" w:w="1296"/>
          </w:tcPr>
          <w:p>
            <w:pPr>
              <w:spacing w:before="0" w:after="0"/>
              <w:jc w:val="right"/>
            </w:pPr>
            <w:r>
              <w:rPr>
                <w:sz w:val="16"/>
              </w:rPr>
              <w:t>680</w:t>
            </w:r>
          </w:p>
        </w:tc>
      </w:tr>
      <w:tr>
        <w:tc>
          <w:tcPr>
            <w:tcW w:type="dxa" w:w="2736"/>
          </w:tcPr>
          <w:p>
            <w:pPr>
              <w:spacing w:before="0" w:after="0"/>
              <w:jc w:val="left"/>
            </w:pPr>
            <w:r>
              <w:rPr>
                <w:b/>
                <w:sz w:val="16"/>
              </w:rPr>
              <w:t>EBIT</w:t>
            </w:r>
          </w:p>
        </w:tc>
        <w:tc>
          <w:tcPr>
            <w:tcW w:type="dxa" w:w="1296"/>
          </w:tcPr>
          <w:p>
            <w:pPr>
              <w:spacing w:before="0" w:after="0"/>
              <w:jc w:val="right"/>
            </w:pPr>
            <w:r>
              <w:rPr>
                <w:sz w:val="16"/>
              </w:rPr>
              <w:t>4,274</w:t>
            </w:r>
          </w:p>
        </w:tc>
        <w:tc>
          <w:tcPr>
            <w:tcW w:type="dxa" w:w="1296"/>
          </w:tcPr>
          <w:p>
            <w:pPr>
              <w:spacing w:before="0" w:after="0"/>
              <w:jc w:val="right"/>
            </w:pPr>
            <w:r>
              <w:rPr>
                <w:sz w:val="16"/>
              </w:rPr>
              <w:t>5,065</w:t>
            </w:r>
          </w:p>
        </w:tc>
        <w:tc>
          <w:tcPr>
            <w:tcW w:type="dxa" w:w="1296"/>
          </w:tcPr>
          <w:p>
            <w:pPr>
              <w:spacing w:before="0" w:after="0"/>
              <w:jc w:val="right"/>
            </w:pPr>
            <w:r>
              <w:rPr>
                <w:sz w:val="16"/>
              </w:rPr>
              <w:t>5,895</w:t>
            </w:r>
          </w:p>
        </w:tc>
        <w:tc>
          <w:tcPr>
            <w:tcW w:type="dxa" w:w="1296"/>
          </w:tcPr>
          <w:p>
            <w:pPr>
              <w:spacing w:before="0" w:after="0"/>
              <w:jc w:val="right"/>
            </w:pPr>
            <w:r>
              <w:rPr>
                <w:sz w:val="16"/>
              </w:rPr>
              <w:t>6,739</w:t>
            </w:r>
          </w:p>
        </w:tc>
        <w:tc>
          <w:tcPr>
            <w:tcW w:type="dxa" w:w="1296"/>
          </w:tcPr>
          <w:p>
            <w:pPr>
              <w:spacing w:before="0" w:after="0"/>
              <w:jc w:val="right"/>
            </w:pPr>
            <w:r>
              <w:rPr>
                <w:sz w:val="16"/>
              </w:rPr>
              <w:t>7,631</w:t>
            </w:r>
          </w:p>
        </w:tc>
      </w:tr>
      <w:tr>
        <w:tc>
          <w:tcPr>
            <w:tcW w:type="dxa" w:w="2736"/>
          </w:tcPr>
          <w:p>
            <w:pPr>
              <w:spacing w:before="0" w:after="0"/>
              <w:jc w:val="left"/>
            </w:pPr>
            <w:r>
              <w:rPr>
                <w:b/>
                <w:sz w:val="16"/>
              </w:rPr>
              <w:t>NOPAT = EBIT×(1−t)</w:t>
            </w:r>
          </w:p>
        </w:tc>
        <w:tc>
          <w:tcPr>
            <w:tcW w:type="dxa" w:w="1296"/>
          </w:tcPr>
          <w:p>
            <w:pPr>
              <w:spacing w:before="0" w:after="0"/>
              <w:jc w:val="right"/>
            </w:pPr>
            <w:r>
              <w:rPr>
                <w:sz w:val="16"/>
              </w:rPr>
              <w:t>3,312</w:t>
            </w:r>
          </w:p>
        </w:tc>
        <w:tc>
          <w:tcPr>
            <w:tcW w:type="dxa" w:w="1296"/>
          </w:tcPr>
          <w:p>
            <w:pPr>
              <w:spacing w:before="0" w:after="0"/>
              <w:jc w:val="right"/>
            </w:pPr>
            <w:r>
              <w:rPr>
                <w:sz w:val="16"/>
              </w:rPr>
              <w:t>3,925</w:t>
            </w:r>
          </w:p>
        </w:tc>
        <w:tc>
          <w:tcPr>
            <w:tcW w:type="dxa" w:w="1296"/>
          </w:tcPr>
          <w:p>
            <w:pPr>
              <w:spacing w:before="0" w:after="0"/>
              <w:jc w:val="right"/>
            </w:pPr>
            <w:r>
              <w:rPr>
                <w:sz w:val="16"/>
              </w:rPr>
              <w:t>4,569</w:t>
            </w:r>
          </w:p>
        </w:tc>
        <w:tc>
          <w:tcPr>
            <w:tcW w:type="dxa" w:w="1296"/>
          </w:tcPr>
          <w:p>
            <w:pPr>
              <w:spacing w:before="0" w:after="0"/>
              <w:jc w:val="right"/>
            </w:pPr>
            <w:r>
              <w:rPr>
                <w:sz w:val="16"/>
              </w:rPr>
              <w:t>5,223</w:t>
            </w:r>
          </w:p>
        </w:tc>
        <w:tc>
          <w:tcPr>
            <w:tcW w:type="dxa" w:w="1296"/>
          </w:tcPr>
          <w:p>
            <w:pPr>
              <w:spacing w:before="0" w:after="0"/>
              <w:jc w:val="right"/>
            </w:pPr>
            <w:r>
              <w:rPr>
                <w:sz w:val="16"/>
              </w:rPr>
              <w:t>5,914</w:t>
            </w:r>
          </w:p>
        </w:tc>
      </w:tr>
      <w:tr>
        <w:tc>
          <w:tcPr>
            <w:tcW w:type="dxa" w:w="2736"/>
          </w:tcPr>
          <w:p>
            <w:pPr>
              <w:spacing w:before="0" w:after="0"/>
              <w:jc w:val="left"/>
            </w:pPr>
            <w:r>
              <w:rPr>
                <w:b/>
                <w:sz w:val="16"/>
              </w:rPr>
              <w:t>+ D&amp;A</w:t>
            </w:r>
          </w:p>
        </w:tc>
        <w:tc>
          <w:tcPr>
            <w:tcW w:type="dxa" w:w="1296"/>
          </w:tcPr>
          <w:p>
            <w:pPr>
              <w:spacing w:before="0" w:after="0"/>
              <w:jc w:val="right"/>
            </w:pPr>
            <w:r>
              <w:rPr>
                <w:sz w:val="16"/>
              </w:rPr>
              <w:t>414</w:t>
            </w:r>
          </w:p>
        </w:tc>
        <w:tc>
          <w:tcPr>
            <w:tcW w:type="dxa" w:w="1296"/>
          </w:tcPr>
          <w:p>
            <w:pPr>
              <w:spacing w:before="0" w:after="0"/>
              <w:jc w:val="right"/>
            </w:pPr>
            <w:r>
              <w:rPr>
                <w:sz w:val="16"/>
              </w:rPr>
              <w:t>480</w:t>
            </w:r>
          </w:p>
        </w:tc>
        <w:tc>
          <w:tcPr>
            <w:tcW w:type="dxa" w:w="1296"/>
          </w:tcPr>
          <w:p>
            <w:pPr>
              <w:spacing w:before="0" w:after="0"/>
              <w:jc w:val="right"/>
            </w:pPr>
            <w:r>
              <w:rPr>
                <w:sz w:val="16"/>
              </w:rPr>
              <w:t>547</w:t>
            </w:r>
          </w:p>
        </w:tc>
        <w:tc>
          <w:tcPr>
            <w:tcW w:type="dxa" w:w="1296"/>
          </w:tcPr>
          <w:p>
            <w:pPr>
              <w:spacing w:before="0" w:after="0"/>
              <w:jc w:val="right"/>
            </w:pPr>
            <w:r>
              <w:rPr>
                <w:sz w:val="16"/>
              </w:rPr>
              <w:t>613</w:t>
            </w:r>
          </w:p>
        </w:tc>
        <w:tc>
          <w:tcPr>
            <w:tcW w:type="dxa" w:w="1296"/>
          </w:tcPr>
          <w:p>
            <w:pPr>
              <w:spacing w:before="0" w:after="0"/>
              <w:jc w:val="right"/>
            </w:pPr>
            <w:r>
              <w:rPr>
                <w:sz w:val="16"/>
              </w:rPr>
              <w:t>680</w:t>
            </w:r>
          </w:p>
        </w:tc>
      </w:tr>
      <w:tr>
        <w:tc>
          <w:tcPr>
            <w:tcW w:type="dxa" w:w="2736"/>
          </w:tcPr>
          <w:p>
            <w:pPr>
              <w:spacing w:before="0" w:after="0"/>
              <w:jc w:val="left"/>
            </w:pPr>
            <w:r>
              <w:rPr>
                <w:b/>
                <w:sz w:val="16"/>
              </w:rPr>
              <w:t>− Capex</w:t>
            </w:r>
          </w:p>
        </w:tc>
        <w:tc>
          <w:tcPr>
            <w:tcW w:type="dxa" w:w="1296"/>
          </w:tcPr>
          <w:p>
            <w:pPr>
              <w:spacing w:before="0" w:after="0"/>
              <w:jc w:val="right"/>
            </w:pPr>
            <w:r>
              <w:rPr>
                <w:sz w:val="16"/>
              </w:rPr>
              <w:t>551</w:t>
            </w:r>
          </w:p>
        </w:tc>
        <w:tc>
          <w:tcPr>
            <w:tcW w:type="dxa" w:w="1296"/>
          </w:tcPr>
          <w:p>
            <w:pPr>
              <w:spacing w:before="0" w:after="0"/>
              <w:jc w:val="right"/>
            </w:pPr>
            <w:r>
              <w:rPr>
                <w:sz w:val="16"/>
              </w:rPr>
              <w:t>640</w:t>
            </w:r>
          </w:p>
        </w:tc>
        <w:tc>
          <w:tcPr>
            <w:tcW w:type="dxa" w:w="1296"/>
          </w:tcPr>
          <w:p>
            <w:pPr>
              <w:spacing w:before="0" w:after="0"/>
              <w:jc w:val="right"/>
            </w:pPr>
            <w:r>
              <w:rPr>
                <w:sz w:val="16"/>
              </w:rPr>
              <w:t>729</w:t>
            </w:r>
          </w:p>
        </w:tc>
        <w:tc>
          <w:tcPr>
            <w:tcW w:type="dxa" w:w="1296"/>
          </w:tcPr>
          <w:p>
            <w:pPr>
              <w:spacing w:before="0" w:after="0"/>
              <w:jc w:val="right"/>
            </w:pPr>
            <w:r>
              <w:rPr>
                <w:sz w:val="16"/>
              </w:rPr>
              <w:t>817</w:t>
            </w:r>
          </w:p>
        </w:tc>
        <w:tc>
          <w:tcPr>
            <w:tcW w:type="dxa" w:w="1296"/>
          </w:tcPr>
          <w:p>
            <w:pPr>
              <w:spacing w:before="0" w:after="0"/>
              <w:jc w:val="right"/>
            </w:pPr>
            <w:r>
              <w:rPr>
                <w:sz w:val="16"/>
              </w:rPr>
              <w:t>907</w:t>
            </w:r>
          </w:p>
        </w:tc>
      </w:tr>
      <w:tr>
        <w:tc>
          <w:tcPr>
            <w:tcW w:type="dxa" w:w="2736"/>
          </w:tcPr>
          <w:p>
            <w:pPr>
              <w:spacing w:before="0" w:after="0"/>
              <w:jc w:val="left"/>
            </w:pPr>
            <w:r>
              <w:rPr>
                <w:b/>
                <w:sz w:val="16"/>
              </w:rPr>
              <w:t>− Δ working capital</w:t>
            </w:r>
          </w:p>
        </w:tc>
        <w:tc>
          <w:tcPr>
            <w:tcW w:type="dxa" w:w="1296"/>
          </w:tcPr>
          <w:p>
            <w:pPr>
              <w:spacing w:before="0" w:after="0"/>
              <w:jc w:val="right"/>
            </w:pPr>
            <w:r>
              <w:rPr>
                <w:sz w:val="16"/>
              </w:rPr>
              <w:t>337</w:t>
            </w:r>
          </w:p>
        </w:tc>
        <w:tc>
          <w:tcPr>
            <w:tcW w:type="dxa" w:w="1296"/>
          </w:tcPr>
          <w:p>
            <w:pPr>
              <w:spacing w:before="0" w:after="0"/>
              <w:jc w:val="right"/>
            </w:pPr>
            <w:r>
              <w:rPr>
                <w:sz w:val="16"/>
              </w:rPr>
              <w:t>324</w:t>
            </w:r>
          </w:p>
        </w:tc>
        <w:tc>
          <w:tcPr>
            <w:tcW w:type="dxa" w:w="1296"/>
          </w:tcPr>
          <w:p>
            <w:pPr>
              <w:spacing w:before="0" w:after="0"/>
              <w:jc w:val="right"/>
            </w:pPr>
            <w:r>
              <w:rPr>
                <w:sz w:val="16"/>
              </w:rPr>
              <w:t>328</w:t>
            </w:r>
          </w:p>
        </w:tc>
        <w:tc>
          <w:tcPr>
            <w:tcW w:type="dxa" w:w="1296"/>
          </w:tcPr>
          <w:p>
            <w:pPr>
              <w:spacing w:before="0" w:after="0"/>
              <w:jc w:val="right"/>
            </w:pPr>
            <w:r>
              <w:rPr>
                <w:sz w:val="16"/>
              </w:rPr>
              <w:t>321</w:t>
            </w:r>
          </w:p>
        </w:tc>
        <w:tc>
          <w:tcPr>
            <w:tcW w:type="dxa" w:w="1296"/>
          </w:tcPr>
          <w:p>
            <w:pPr>
              <w:spacing w:before="0" w:after="0"/>
              <w:jc w:val="right"/>
            </w:pPr>
            <w:r>
              <w:rPr>
                <w:sz w:val="16"/>
              </w:rPr>
              <w:t>329</w:t>
            </w:r>
          </w:p>
        </w:tc>
      </w:tr>
      <w:tr>
        <w:tc>
          <w:tcPr>
            <w:tcW w:type="dxa" w:w="2736"/>
          </w:tcPr>
          <w:p>
            <w:pPr>
              <w:spacing w:before="0" w:after="0"/>
              <w:jc w:val="left"/>
            </w:pPr>
            <w:r>
              <w:rPr>
                <w:b/>
                <w:sz w:val="16"/>
              </w:rPr>
              <w:t>Free cash flow to firm</w:t>
            </w:r>
          </w:p>
        </w:tc>
        <w:tc>
          <w:tcPr>
            <w:tcW w:type="dxa" w:w="1296"/>
          </w:tcPr>
          <w:p>
            <w:pPr>
              <w:spacing w:before="0" w:after="0"/>
              <w:jc w:val="right"/>
            </w:pPr>
            <w:r>
              <w:rPr>
                <w:sz w:val="16"/>
              </w:rPr>
              <w:t>2,838</w:t>
            </w:r>
          </w:p>
        </w:tc>
        <w:tc>
          <w:tcPr>
            <w:tcW w:type="dxa" w:w="1296"/>
          </w:tcPr>
          <w:p>
            <w:pPr>
              <w:spacing w:before="0" w:after="0"/>
              <w:jc w:val="right"/>
            </w:pPr>
            <w:r>
              <w:rPr>
                <w:sz w:val="16"/>
              </w:rPr>
              <w:t>3,442</w:t>
            </w:r>
          </w:p>
        </w:tc>
        <w:tc>
          <w:tcPr>
            <w:tcW w:type="dxa" w:w="1296"/>
          </w:tcPr>
          <w:p>
            <w:pPr>
              <w:spacing w:before="0" w:after="0"/>
              <w:jc w:val="right"/>
            </w:pPr>
            <w:r>
              <w:rPr>
                <w:sz w:val="16"/>
              </w:rPr>
              <w:t>4,058</w:t>
            </w:r>
          </w:p>
        </w:tc>
        <w:tc>
          <w:tcPr>
            <w:tcW w:type="dxa" w:w="1296"/>
          </w:tcPr>
          <w:p>
            <w:pPr>
              <w:spacing w:before="0" w:after="0"/>
              <w:jc w:val="right"/>
            </w:pPr>
            <w:r>
              <w:rPr>
                <w:sz w:val="16"/>
              </w:rPr>
              <w:t>4,697</w:t>
            </w:r>
          </w:p>
        </w:tc>
        <w:tc>
          <w:tcPr>
            <w:tcW w:type="dxa" w:w="1296"/>
          </w:tcPr>
          <w:p>
            <w:pPr>
              <w:spacing w:before="0" w:after="0"/>
              <w:jc w:val="right"/>
            </w:pPr>
            <w:r>
              <w:rPr>
                <w:sz w:val="16"/>
              </w:rPr>
              <w:t>5,358</w:t>
            </w:r>
          </w:p>
        </w:tc>
      </w:tr>
      <w:tr>
        <w:tc>
          <w:tcPr>
            <w:tcW w:type="dxa" w:w="2736"/>
          </w:tcPr>
          <w:p>
            <w:pPr>
              <w:spacing w:before="0" w:after="0"/>
              <w:jc w:val="left"/>
            </w:pPr>
            <w:r>
              <w:rPr>
                <w:b/>
                <w:sz w:val="16"/>
              </w:rPr>
              <w:t>Discount factor</w:t>
            </w:r>
          </w:p>
        </w:tc>
        <w:tc>
          <w:tcPr>
            <w:tcW w:type="dxa" w:w="1296"/>
          </w:tcPr>
          <w:p>
            <w:pPr>
              <w:spacing w:before="0" w:after="0"/>
              <w:jc w:val="right"/>
            </w:pPr>
            <w:r>
              <w:rPr>
                <w:sz w:val="16"/>
              </w:rPr>
              <w:t>0.795</w:t>
            </w:r>
          </w:p>
        </w:tc>
        <w:tc>
          <w:tcPr>
            <w:tcW w:type="dxa" w:w="1296"/>
          </w:tcPr>
          <w:p>
            <w:pPr>
              <w:spacing w:before="0" w:after="0"/>
              <w:jc w:val="right"/>
            </w:pPr>
            <w:r>
              <w:rPr>
                <w:sz w:val="16"/>
              </w:rPr>
              <w:t>0.632</w:t>
            </w:r>
          </w:p>
        </w:tc>
        <w:tc>
          <w:tcPr>
            <w:tcW w:type="dxa" w:w="1296"/>
          </w:tcPr>
          <w:p>
            <w:pPr>
              <w:spacing w:before="0" w:after="0"/>
              <w:jc w:val="right"/>
            </w:pPr>
            <w:r>
              <w:rPr>
                <w:sz w:val="16"/>
              </w:rPr>
              <w:t>0.502</w:t>
            </w:r>
          </w:p>
        </w:tc>
        <w:tc>
          <w:tcPr>
            <w:tcW w:type="dxa" w:w="1296"/>
          </w:tcPr>
          <w:p>
            <w:pPr>
              <w:spacing w:before="0" w:after="0"/>
              <w:jc w:val="right"/>
            </w:pPr>
            <w:r>
              <w:rPr>
                <w:sz w:val="16"/>
              </w:rPr>
              <w:t>0.399</w:t>
            </w:r>
          </w:p>
        </w:tc>
        <w:tc>
          <w:tcPr>
            <w:tcW w:type="dxa" w:w="1296"/>
          </w:tcPr>
          <w:p>
            <w:pPr>
              <w:spacing w:before="0" w:after="0"/>
              <w:jc w:val="right"/>
            </w:pPr>
            <w:r>
              <w:rPr>
                <w:sz w:val="16"/>
              </w:rPr>
              <w:t>0.318</w:t>
            </w:r>
          </w:p>
        </w:tc>
      </w:tr>
      <w:tr>
        <w:tc>
          <w:tcPr>
            <w:tcW w:type="dxa" w:w="2736"/>
          </w:tcPr>
          <w:p>
            <w:pPr>
              <w:spacing w:before="0" w:after="0"/>
              <w:jc w:val="left"/>
            </w:pPr>
            <w:r>
              <w:rPr>
                <w:b/>
                <w:sz w:val="16"/>
              </w:rPr>
              <w:t>PV of FCFF</w:t>
            </w:r>
          </w:p>
        </w:tc>
        <w:tc>
          <w:tcPr>
            <w:tcW w:type="dxa" w:w="1296"/>
          </w:tcPr>
          <w:p>
            <w:pPr>
              <w:spacing w:before="0" w:after="0"/>
              <w:jc w:val="right"/>
            </w:pPr>
            <w:r>
              <w:rPr>
                <w:sz w:val="16"/>
              </w:rPr>
              <w:t>2,256</w:t>
            </w:r>
          </w:p>
        </w:tc>
        <w:tc>
          <w:tcPr>
            <w:tcW w:type="dxa" w:w="1296"/>
          </w:tcPr>
          <w:p>
            <w:pPr>
              <w:spacing w:before="0" w:after="0"/>
              <w:jc w:val="right"/>
            </w:pPr>
            <w:r>
              <w:rPr>
                <w:sz w:val="16"/>
              </w:rPr>
              <w:t>2,175</w:t>
            </w:r>
          </w:p>
        </w:tc>
        <w:tc>
          <w:tcPr>
            <w:tcW w:type="dxa" w:w="1296"/>
          </w:tcPr>
          <w:p>
            <w:pPr>
              <w:spacing w:before="0" w:after="0"/>
              <w:jc w:val="right"/>
            </w:pPr>
            <w:r>
              <w:rPr>
                <w:sz w:val="16"/>
              </w:rPr>
              <w:t>2,039</w:t>
            </w:r>
          </w:p>
        </w:tc>
        <w:tc>
          <w:tcPr>
            <w:tcW w:type="dxa" w:w="1296"/>
          </w:tcPr>
          <w:p>
            <w:pPr>
              <w:spacing w:before="0" w:after="0"/>
              <w:jc w:val="right"/>
            </w:pPr>
            <w:r>
              <w:rPr>
                <w:sz w:val="16"/>
              </w:rPr>
              <w:t>1,876</w:t>
            </w:r>
          </w:p>
        </w:tc>
        <w:tc>
          <w:tcPr>
            <w:tcW w:type="dxa" w:w="1296"/>
          </w:tcPr>
          <w:p>
            <w:pPr>
              <w:spacing w:before="0" w:after="0"/>
              <w:jc w:val="right"/>
            </w:pPr>
            <w:r>
              <w:rPr>
                <w:sz w:val="16"/>
              </w:rPr>
              <w:t>1,701</w:t>
            </w:r>
          </w:p>
        </w:tc>
      </w:tr>
    </w:tbl>
    <w:p>
      <w:pPr>
        <w:spacing w:after="120" w:before="20"/>
      </w:pPr>
      <w:r>
        <w:rPr>
          <w:b w:val="0"/>
          <w:i/>
          <w:color w:val="777777"/>
          <w:sz w:val="16"/>
        </w:rPr>
        <w:t>DCF waterfall — full five-year build (row order per house standard). Forecast inputs are the preparer's judgments.</w:t>
      </w:r>
    </w:p>
    <w:tbl>
      <w:tblPr>
        <w:tblStyle w:val="TableGrid"/>
        <w:tblW w:type="auto" w:w="0"/>
        <w:jc w:val="center"/>
        <w:tblLook w:firstColumn="1" w:firstRow="1" w:lastColumn="0" w:lastRow="0" w:noHBand="0" w:noVBand="1" w:val="04A0"/>
      </w:tblPr>
      <w:tblGrid>
        <w:gridCol w:w="4968"/>
        <w:gridCol w:w="4968"/>
      </w:tblGrid>
      <w:tr>
        <w:tc>
          <w:tcPr>
            <w:tcW w:type="dxa" w:w="4752"/>
            <w:shd w:val="clear" w:fill="1B5E5E"/>
          </w:tcPr>
          <w:p>
            <w:pPr>
              <w:spacing w:before="0" w:after="0"/>
              <w:jc w:val="left"/>
            </w:pPr>
            <w:r>
              <w:rPr>
                <w:b/>
                <w:color w:val="FFFFFF"/>
                <w:sz w:val="17"/>
              </w:rPr>
              <w:t>DCF bridge</w:t>
            </w:r>
          </w:p>
        </w:tc>
        <w:tc>
          <w:tcPr>
            <w:tcW w:type="dxa" w:w="4752"/>
            <w:shd w:val="clear" w:fill="1B5E5E"/>
          </w:tcPr>
          <w:p>
            <w:pPr>
              <w:spacing w:before="0" w:after="0"/>
              <w:jc w:val="center"/>
            </w:pPr>
            <w:r>
              <w:rPr>
                <w:b/>
                <w:color w:val="FFFFFF"/>
                <w:sz w:val="17"/>
              </w:rPr>
              <w:t>EGP mn / per share</w:t>
            </w:r>
          </w:p>
        </w:tc>
      </w:tr>
      <w:tr>
        <w:tc>
          <w:tcPr>
            <w:tcW w:type="dxa" w:w="4752"/>
          </w:tcPr>
          <w:p>
            <w:pPr>
              <w:spacing w:before="0" w:after="0"/>
              <w:jc w:val="left"/>
            </w:pPr>
            <w:r>
              <w:rPr>
                <w:b/>
                <w:sz w:val="17"/>
              </w:rPr>
              <w:t>Σ PV of explicit FCFF (FY26–30)</w:t>
            </w:r>
          </w:p>
        </w:tc>
        <w:tc>
          <w:tcPr>
            <w:tcW w:type="dxa" w:w="4752"/>
          </w:tcPr>
          <w:p>
            <w:pPr>
              <w:spacing w:before="0" w:after="0"/>
              <w:jc w:val="right"/>
            </w:pPr>
            <w:r>
              <w:rPr>
                <w:sz w:val="17"/>
              </w:rPr>
              <w:t>10,048</w:t>
            </w:r>
          </w:p>
        </w:tc>
      </w:tr>
      <w:tr>
        <w:tc>
          <w:tcPr>
            <w:tcW w:type="dxa" w:w="4752"/>
          </w:tcPr>
          <w:p>
            <w:pPr>
              <w:spacing w:before="0" w:after="0"/>
              <w:jc w:val="left"/>
            </w:pPr>
            <w:r>
              <w:rPr>
                <w:b/>
                <w:sz w:val="17"/>
              </w:rPr>
              <w:t>Terminal value (Gordon)</w:t>
            </w:r>
          </w:p>
        </w:tc>
        <w:tc>
          <w:tcPr>
            <w:tcW w:type="dxa" w:w="4752"/>
          </w:tcPr>
          <w:p>
            <w:pPr>
              <w:spacing w:before="0" w:after="0"/>
              <w:jc w:val="right"/>
            </w:pPr>
            <w:r>
              <w:rPr>
                <w:sz w:val="17"/>
              </w:rPr>
              <w:t>45,364</w:t>
            </w:r>
          </w:p>
        </w:tc>
      </w:tr>
      <w:tr>
        <w:tc>
          <w:tcPr>
            <w:tcW w:type="dxa" w:w="4752"/>
          </w:tcPr>
          <w:p>
            <w:pPr>
              <w:spacing w:before="0" w:after="0"/>
              <w:jc w:val="left"/>
            </w:pPr>
            <w:r>
              <w:rPr>
                <w:b/>
                <w:sz w:val="17"/>
              </w:rPr>
              <w:t>PV of terminal value</w:t>
            </w:r>
          </w:p>
        </w:tc>
        <w:tc>
          <w:tcPr>
            <w:tcW w:type="dxa" w:w="4752"/>
          </w:tcPr>
          <w:p>
            <w:pPr>
              <w:spacing w:before="0" w:after="0"/>
              <w:jc w:val="right"/>
            </w:pPr>
            <w:r>
              <w:rPr>
                <w:sz w:val="17"/>
              </w:rPr>
              <w:t>14,405</w:t>
            </w:r>
          </w:p>
        </w:tc>
      </w:tr>
      <w:tr>
        <w:tc>
          <w:tcPr>
            <w:tcW w:type="dxa" w:w="4752"/>
          </w:tcPr>
          <w:p>
            <w:pPr>
              <w:spacing w:before="0" w:after="0"/>
              <w:jc w:val="left"/>
            </w:pPr>
            <w:r>
              <w:rPr>
                <w:b/>
                <w:sz w:val="17"/>
              </w:rPr>
              <w:t>Enterprise value</w:t>
            </w:r>
          </w:p>
        </w:tc>
        <w:tc>
          <w:tcPr>
            <w:tcW w:type="dxa" w:w="4752"/>
          </w:tcPr>
          <w:p>
            <w:pPr>
              <w:spacing w:before="0" w:after="0"/>
              <w:jc w:val="right"/>
            </w:pPr>
            <w:r>
              <w:rPr>
                <w:sz w:val="17"/>
              </w:rPr>
              <w:t>24,453</w:t>
            </w:r>
          </w:p>
        </w:tc>
      </w:tr>
      <w:tr>
        <w:tc>
          <w:tcPr>
            <w:tcW w:type="dxa" w:w="4752"/>
          </w:tcPr>
          <w:p>
            <w:pPr>
              <w:spacing w:before="0" w:after="0"/>
              <w:jc w:val="left"/>
            </w:pPr>
            <w:r>
              <w:rPr>
                <w:b/>
                <w:sz w:val="17"/>
              </w:rPr>
              <w:t>less: net interest-bearing debt</w:t>
            </w:r>
          </w:p>
        </w:tc>
        <w:tc>
          <w:tcPr>
            <w:tcW w:type="dxa" w:w="4752"/>
          </w:tcPr>
          <w:p>
            <w:pPr>
              <w:spacing w:before="0" w:after="0"/>
              <w:jc w:val="right"/>
            </w:pPr>
            <w:r>
              <w:rPr>
                <w:sz w:val="17"/>
              </w:rPr>
              <w:t>(4,500)</w:t>
            </w:r>
          </w:p>
        </w:tc>
      </w:tr>
      <w:tr>
        <w:tc>
          <w:tcPr>
            <w:tcW w:type="dxa" w:w="4752"/>
          </w:tcPr>
          <w:p>
            <w:pPr>
              <w:spacing w:before="0" w:after="0"/>
              <w:jc w:val="left"/>
            </w:pPr>
            <w:r>
              <w:rPr>
                <w:b/>
                <w:sz w:val="17"/>
              </w:rPr>
              <w:t>Equity value</w:t>
            </w:r>
          </w:p>
        </w:tc>
        <w:tc>
          <w:tcPr>
            <w:tcW w:type="dxa" w:w="4752"/>
          </w:tcPr>
          <w:p>
            <w:pPr>
              <w:spacing w:before="0" w:after="0"/>
              <w:jc w:val="right"/>
            </w:pPr>
            <w:r>
              <w:rPr>
                <w:sz w:val="17"/>
              </w:rPr>
              <w:t>19,953</w:t>
            </w:r>
          </w:p>
        </w:tc>
      </w:tr>
      <w:tr>
        <w:tc>
          <w:tcPr>
            <w:tcW w:type="dxa" w:w="4752"/>
          </w:tcPr>
          <w:p>
            <w:pPr>
              <w:spacing w:before="0" w:after="0"/>
              <w:jc w:val="left"/>
            </w:pPr>
            <w:r>
              <w:rPr>
                <w:b/>
                <w:sz w:val="17"/>
              </w:rPr>
              <w:t>Fair value per share</w:t>
            </w:r>
          </w:p>
        </w:tc>
        <w:tc>
          <w:tcPr>
            <w:tcW w:type="dxa" w:w="4752"/>
          </w:tcPr>
          <w:p>
            <w:pPr>
              <w:spacing w:before="0" w:after="0"/>
              <w:jc w:val="right"/>
            </w:pPr>
            <w:r>
              <w:rPr>
                <w:sz w:val="17"/>
              </w:rPr>
              <w:t>EGP 19.79</w:t>
            </w:r>
          </w:p>
        </w:tc>
      </w:tr>
      <w:tr>
        <w:tc>
          <w:tcPr>
            <w:tcW w:type="dxa" w:w="4752"/>
          </w:tcPr>
          <w:p>
            <w:pPr>
              <w:spacing w:before="0" w:after="0"/>
              <w:jc w:val="left"/>
            </w:pPr>
            <w:r>
              <w:rPr>
                <w:b/>
                <w:sz w:val="17"/>
              </w:rPr>
              <w:t>Terminal value as % of EV</w:t>
            </w:r>
          </w:p>
        </w:tc>
        <w:tc>
          <w:tcPr>
            <w:tcW w:type="dxa" w:w="4752"/>
          </w:tcPr>
          <w:p>
            <w:pPr>
              <w:spacing w:before="0" w:after="0"/>
              <w:jc w:val="right"/>
            </w:pPr>
            <w:r>
              <w:rPr>
                <w:sz w:val="17"/>
              </w:rPr>
              <w:t>59%</w:t>
            </w:r>
          </w:p>
        </w:tc>
      </w:tr>
      <w:tr>
        <w:tc>
          <w:tcPr>
            <w:tcW w:type="dxa" w:w="4752"/>
          </w:tcPr>
          <w:p>
            <w:pPr>
              <w:spacing w:before="0" w:after="0"/>
              <w:jc w:val="left"/>
            </w:pPr>
            <w:r>
              <w:rPr>
                <w:b/>
                <w:sz w:val="17"/>
              </w:rPr>
              <w:t>Bear / base / bull (WACC×g grid)</w:t>
            </w:r>
          </w:p>
        </w:tc>
        <w:tc>
          <w:tcPr>
            <w:tcW w:type="dxa" w:w="4752"/>
          </w:tcPr>
          <w:p>
            <w:pPr>
              <w:spacing w:before="0" w:after="0"/>
              <w:jc w:val="right"/>
            </w:pPr>
            <w:r>
              <w:rPr>
                <w:sz w:val="17"/>
              </w:rPr>
              <w:t>EGP 13.7 / 19.8 / 23.7</w:t>
            </w:r>
          </w:p>
        </w:tc>
      </w:tr>
    </w:tbl>
    <w:p>
      <w:pPr>
        <w:spacing w:after="120" w:before="20"/>
      </w:pPr>
      <w:r>
        <w:rPr>
          <w:b w:val="0"/>
          <w:i/>
          <w:color w:val="777777"/>
          <w:sz w:val="16"/>
        </w:rPr>
        <w:t>Terminal value is 59% of EV — a meaningful (but not extreme) terminal dependency; disclosed and sensitized per device A-7. See the WACC×g grid in §1.9.</w:t>
      </w:r>
    </w:p>
    <w:p>
      <w:pPr>
        <w:spacing w:after="60" w:before="140"/>
      </w:pPr>
      <w:r>
        <w:rPr>
          <w:b/>
          <w:i w:val="0"/>
          <w:color w:val="2A8F8F"/>
          <w:sz w:val="23"/>
        </w:rPr>
        <w:t>1.2  Cash-flow cross-check</w:t>
      </w:r>
    </w:p>
    <w:p>
      <w:pPr>
        <w:spacing w:after="80" w:before="0"/>
      </w:pPr>
      <w:r>
        <w:rPr>
          <w:b w:val="0"/>
          <w:i w:val="0"/>
          <w:color w:val="222222"/>
          <w:sz w:val="20"/>
        </w:rPr>
        <w:t>The DCF's engine is FCFF, so the cross-check is a sanity read on cash generation rather than a second model. ISPH's near-zero cash-conversion cycle is the distinguishing feature: receivables of ~90 days and inventory of ~30 days are almost fully funded by ~119 days of supplier payables, so incremental revenue absorbs little net working capital and FCFF tracks NOPAT plus D&amp;A minus modest capex. The risk sits in the tails of that cycle — an acceleration in re-pricing forces the company to buy inventory in cash at higher prices before it can collect, temporarily inflating debt (management flagged exactly this for the first three quarters of 2025). FY26 FCFF of ~EGP 2,838 mn on an EV of ~EGP 24,453 mn is a forward FCFF yield around 12%.</w:t>
      </w:r>
    </w:p>
    <w:p>
      <w:pPr>
        <w:spacing w:after="60" w:before="140"/>
      </w:pPr>
      <w:r>
        <w:rPr>
          <w:b/>
          <w:i w:val="0"/>
          <w:color w:val="2A8F8F"/>
          <w:sz w:val="23"/>
        </w:rPr>
        <w:t>1.3  Relative multiples</w:t>
      </w:r>
    </w:p>
    <w:p>
      <w:pPr>
        <w:spacing w:after="80" w:before="0"/>
      </w:pPr>
      <w:r>
        <w:rPr>
          <w:b w:val="0"/>
          <w:i w:val="0"/>
          <w:color w:val="222222"/>
          <w:sz w:val="20"/>
        </w:rPr>
        <w:t>The market values ISPH at ~4.2x trailing EV/EBITDA and ~12x earnings. Global and EM healthcare distributors typically trade 6–10x EV/EBITDA, but that gap is a fair Egyptian risk discount, not a mispricing on its own. Anchoring on trailing FY25 EBITDA of EGP 3,880 mn and allowing a modest re-rating to 5.5x as margins and rates normalise gives:</w:t>
      </w:r>
    </w:p>
    <w:tbl>
      <w:tblPr>
        <w:tblStyle w:val="TableGrid"/>
        <w:tblW w:type="auto" w:w="0"/>
        <w:jc w:val="center"/>
        <w:tblLook w:firstColumn="1" w:firstRow="1" w:lastColumn="0" w:lastRow="0" w:noHBand="0" w:noVBand="1" w:val="04A0"/>
      </w:tblPr>
      <w:tblGrid>
        <w:gridCol w:w="4968"/>
        <w:gridCol w:w="4968"/>
      </w:tblGrid>
      <w:tr>
        <w:tc>
          <w:tcPr>
            <w:tcW w:type="dxa" w:w="4752"/>
            <w:shd w:val="clear" w:fill="1B5E5E"/>
          </w:tcPr>
          <w:p>
            <w:pPr>
              <w:spacing w:before="0" w:after="0"/>
              <w:jc w:val="left"/>
            </w:pPr>
            <w:r>
              <w:rPr>
                <w:b/>
                <w:color w:val="FFFFFF"/>
                <w:sz w:val="17"/>
              </w:rPr>
              <w:t>EV/EBITDA lens</w:t>
            </w:r>
          </w:p>
        </w:tc>
        <w:tc>
          <w:tcPr>
            <w:tcW w:type="dxa" w:w="4752"/>
            <w:shd w:val="clear" w:fill="1B5E5E"/>
          </w:tcPr>
          <w:p>
            <w:pPr>
              <w:spacing w:before="0" w:after="0"/>
              <w:jc w:val="center"/>
            </w:pPr>
            <w:r>
              <w:rPr>
                <w:b/>
                <w:color w:val="FFFFFF"/>
                <w:sz w:val="17"/>
              </w:rPr>
              <w:t>Value</w:t>
            </w:r>
          </w:p>
        </w:tc>
      </w:tr>
      <w:tr>
        <w:tc>
          <w:tcPr>
            <w:tcW w:type="dxa" w:w="4752"/>
          </w:tcPr>
          <w:p>
            <w:pPr>
              <w:spacing w:before="0" w:after="0"/>
              <w:jc w:val="left"/>
            </w:pPr>
            <w:r>
              <w:rPr>
                <w:b/>
                <w:sz w:val="17"/>
              </w:rPr>
              <w:t>Trailing EBITDA (FY25)</w:t>
            </w:r>
          </w:p>
        </w:tc>
        <w:tc>
          <w:tcPr>
            <w:tcW w:type="dxa" w:w="4752"/>
          </w:tcPr>
          <w:p>
            <w:pPr>
              <w:spacing w:before="0" w:after="0"/>
              <w:jc w:val="right"/>
            </w:pPr>
            <w:r>
              <w:rPr>
                <w:sz w:val="17"/>
              </w:rPr>
              <w:t>EGP 3,880 mn</w:t>
            </w:r>
          </w:p>
        </w:tc>
      </w:tr>
      <w:tr>
        <w:tc>
          <w:tcPr>
            <w:tcW w:type="dxa" w:w="4752"/>
          </w:tcPr>
          <w:p>
            <w:pPr>
              <w:spacing w:before="0" w:after="0"/>
              <w:jc w:val="left"/>
            </w:pPr>
            <w:r>
              <w:rPr>
                <w:b/>
                <w:sz w:val="17"/>
              </w:rPr>
              <w:t>Target multiple (bear/base/bull)</w:t>
            </w:r>
          </w:p>
        </w:tc>
        <w:tc>
          <w:tcPr>
            <w:tcW w:type="dxa" w:w="4752"/>
          </w:tcPr>
          <w:p>
            <w:pPr>
              <w:spacing w:before="0" w:after="0"/>
              <w:jc w:val="right"/>
            </w:pPr>
            <w:r>
              <w:rPr>
                <w:sz w:val="17"/>
              </w:rPr>
              <w:t>4.5x / 5.5x / 7.0x</w:t>
            </w:r>
          </w:p>
        </w:tc>
      </w:tr>
      <w:tr>
        <w:tc>
          <w:tcPr>
            <w:tcW w:type="dxa" w:w="4752"/>
          </w:tcPr>
          <w:p>
            <w:pPr>
              <w:spacing w:before="0" w:after="0"/>
              <w:jc w:val="left"/>
            </w:pPr>
            <w:r>
              <w:rPr>
                <w:b/>
                <w:sz w:val="17"/>
              </w:rPr>
              <w:t>Implied fair value / share</w:t>
            </w:r>
          </w:p>
        </w:tc>
        <w:tc>
          <w:tcPr>
            <w:tcW w:type="dxa" w:w="4752"/>
          </w:tcPr>
          <w:p>
            <w:pPr>
              <w:spacing w:before="0" w:after="0"/>
              <w:jc w:val="right"/>
            </w:pPr>
            <w:r>
              <w:rPr>
                <w:sz w:val="17"/>
              </w:rPr>
              <w:t>EGP 12.9 / 16.7 / 22.5</w:t>
            </w:r>
          </w:p>
        </w:tc>
      </w:tr>
    </w:tbl>
    <w:p>
      <w:pPr>
        <w:spacing w:after="120" w:before="20"/>
      </w:pPr>
      <w:r>
        <w:rPr>
          <w:b w:val="0"/>
          <w:i/>
          <w:color w:val="777777"/>
          <w:sz w:val="16"/>
        </w:rPr>
        <w:t>Multiple anchored on trailing (not forward) EBITDA to avoid double-counting growth already in the DCF.</w:t>
      </w:r>
    </w:p>
    <w:p>
      <w:pPr>
        <w:spacing w:after="60" w:before="140"/>
      </w:pPr>
      <w:r>
        <w:rPr>
          <w:b/>
          <w:i w:val="0"/>
          <w:color w:val="2A8F8F"/>
          <w:sz w:val="23"/>
        </w:rPr>
        <w:t>1.4  Normalized earnings power</w:t>
      </w:r>
    </w:p>
    <w:p>
      <w:pPr>
        <w:spacing w:after="80" w:before="0"/>
      </w:pPr>
      <w:r>
        <w:rPr>
          <w:b w:val="0"/>
          <w:i w:val="0"/>
          <w:color w:val="222222"/>
          <w:sz w:val="20"/>
        </w:rPr>
        <w:t>The swing variable for a thin-margin, highly-levered distributor is the net margin, which is compressed today by finance costs. Normalizing the net margin toward ~1.7–1.9% as CBE rates ease (from a FY25 ~1.2%) and applying a justified P/E of ~10x to FY27E revenue gives an earnings-power fair value that brackets the DCF:</w:t>
      </w:r>
    </w:p>
    <w:tbl>
      <w:tblPr>
        <w:tblStyle w:val="TableGrid"/>
        <w:tblW w:type="auto" w:w="0"/>
        <w:jc w:val="center"/>
        <w:tblLook w:firstColumn="1" w:firstRow="1" w:lastColumn="0" w:lastRow="0" w:noHBand="0" w:noVBand="1" w:val="04A0"/>
      </w:tblPr>
      <w:tblGrid>
        <w:gridCol w:w="4968"/>
        <w:gridCol w:w="4968"/>
      </w:tblGrid>
      <w:tr>
        <w:tc>
          <w:tcPr>
            <w:tcW w:type="dxa" w:w="4752"/>
            <w:shd w:val="clear" w:fill="1B5E5E"/>
          </w:tcPr>
          <w:p>
            <w:pPr>
              <w:spacing w:before="0" w:after="0"/>
              <w:jc w:val="left"/>
            </w:pPr>
            <w:r>
              <w:rPr>
                <w:b/>
                <w:color w:val="FFFFFF"/>
                <w:sz w:val="17"/>
              </w:rPr>
              <w:t>Normalized-earnings lens</w:t>
            </w:r>
          </w:p>
        </w:tc>
        <w:tc>
          <w:tcPr>
            <w:tcW w:type="dxa" w:w="4752"/>
            <w:shd w:val="clear" w:fill="1B5E5E"/>
          </w:tcPr>
          <w:p>
            <w:pPr>
              <w:spacing w:before="0" w:after="0"/>
              <w:jc w:val="center"/>
            </w:pPr>
            <w:r>
              <w:rPr>
                <w:b/>
                <w:color w:val="FFFFFF"/>
                <w:sz w:val="17"/>
              </w:rPr>
              <w:t>Value</w:t>
            </w:r>
          </w:p>
        </w:tc>
      </w:tr>
      <w:tr>
        <w:tc>
          <w:tcPr>
            <w:tcW w:type="dxa" w:w="4752"/>
          </w:tcPr>
          <w:p>
            <w:pPr>
              <w:spacing w:before="0" w:after="0"/>
              <w:jc w:val="left"/>
            </w:pPr>
            <w:r>
              <w:rPr>
                <w:b/>
                <w:sz w:val="17"/>
              </w:rPr>
              <w:t>FY27E revenue</w:t>
            </w:r>
          </w:p>
        </w:tc>
        <w:tc>
          <w:tcPr>
            <w:tcW w:type="dxa" w:w="4752"/>
          </w:tcPr>
          <w:p>
            <w:pPr>
              <w:spacing w:before="0" w:after="0"/>
              <w:jc w:val="right"/>
            </w:pPr>
            <w:r>
              <w:rPr>
                <w:sz w:val="17"/>
              </w:rPr>
              <w:t>EGP 106,623 mn</w:t>
            </w:r>
          </w:p>
        </w:tc>
      </w:tr>
      <w:tr>
        <w:tc>
          <w:tcPr>
            <w:tcW w:type="dxa" w:w="4752"/>
          </w:tcPr>
          <w:p>
            <w:pPr>
              <w:spacing w:before="0" w:after="0"/>
              <w:jc w:val="left"/>
            </w:pPr>
            <w:r>
              <w:rPr>
                <w:b/>
                <w:sz w:val="17"/>
              </w:rPr>
              <w:t>Normalized net margin (bear/base/bull)</w:t>
            </w:r>
          </w:p>
        </w:tc>
        <w:tc>
          <w:tcPr>
            <w:tcW w:type="dxa" w:w="4752"/>
          </w:tcPr>
          <w:p>
            <w:pPr>
              <w:spacing w:before="0" w:after="0"/>
              <w:jc w:val="right"/>
            </w:pPr>
            <w:r>
              <w:rPr>
                <w:sz w:val="17"/>
              </w:rPr>
              <w:t>1.4% / 1.7% / 2.0%</w:t>
            </w:r>
          </w:p>
        </w:tc>
      </w:tr>
      <w:tr>
        <w:tc>
          <w:tcPr>
            <w:tcW w:type="dxa" w:w="4752"/>
          </w:tcPr>
          <w:p>
            <w:pPr>
              <w:spacing w:before="0" w:after="0"/>
              <w:jc w:val="left"/>
            </w:pPr>
            <w:r>
              <w:rPr>
                <w:b/>
                <w:sz w:val="17"/>
              </w:rPr>
              <w:t>Justified P/E</w:t>
            </w:r>
          </w:p>
        </w:tc>
        <w:tc>
          <w:tcPr>
            <w:tcW w:type="dxa" w:w="4752"/>
          </w:tcPr>
          <w:p>
            <w:pPr>
              <w:spacing w:before="0" w:after="0"/>
              <w:jc w:val="right"/>
            </w:pPr>
            <w:r>
              <w:rPr>
                <w:sz w:val="17"/>
              </w:rPr>
              <w:t>8.5x / 10.0x / 12.0x</w:t>
            </w:r>
          </w:p>
        </w:tc>
      </w:tr>
      <w:tr>
        <w:tc>
          <w:tcPr>
            <w:tcW w:type="dxa" w:w="4752"/>
          </w:tcPr>
          <w:p>
            <w:pPr>
              <w:spacing w:before="0" w:after="0"/>
              <w:jc w:val="left"/>
            </w:pPr>
            <w:r>
              <w:rPr>
                <w:b/>
                <w:sz w:val="17"/>
              </w:rPr>
              <w:t>Implied fair value / share</w:t>
            </w:r>
          </w:p>
        </w:tc>
        <w:tc>
          <w:tcPr>
            <w:tcW w:type="dxa" w:w="4752"/>
          </w:tcPr>
          <w:p>
            <w:pPr>
              <w:spacing w:before="0" w:after="0"/>
              <w:jc w:val="right"/>
            </w:pPr>
            <w:r>
              <w:rPr>
                <w:sz w:val="17"/>
              </w:rPr>
              <w:t>EGP 12.6 / 18.0 / 25.4</w:t>
            </w:r>
          </w:p>
        </w:tc>
      </w:tr>
    </w:tbl>
    <w:p>
      <w:pPr>
        <w:spacing w:after="120" w:before="20"/>
      </w:pPr>
      <w:r>
        <w:rPr>
          <w:b w:val="0"/>
          <w:i/>
          <w:color w:val="777777"/>
          <w:sz w:val="16"/>
        </w:rPr>
        <w:t>Peak/mid-cycle framing: current net margin is trough-like (rate-compressed), so we normalize UP — but conservatively.</w:t>
      </w:r>
    </w:p>
    <w:p>
      <w:pPr>
        <w:spacing w:after="60" w:before="140"/>
      </w:pPr>
      <w:r>
        <w:rPr>
          <w:b/>
          <w:i w:val="0"/>
          <w:color w:val="2A8F8F"/>
          <w:sz w:val="23"/>
        </w:rPr>
        <w:t>1.5  Synthesis — four lenses and the football field</w:t>
      </w:r>
    </w:p>
    <w:p>
      <w:pPr>
        <w:spacing w:after="80" w:before="0"/>
      </w:pPr>
      <w:r>
        <w:rPr>
          <w:b w:val="0"/>
          <w:i w:val="0"/>
          <w:color w:val="222222"/>
          <w:sz w:val="20"/>
        </w:rPr>
        <w:t>We weight the DCF most heavily (it captures the cash economics), the relative and normalized lenses next, and a dividend-yield floor lightly. We publish the football field rather than a blended point: the lenses are far enough apart that a single averaged number would be false precision (device A-8).</w:t>
      </w:r>
    </w:p>
    <w:p>
      <w:pPr>
        <w:jc w:val="center"/>
      </w:pPr>
      <w:r>
        <w:drawing>
          <wp:inline xmlns:a="http://schemas.openxmlformats.org/drawingml/2006/main" xmlns:pic="http://schemas.openxmlformats.org/drawingml/2006/picture">
            <wp:extent cx="5669280" cy="2509941"/>
            <wp:docPr id="2" name="Picture 2"/>
            <wp:cNvGraphicFramePr>
              <a:graphicFrameLocks noChangeAspect="1"/>
            </wp:cNvGraphicFramePr>
            <a:graphic>
              <a:graphicData uri="http://schemas.openxmlformats.org/drawingml/2006/picture">
                <pic:pic>
                  <pic:nvPicPr>
                    <pic:cNvPr id="0" name="fig1_football.png"/>
                    <pic:cNvPicPr/>
                  </pic:nvPicPr>
                  <pic:blipFill>
                    <a:blip r:embed="rId10"/>
                    <a:stretch>
                      <a:fillRect/>
                    </a:stretch>
                  </pic:blipFill>
                  <pic:spPr>
                    <a:xfrm>
                      <a:off x="0" y="0"/>
                      <a:ext cx="5669280" cy="2509941"/>
                    </a:xfrm>
                    <a:prstGeom prst="rect"/>
                  </pic:spPr>
                </pic:pic>
              </a:graphicData>
            </a:graphic>
          </wp:inline>
        </w:drawing>
      </w:r>
    </w:p>
    <w:p>
      <w:pPr>
        <w:spacing w:after="120" w:before="20"/>
        <w:jc w:val="center"/>
      </w:pPr>
      <w:r>
        <w:rPr>
          <w:b w:val="0"/>
          <w:i/>
          <w:color w:val="777777"/>
          <w:sz w:val="16"/>
        </w:rPr>
        <w:t>Figure 2 — Valuation football field. Bars span bear–bull; ticks mark each lens's base; gold line is the weighted central; dashed line is spot.</w:t>
      </w:r>
    </w:p>
    <w:p>
      <w:pPr>
        <w:spacing w:after="60" w:before="140"/>
      </w:pPr>
      <w:r>
        <w:rPr>
          <w:b/>
          <w:i w:val="0"/>
          <w:color w:val="2A8F8F"/>
          <w:sz w:val="23"/>
        </w:rPr>
        <w:t>1.6  Deeper look — channels and a scorecard</w:t>
      </w:r>
    </w:p>
    <w:p>
      <w:pPr>
        <w:spacing w:after="80" w:before="0"/>
      </w:pPr>
      <w:r>
        <w:rPr>
          <w:b w:val="0"/>
          <w:i w:val="0"/>
          <w:color w:val="222222"/>
          <w:sz w:val="20"/>
        </w:rPr>
        <w:t>ISPH sells through three channels: retail pharmacies (the largest, ~46% of FY23 revenue), wholesale (~33%), and tenders &amp; private hospitals (~20%). Retail's share has been managed down since 2022 as the company tightened credit limits to control receivables risk — a deliberate quality-over-share choice that distinguishes it from struggling competitors who chased share by extending terms. Growth is now driven by re-pricing (inflation pass-through on a regulated drug basket) and market-share gains as financially-stable ISPH wins supplier agreements.</w:t>
      </w:r>
    </w:p>
    <w:tbl>
      <w:tblPr>
        <w:tblStyle w:val="TableGrid"/>
        <w:tblW w:type="auto" w:w="0"/>
        <w:jc w:val="center"/>
        <w:tblLook w:firstColumn="1" w:firstRow="1" w:lastColumn="0" w:lastRow="0" w:noHBand="0" w:noVBand="1" w:val="04A0"/>
      </w:tblPr>
      <w:tblGrid>
        <w:gridCol w:w="4968"/>
        <w:gridCol w:w="4968"/>
      </w:tblGrid>
      <w:tr>
        <w:tc>
          <w:tcPr>
            <w:tcW w:type="dxa" w:w="3168"/>
            <w:shd w:val="clear" w:fill="1B5E5E"/>
          </w:tcPr>
          <w:p>
            <w:pPr>
              <w:spacing w:before="0" w:after="0"/>
              <w:jc w:val="left"/>
            </w:pPr>
            <w:r>
              <w:rPr>
                <w:b/>
                <w:color w:val="FFFFFF"/>
                <w:sz w:val="17"/>
              </w:rPr>
              <w:t>Scorecard</w:t>
            </w:r>
          </w:p>
        </w:tc>
        <w:tc>
          <w:tcPr>
            <w:tcW w:type="dxa" w:w="6336"/>
            <w:shd w:val="clear" w:fill="1B5E5E"/>
          </w:tcPr>
          <w:p>
            <w:pPr>
              <w:spacing w:before="0" w:after="0"/>
              <w:jc w:val="center"/>
            </w:pPr>
            <w:r>
              <w:rPr>
                <w:b/>
                <w:color w:val="FFFFFF"/>
                <w:sz w:val="17"/>
              </w:rPr>
              <w:t>Read</w:t>
            </w:r>
          </w:p>
        </w:tc>
      </w:tr>
      <w:tr>
        <w:tc>
          <w:tcPr>
            <w:tcW w:type="dxa" w:w="3168"/>
          </w:tcPr>
          <w:p>
            <w:pPr>
              <w:spacing w:before="0" w:after="0"/>
              <w:jc w:val="left"/>
            </w:pPr>
            <w:r>
              <w:rPr>
                <w:b/>
                <w:sz w:val="17"/>
              </w:rPr>
              <w:t>Market position</w:t>
            </w:r>
          </w:p>
        </w:tc>
        <w:tc>
          <w:tcPr>
            <w:tcW w:type="dxa" w:w="6336"/>
          </w:tcPr>
          <w:p>
            <w:pPr>
              <w:spacing w:before="0" w:after="0"/>
              <w:jc w:val="right"/>
            </w:pPr>
            <w:r>
              <w:rPr>
                <w:sz w:val="17"/>
              </w:rPr>
              <w:t>#1–2 distributor, ~24% share (IQVIA) — scale leader</w:t>
            </w:r>
          </w:p>
        </w:tc>
      </w:tr>
      <w:tr>
        <w:tc>
          <w:tcPr>
            <w:tcW w:type="dxa" w:w="3168"/>
          </w:tcPr>
          <w:p>
            <w:pPr>
              <w:spacing w:before="0" w:after="0"/>
              <w:jc w:val="left"/>
            </w:pPr>
            <w:r>
              <w:rPr>
                <w:b/>
                <w:sz w:val="17"/>
              </w:rPr>
              <w:t>Revenue quality</w:t>
            </w:r>
          </w:p>
        </w:tc>
        <w:tc>
          <w:tcPr>
            <w:tcW w:type="dxa" w:w="6336"/>
          </w:tcPr>
          <w:p>
            <w:pPr>
              <w:spacing w:before="0" w:after="0"/>
              <w:jc w:val="right"/>
            </w:pPr>
            <w:r>
              <w:rPr>
                <w:sz w:val="17"/>
              </w:rPr>
              <w:t>Defensive (pharma demand, population +2%/yr) + inflation re-pricing</w:t>
            </w:r>
          </w:p>
        </w:tc>
      </w:tr>
      <w:tr>
        <w:tc>
          <w:tcPr>
            <w:tcW w:type="dxa" w:w="3168"/>
          </w:tcPr>
          <w:p>
            <w:pPr>
              <w:spacing w:before="0" w:after="0"/>
              <w:jc w:val="left"/>
            </w:pPr>
            <w:r>
              <w:rPr>
                <w:b/>
                <w:sz w:val="17"/>
              </w:rPr>
              <w:t>Margin trajectory</w:t>
            </w:r>
          </w:p>
        </w:tc>
        <w:tc>
          <w:tcPr>
            <w:tcW w:type="dxa" w:w="6336"/>
          </w:tcPr>
          <w:p>
            <w:pPr>
              <w:spacing w:before="0" w:after="0"/>
              <w:jc w:val="right"/>
            </w:pPr>
            <w:r>
              <w:rPr>
                <w:sz w:val="17"/>
              </w:rPr>
              <w:t>EBITDA margin expanding on scale (5.1%→5.5%); net margin rate-gated</w:t>
            </w:r>
          </w:p>
        </w:tc>
      </w:tr>
      <w:tr>
        <w:tc>
          <w:tcPr>
            <w:tcW w:type="dxa" w:w="3168"/>
          </w:tcPr>
          <w:p>
            <w:pPr>
              <w:spacing w:before="0" w:after="0"/>
              <w:jc w:val="left"/>
            </w:pPr>
            <w:r>
              <w:rPr>
                <w:b/>
                <w:sz w:val="17"/>
              </w:rPr>
              <w:t>Cash conversion</w:t>
            </w:r>
          </w:p>
        </w:tc>
        <w:tc>
          <w:tcPr>
            <w:tcW w:type="dxa" w:w="6336"/>
          </w:tcPr>
          <w:p>
            <w:pPr>
              <w:spacing w:before="0" w:after="0"/>
              <w:jc w:val="right"/>
            </w:pPr>
            <w:r>
              <w:rPr>
                <w:sz w:val="17"/>
              </w:rPr>
              <w:t>≈ 0-day cycle — capital-light growth, supplier-financed</w:t>
            </w:r>
          </w:p>
        </w:tc>
      </w:tr>
      <w:tr>
        <w:tc>
          <w:tcPr>
            <w:tcW w:type="dxa" w:w="3168"/>
          </w:tcPr>
          <w:p>
            <w:pPr>
              <w:spacing w:before="0" w:after="0"/>
              <w:jc w:val="left"/>
            </w:pPr>
            <w:r>
              <w:rPr>
                <w:b/>
                <w:sz w:val="17"/>
              </w:rPr>
              <w:t>Balance-sheet risk</w:t>
            </w:r>
          </w:p>
        </w:tc>
        <w:tc>
          <w:tcPr>
            <w:tcW w:type="dxa" w:w="6336"/>
          </w:tcPr>
          <w:p>
            <w:pPr>
              <w:spacing w:before="0" w:after="0"/>
              <w:jc w:val="right"/>
            </w:pPr>
            <w:r>
              <w:rPr>
                <w:sz w:val="17"/>
              </w:rPr>
              <w:t>High leverage (D/E ~3.5x, mostly payables); receivables the watch-item</w:t>
            </w:r>
          </w:p>
        </w:tc>
      </w:tr>
      <w:tr>
        <w:tc>
          <w:tcPr>
            <w:tcW w:type="dxa" w:w="3168"/>
          </w:tcPr>
          <w:p>
            <w:pPr>
              <w:spacing w:before="0" w:after="0"/>
              <w:jc w:val="left"/>
            </w:pPr>
            <w:r>
              <w:rPr>
                <w:b/>
                <w:sz w:val="17"/>
              </w:rPr>
              <w:t>Capital returns</w:t>
            </w:r>
          </w:p>
        </w:tc>
        <w:tc>
          <w:tcPr>
            <w:tcW w:type="dxa" w:w="6336"/>
          </w:tcPr>
          <w:p>
            <w:pPr>
              <w:spacing w:before="0" w:after="0"/>
              <w:jc w:val="right"/>
            </w:pPr>
            <w:r>
              <w:rPr>
                <w:sz w:val="17"/>
              </w:rPr>
              <w:t>Small dividend (~17% payout); reinvestment + deleveraging priority</w:t>
            </w:r>
          </w:p>
        </w:tc>
      </w:tr>
    </w:tbl>
    <w:p>
      <w:pPr>
        <w:spacing w:after="120" w:before="20"/>
      </w:pPr>
      <w:r>
        <w:rPr>
          <w:b w:val="0"/>
          <w:i/>
          <w:color w:val="777777"/>
          <w:sz w:val="16"/>
        </w:rPr>
        <w:t>Segment / quality scorecard. Channel mix from FY23 disclosure; FY25 mix not separately disclosed.</w:t>
      </w:r>
    </w:p>
    <w:p>
      <w:pPr>
        <w:spacing w:after="60" w:before="140"/>
      </w:pPr>
      <w:r>
        <w:rPr>
          <w:b/>
          <w:i w:val="0"/>
          <w:color w:val="2A8F8F"/>
          <w:sz w:val="23"/>
        </w:rPr>
        <w:t>1.7  The crux — finance-cost leverage on a thin margin</w:t>
      </w:r>
    </w:p>
    <w:p>
      <w:pPr>
        <w:spacing w:after="80" w:before="0"/>
      </w:pPr>
      <w:r>
        <w:rPr>
          <w:b w:val="0"/>
          <w:i w:val="0"/>
          <w:color w:val="222222"/>
          <w:sz w:val="20"/>
        </w:rPr>
        <w:t>The single swing factor is not revenue (defensive and re-priced) but the net margin, and the net margin is a lever pulled by Egypt's interest rate. On ~EGP 76 bn of revenue at an ~8% gross margin and ~5% EBITDA margin, the distance between EBITDA and net profit is dominated by finance cost. We therefore sensitize the crux in real observable units — the CBE policy-rate path and its pass-through to the net margin — not an abstract 'margin %':</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456"/>
            <w:shd w:val="clear" w:fill="1B5E5E"/>
          </w:tcPr>
          <w:p>
            <w:pPr>
              <w:spacing w:before="0" w:after="0"/>
              <w:jc w:val="left"/>
            </w:pPr>
            <w:r>
              <w:rPr>
                <w:b/>
                <w:color w:val="FFFFFF"/>
                <w:sz w:val="17"/>
              </w:rPr>
              <w:t>Net margin →</w:t>
            </w:r>
          </w:p>
        </w:tc>
        <w:tc>
          <w:tcPr>
            <w:tcW w:type="dxa" w:w="1512"/>
            <w:shd w:val="clear" w:fill="1B5E5E"/>
          </w:tcPr>
          <w:p>
            <w:pPr>
              <w:spacing w:before="0" w:after="0"/>
              <w:jc w:val="center"/>
            </w:pPr>
            <w:r>
              <w:rPr>
                <w:b/>
                <w:color w:val="FFFFFF"/>
                <w:sz w:val="17"/>
              </w:rPr>
              <w:t>1.0%</w:t>
            </w:r>
          </w:p>
        </w:tc>
        <w:tc>
          <w:tcPr>
            <w:tcW w:type="dxa" w:w="1512"/>
            <w:shd w:val="clear" w:fill="1B5E5E"/>
          </w:tcPr>
          <w:p>
            <w:pPr>
              <w:spacing w:before="0" w:after="0"/>
              <w:jc w:val="center"/>
            </w:pPr>
            <w:r>
              <w:rPr>
                <w:b/>
                <w:color w:val="FFFFFF"/>
                <w:sz w:val="17"/>
              </w:rPr>
              <w:t>1.4%</w:t>
            </w:r>
          </w:p>
        </w:tc>
        <w:tc>
          <w:tcPr>
            <w:tcW w:type="dxa" w:w="1512"/>
            <w:shd w:val="clear" w:fill="1B5E5E"/>
          </w:tcPr>
          <w:p>
            <w:pPr>
              <w:spacing w:before="0" w:after="0"/>
              <w:jc w:val="center"/>
            </w:pPr>
            <w:r>
              <w:rPr>
                <w:b/>
                <w:color w:val="FFFFFF"/>
                <w:sz w:val="17"/>
              </w:rPr>
              <w:t>1.8%</w:t>
            </w:r>
          </w:p>
        </w:tc>
        <w:tc>
          <w:tcPr>
            <w:tcW w:type="dxa" w:w="1512"/>
            <w:shd w:val="clear" w:fill="1B5E5E"/>
          </w:tcPr>
          <w:p>
            <w:pPr>
              <w:spacing w:before="0" w:after="0"/>
              <w:jc w:val="center"/>
            </w:pPr>
            <w:r>
              <w:rPr>
                <w:b/>
                <w:color w:val="FFFFFF"/>
                <w:sz w:val="17"/>
              </w:rPr>
              <w:t>2.2%</w:t>
            </w:r>
          </w:p>
        </w:tc>
      </w:tr>
      <w:tr>
        <w:tc>
          <w:tcPr>
            <w:tcW w:type="dxa" w:w="3456"/>
          </w:tcPr>
          <w:p>
            <w:pPr>
              <w:spacing w:before="0" w:after="0"/>
              <w:jc w:val="left"/>
            </w:pPr>
            <w:r>
              <w:rPr>
                <w:b/>
                <w:sz w:val="17"/>
              </w:rPr>
              <w:t>Net profit FY27E (EGP mn)</w:t>
            </w:r>
          </w:p>
        </w:tc>
        <w:tc>
          <w:tcPr>
            <w:tcW w:type="dxa" w:w="1512"/>
          </w:tcPr>
          <w:p>
            <w:pPr>
              <w:spacing w:before="0" w:after="0"/>
              <w:jc w:val="right"/>
            </w:pPr>
            <w:r>
              <w:rPr>
                <w:sz w:val="17"/>
              </w:rPr>
              <w:t>1,066</w:t>
            </w:r>
          </w:p>
        </w:tc>
        <w:tc>
          <w:tcPr>
            <w:tcW w:type="dxa" w:w="1512"/>
          </w:tcPr>
          <w:p>
            <w:pPr>
              <w:spacing w:before="0" w:after="0"/>
              <w:jc w:val="right"/>
            </w:pPr>
            <w:r>
              <w:rPr>
                <w:sz w:val="17"/>
              </w:rPr>
              <w:t>1,493</w:t>
            </w:r>
          </w:p>
        </w:tc>
        <w:tc>
          <w:tcPr>
            <w:tcW w:type="dxa" w:w="1512"/>
          </w:tcPr>
          <w:p>
            <w:pPr>
              <w:spacing w:before="0" w:after="0"/>
              <w:jc w:val="right"/>
            </w:pPr>
            <w:r>
              <w:rPr>
                <w:sz w:val="17"/>
              </w:rPr>
              <w:t>1,919</w:t>
            </w:r>
          </w:p>
        </w:tc>
        <w:tc>
          <w:tcPr>
            <w:tcW w:type="dxa" w:w="1512"/>
          </w:tcPr>
          <w:p>
            <w:pPr>
              <w:spacing w:before="0" w:after="0"/>
              <w:jc w:val="right"/>
            </w:pPr>
            <w:r>
              <w:rPr>
                <w:sz w:val="17"/>
              </w:rPr>
              <w:t>2,346</w:t>
            </w:r>
          </w:p>
        </w:tc>
      </w:tr>
      <w:tr>
        <w:tc>
          <w:tcPr>
            <w:tcW w:type="dxa" w:w="3456"/>
          </w:tcPr>
          <w:p>
            <w:pPr>
              <w:spacing w:before="0" w:after="0"/>
              <w:jc w:val="left"/>
            </w:pPr>
            <w:r>
              <w:rPr>
                <w:b/>
                <w:sz w:val="17"/>
              </w:rPr>
              <w:t>EPS FY27E (EGP)</w:t>
            </w:r>
          </w:p>
        </w:tc>
        <w:tc>
          <w:tcPr>
            <w:tcW w:type="dxa" w:w="1512"/>
          </w:tcPr>
          <w:p>
            <w:pPr>
              <w:spacing w:before="0" w:after="0"/>
              <w:jc w:val="right"/>
            </w:pPr>
            <w:r>
              <w:rPr>
                <w:sz w:val="17"/>
              </w:rPr>
              <w:t>1.06</w:t>
            </w:r>
          </w:p>
        </w:tc>
        <w:tc>
          <w:tcPr>
            <w:tcW w:type="dxa" w:w="1512"/>
          </w:tcPr>
          <w:p>
            <w:pPr>
              <w:spacing w:before="0" w:after="0"/>
              <w:jc w:val="right"/>
            </w:pPr>
            <w:r>
              <w:rPr>
                <w:sz w:val="17"/>
              </w:rPr>
              <w:t>1.48</w:t>
            </w:r>
          </w:p>
        </w:tc>
        <w:tc>
          <w:tcPr>
            <w:tcW w:type="dxa" w:w="1512"/>
          </w:tcPr>
          <w:p>
            <w:pPr>
              <w:spacing w:before="0" w:after="0"/>
              <w:jc w:val="right"/>
            </w:pPr>
            <w:r>
              <w:rPr>
                <w:sz w:val="17"/>
              </w:rPr>
              <w:t>1.90</w:t>
            </w:r>
          </w:p>
        </w:tc>
        <w:tc>
          <w:tcPr>
            <w:tcW w:type="dxa" w:w="1512"/>
          </w:tcPr>
          <w:p>
            <w:pPr>
              <w:spacing w:before="0" w:after="0"/>
              <w:jc w:val="right"/>
            </w:pPr>
            <w:r>
              <w:rPr>
                <w:sz w:val="17"/>
              </w:rPr>
              <w:t>2.33</w:t>
            </w:r>
          </w:p>
        </w:tc>
      </w:tr>
      <w:tr>
        <w:tc>
          <w:tcPr>
            <w:tcW w:type="dxa" w:w="3456"/>
          </w:tcPr>
          <w:p>
            <w:pPr>
              <w:spacing w:before="0" w:after="0"/>
              <w:jc w:val="left"/>
            </w:pPr>
            <w:r>
              <w:rPr>
                <w:b/>
                <w:sz w:val="17"/>
              </w:rPr>
              <w:t>Value at 10x P/E (EGP)</w:t>
            </w:r>
          </w:p>
        </w:tc>
        <w:tc>
          <w:tcPr>
            <w:tcW w:type="dxa" w:w="1512"/>
          </w:tcPr>
          <w:p>
            <w:pPr>
              <w:spacing w:before="0" w:after="0"/>
              <w:jc w:val="right"/>
            </w:pPr>
            <w:r>
              <w:rPr>
                <w:sz w:val="17"/>
              </w:rPr>
              <w:t>10.6</w:t>
            </w:r>
          </w:p>
        </w:tc>
        <w:tc>
          <w:tcPr>
            <w:tcW w:type="dxa" w:w="1512"/>
          </w:tcPr>
          <w:p>
            <w:pPr>
              <w:spacing w:before="0" w:after="0"/>
              <w:jc w:val="right"/>
            </w:pPr>
            <w:r>
              <w:rPr>
                <w:sz w:val="17"/>
              </w:rPr>
              <w:t>14.8</w:t>
            </w:r>
          </w:p>
        </w:tc>
        <w:tc>
          <w:tcPr>
            <w:tcW w:type="dxa" w:w="1512"/>
          </w:tcPr>
          <w:p>
            <w:pPr>
              <w:spacing w:before="0" w:after="0"/>
              <w:jc w:val="right"/>
            </w:pPr>
            <w:r>
              <w:rPr>
                <w:sz w:val="17"/>
              </w:rPr>
              <w:t>19.0</w:t>
            </w:r>
          </w:p>
        </w:tc>
        <w:tc>
          <w:tcPr>
            <w:tcW w:type="dxa" w:w="1512"/>
          </w:tcPr>
          <w:p>
            <w:pPr>
              <w:spacing w:before="0" w:after="0"/>
              <w:jc w:val="right"/>
            </w:pPr>
            <w:r>
              <w:rPr>
                <w:sz w:val="17"/>
              </w:rPr>
              <w:t>23.3</w:t>
            </w:r>
          </w:p>
        </w:tc>
      </w:tr>
    </w:tbl>
    <w:p>
      <w:pPr>
        <w:spacing w:after="120" w:before="20"/>
      </w:pPr>
      <w:r>
        <w:rPr>
          <w:b w:val="0"/>
          <w:i/>
          <w:color w:val="777777"/>
          <w:sz w:val="16"/>
        </w:rPr>
        <w:t>Crux sensitivity in real units. A ~100 bp of CBE easing that lifts the net margin from ~1.0% to ~1.8% roughly doubles EPS — the whole bull case in one row.</w:t>
      </w:r>
    </w:p>
    <w:p>
      <w:pPr>
        <w:spacing w:after="80" w:before="0"/>
      </w:pPr>
      <w:r>
        <w:rPr>
          <w:b w:val="0"/>
          <w:i w:val="0"/>
          <w:color w:val="222222"/>
          <w:sz w:val="20"/>
        </w:rPr>
        <w:t>The mirror risk is a receivables event: a stressed pharmacy channel or a sharp devaluation that impairs collectability would hit the balance sheet before the P&amp;L. This is why ISPH's conservative credit policy is a feature, not a drag.</w:t>
      </w:r>
    </w:p>
    <w:p>
      <w:pPr>
        <w:spacing w:after="60" w:before="140"/>
      </w:pPr>
      <w:r>
        <w:rPr>
          <w:b/>
          <w:i w:val="0"/>
          <w:color w:val="2A8F8F"/>
          <w:sz w:val="23"/>
        </w:rPr>
        <w:t>1.8  Macro and country</w:t>
      </w:r>
    </w:p>
    <w:p>
      <w:pPr>
        <w:spacing w:after="80" w:before="0"/>
      </w:pPr>
      <w:r>
        <w:rPr>
          <w:b w:val="0"/>
          <w:i w:val="0"/>
          <w:color w:val="222222"/>
          <w:sz w:val="20"/>
        </w:rPr>
        <w:t>ISPH is a leveraged bet on Egyptian macro normalisation. Three variables dominate:</w:t>
      </w:r>
    </w:p>
    <w:tbl>
      <w:tblPr>
        <w:tblStyle w:val="TableGrid"/>
        <w:tblW w:type="auto" w:w="0"/>
        <w:jc w:val="center"/>
        <w:tblLook w:firstColumn="1" w:firstRow="1" w:lastColumn="0" w:lastRow="0" w:noHBand="0" w:noVBand="1" w:val="04A0"/>
      </w:tblPr>
      <w:tblGrid>
        <w:gridCol w:w="4968"/>
        <w:gridCol w:w="4968"/>
      </w:tblGrid>
      <w:tr>
        <w:tc>
          <w:tcPr>
            <w:tcW w:type="dxa" w:w="3024"/>
            <w:shd w:val="clear" w:fill="1B5E5E"/>
          </w:tcPr>
          <w:p>
            <w:pPr>
              <w:spacing w:before="0" w:after="0"/>
              <w:jc w:val="left"/>
            </w:pPr>
            <w:r>
              <w:rPr>
                <w:b/>
                <w:color w:val="FFFFFF"/>
                <w:sz w:val="17"/>
              </w:rPr>
              <w:t>Macro driver</w:t>
            </w:r>
          </w:p>
        </w:tc>
        <w:tc>
          <w:tcPr>
            <w:tcW w:type="dxa" w:w="6480"/>
            <w:shd w:val="clear" w:fill="1B5E5E"/>
          </w:tcPr>
          <w:p>
            <w:pPr>
              <w:spacing w:before="0" w:after="0"/>
              <w:jc w:val="center"/>
            </w:pPr>
            <w:r>
              <w:rPr>
                <w:b/>
                <w:color w:val="FFFFFF"/>
                <w:sz w:val="17"/>
              </w:rPr>
              <w:t>Channel to ISPH</w:t>
            </w:r>
          </w:p>
        </w:tc>
      </w:tr>
      <w:tr>
        <w:tc>
          <w:tcPr>
            <w:tcW w:type="dxa" w:w="3024"/>
          </w:tcPr>
          <w:p>
            <w:pPr>
              <w:spacing w:before="0" w:after="0"/>
              <w:jc w:val="left"/>
            </w:pPr>
            <w:r>
              <w:rPr>
                <w:b/>
                <w:sz w:val="17"/>
              </w:rPr>
              <w:t>CBE policy rate</w:t>
            </w:r>
          </w:p>
        </w:tc>
        <w:tc>
          <w:tcPr>
            <w:tcW w:type="dxa" w:w="6480"/>
          </w:tcPr>
          <w:p>
            <w:pPr>
              <w:spacing w:before="0" w:after="0"/>
              <w:jc w:val="right"/>
            </w:pPr>
            <w:r>
              <w:rPr>
                <w:sz w:val="17"/>
              </w:rPr>
              <w:t>Directly sets finance cost; cuts expand the net margin (the crux)</w:t>
            </w:r>
          </w:p>
        </w:tc>
      </w:tr>
      <w:tr>
        <w:tc>
          <w:tcPr>
            <w:tcW w:type="dxa" w:w="3024"/>
          </w:tcPr>
          <w:p>
            <w:pPr>
              <w:spacing w:before="0" w:after="0"/>
              <w:jc w:val="left"/>
            </w:pPr>
            <w:r>
              <w:rPr>
                <w:b/>
                <w:sz w:val="17"/>
              </w:rPr>
              <w:t>EGP / USD</w:t>
            </w:r>
          </w:p>
        </w:tc>
        <w:tc>
          <w:tcPr>
            <w:tcW w:type="dxa" w:w="6480"/>
          </w:tcPr>
          <w:p>
            <w:pPr>
              <w:spacing w:before="0" w:after="0"/>
              <w:jc w:val="right"/>
            </w:pPr>
            <w:r>
              <w:rPr>
                <w:sz w:val="17"/>
              </w:rPr>
              <w:t>Imported-drug cost and re-pricing lag; devaluation squeezes then re-prices</w:t>
            </w:r>
          </w:p>
        </w:tc>
      </w:tr>
      <w:tr>
        <w:tc>
          <w:tcPr>
            <w:tcW w:type="dxa" w:w="3024"/>
          </w:tcPr>
          <w:p>
            <w:pPr>
              <w:spacing w:before="0" w:after="0"/>
              <w:jc w:val="left"/>
            </w:pPr>
            <w:r>
              <w:rPr>
                <w:b/>
                <w:sz w:val="17"/>
              </w:rPr>
              <w:t>Drug price regulation</w:t>
            </w:r>
          </w:p>
        </w:tc>
        <w:tc>
          <w:tcPr>
            <w:tcW w:type="dxa" w:w="6480"/>
          </w:tcPr>
          <w:p>
            <w:pPr>
              <w:spacing w:before="0" w:after="0"/>
              <w:jc w:val="right"/>
            </w:pPr>
            <w:r>
              <w:rPr>
                <w:sz w:val="17"/>
              </w:rPr>
              <w:t>Re-pricing decisions set the pace of nominal revenue pass-through</w:t>
            </w:r>
          </w:p>
        </w:tc>
      </w:tr>
      <w:tr>
        <w:tc>
          <w:tcPr>
            <w:tcW w:type="dxa" w:w="3024"/>
          </w:tcPr>
          <w:p>
            <w:pPr>
              <w:spacing w:before="0" w:after="0"/>
              <w:jc w:val="left"/>
            </w:pPr>
            <w:r>
              <w:rPr>
                <w:b/>
                <w:sz w:val="17"/>
              </w:rPr>
              <w:t>Inflation</w:t>
            </w:r>
          </w:p>
        </w:tc>
        <w:tc>
          <w:tcPr>
            <w:tcW w:type="dxa" w:w="6480"/>
          </w:tcPr>
          <w:p>
            <w:pPr>
              <w:spacing w:before="0" w:after="0"/>
              <w:jc w:val="right"/>
            </w:pPr>
            <w:r>
              <w:rPr>
                <w:sz w:val="17"/>
              </w:rPr>
              <w:t>Nominal revenue tailwind; also lifts opex and working-capital funding need</w:t>
            </w:r>
          </w:p>
        </w:tc>
      </w:tr>
      <w:tr>
        <w:tc>
          <w:tcPr>
            <w:tcW w:type="dxa" w:w="3024"/>
          </w:tcPr>
          <w:p>
            <w:pPr>
              <w:spacing w:before="0" w:after="0"/>
              <w:jc w:val="left"/>
            </w:pPr>
            <w:r>
              <w:rPr>
                <w:b/>
                <w:sz w:val="17"/>
              </w:rPr>
              <w:t>Population / demand</w:t>
            </w:r>
          </w:p>
        </w:tc>
        <w:tc>
          <w:tcPr>
            <w:tcW w:type="dxa" w:w="6480"/>
          </w:tcPr>
          <w:p>
            <w:pPr>
              <w:spacing w:before="0" w:after="0"/>
              <w:jc w:val="right"/>
            </w:pPr>
            <w:r>
              <w:rPr>
                <w:sz w:val="17"/>
              </w:rPr>
              <w:t>Structural ~2%/yr volume growth; defensive, inelastic demand</w:t>
            </w:r>
          </w:p>
        </w:tc>
      </w:tr>
    </w:tbl>
    <w:p>
      <w:pPr>
        <w:spacing w:after="120" w:before="20"/>
      </w:pPr>
      <w:r>
        <w:rPr>
          <w:b w:val="0"/>
          <w:i/>
          <w:color w:val="777777"/>
          <w:sz w:val="16"/>
        </w:rPr>
        <w:t>Country lens. Egypt's disinflation-and-rate-cut path is the key swing for the equity.</w:t>
      </w:r>
    </w:p>
    <w:p>
      <w:pPr>
        <w:spacing w:after="60" w:before="140"/>
      </w:pPr>
      <w:r>
        <w:rPr>
          <w:b/>
          <w:i w:val="0"/>
          <w:color w:val="2A8F8F"/>
          <w:sz w:val="23"/>
        </w:rPr>
        <w:t>1.9  Primary-lens sensitivity — WACC × terminal growth</w:t>
      </w:r>
    </w:p>
    <w:p>
      <w:pPr>
        <w:spacing w:after="80" w:before="0"/>
      </w:pPr>
      <w:r>
        <w:rPr>
          <w:b w:val="0"/>
          <w:i w:val="0"/>
          <w:color w:val="222222"/>
          <w:sz w:val="20"/>
        </w:rPr>
        <w:t>Because ~59% of DCF value is terminal, the fair value is sensitive to the WACC−g spread. The grid below (fair value per share, EGP) shows the range; the base case (WACC ~25.8%, g 12.5%) is highlighted in the text.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shd w:val="clear" w:fill="1B5E5E"/>
          </w:tcPr>
          <w:p>
            <w:pPr>
              <w:spacing w:before="0" w:after="0"/>
              <w:jc w:val="left"/>
            </w:pPr>
            <w:r>
              <w:rPr>
                <w:b/>
                <w:color w:val="FFFFFF"/>
                <w:sz w:val="17"/>
              </w:rPr>
            </w:r>
          </w:p>
        </w:tc>
        <w:tc>
          <w:tcPr>
            <w:tcW w:type="dxa" w:w="1440"/>
            <w:shd w:val="clear" w:fill="1B5E5E"/>
          </w:tcPr>
          <w:p>
            <w:pPr>
              <w:spacing w:before="0" w:after="0"/>
              <w:jc w:val="center"/>
            </w:pPr>
            <w:r>
              <w:rPr>
                <w:b/>
                <w:color w:val="FFFFFF"/>
                <w:sz w:val="17"/>
              </w:rPr>
              <w:t>g 10.5%</w:t>
            </w:r>
          </w:p>
        </w:tc>
        <w:tc>
          <w:tcPr>
            <w:tcW w:type="dxa" w:w="1440"/>
            <w:shd w:val="clear" w:fill="1B5E5E"/>
          </w:tcPr>
          <w:p>
            <w:pPr>
              <w:spacing w:before="0" w:after="0"/>
              <w:jc w:val="center"/>
            </w:pPr>
            <w:r>
              <w:rPr>
                <w:b/>
                <w:color w:val="FFFFFF"/>
                <w:sz w:val="17"/>
              </w:rPr>
              <w:t>g 11.5%</w:t>
            </w:r>
          </w:p>
        </w:tc>
        <w:tc>
          <w:tcPr>
            <w:tcW w:type="dxa" w:w="1440"/>
            <w:shd w:val="clear" w:fill="1B5E5E"/>
          </w:tcPr>
          <w:p>
            <w:pPr>
              <w:spacing w:before="0" w:after="0"/>
              <w:jc w:val="center"/>
            </w:pPr>
            <w:r>
              <w:rPr>
                <w:b/>
                <w:color w:val="FFFFFF"/>
                <w:sz w:val="17"/>
              </w:rPr>
              <w:t>g 12.5%</w:t>
            </w:r>
          </w:p>
        </w:tc>
        <w:tc>
          <w:tcPr>
            <w:tcW w:type="dxa" w:w="1440"/>
            <w:shd w:val="clear" w:fill="1B5E5E"/>
          </w:tcPr>
          <w:p>
            <w:pPr>
              <w:spacing w:before="0" w:after="0"/>
              <w:jc w:val="center"/>
            </w:pPr>
            <w:r>
              <w:rPr>
                <w:b/>
                <w:color w:val="FFFFFF"/>
                <w:sz w:val="17"/>
              </w:rPr>
              <w:t>g 13.5%</w:t>
            </w:r>
          </w:p>
        </w:tc>
        <w:tc>
          <w:tcPr>
            <w:tcW w:type="dxa" w:w="1440"/>
            <w:shd w:val="clear" w:fill="1B5E5E"/>
          </w:tcPr>
          <w:p>
            <w:pPr>
              <w:spacing w:before="0" w:after="0"/>
              <w:jc w:val="center"/>
            </w:pPr>
            <w:r>
              <w:rPr>
                <w:b/>
                <w:color w:val="FFFFFF"/>
                <w:sz w:val="17"/>
              </w:rPr>
              <w:t>g 14.5%</w:t>
            </w:r>
          </w:p>
        </w:tc>
      </w:tr>
      <w:tr>
        <w:tc>
          <w:tcPr>
            <w:tcW w:type="dxa" w:w="2304"/>
          </w:tcPr>
          <w:p>
            <w:pPr>
              <w:spacing w:before="0" w:after="0"/>
              <w:jc w:val="left"/>
            </w:pPr>
            <w:r>
              <w:rPr>
                <w:b/>
                <w:sz w:val="17"/>
              </w:rPr>
              <w:t>WACC 29.0%</w:t>
            </w:r>
          </w:p>
        </w:tc>
        <w:tc>
          <w:tcPr>
            <w:tcW w:type="dxa" w:w="1440"/>
          </w:tcPr>
          <w:p>
            <w:pPr>
              <w:spacing w:before="0" w:after="0"/>
              <w:jc w:val="right"/>
            </w:pPr>
            <w:r>
              <w:rPr>
                <w:sz w:val="17"/>
              </w:rPr>
              <w:t>13.7</w:t>
            </w:r>
          </w:p>
        </w:tc>
        <w:tc>
          <w:tcPr>
            <w:tcW w:type="dxa" w:w="1440"/>
          </w:tcPr>
          <w:p>
            <w:pPr>
              <w:spacing w:before="0" w:after="0"/>
              <w:jc w:val="right"/>
            </w:pPr>
            <w:r>
              <w:rPr>
                <w:sz w:val="17"/>
              </w:rPr>
              <w:t>14.3</w:t>
            </w:r>
          </w:p>
        </w:tc>
        <w:tc>
          <w:tcPr>
            <w:tcW w:type="dxa" w:w="1440"/>
          </w:tcPr>
          <w:p>
            <w:pPr>
              <w:spacing w:before="0" w:after="0"/>
              <w:jc w:val="right"/>
            </w:pPr>
            <w:r>
              <w:rPr>
                <w:sz w:val="17"/>
              </w:rPr>
              <w:t>15.0</w:t>
            </w:r>
          </w:p>
        </w:tc>
        <w:tc>
          <w:tcPr>
            <w:tcW w:type="dxa" w:w="1440"/>
          </w:tcPr>
          <w:p>
            <w:pPr>
              <w:spacing w:before="0" w:after="0"/>
              <w:jc w:val="right"/>
            </w:pPr>
            <w:r>
              <w:rPr>
                <w:sz w:val="17"/>
              </w:rPr>
              <w:t>15.7</w:t>
            </w:r>
          </w:p>
        </w:tc>
        <w:tc>
          <w:tcPr>
            <w:tcW w:type="dxa" w:w="1440"/>
          </w:tcPr>
          <w:p>
            <w:pPr>
              <w:spacing w:before="0" w:after="0"/>
              <w:jc w:val="right"/>
            </w:pPr>
            <w:r>
              <w:rPr>
                <w:sz w:val="17"/>
              </w:rPr>
              <w:t>16.6</w:t>
            </w:r>
          </w:p>
        </w:tc>
      </w:tr>
      <w:tr>
        <w:tc>
          <w:tcPr>
            <w:tcW w:type="dxa" w:w="2304"/>
          </w:tcPr>
          <w:p>
            <w:pPr>
              <w:spacing w:before="0" w:after="0"/>
              <w:jc w:val="left"/>
            </w:pPr>
            <w:r>
              <w:rPr>
                <w:b/>
                <w:sz w:val="17"/>
              </w:rPr>
              <w:t>WACC 27.0%</w:t>
            </w:r>
          </w:p>
        </w:tc>
        <w:tc>
          <w:tcPr>
            <w:tcW w:type="dxa" w:w="1440"/>
          </w:tcPr>
          <w:p>
            <w:pPr>
              <w:spacing w:before="0" w:after="0"/>
              <w:jc w:val="right"/>
            </w:pPr>
            <w:r>
              <w:rPr>
                <w:sz w:val="17"/>
              </w:rPr>
              <w:t>16.0</w:t>
            </w:r>
          </w:p>
        </w:tc>
        <w:tc>
          <w:tcPr>
            <w:tcW w:type="dxa" w:w="1440"/>
          </w:tcPr>
          <w:p>
            <w:pPr>
              <w:spacing w:before="0" w:after="0"/>
              <w:jc w:val="right"/>
            </w:pPr>
            <w:r>
              <w:rPr>
                <w:sz w:val="17"/>
              </w:rPr>
              <w:t>16.8</w:t>
            </w:r>
          </w:p>
        </w:tc>
        <w:tc>
          <w:tcPr>
            <w:tcW w:type="dxa" w:w="1440"/>
          </w:tcPr>
          <w:p>
            <w:pPr>
              <w:spacing w:before="0" w:after="0"/>
              <w:jc w:val="right"/>
            </w:pPr>
            <w:r>
              <w:rPr>
                <w:sz w:val="17"/>
              </w:rPr>
              <w:t>17.7</w:t>
            </w:r>
          </w:p>
        </w:tc>
        <w:tc>
          <w:tcPr>
            <w:tcW w:type="dxa" w:w="1440"/>
          </w:tcPr>
          <w:p>
            <w:pPr>
              <w:spacing w:before="0" w:after="0"/>
              <w:jc w:val="right"/>
            </w:pPr>
            <w:r>
              <w:rPr>
                <w:sz w:val="17"/>
              </w:rPr>
              <w:t>18.8</w:t>
            </w:r>
          </w:p>
        </w:tc>
        <w:tc>
          <w:tcPr>
            <w:tcW w:type="dxa" w:w="1440"/>
          </w:tcPr>
          <w:p>
            <w:pPr>
              <w:spacing w:before="0" w:after="0"/>
              <w:jc w:val="right"/>
            </w:pPr>
            <w:r>
              <w:rPr>
                <w:sz w:val="17"/>
              </w:rPr>
              <w:t>20.0</w:t>
            </w:r>
          </w:p>
        </w:tc>
      </w:tr>
      <w:tr>
        <w:tc>
          <w:tcPr>
            <w:tcW w:type="dxa" w:w="2304"/>
          </w:tcPr>
          <w:p>
            <w:pPr>
              <w:spacing w:before="0" w:after="0"/>
              <w:jc w:val="left"/>
            </w:pPr>
            <w:r>
              <w:rPr>
                <w:b/>
                <w:sz w:val="17"/>
              </w:rPr>
              <w:t>WACC 25.8%</w:t>
            </w:r>
          </w:p>
        </w:tc>
        <w:tc>
          <w:tcPr>
            <w:tcW w:type="dxa" w:w="1440"/>
          </w:tcPr>
          <w:p>
            <w:pPr>
              <w:spacing w:before="0" w:after="0"/>
              <w:jc w:val="right"/>
            </w:pPr>
            <w:r>
              <w:rPr>
                <w:sz w:val="17"/>
              </w:rPr>
              <w:t>17.7</w:t>
            </w:r>
          </w:p>
        </w:tc>
        <w:tc>
          <w:tcPr>
            <w:tcW w:type="dxa" w:w="1440"/>
          </w:tcPr>
          <w:p>
            <w:pPr>
              <w:spacing w:before="0" w:after="0"/>
              <w:jc w:val="right"/>
            </w:pPr>
            <w:r>
              <w:rPr>
                <w:sz w:val="17"/>
              </w:rPr>
              <w:t>18.7</w:t>
            </w:r>
          </w:p>
        </w:tc>
        <w:tc>
          <w:tcPr>
            <w:tcW w:type="dxa" w:w="1440"/>
          </w:tcPr>
          <w:p>
            <w:pPr>
              <w:spacing w:before="0" w:after="0"/>
              <w:jc w:val="right"/>
            </w:pPr>
            <w:r>
              <w:rPr>
                <w:sz w:val="17"/>
              </w:rPr>
              <w:t>19.8</w:t>
            </w:r>
          </w:p>
        </w:tc>
        <w:tc>
          <w:tcPr>
            <w:tcW w:type="dxa" w:w="1440"/>
          </w:tcPr>
          <w:p>
            <w:pPr>
              <w:spacing w:before="0" w:after="0"/>
              <w:jc w:val="right"/>
            </w:pPr>
            <w:r>
              <w:rPr>
                <w:sz w:val="17"/>
              </w:rPr>
              <w:t>21.1</w:t>
            </w:r>
          </w:p>
        </w:tc>
        <w:tc>
          <w:tcPr>
            <w:tcW w:type="dxa" w:w="1440"/>
          </w:tcPr>
          <w:p>
            <w:pPr>
              <w:spacing w:before="0" w:after="0"/>
              <w:jc w:val="right"/>
            </w:pPr>
            <w:r>
              <w:rPr>
                <w:sz w:val="17"/>
              </w:rPr>
              <w:t>22.6</w:t>
            </w:r>
          </w:p>
        </w:tc>
      </w:tr>
      <w:tr>
        <w:tc>
          <w:tcPr>
            <w:tcW w:type="dxa" w:w="2304"/>
          </w:tcPr>
          <w:p>
            <w:pPr>
              <w:spacing w:before="0" w:after="0"/>
              <w:jc w:val="left"/>
            </w:pPr>
            <w:r>
              <w:rPr>
                <w:b/>
                <w:sz w:val="17"/>
              </w:rPr>
              <w:t>WACC 24.0%</w:t>
            </w:r>
          </w:p>
        </w:tc>
        <w:tc>
          <w:tcPr>
            <w:tcW w:type="dxa" w:w="1440"/>
          </w:tcPr>
          <w:p>
            <w:pPr>
              <w:spacing w:before="0" w:after="0"/>
              <w:jc w:val="right"/>
            </w:pPr>
            <w:r>
              <w:rPr>
                <w:sz w:val="17"/>
              </w:rPr>
              <w:t>20.8</w:t>
            </w:r>
          </w:p>
        </w:tc>
        <w:tc>
          <w:tcPr>
            <w:tcW w:type="dxa" w:w="1440"/>
          </w:tcPr>
          <w:p>
            <w:pPr>
              <w:spacing w:before="0" w:after="0"/>
              <w:jc w:val="right"/>
            </w:pPr>
            <w:r>
              <w:rPr>
                <w:sz w:val="17"/>
              </w:rPr>
              <w:t>22.1</w:t>
            </w:r>
          </w:p>
        </w:tc>
        <w:tc>
          <w:tcPr>
            <w:tcW w:type="dxa" w:w="1440"/>
          </w:tcPr>
          <w:p>
            <w:pPr>
              <w:spacing w:before="0" w:after="0"/>
              <w:jc w:val="right"/>
            </w:pPr>
            <w:r>
              <w:rPr>
                <w:sz w:val="17"/>
              </w:rPr>
              <w:t>23.7</w:t>
            </w:r>
          </w:p>
        </w:tc>
        <w:tc>
          <w:tcPr>
            <w:tcW w:type="dxa" w:w="1440"/>
          </w:tcPr>
          <w:p>
            <w:pPr>
              <w:spacing w:before="0" w:after="0"/>
              <w:jc w:val="right"/>
            </w:pPr>
            <w:r>
              <w:rPr>
                <w:sz w:val="17"/>
              </w:rPr>
              <w:t>25.5</w:t>
            </w:r>
          </w:p>
        </w:tc>
        <w:tc>
          <w:tcPr>
            <w:tcW w:type="dxa" w:w="1440"/>
          </w:tcPr>
          <w:p>
            <w:pPr>
              <w:spacing w:before="0" w:after="0"/>
              <w:jc w:val="right"/>
            </w:pPr>
            <w:r>
              <w:rPr>
                <w:sz w:val="17"/>
              </w:rPr>
              <w:t>27.8</w:t>
            </w:r>
          </w:p>
        </w:tc>
      </w:tr>
      <w:tr>
        <w:tc>
          <w:tcPr>
            <w:tcW w:type="dxa" w:w="2304"/>
          </w:tcPr>
          <w:p>
            <w:pPr>
              <w:spacing w:before="0" w:after="0"/>
              <w:jc w:val="left"/>
            </w:pPr>
            <w:r>
              <w:rPr>
                <w:b/>
                <w:sz w:val="17"/>
              </w:rPr>
              <w:t>WACC 22.0%</w:t>
            </w:r>
          </w:p>
        </w:tc>
        <w:tc>
          <w:tcPr>
            <w:tcW w:type="dxa" w:w="1440"/>
          </w:tcPr>
          <w:p>
            <w:pPr>
              <w:spacing w:before="0" w:after="0"/>
              <w:jc w:val="right"/>
            </w:pPr>
            <w:r>
              <w:rPr>
                <w:sz w:val="17"/>
              </w:rPr>
              <w:t>25.3</w:t>
            </w:r>
          </w:p>
        </w:tc>
        <w:tc>
          <w:tcPr>
            <w:tcW w:type="dxa" w:w="1440"/>
          </w:tcPr>
          <w:p>
            <w:pPr>
              <w:spacing w:before="0" w:after="0"/>
              <w:jc w:val="right"/>
            </w:pPr>
            <w:r>
              <w:rPr>
                <w:sz w:val="17"/>
              </w:rPr>
              <w:t>27.3</w:t>
            </w:r>
          </w:p>
        </w:tc>
        <w:tc>
          <w:tcPr>
            <w:tcW w:type="dxa" w:w="1440"/>
          </w:tcPr>
          <w:p>
            <w:pPr>
              <w:spacing w:before="0" w:after="0"/>
              <w:jc w:val="right"/>
            </w:pPr>
            <w:r>
              <w:rPr>
                <w:sz w:val="17"/>
              </w:rPr>
              <w:t>29.7</w:t>
            </w:r>
          </w:p>
        </w:tc>
        <w:tc>
          <w:tcPr>
            <w:tcW w:type="dxa" w:w="1440"/>
          </w:tcPr>
          <w:p>
            <w:pPr>
              <w:spacing w:before="0" w:after="0"/>
              <w:jc w:val="right"/>
            </w:pPr>
            <w:r>
              <w:rPr>
                <w:sz w:val="17"/>
              </w:rPr>
              <w:t>32.7</w:t>
            </w:r>
          </w:p>
        </w:tc>
        <w:tc>
          <w:tcPr>
            <w:tcW w:type="dxa" w:w="1440"/>
          </w:tcPr>
          <w:p>
            <w:pPr>
              <w:spacing w:before="0" w:after="0"/>
              <w:jc w:val="right"/>
            </w:pPr>
            <w:r>
              <w:rPr>
                <w:sz w:val="17"/>
              </w:rPr>
              <w:t>36.4</w:t>
            </w:r>
          </w:p>
        </w:tc>
      </w:tr>
    </w:tbl>
    <w:p>
      <w:pPr>
        <w:spacing w:after="120" w:before="20"/>
      </w:pPr>
      <w:r>
        <w:rPr>
          <w:b w:val="0"/>
          <w:i/>
          <w:color w:val="777777"/>
          <w:sz w:val="16"/>
        </w:rPr>
        <w:t>DCF fair value (EGP/share) across WACC × terminal growth. Base case bold in text: EGP 19.8.</w:t>
      </w:r>
    </w:p>
    <w:p>
      <w:pPr>
        <w:spacing w:after="80" w:before="200"/>
      </w:pPr>
      <w:r>
        <w:rPr>
          <w:b/>
          <w:i w:val="0"/>
          <w:color w:val="1B5E5E"/>
          <w:sz w:val="28"/>
        </w:rPr>
        <w:t>2  Technical and price structure</w:t>
      </w:r>
    </w:p>
    <w:p>
      <w:pPr>
        <w:spacing w:after="80" w:before="0"/>
      </w:pPr>
      <w:r>
        <w:rPr>
          <w:b w:val="0"/>
          <w:i w:val="0"/>
          <w:color w:val="222222"/>
          <w:sz w:val="20"/>
        </w:rPr>
        <w:t>ISPH trades at EGP 11.67, just below its short-term moving averages and near the middle of a EGP 9.09–12.75 52-week range. The moving-average stack is tightly bunched (SMA20 11.96, SMA50 11.68, SMA100 11.39, SMA200 11.23), consistent with a consolidation after the 2024–25 re-rating. RSI at 40 is neutral-to-soft; MACD is mildly negative (line -0.038, signal 0.047, histogram -0.086). Realised volatility is ~35% annualised. Net: a quiet, range-bound tape with the 200-day (~EGP 11.23) as the pivot.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B5E5E"/>
          </w:tcPr>
          <w:p>
            <w:pPr>
              <w:spacing w:before="0" w:after="0"/>
              <w:jc w:val="left"/>
            </w:pPr>
            <w:r>
              <w:rPr>
                <w:b/>
                <w:color w:val="FFFFFF"/>
                <w:sz w:val="17"/>
              </w:rPr>
              <w:t>Indicator</w:t>
            </w:r>
          </w:p>
        </w:tc>
        <w:tc>
          <w:tcPr>
            <w:tcW w:type="dxa" w:w="3024"/>
            <w:shd w:val="clear" w:fill="1B5E5E"/>
          </w:tcPr>
          <w:p>
            <w:pPr>
              <w:spacing w:before="0" w:after="0"/>
              <w:jc w:val="center"/>
            </w:pPr>
            <w:r>
              <w:rPr>
                <w:b/>
                <w:color w:val="FFFFFF"/>
                <w:sz w:val="17"/>
              </w:rPr>
              <w:t>Value</w:t>
            </w:r>
          </w:p>
        </w:tc>
        <w:tc>
          <w:tcPr>
            <w:tcW w:type="dxa" w:w="3168"/>
            <w:shd w:val="clear" w:fill="1B5E5E"/>
          </w:tcPr>
          <w:p>
            <w:pPr>
              <w:spacing w:before="0" w:after="0"/>
              <w:jc w:val="center"/>
            </w:pPr>
            <w:r>
              <w:rPr>
                <w:b/>
                <w:color w:val="FFFFFF"/>
                <w:sz w:val="17"/>
              </w:rPr>
              <w:t>Read</w:t>
            </w:r>
          </w:p>
        </w:tc>
      </w:tr>
      <w:tr>
        <w:tc>
          <w:tcPr>
            <w:tcW w:type="dxa" w:w="3312"/>
          </w:tcPr>
          <w:p>
            <w:pPr>
              <w:spacing w:before="0" w:after="0"/>
              <w:jc w:val="left"/>
            </w:pPr>
            <w:r>
              <w:rPr>
                <w:b/>
                <w:sz w:val="17"/>
              </w:rPr>
              <w:t>Spot</w:t>
            </w:r>
          </w:p>
        </w:tc>
        <w:tc>
          <w:tcPr>
            <w:tcW w:type="dxa" w:w="3024"/>
          </w:tcPr>
          <w:p>
            <w:pPr>
              <w:spacing w:before="0" w:after="0"/>
              <w:jc w:val="right"/>
            </w:pPr>
            <w:r>
              <w:rPr>
                <w:sz w:val="17"/>
              </w:rPr>
              <w:t>EGP 11.67</w:t>
            </w:r>
          </w:p>
        </w:tc>
        <w:tc>
          <w:tcPr>
            <w:tcW w:type="dxa" w:w="3168"/>
          </w:tcPr>
          <w:p>
            <w:pPr>
              <w:spacing w:before="0" w:after="0"/>
              <w:jc w:val="right"/>
            </w:pPr>
            <w:r>
              <w:rPr>
                <w:sz w:val="17"/>
              </w:rPr>
              <w:t>—</w:t>
            </w:r>
          </w:p>
        </w:tc>
      </w:tr>
      <w:tr>
        <w:tc>
          <w:tcPr>
            <w:tcW w:type="dxa" w:w="3312"/>
          </w:tcPr>
          <w:p>
            <w:pPr>
              <w:spacing w:before="0" w:after="0"/>
              <w:jc w:val="left"/>
            </w:pPr>
            <w:r>
              <w:rPr>
                <w:b/>
                <w:sz w:val="17"/>
              </w:rPr>
              <w:t>SMA 20 / 50</w:t>
            </w:r>
          </w:p>
        </w:tc>
        <w:tc>
          <w:tcPr>
            <w:tcW w:type="dxa" w:w="3024"/>
          </w:tcPr>
          <w:p>
            <w:pPr>
              <w:spacing w:before="0" w:after="0"/>
              <w:jc w:val="right"/>
            </w:pPr>
            <w:r>
              <w:rPr>
                <w:sz w:val="17"/>
              </w:rPr>
              <w:t>11.96 / 11.68</w:t>
            </w:r>
          </w:p>
        </w:tc>
        <w:tc>
          <w:tcPr>
            <w:tcW w:type="dxa" w:w="3168"/>
          </w:tcPr>
          <w:p>
            <w:pPr>
              <w:spacing w:before="0" w:after="0"/>
              <w:jc w:val="right"/>
            </w:pPr>
            <w:r>
              <w:rPr>
                <w:sz w:val="17"/>
              </w:rPr>
              <w:t>price just below — soft</w:t>
            </w:r>
          </w:p>
        </w:tc>
      </w:tr>
      <w:tr>
        <w:tc>
          <w:tcPr>
            <w:tcW w:type="dxa" w:w="3312"/>
          </w:tcPr>
          <w:p>
            <w:pPr>
              <w:spacing w:before="0" w:after="0"/>
              <w:jc w:val="left"/>
            </w:pPr>
            <w:r>
              <w:rPr>
                <w:b/>
                <w:sz w:val="17"/>
              </w:rPr>
              <w:t>SMA 100 / 200</w:t>
            </w:r>
          </w:p>
        </w:tc>
        <w:tc>
          <w:tcPr>
            <w:tcW w:type="dxa" w:w="3024"/>
          </w:tcPr>
          <w:p>
            <w:pPr>
              <w:spacing w:before="0" w:after="0"/>
              <w:jc w:val="right"/>
            </w:pPr>
            <w:r>
              <w:rPr>
                <w:sz w:val="17"/>
              </w:rPr>
              <w:t>11.39 / 11.23</w:t>
            </w:r>
          </w:p>
        </w:tc>
        <w:tc>
          <w:tcPr>
            <w:tcW w:type="dxa" w:w="3168"/>
          </w:tcPr>
          <w:p>
            <w:pPr>
              <w:spacing w:before="0" w:after="0"/>
              <w:jc w:val="right"/>
            </w:pPr>
            <w:r>
              <w:rPr>
                <w:sz w:val="17"/>
              </w:rPr>
              <w:t>200-day is the pivot</w:t>
            </w:r>
          </w:p>
        </w:tc>
      </w:tr>
      <w:tr>
        <w:tc>
          <w:tcPr>
            <w:tcW w:type="dxa" w:w="3312"/>
          </w:tcPr>
          <w:p>
            <w:pPr>
              <w:spacing w:before="0" w:after="0"/>
              <w:jc w:val="left"/>
            </w:pPr>
            <w:r>
              <w:rPr>
                <w:b/>
                <w:sz w:val="17"/>
              </w:rPr>
              <w:t>RSI (14)</w:t>
            </w:r>
          </w:p>
        </w:tc>
        <w:tc>
          <w:tcPr>
            <w:tcW w:type="dxa" w:w="3024"/>
          </w:tcPr>
          <w:p>
            <w:pPr>
              <w:spacing w:before="0" w:after="0"/>
              <w:jc w:val="right"/>
            </w:pPr>
            <w:r>
              <w:rPr>
                <w:sz w:val="17"/>
              </w:rPr>
              <w:t>40</w:t>
            </w:r>
          </w:p>
        </w:tc>
        <w:tc>
          <w:tcPr>
            <w:tcW w:type="dxa" w:w="3168"/>
          </w:tcPr>
          <w:p>
            <w:pPr>
              <w:spacing w:before="0" w:after="0"/>
              <w:jc w:val="right"/>
            </w:pPr>
            <w:r>
              <w:rPr>
                <w:sz w:val="17"/>
              </w:rPr>
              <w:t>neutral-to-soft</w:t>
            </w:r>
          </w:p>
        </w:tc>
      </w:tr>
      <w:tr>
        <w:tc>
          <w:tcPr>
            <w:tcW w:type="dxa" w:w="3312"/>
          </w:tcPr>
          <w:p>
            <w:pPr>
              <w:spacing w:before="0" w:after="0"/>
              <w:jc w:val="left"/>
            </w:pPr>
            <w:r>
              <w:rPr>
                <w:b/>
                <w:sz w:val="17"/>
              </w:rPr>
              <w:t>MACD line / signal / hist</w:t>
            </w:r>
          </w:p>
        </w:tc>
        <w:tc>
          <w:tcPr>
            <w:tcW w:type="dxa" w:w="3024"/>
          </w:tcPr>
          <w:p>
            <w:pPr>
              <w:spacing w:before="0" w:after="0"/>
              <w:jc w:val="right"/>
            </w:pPr>
            <w:r>
              <w:rPr>
                <w:sz w:val="17"/>
              </w:rPr>
              <w:t>-0.038 / 0.047 / -0.086</w:t>
            </w:r>
          </w:p>
        </w:tc>
        <w:tc>
          <w:tcPr>
            <w:tcW w:type="dxa" w:w="3168"/>
          </w:tcPr>
          <w:p>
            <w:pPr>
              <w:spacing w:before="0" w:after="0"/>
              <w:jc w:val="right"/>
            </w:pPr>
            <w:r>
              <w:rPr>
                <w:sz w:val="17"/>
              </w:rPr>
              <w:t>mildly bearish</w:t>
            </w:r>
          </w:p>
        </w:tc>
      </w:tr>
      <w:tr>
        <w:tc>
          <w:tcPr>
            <w:tcW w:type="dxa" w:w="3312"/>
          </w:tcPr>
          <w:p>
            <w:pPr>
              <w:spacing w:before="0" w:after="0"/>
              <w:jc w:val="left"/>
            </w:pPr>
            <w:r>
              <w:rPr>
                <w:b/>
                <w:sz w:val="17"/>
              </w:rPr>
              <w:t>Realised vol (252d, ann.)</w:t>
            </w:r>
          </w:p>
        </w:tc>
        <w:tc>
          <w:tcPr>
            <w:tcW w:type="dxa" w:w="3024"/>
          </w:tcPr>
          <w:p>
            <w:pPr>
              <w:spacing w:before="0" w:after="0"/>
              <w:jc w:val="right"/>
            </w:pPr>
            <w:r>
              <w:rPr>
                <w:sz w:val="17"/>
              </w:rPr>
              <w:t>35%</w:t>
            </w:r>
          </w:p>
        </w:tc>
        <w:tc>
          <w:tcPr>
            <w:tcW w:type="dxa" w:w="3168"/>
          </w:tcPr>
          <w:p>
            <w:pPr>
              <w:spacing w:before="0" w:after="0"/>
              <w:jc w:val="right"/>
            </w:pPr>
            <w:r>
              <w:rPr>
                <w:sz w:val="17"/>
              </w:rPr>
              <w:t>moderate for EGX</w:t>
            </w:r>
          </w:p>
        </w:tc>
      </w:tr>
      <w:tr>
        <w:tc>
          <w:tcPr>
            <w:tcW w:type="dxa" w:w="3312"/>
          </w:tcPr>
          <w:p>
            <w:pPr>
              <w:spacing w:before="0" w:after="0"/>
              <w:jc w:val="left"/>
            </w:pPr>
            <w:r>
              <w:rPr>
                <w:b/>
                <w:sz w:val="17"/>
              </w:rPr>
              <w:t>52-week range</w:t>
            </w:r>
          </w:p>
        </w:tc>
        <w:tc>
          <w:tcPr>
            <w:tcW w:type="dxa" w:w="3024"/>
          </w:tcPr>
          <w:p>
            <w:pPr>
              <w:spacing w:before="0" w:after="0"/>
              <w:jc w:val="right"/>
            </w:pPr>
            <w:r>
              <w:rPr>
                <w:sz w:val="17"/>
              </w:rPr>
              <w:t>9.09 – 12.75</w:t>
            </w:r>
          </w:p>
        </w:tc>
        <w:tc>
          <w:tcPr>
            <w:tcW w:type="dxa" w:w="3168"/>
          </w:tcPr>
          <w:p>
            <w:pPr>
              <w:spacing w:before="0" w:after="0"/>
              <w:jc w:val="right"/>
            </w:pPr>
            <w:r>
              <w:rPr>
                <w:sz w:val="17"/>
              </w:rPr>
              <w:t>mid-range</w:t>
            </w:r>
          </w:p>
        </w:tc>
      </w:tr>
    </w:tbl>
    <w:p>
      <w:pPr>
        <w:spacing w:after="120" w:before="20"/>
      </w:pPr>
      <w:r>
        <w:rPr>
          <w:b w:val="0"/>
          <w:i/>
          <w:color w:val="777777"/>
          <w:sz w:val="16"/>
        </w:rPr>
        <w:t>Technical indicators as of 07 Jul 2026. Technicals describe tape, not value.</w:t>
      </w:r>
    </w:p>
    <w:p>
      <w:pPr>
        <w:jc w:val="center"/>
      </w:pPr>
      <w:r>
        <w:drawing>
          <wp:inline xmlns:a="http://schemas.openxmlformats.org/drawingml/2006/main" xmlns:pic="http://schemas.openxmlformats.org/drawingml/2006/picture">
            <wp:extent cx="5669280" cy="2511706"/>
            <wp:docPr id="3" name="Picture 3"/>
            <wp:cNvGraphicFramePr>
              <a:graphicFrameLocks noChangeAspect="1"/>
            </wp:cNvGraphicFramePr>
            <a:graphic>
              <a:graphicData uri="http://schemas.openxmlformats.org/drawingml/2006/picture">
                <pic:pic>
                  <pic:nvPicPr>
                    <pic:cNvPr id="0" name="fig3_mastack.png"/>
                    <pic:cNvPicPr/>
                  </pic:nvPicPr>
                  <pic:blipFill>
                    <a:blip r:embed="rId11"/>
                    <a:stretch>
                      <a:fillRect/>
                    </a:stretch>
                  </pic:blipFill>
                  <pic:spPr>
                    <a:xfrm>
                      <a:off x="0" y="0"/>
                      <a:ext cx="5669280" cy="2511706"/>
                    </a:xfrm>
                    <a:prstGeom prst="rect"/>
                  </pic:spPr>
                </pic:pic>
              </a:graphicData>
            </a:graphic>
          </wp:inline>
        </w:drawing>
      </w:r>
    </w:p>
    <w:p>
      <w:pPr>
        <w:spacing w:after="120" w:before="20"/>
        <w:jc w:val="center"/>
      </w:pPr>
      <w:r>
        <w:rPr>
          <w:b w:val="0"/>
          <w:i/>
          <w:color w:val="777777"/>
          <w:sz w:val="16"/>
        </w:rPr>
        <w:t>Figure 3 — Price versus the moving-average stack, last 260 sessions.</w:t>
      </w:r>
    </w:p>
    <w:p>
      <w:pPr>
        <w:spacing w:after="80" w:before="200"/>
      </w:pPr>
      <w:r>
        <w:rPr>
          <w:b/>
          <w:i w:val="0"/>
          <w:color w:val="1B5E5E"/>
          <w:sz w:val="28"/>
        </w:rPr>
        <w:t>3  Monte Carlo — a probabilistic price map (illustrative only)</w:t>
      </w:r>
    </w:p>
    <w:tbl>
      <w:tblPr>
        <w:tblW w:type="auto" w:w="0"/>
        <w:tblLook w:firstColumn="1" w:firstRow="1" w:lastColumn="0" w:lastRow="0" w:noHBand="0" w:noVBand="1" w:val="04A0"/>
      </w:tblPr>
      <w:tblGrid>
        <w:gridCol w:w="9936"/>
      </w:tblGrid>
      <w:tr>
        <w:tc>
          <w:tcPr>
            <w:tcW w:type="dxa" w:w="9936"/>
            <w:shd w:val="clear" w:fill="F6F1E4"/>
            <w:tcBorders>
              <w:top w:val="single" w:sz="8" w:color="B0894B"/>
              <w:left w:val="single" w:sz="8" w:color="B0894B"/>
              <w:bottom w:val="single" w:sz="8" w:color="B0894B"/>
              <w:right w:val="single" w:sz="8" w:color="B0894B"/>
            </w:tcBorders>
          </w:tcPr>
          <w:p>
            <w:pPr>
              <w:spacing w:before="0" w:after="0"/>
            </w:pPr>
            <w:r>
              <w:rPr>
                <w:b/>
                <w:color w:val="222222"/>
                <w:sz w:val="19"/>
              </w:rPr>
              <w:t>Illustrative only. For Ibnsina Pharma this Monte-Carlo map did NOT beat a naïve zero-drift random-walk cone in the Step-0 calibration: CRPS skill is negative on every window scheme. ISPH is a jump-driven, devaluation-sensitive name whose realised 60-day moves are dominated by a few large re-pricing/FX steps; a naïve wide cone already captures that dispersion, and the engine's regime-conditioning and fat tails add no forecasting edge over it. The percentiles below are shown to demonstrate the method and to bound the stock's own quarter-ahead uncertainty — they are NOT a reliable forecast for this name and should not be relied upon. We retain the section for transparency and because the same engine adds value on other names.</w:t>
            </w:r>
          </w:p>
        </w:tc>
      </w:tr>
    </w:tbl>
    <w:p>
      <w:pPr>
        <w:spacing w:after="80" w:before="0"/>
      </w:pPr>
      <w:r>
        <w:rPr>
          <w:b w:val="0"/>
          <w:i w:val="0"/>
          <w:color w:val="222222"/>
          <w:sz w:val="6"/>
        </w:rPr>
      </w:r>
    </w:p>
    <w:p>
      <w:pPr>
        <w:spacing w:after="80" w:before="0"/>
      </w:pPr>
      <w:r>
        <w:rPr>
          <w:b w:val="0"/>
          <w:i w:val="0"/>
          <w:color w:val="222222"/>
          <w:sz w:val="20"/>
        </w:rPr>
        <w:t>We simulate 50,000 three-month price paths (seed 42) with a sixteen-factor stack: seven continuous macro/operating drivers contributing a small net forward drift, and nine discrete events that each fire with a probability and an impact. By design the paths diffuse from spot and the §1 value gap is kept out of the drift — the fundamental question lives in §1; §3 only maps where price could wander. Diffusion volatility is sized by the house YZ-HAR engine (a gap-aware Yang-Zhang variance proxy feeding a pooled log-HAR cascade over variance lags 1/5/22), widened by a horizon variance-ratio of 1.86 to match this name's genuine multi-day dispersion, landing at an annualised ~29%; innovations are unit-variance Student-t(5). Drift is set to zero (the honest choice for a name whose calibration failed), leaving only a modest net contribution from the continuous factors — direction is not manufactured.</w:t>
      </w:r>
    </w:p>
    <w:p>
      <w:pPr>
        <w:spacing w:after="60" w:before="140"/>
      </w:pPr>
      <w:r>
        <w:rPr>
          <w:b/>
          <w:i w:val="0"/>
          <w:color w:val="2A8F8F"/>
          <w:sz w:val="23"/>
        </w:rPr>
        <w:t>The probability read (T+60)</w:t>
      </w:r>
    </w:p>
    <w:tbl>
      <w:tblPr>
        <w:tblStyle w:val="TableGrid"/>
        <w:tblW w:type="auto" w:w="0"/>
        <w:jc w:val="center"/>
        <w:tblLook w:firstColumn="1" w:firstRow="1" w:lastColumn="0" w:lastRow="0" w:noHBand="0" w:noVBand="1" w:val="04A0"/>
      </w:tblPr>
      <w:tblGrid>
        <w:gridCol w:w="4968"/>
        <w:gridCol w:w="4968"/>
      </w:tblGrid>
      <w:tr>
        <w:tc>
          <w:tcPr>
            <w:tcW w:type="dxa" w:w="4320"/>
            <w:shd w:val="clear" w:fill="1B5E5E"/>
          </w:tcPr>
          <w:p>
            <w:pPr>
              <w:spacing w:before="0" w:after="0"/>
              <w:jc w:val="left"/>
            </w:pPr>
            <w:r>
              <w:rPr>
                <w:b/>
                <w:color w:val="FFFFFF"/>
                <w:sz w:val="17"/>
              </w:rPr>
              <w:t>Probability read</w:t>
            </w:r>
          </w:p>
        </w:tc>
        <w:tc>
          <w:tcPr>
            <w:tcW w:type="dxa" w:w="5184"/>
            <w:shd w:val="clear" w:fill="1B5E5E"/>
          </w:tcPr>
          <w:p>
            <w:pPr>
              <w:spacing w:before="0" w:after="0"/>
              <w:jc w:val="center"/>
            </w:pPr>
            <w:r>
              <w:rPr>
                <w:b/>
                <w:color w:val="FFFFFF"/>
                <w:sz w:val="17"/>
              </w:rPr>
              <w:t>Value</w:t>
            </w:r>
          </w:p>
        </w:tc>
      </w:tr>
      <w:tr>
        <w:tc>
          <w:tcPr>
            <w:tcW w:type="dxa" w:w="4320"/>
          </w:tcPr>
          <w:p>
            <w:pPr>
              <w:spacing w:before="0" w:after="0"/>
              <w:jc w:val="left"/>
            </w:pPr>
            <w:r>
              <w:rPr>
                <w:b/>
                <w:sz w:val="17"/>
              </w:rPr>
              <w:t>P(price above spot)</w:t>
            </w:r>
          </w:p>
        </w:tc>
        <w:tc>
          <w:tcPr>
            <w:tcW w:type="dxa" w:w="5184"/>
          </w:tcPr>
          <w:p>
            <w:pPr>
              <w:spacing w:before="0" w:after="0"/>
              <w:jc w:val="right"/>
            </w:pPr>
            <w:r>
              <w:rPr>
                <w:sz w:val="17"/>
              </w:rPr>
              <w:t>56%</w:t>
            </w:r>
          </w:p>
        </w:tc>
      </w:tr>
      <w:tr>
        <w:tc>
          <w:tcPr>
            <w:tcW w:type="dxa" w:w="4320"/>
          </w:tcPr>
          <w:p>
            <w:pPr>
              <w:spacing w:before="0" w:after="0"/>
              <w:jc w:val="left"/>
            </w:pPr>
            <w:r>
              <w:rPr>
                <w:b/>
                <w:sz w:val="17"/>
              </w:rPr>
              <w:t>P(+10%) vs P(−10%)</w:t>
            </w:r>
          </w:p>
        </w:tc>
        <w:tc>
          <w:tcPr>
            <w:tcW w:type="dxa" w:w="5184"/>
          </w:tcPr>
          <w:p>
            <w:pPr>
              <w:spacing w:before="0" w:after="0"/>
              <w:jc w:val="right"/>
            </w:pPr>
            <w:r>
              <w:rPr>
                <w:sz w:val="17"/>
              </w:rPr>
              <w:t>29% vs 19%  (odds 1.57:1)</w:t>
            </w:r>
          </w:p>
        </w:tc>
      </w:tr>
      <w:tr>
        <w:tc>
          <w:tcPr>
            <w:tcW w:type="dxa" w:w="4320"/>
          </w:tcPr>
          <w:p>
            <w:pPr>
              <w:spacing w:before="0" w:after="0"/>
              <w:jc w:val="left"/>
            </w:pPr>
            <w:r>
              <w:rPr>
                <w:b/>
                <w:sz w:val="17"/>
              </w:rPr>
              <w:t>Median level (and move)</w:t>
            </w:r>
          </w:p>
        </w:tc>
        <w:tc>
          <w:tcPr>
            <w:tcW w:type="dxa" w:w="5184"/>
          </w:tcPr>
          <w:p>
            <w:pPr>
              <w:spacing w:before="0" w:after="0"/>
              <w:jc w:val="right"/>
            </w:pPr>
            <w:r>
              <w:rPr>
                <w:sz w:val="17"/>
              </w:rPr>
              <w:t>EGP 11.91  (+2.0%)</w:t>
            </w:r>
          </w:p>
        </w:tc>
      </w:tr>
      <w:tr>
        <w:tc>
          <w:tcPr>
            <w:tcW w:type="dxa" w:w="4320"/>
          </w:tcPr>
          <w:p>
            <w:pPr>
              <w:spacing w:before="0" w:after="0"/>
              <w:jc w:val="left"/>
            </w:pPr>
            <w:r>
              <w:rPr>
                <w:b/>
                <w:sz w:val="17"/>
              </w:rPr>
              <w:t>50% band (25th–75th)</w:t>
            </w:r>
          </w:p>
        </w:tc>
        <w:tc>
          <w:tcPr>
            <w:tcW w:type="dxa" w:w="5184"/>
          </w:tcPr>
          <w:p>
            <w:pPr>
              <w:spacing w:before="0" w:after="0"/>
              <w:jc w:val="right"/>
            </w:pPr>
            <w:r>
              <w:rPr>
                <w:sz w:val="17"/>
              </w:rPr>
              <w:t>EGP 10.85 – 13.06  (19% of spot)</w:t>
            </w:r>
          </w:p>
        </w:tc>
      </w:tr>
      <w:tr>
        <w:tc>
          <w:tcPr>
            <w:tcW w:type="dxa" w:w="4320"/>
          </w:tcPr>
          <w:p>
            <w:pPr>
              <w:spacing w:before="0" w:after="0"/>
              <w:jc w:val="left"/>
            </w:pPr>
            <w:r>
              <w:rPr>
                <w:b/>
                <w:sz w:val="17"/>
              </w:rPr>
              <w:t>Touch +10% / −10%</w:t>
            </w:r>
          </w:p>
        </w:tc>
        <w:tc>
          <w:tcPr>
            <w:tcW w:type="dxa" w:w="5184"/>
          </w:tcPr>
          <w:p>
            <w:pPr>
              <w:spacing w:before="0" w:after="0"/>
              <w:jc w:val="right"/>
            </w:pPr>
            <w:r>
              <w:rPr>
                <w:sz w:val="17"/>
              </w:rPr>
              <w:t>49% / 36%</w:t>
            </w:r>
          </w:p>
        </w:tc>
      </w:tr>
    </w:tbl>
    <w:p>
      <w:pPr>
        <w:spacing w:after="120" w:before="20"/>
      </w:pPr>
      <w:r>
        <w:rPr>
          <w:b w:val="0"/>
          <w:i/>
          <w:color w:val="777777"/>
          <w:sz w:val="16"/>
        </w:rPr>
        <w:t>Read first. Computed from the same 50,000 paths as the fan chart — presentation only, it does not feed the drift or width. A near-even map with a slight upward catalyst skew.</w:t>
      </w:r>
    </w:p>
    <w:p>
      <w:pPr>
        <w:spacing w:after="60" w:before="140"/>
      </w:pPr>
      <w:r>
        <w:rPr>
          <w:b/>
          <w:i w:val="0"/>
          <w:color w:val="2A8F8F"/>
          <w:sz w:val="23"/>
        </w:rPr>
        <w:t>The factor stack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12"/>
            <w:shd w:val="clear" w:fill="1B5E5E"/>
          </w:tcPr>
          <w:p>
            <w:pPr>
              <w:spacing w:before="0" w:after="0"/>
              <w:jc w:val="left"/>
            </w:pPr>
            <w:r>
              <w:rPr>
                <w:b/>
                <w:color w:val="FFFFFF"/>
                <w:sz w:val="16"/>
              </w:rPr>
              <w:t>Continuous factor (7)</w:t>
            </w:r>
          </w:p>
        </w:tc>
        <w:tc>
          <w:tcPr>
            <w:tcW w:type="dxa" w:w="864"/>
            <w:shd w:val="clear" w:fill="1B5E5E"/>
          </w:tcPr>
          <w:p>
            <w:pPr>
              <w:spacing w:before="0" w:after="0"/>
              <w:jc w:val="center"/>
            </w:pPr>
            <w:r>
              <w:rPr>
                <w:b/>
                <w:color w:val="FFFFFF"/>
                <w:sz w:val="16"/>
              </w:rPr>
              <w:t>Dir.</w:t>
            </w:r>
          </w:p>
        </w:tc>
        <w:tc>
          <w:tcPr>
            <w:tcW w:type="dxa" w:w="3168"/>
            <w:shd w:val="clear" w:fill="1B5E5E"/>
          </w:tcPr>
          <w:p>
            <w:pPr>
              <w:spacing w:before="0" w:after="0"/>
              <w:jc w:val="center"/>
            </w:pPr>
            <w:r>
              <w:rPr>
                <w:b/>
                <w:color w:val="FFFFFF"/>
                <w:sz w:val="16"/>
              </w:rPr>
              <w:t>Discrete event (9)</w:t>
            </w:r>
          </w:p>
        </w:tc>
        <w:tc>
          <w:tcPr>
            <w:tcW w:type="dxa" w:w="1008"/>
            <w:shd w:val="clear" w:fill="1B5E5E"/>
          </w:tcPr>
          <w:p>
            <w:pPr>
              <w:spacing w:before="0" w:after="0"/>
              <w:jc w:val="center"/>
            </w:pPr>
            <w:r>
              <w:rPr>
                <w:b/>
                <w:color w:val="FFFFFF"/>
                <w:sz w:val="16"/>
              </w:rPr>
              <w:t>Prob.</w:t>
            </w:r>
          </w:p>
        </w:tc>
        <w:tc>
          <w:tcPr>
            <w:tcW w:type="dxa" w:w="1296"/>
            <w:shd w:val="clear" w:fill="1B5E5E"/>
          </w:tcPr>
          <w:p>
            <w:pPr>
              <w:spacing w:before="0" w:after="0"/>
              <w:jc w:val="center"/>
            </w:pPr>
            <w:r>
              <w:rPr>
                <w:b/>
                <w:color w:val="FFFFFF"/>
                <w:sz w:val="16"/>
              </w:rPr>
              <w:t>Mean impact</w:t>
            </w:r>
          </w:p>
        </w:tc>
      </w:tr>
      <w:tr>
        <w:tc>
          <w:tcPr>
            <w:tcW w:type="dxa" w:w="3312"/>
          </w:tcPr>
          <w:p>
            <w:pPr>
              <w:spacing w:before="0" w:after="0"/>
              <w:jc w:val="left"/>
            </w:pPr>
            <w:r>
              <w:rPr>
                <w:b/>
                <w:sz w:val="16"/>
              </w:rPr>
              <w:t>Egyptian pharma-market volume</w:t>
            </w:r>
          </w:p>
        </w:tc>
        <w:tc>
          <w:tcPr>
            <w:tcW w:type="dxa" w:w="864"/>
          </w:tcPr>
          <w:p>
            <w:pPr>
              <w:spacing w:before="0" w:after="0"/>
              <w:jc w:val="right"/>
            </w:pPr>
            <w:r>
              <w:rPr>
                <w:sz w:val="16"/>
              </w:rPr>
              <w:t>+</w:t>
            </w:r>
          </w:p>
        </w:tc>
        <w:tc>
          <w:tcPr>
            <w:tcW w:type="dxa" w:w="3168"/>
          </w:tcPr>
          <w:p>
            <w:pPr>
              <w:spacing w:before="0" w:after="0"/>
              <w:jc w:val="right"/>
            </w:pPr>
            <w:r>
              <w:rPr>
                <w:sz w:val="16"/>
              </w:rPr>
              <w:t>Quarterly results print</w:t>
            </w:r>
          </w:p>
        </w:tc>
        <w:tc>
          <w:tcPr>
            <w:tcW w:type="dxa" w:w="1008"/>
          </w:tcPr>
          <w:p>
            <w:pPr>
              <w:spacing w:before="0" w:after="0"/>
              <w:jc w:val="right"/>
            </w:pPr>
            <w:r>
              <w:rPr>
                <w:sz w:val="16"/>
              </w:rPr>
              <w:t>85%</w:t>
            </w:r>
          </w:p>
        </w:tc>
        <w:tc>
          <w:tcPr>
            <w:tcW w:type="dxa" w:w="1296"/>
          </w:tcPr>
          <w:p>
            <w:pPr>
              <w:spacing w:before="0" w:after="0"/>
              <w:jc w:val="right"/>
            </w:pPr>
            <w:r>
              <w:rPr>
                <w:sz w:val="16"/>
              </w:rPr>
              <w:t>+0.4%</w:t>
            </w:r>
          </w:p>
        </w:tc>
      </w:tr>
      <w:tr>
        <w:tc>
          <w:tcPr>
            <w:tcW w:type="dxa" w:w="3312"/>
          </w:tcPr>
          <w:p>
            <w:pPr>
              <w:spacing w:before="0" w:after="0"/>
              <w:jc w:val="left"/>
            </w:pPr>
            <w:r>
              <w:rPr>
                <w:b/>
                <w:sz w:val="16"/>
              </w:rPr>
              <w:t>Drug re-pricing / pass-through</w:t>
            </w:r>
          </w:p>
        </w:tc>
        <w:tc>
          <w:tcPr>
            <w:tcW w:type="dxa" w:w="864"/>
          </w:tcPr>
          <w:p>
            <w:pPr>
              <w:spacing w:before="0" w:after="0"/>
              <w:jc w:val="right"/>
            </w:pPr>
            <w:r>
              <w:rPr>
                <w:sz w:val="16"/>
              </w:rPr>
              <w:t>+</w:t>
            </w:r>
          </w:p>
        </w:tc>
        <w:tc>
          <w:tcPr>
            <w:tcW w:type="dxa" w:w="3168"/>
          </w:tcPr>
          <w:p>
            <w:pPr>
              <w:spacing w:before="0" w:after="0"/>
              <w:jc w:val="right"/>
            </w:pPr>
            <w:r>
              <w:rPr>
                <w:sz w:val="16"/>
              </w:rPr>
              <w:t>CBE rate decision (cut)</w:t>
            </w:r>
          </w:p>
        </w:tc>
        <w:tc>
          <w:tcPr>
            <w:tcW w:type="dxa" w:w="1008"/>
          </w:tcPr>
          <w:p>
            <w:pPr>
              <w:spacing w:before="0" w:after="0"/>
              <w:jc w:val="right"/>
            </w:pPr>
            <w:r>
              <w:rPr>
                <w:sz w:val="16"/>
              </w:rPr>
              <w:t>45%</w:t>
            </w:r>
          </w:p>
        </w:tc>
        <w:tc>
          <w:tcPr>
            <w:tcW w:type="dxa" w:w="1296"/>
          </w:tcPr>
          <w:p>
            <w:pPr>
              <w:spacing w:before="0" w:after="0"/>
              <w:jc w:val="right"/>
            </w:pPr>
            <w:r>
              <w:rPr>
                <w:sz w:val="16"/>
              </w:rPr>
              <w:t>+1.0%</w:t>
            </w:r>
          </w:p>
        </w:tc>
      </w:tr>
      <w:tr>
        <w:tc>
          <w:tcPr>
            <w:tcW w:type="dxa" w:w="3312"/>
          </w:tcPr>
          <w:p>
            <w:pPr>
              <w:spacing w:before="0" w:after="0"/>
              <w:jc w:val="left"/>
            </w:pPr>
            <w:r>
              <w:rPr>
                <w:b/>
                <w:sz w:val="16"/>
              </w:rPr>
              <w:t>CBE policy-rate path</w:t>
            </w:r>
          </w:p>
        </w:tc>
        <w:tc>
          <w:tcPr>
            <w:tcW w:type="dxa" w:w="864"/>
          </w:tcPr>
          <w:p>
            <w:pPr>
              <w:spacing w:before="0" w:after="0"/>
              <w:jc w:val="right"/>
            </w:pPr>
            <w:r>
              <w:rPr>
                <w:sz w:val="16"/>
              </w:rPr>
              <w:t>+</w:t>
            </w:r>
          </w:p>
        </w:tc>
        <w:tc>
          <w:tcPr>
            <w:tcW w:type="dxa" w:w="3168"/>
          </w:tcPr>
          <w:p>
            <w:pPr>
              <w:spacing w:before="0" w:after="0"/>
              <w:jc w:val="right"/>
            </w:pPr>
            <w:r>
              <w:rPr>
                <w:sz w:val="16"/>
              </w:rPr>
              <w:t>Further re-pricing round</w:t>
            </w:r>
          </w:p>
        </w:tc>
        <w:tc>
          <w:tcPr>
            <w:tcW w:type="dxa" w:w="1008"/>
          </w:tcPr>
          <w:p>
            <w:pPr>
              <w:spacing w:before="0" w:after="0"/>
              <w:jc w:val="right"/>
            </w:pPr>
            <w:r>
              <w:rPr>
                <w:sz w:val="16"/>
              </w:rPr>
              <w:t>40%</w:t>
            </w:r>
          </w:p>
        </w:tc>
        <w:tc>
          <w:tcPr>
            <w:tcW w:type="dxa" w:w="1296"/>
          </w:tcPr>
          <w:p>
            <w:pPr>
              <w:spacing w:before="0" w:after="0"/>
              <w:jc w:val="right"/>
            </w:pPr>
            <w:r>
              <w:rPr>
                <w:sz w:val="16"/>
              </w:rPr>
              <w:t>+1.2%</w:t>
            </w:r>
          </w:p>
        </w:tc>
      </w:tr>
      <w:tr>
        <w:tc>
          <w:tcPr>
            <w:tcW w:type="dxa" w:w="3312"/>
          </w:tcPr>
          <w:p>
            <w:pPr>
              <w:spacing w:before="0" w:after="0"/>
              <w:jc w:val="left"/>
            </w:pPr>
            <w:r>
              <w:rPr>
                <w:b/>
                <w:sz w:val="16"/>
              </w:rPr>
              <w:t>EGP/USD (imported-drug cost)</w:t>
            </w:r>
          </w:p>
        </w:tc>
        <w:tc>
          <w:tcPr>
            <w:tcW w:type="dxa" w:w="864"/>
          </w:tcPr>
          <w:p>
            <w:pPr>
              <w:spacing w:before="0" w:after="0"/>
              <w:jc w:val="right"/>
            </w:pPr>
            <w:r>
              <w:rPr>
                <w:sz w:val="16"/>
              </w:rPr>
              <w:t>−</w:t>
            </w:r>
          </w:p>
        </w:tc>
        <w:tc>
          <w:tcPr>
            <w:tcW w:type="dxa" w:w="3168"/>
          </w:tcPr>
          <w:p>
            <w:pPr>
              <w:spacing w:before="0" w:after="0"/>
              <w:jc w:val="right"/>
            </w:pPr>
            <w:r>
              <w:rPr>
                <w:sz w:val="16"/>
              </w:rPr>
              <w:t>New supplier / distribution deal</w:t>
            </w:r>
          </w:p>
        </w:tc>
        <w:tc>
          <w:tcPr>
            <w:tcW w:type="dxa" w:w="1008"/>
          </w:tcPr>
          <w:p>
            <w:pPr>
              <w:spacing w:before="0" w:after="0"/>
              <w:jc w:val="right"/>
            </w:pPr>
            <w:r>
              <w:rPr>
                <w:sz w:val="16"/>
              </w:rPr>
              <w:t>35%</w:t>
            </w:r>
          </w:p>
        </w:tc>
        <w:tc>
          <w:tcPr>
            <w:tcW w:type="dxa" w:w="1296"/>
          </w:tcPr>
          <w:p>
            <w:pPr>
              <w:spacing w:before="0" w:after="0"/>
              <w:jc w:val="right"/>
            </w:pPr>
            <w:r>
              <w:rPr>
                <w:sz w:val="16"/>
              </w:rPr>
              <w:t>+0.6%</w:t>
            </w:r>
          </w:p>
        </w:tc>
      </w:tr>
      <w:tr>
        <w:tc>
          <w:tcPr>
            <w:tcW w:type="dxa" w:w="3312"/>
          </w:tcPr>
          <w:p>
            <w:pPr>
              <w:spacing w:before="0" w:after="0"/>
              <w:jc w:val="left"/>
            </w:pPr>
            <w:r>
              <w:rPr>
                <w:b/>
                <w:sz w:val="16"/>
              </w:rPr>
              <w:t>EGX30 &amp; foreign flows</w:t>
            </w:r>
          </w:p>
        </w:tc>
        <w:tc>
          <w:tcPr>
            <w:tcW w:type="dxa" w:w="864"/>
          </w:tcPr>
          <w:p>
            <w:pPr>
              <w:spacing w:before="0" w:after="0"/>
              <w:jc w:val="right"/>
            </w:pPr>
            <w:r>
              <w:rPr>
                <w:sz w:val="16"/>
              </w:rPr>
              <w:t>+</w:t>
            </w:r>
          </w:p>
        </w:tc>
        <w:tc>
          <w:tcPr>
            <w:tcW w:type="dxa" w:w="3168"/>
          </w:tcPr>
          <w:p>
            <w:pPr>
              <w:spacing w:before="0" w:after="0"/>
              <w:jc w:val="right"/>
            </w:pPr>
            <w:r>
              <w:rPr>
                <w:sz w:val="16"/>
              </w:rPr>
              <w:t>EGP devaluation step</w:t>
            </w:r>
          </w:p>
        </w:tc>
        <w:tc>
          <w:tcPr>
            <w:tcW w:type="dxa" w:w="1008"/>
          </w:tcPr>
          <w:p>
            <w:pPr>
              <w:spacing w:before="0" w:after="0"/>
              <w:jc w:val="right"/>
            </w:pPr>
            <w:r>
              <w:rPr>
                <w:sz w:val="16"/>
              </w:rPr>
              <w:t>25%</w:t>
            </w:r>
          </w:p>
        </w:tc>
        <w:tc>
          <w:tcPr>
            <w:tcW w:type="dxa" w:w="1296"/>
          </w:tcPr>
          <w:p>
            <w:pPr>
              <w:spacing w:before="0" w:after="0"/>
              <w:jc w:val="right"/>
            </w:pPr>
            <w:r>
              <w:rPr>
                <w:sz w:val="16"/>
              </w:rPr>
              <w:t>−3.0%</w:t>
            </w:r>
          </w:p>
        </w:tc>
      </w:tr>
      <w:tr>
        <w:tc>
          <w:tcPr>
            <w:tcW w:type="dxa" w:w="3312"/>
          </w:tcPr>
          <w:p>
            <w:pPr>
              <w:spacing w:before="0" w:after="0"/>
              <w:jc w:val="left"/>
            </w:pPr>
            <w:r>
              <w:rPr>
                <w:b/>
                <w:sz w:val="16"/>
              </w:rPr>
              <w:t>Working-capital / supplier credit</w:t>
            </w:r>
          </w:p>
        </w:tc>
        <w:tc>
          <w:tcPr>
            <w:tcW w:type="dxa" w:w="864"/>
          </w:tcPr>
          <w:p>
            <w:pPr>
              <w:spacing w:before="0" w:after="0"/>
              <w:jc w:val="right"/>
            </w:pPr>
            <w:r>
              <w:rPr>
                <w:sz w:val="16"/>
              </w:rPr>
              <w:t>±</w:t>
            </w:r>
          </w:p>
        </w:tc>
        <w:tc>
          <w:tcPr>
            <w:tcW w:type="dxa" w:w="3168"/>
          </w:tcPr>
          <w:p>
            <w:pPr>
              <w:spacing w:before="0" w:after="0"/>
              <w:jc w:val="right"/>
            </w:pPr>
            <w:r>
              <w:rPr>
                <w:sz w:val="16"/>
              </w:rPr>
              <w:t>Drug shortage / disruption</w:t>
            </w:r>
          </w:p>
        </w:tc>
        <w:tc>
          <w:tcPr>
            <w:tcW w:type="dxa" w:w="1008"/>
          </w:tcPr>
          <w:p>
            <w:pPr>
              <w:spacing w:before="0" w:after="0"/>
              <w:jc w:val="right"/>
            </w:pPr>
            <w:r>
              <w:rPr>
                <w:sz w:val="16"/>
              </w:rPr>
              <w:t>20%</w:t>
            </w:r>
          </w:p>
        </w:tc>
        <w:tc>
          <w:tcPr>
            <w:tcW w:type="dxa" w:w="1296"/>
          </w:tcPr>
          <w:p>
            <w:pPr>
              <w:spacing w:before="0" w:after="0"/>
              <w:jc w:val="right"/>
            </w:pPr>
            <w:r>
              <w:rPr>
                <w:sz w:val="16"/>
              </w:rPr>
              <w:t>−1.5%</w:t>
            </w:r>
          </w:p>
        </w:tc>
      </w:tr>
      <w:tr>
        <w:tc>
          <w:tcPr>
            <w:tcW w:type="dxa" w:w="3312"/>
          </w:tcPr>
          <w:p>
            <w:pPr>
              <w:spacing w:before="0" w:after="0"/>
              <w:jc w:val="left"/>
            </w:pPr>
            <w:r>
              <w:rPr>
                <w:b/>
                <w:sz w:val="16"/>
              </w:rPr>
              <w:t>Market share vs competition</w:t>
            </w:r>
          </w:p>
        </w:tc>
        <w:tc>
          <w:tcPr>
            <w:tcW w:type="dxa" w:w="864"/>
          </w:tcPr>
          <w:p>
            <w:pPr>
              <w:spacing w:before="0" w:after="0"/>
              <w:jc w:val="right"/>
            </w:pPr>
            <w:r>
              <w:rPr>
                <w:sz w:val="16"/>
              </w:rPr>
              <w:t>+</w:t>
            </w:r>
          </w:p>
        </w:tc>
        <w:tc>
          <w:tcPr>
            <w:tcW w:type="dxa" w:w="3168"/>
          </w:tcPr>
          <w:p>
            <w:pPr>
              <w:spacing w:before="0" w:after="0"/>
              <w:jc w:val="right"/>
            </w:pPr>
            <w:r>
              <w:rPr>
                <w:sz w:val="16"/>
              </w:rPr>
              <w:t>Dividend / capital action</w:t>
            </w:r>
          </w:p>
        </w:tc>
        <w:tc>
          <w:tcPr>
            <w:tcW w:type="dxa" w:w="1008"/>
          </w:tcPr>
          <w:p>
            <w:pPr>
              <w:spacing w:before="0" w:after="0"/>
              <w:jc w:val="right"/>
            </w:pPr>
            <w:r>
              <w:rPr>
                <w:sz w:val="16"/>
              </w:rPr>
              <w:t>30%</w:t>
            </w:r>
          </w:p>
        </w:tc>
        <w:tc>
          <w:tcPr>
            <w:tcW w:type="dxa" w:w="1296"/>
          </w:tcPr>
          <w:p>
            <w:pPr>
              <w:spacing w:before="0" w:after="0"/>
              <w:jc w:val="right"/>
            </w:pPr>
            <w:r>
              <w:rPr>
                <w:sz w:val="16"/>
              </w:rPr>
              <w:t>+0.6%</w:t>
            </w:r>
          </w:p>
        </w:tc>
      </w:tr>
      <w:tr>
        <w:tc>
          <w:tcPr>
            <w:tcW w:type="dxa" w:w="3312"/>
          </w:tcPr>
          <w:p>
            <w:pPr>
              <w:spacing w:before="0" w:after="0"/>
              <w:jc w:val="left"/>
            </w:pPr>
            <w:r>
              <w:rPr>
                <w:b/>
                <w:sz w:val="16"/>
              </w:rPr>
            </w:r>
          </w:p>
        </w:tc>
        <w:tc>
          <w:tcPr>
            <w:tcW w:type="dxa" w:w="864"/>
          </w:tcPr>
          <w:p>
            <w:pPr>
              <w:spacing w:before="0" w:after="0"/>
              <w:jc w:val="right"/>
            </w:pPr>
            <w:r>
              <w:rPr>
                <w:sz w:val="16"/>
              </w:rPr>
            </w:r>
          </w:p>
        </w:tc>
        <w:tc>
          <w:tcPr>
            <w:tcW w:type="dxa" w:w="3168"/>
          </w:tcPr>
          <w:p>
            <w:pPr>
              <w:spacing w:before="0" w:after="0"/>
              <w:jc w:val="right"/>
            </w:pPr>
            <w:r>
              <w:rPr>
                <w:sz w:val="16"/>
              </w:rPr>
              <w:t>Receivables / credit event</w:t>
            </w:r>
          </w:p>
        </w:tc>
        <w:tc>
          <w:tcPr>
            <w:tcW w:type="dxa" w:w="1008"/>
          </w:tcPr>
          <w:p>
            <w:pPr>
              <w:spacing w:before="0" w:after="0"/>
              <w:jc w:val="right"/>
            </w:pPr>
            <w:r>
              <w:rPr>
                <w:sz w:val="16"/>
              </w:rPr>
              <w:t>20%</w:t>
            </w:r>
          </w:p>
        </w:tc>
        <w:tc>
          <w:tcPr>
            <w:tcW w:type="dxa" w:w="1296"/>
          </w:tcPr>
          <w:p>
            <w:pPr>
              <w:spacing w:before="0" w:after="0"/>
              <w:jc w:val="right"/>
            </w:pPr>
            <w:r>
              <w:rPr>
                <w:sz w:val="16"/>
              </w:rPr>
              <w:t>−1.2%</w:t>
            </w:r>
          </w:p>
        </w:tc>
      </w:tr>
      <w:tr>
        <w:tc>
          <w:tcPr>
            <w:tcW w:type="dxa" w:w="3312"/>
          </w:tcPr>
          <w:p>
            <w:pPr>
              <w:spacing w:before="0" w:after="0"/>
              <w:jc w:val="left"/>
            </w:pPr>
            <w:r>
              <w:rPr>
                <w:b/>
                <w:sz w:val="16"/>
              </w:rPr>
            </w:r>
          </w:p>
        </w:tc>
        <w:tc>
          <w:tcPr>
            <w:tcW w:type="dxa" w:w="864"/>
          </w:tcPr>
          <w:p>
            <w:pPr>
              <w:spacing w:before="0" w:after="0"/>
              <w:jc w:val="right"/>
            </w:pPr>
            <w:r>
              <w:rPr>
                <w:sz w:val="16"/>
              </w:rPr>
            </w:r>
          </w:p>
        </w:tc>
        <w:tc>
          <w:tcPr>
            <w:tcW w:type="dxa" w:w="3168"/>
          </w:tcPr>
          <w:p>
            <w:pPr>
              <w:spacing w:before="0" w:after="0"/>
              <w:jc w:val="right"/>
            </w:pPr>
            <w:r>
              <w:rPr>
                <w:sz w:val="16"/>
              </w:rPr>
              <w:t>Index / passive rebalancing</w:t>
            </w:r>
          </w:p>
        </w:tc>
        <w:tc>
          <w:tcPr>
            <w:tcW w:type="dxa" w:w="1008"/>
          </w:tcPr>
          <w:p>
            <w:pPr>
              <w:spacing w:before="0" w:after="0"/>
              <w:jc w:val="right"/>
            </w:pPr>
            <w:r>
              <w:rPr>
                <w:sz w:val="16"/>
              </w:rPr>
              <w:t>25%</w:t>
            </w:r>
          </w:p>
        </w:tc>
        <w:tc>
          <w:tcPr>
            <w:tcW w:type="dxa" w:w="1296"/>
          </w:tcPr>
          <w:p>
            <w:pPr>
              <w:spacing w:before="0" w:after="0"/>
              <w:jc w:val="right"/>
            </w:pPr>
            <w:r>
              <w:rPr>
                <w:sz w:val="16"/>
              </w:rPr>
              <w:t>+0.5%</w:t>
            </w:r>
          </w:p>
        </w:tc>
      </w:tr>
    </w:tbl>
    <w:p>
      <w:pPr>
        <w:spacing w:after="120" w:before="20"/>
      </w:pPr>
      <w:r>
        <w:rPr>
          <w:b w:val="0"/>
          <w:i/>
          <w:color w:val="777777"/>
          <w:sz w:val="16"/>
        </w:rPr>
        <w:t>Sixteen-factor stack (illustrative). Downside events (FX step, shortage, credit) are lower-probability but larger — the honest touch asymmetry.</w:t>
      </w:r>
    </w:p>
    <w:p>
      <w:pPr>
        <w:spacing w:after="60" w:before="140"/>
      </w:pPr>
      <w:r>
        <w:rPr>
          <w:b/>
          <w:i w:val="0"/>
          <w:color w:val="2A8F8F"/>
          <w:sz w:val="23"/>
        </w:rPr>
        <w:t>Percentile map and cone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val="clear" w:fill="1B5E5E"/>
          </w:tcPr>
          <w:p>
            <w:pPr>
              <w:spacing w:before="0" w:after="0"/>
              <w:jc w:val="left"/>
            </w:pPr>
            <w:r>
              <w:rPr>
                <w:b/>
                <w:color w:val="FFFFFF"/>
                <w:sz w:val="17"/>
              </w:rPr>
              <w:t>Horizon</w:t>
            </w:r>
          </w:p>
        </w:tc>
        <w:tc>
          <w:tcPr>
            <w:tcW w:type="dxa" w:w="1440"/>
            <w:shd w:val="clear" w:fill="1B5E5E"/>
          </w:tcPr>
          <w:p>
            <w:pPr>
              <w:spacing w:before="0" w:after="0"/>
              <w:jc w:val="center"/>
            </w:pPr>
            <w:r>
              <w:rPr>
                <w:b/>
                <w:color w:val="FFFFFF"/>
                <w:sz w:val="17"/>
              </w:rPr>
              <w:t>p5</w:t>
            </w:r>
          </w:p>
        </w:tc>
        <w:tc>
          <w:tcPr>
            <w:tcW w:type="dxa" w:w="1440"/>
            <w:shd w:val="clear" w:fill="1B5E5E"/>
          </w:tcPr>
          <w:p>
            <w:pPr>
              <w:spacing w:before="0" w:after="0"/>
              <w:jc w:val="center"/>
            </w:pPr>
            <w:r>
              <w:rPr>
                <w:b/>
                <w:color w:val="FFFFFF"/>
                <w:sz w:val="17"/>
              </w:rPr>
              <w:t>p25</w:t>
            </w:r>
          </w:p>
        </w:tc>
        <w:tc>
          <w:tcPr>
            <w:tcW w:type="dxa" w:w="1440"/>
            <w:shd w:val="clear" w:fill="1B5E5E"/>
          </w:tcPr>
          <w:p>
            <w:pPr>
              <w:spacing w:before="0" w:after="0"/>
              <w:jc w:val="center"/>
            </w:pPr>
            <w:r>
              <w:rPr>
                <w:b/>
                <w:color w:val="FFFFFF"/>
                <w:sz w:val="17"/>
              </w:rPr>
              <w:t>p50</w:t>
            </w:r>
          </w:p>
        </w:tc>
        <w:tc>
          <w:tcPr>
            <w:tcW w:type="dxa" w:w="1440"/>
            <w:shd w:val="clear" w:fill="1B5E5E"/>
          </w:tcPr>
          <w:p>
            <w:pPr>
              <w:spacing w:before="0" w:after="0"/>
              <w:jc w:val="center"/>
            </w:pPr>
            <w:r>
              <w:rPr>
                <w:b/>
                <w:color w:val="FFFFFF"/>
                <w:sz w:val="17"/>
              </w:rPr>
              <w:t>p75</w:t>
            </w:r>
          </w:p>
        </w:tc>
        <w:tc>
          <w:tcPr>
            <w:tcW w:type="dxa" w:w="1440"/>
            <w:shd w:val="clear" w:fill="1B5E5E"/>
          </w:tcPr>
          <w:p>
            <w:pPr>
              <w:spacing w:before="0" w:after="0"/>
              <w:jc w:val="center"/>
            </w:pPr>
            <w:r>
              <w:rPr>
                <w:b/>
                <w:color w:val="FFFFFF"/>
                <w:sz w:val="17"/>
              </w:rPr>
              <w:t>p95</w:t>
            </w:r>
          </w:p>
        </w:tc>
      </w:tr>
      <w:tr>
        <w:tc>
          <w:tcPr>
            <w:tcW w:type="dxa" w:w="2592"/>
          </w:tcPr>
          <w:p>
            <w:pPr>
              <w:spacing w:before="0" w:after="0"/>
              <w:jc w:val="left"/>
            </w:pPr>
            <w:r>
              <w:rPr>
                <w:b/>
                <w:sz w:val="17"/>
              </w:rPr>
              <w:t>T+20 sessions</w:t>
            </w:r>
          </w:p>
        </w:tc>
        <w:tc>
          <w:tcPr>
            <w:tcW w:type="dxa" w:w="1440"/>
          </w:tcPr>
          <w:p>
            <w:pPr>
              <w:spacing w:before="0" w:after="0"/>
              <w:jc w:val="right"/>
            </w:pPr>
            <w:r>
              <w:rPr>
                <w:sz w:val="17"/>
              </w:rPr>
              <w:t>10.16</w:t>
            </w:r>
          </w:p>
        </w:tc>
        <w:tc>
          <w:tcPr>
            <w:tcW w:type="dxa" w:w="1440"/>
          </w:tcPr>
          <w:p>
            <w:pPr>
              <w:spacing w:before="0" w:after="0"/>
              <w:jc w:val="right"/>
            </w:pPr>
            <w:r>
              <w:rPr>
                <w:sz w:val="17"/>
              </w:rPr>
              <w:t>11.14</w:t>
            </w:r>
          </w:p>
        </w:tc>
        <w:tc>
          <w:tcPr>
            <w:tcW w:type="dxa" w:w="1440"/>
          </w:tcPr>
          <w:p>
            <w:pPr>
              <w:spacing w:before="0" w:after="0"/>
              <w:jc w:val="right"/>
            </w:pPr>
            <w:r>
              <w:rPr>
                <w:sz w:val="17"/>
              </w:rPr>
              <w:t>11.75</w:t>
            </w:r>
          </w:p>
        </w:tc>
        <w:tc>
          <w:tcPr>
            <w:tcW w:type="dxa" w:w="1440"/>
          </w:tcPr>
          <w:p>
            <w:pPr>
              <w:spacing w:before="0" w:after="0"/>
              <w:jc w:val="right"/>
            </w:pPr>
            <w:r>
              <w:rPr>
                <w:sz w:val="17"/>
              </w:rPr>
              <w:t>12.39</w:t>
            </w:r>
          </w:p>
        </w:tc>
        <w:tc>
          <w:tcPr>
            <w:tcW w:type="dxa" w:w="1440"/>
          </w:tcPr>
          <w:p>
            <w:pPr>
              <w:spacing w:before="0" w:after="0"/>
              <w:jc w:val="right"/>
            </w:pPr>
            <w:r>
              <w:rPr>
                <w:sz w:val="17"/>
              </w:rPr>
              <w:t>13.52</w:t>
            </w:r>
          </w:p>
        </w:tc>
      </w:tr>
      <w:tr>
        <w:tc>
          <w:tcPr>
            <w:tcW w:type="dxa" w:w="2592"/>
          </w:tcPr>
          <w:p>
            <w:pPr>
              <w:spacing w:before="0" w:after="0"/>
              <w:jc w:val="left"/>
            </w:pPr>
            <w:r>
              <w:rPr>
                <w:b/>
                <w:sz w:val="17"/>
              </w:rPr>
              <w:t>T+60 sessions</w:t>
            </w:r>
          </w:p>
        </w:tc>
        <w:tc>
          <w:tcPr>
            <w:tcW w:type="dxa" w:w="1440"/>
          </w:tcPr>
          <w:p>
            <w:pPr>
              <w:spacing w:before="0" w:after="0"/>
              <w:jc w:val="right"/>
            </w:pPr>
            <w:r>
              <w:rPr>
                <w:sz w:val="17"/>
              </w:rPr>
              <w:t>9.29</w:t>
            </w:r>
          </w:p>
        </w:tc>
        <w:tc>
          <w:tcPr>
            <w:tcW w:type="dxa" w:w="1440"/>
          </w:tcPr>
          <w:p>
            <w:pPr>
              <w:spacing w:before="0" w:after="0"/>
              <w:jc w:val="right"/>
            </w:pPr>
            <w:r>
              <w:rPr>
                <w:sz w:val="17"/>
              </w:rPr>
              <w:t>10.85</w:t>
            </w:r>
          </w:p>
        </w:tc>
        <w:tc>
          <w:tcPr>
            <w:tcW w:type="dxa" w:w="1440"/>
          </w:tcPr>
          <w:p>
            <w:pPr>
              <w:spacing w:before="0" w:after="0"/>
              <w:jc w:val="right"/>
            </w:pPr>
            <w:r>
              <w:rPr>
                <w:sz w:val="17"/>
              </w:rPr>
              <w:t>11.91</w:t>
            </w:r>
          </w:p>
        </w:tc>
        <w:tc>
          <w:tcPr>
            <w:tcW w:type="dxa" w:w="1440"/>
          </w:tcPr>
          <w:p>
            <w:pPr>
              <w:spacing w:before="0" w:after="0"/>
              <w:jc w:val="right"/>
            </w:pPr>
            <w:r>
              <w:rPr>
                <w:sz w:val="17"/>
              </w:rPr>
              <w:t>13.06</w:t>
            </w:r>
          </w:p>
        </w:tc>
        <w:tc>
          <w:tcPr>
            <w:tcW w:type="dxa" w:w="1440"/>
          </w:tcPr>
          <w:p>
            <w:pPr>
              <w:spacing w:before="0" w:after="0"/>
              <w:jc w:val="right"/>
            </w:pPr>
            <w:r>
              <w:rPr>
                <w:sz w:val="17"/>
              </w:rPr>
              <w:t>15.18</w:t>
            </w:r>
          </w:p>
        </w:tc>
      </w:tr>
    </w:tbl>
    <w:p>
      <w:pPr>
        <w:spacing w:after="120" w:before="20"/>
      </w:pPr>
      <w:r>
        <w:rPr>
          <w:b w:val="0"/>
          <w:i/>
          <w:color w:val="777777"/>
          <w:sz w:val="16"/>
        </w:rPr>
        <w:t>Percentile map (EGP/share), illustrative. Read the 25–75% band first; the 90% tail is the outer envelope.</w:t>
      </w:r>
    </w:p>
    <w:p>
      <w:pPr>
        <w:jc w:val="center"/>
      </w:pPr>
      <w:r>
        <w:drawing>
          <wp:inline xmlns:a="http://schemas.openxmlformats.org/drawingml/2006/main" xmlns:pic="http://schemas.openxmlformats.org/drawingml/2006/picture">
            <wp:extent cx="5669280" cy="2728915"/>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669280" cy="2728915"/>
                    </a:xfrm>
                    <a:prstGeom prst="rect"/>
                  </pic:spPr>
                </pic:pic>
              </a:graphicData>
            </a:graphic>
          </wp:inline>
        </w:drawing>
      </w:r>
    </w:p>
    <w:p>
      <w:pPr>
        <w:spacing w:after="120" w:before="20"/>
        <w:jc w:val="center"/>
      </w:pPr>
      <w:r>
        <w:rPr>
          <w:b w:val="0"/>
          <w:i/>
          <w:color w:val="777777"/>
          <w:sz w:val="16"/>
        </w:rPr>
        <w:t>Figure 4 — Forward price cone to T+60. Median tracks spot; gold dotted line marks the ~EGP 17.8 fundamental central. Illustrative only.</w:t>
      </w:r>
    </w:p>
    <w:p>
      <w:pPr>
        <w:jc w:val="center"/>
      </w:pPr>
      <w:r>
        <w:drawing>
          <wp:inline xmlns:a="http://schemas.openxmlformats.org/drawingml/2006/main" xmlns:pic="http://schemas.openxmlformats.org/drawingml/2006/picture">
            <wp:extent cx="4937760" cy="2354932"/>
            <wp:docPr id="5" name="Picture 5"/>
            <wp:cNvGraphicFramePr>
              <a:graphicFrameLocks noChangeAspect="1"/>
            </wp:cNvGraphicFramePr>
            <a:graphic>
              <a:graphicData uri="http://schemas.openxmlformats.org/drawingml/2006/picture">
                <pic:pic>
                  <pic:nvPicPr>
                    <pic:cNvPr id="0" name="fig5_distT20.png"/>
                    <pic:cNvPicPr/>
                  </pic:nvPicPr>
                  <pic:blipFill>
                    <a:blip r:embed="rId13"/>
                    <a:stretch>
                      <a:fillRect/>
                    </a:stretch>
                  </pic:blipFill>
                  <pic:spPr>
                    <a:xfrm>
                      <a:off x="0" y="0"/>
                      <a:ext cx="4937760" cy="2354932"/>
                    </a:xfrm>
                    <a:prstGeom prst="rect"/>
                  </pic:spPr>
                </pic:pic>
              </a:graphicData>
            </a:graphic>
          </wp:inline>
        </w:drawing>
      </w:r>
    </w:p>
    <w:p>
      <w:pPr>
        <w:spacing w:after="120" w:before="20"/>
        <w:jc w:val="center"/>
      </w:pPr>
      <w:r>
        <w:rPr>
          <w:b w:val="0"/>
          <w:i/>
          <w:color w:val="777777"/>
          <w:sz w:val="16"/>
        </w:rPr>
        <w:t>Figure 5 — Price distribution at T+20 (illustrative).</w:t>
      </w:r>
    </w:p>
    <w:p>
      <w:pPr>
        <w:jc w:val="center"/>
      </w:pPr>
      <w:r>
        <w:drawing>
          <wp:inline xmlns:a="http://schemas.openxmlformats.org/drawingml/2006/main" xmlns:pic="http://schemas.openxmlformats.org/drawingml/2006/picture">
            <wp:extent cx="4937760" cy="2354932"/>
            <wp:docPr id="6" name="Picture 6"/>
            <wp:cNvGraphicFramePr>
              <a:graphicFrameLocks noChangeAspect="1"/>
            </wp:cNvGraphicFramePr>
            <a:graphic>
              <a:graphicData uri="http://schemas.openxmlformats.org/drawingml/2006/picture">
                <pic:pic>
                  <pic:nvPicPr>
                    <pic:cNvPr id="0" name="fig6_distT60.png"/>
                    <pic:cNvPicPr/>
                  </pic:nvPicPr>
                  <pic:blipFill>
                    <a:blip r:embed="rId14"/>
                    <a:stretch>
                      <a:fillRect/>
                    </a:stretch>
                  </pic:blipFill>
                  <pic:spPr>
                    <a:xfrm>
                      <a:off x="0" y="0"/>
                      <a:ext cx="4937760" cy="2354932"/>
                    </a:xfrm>
                    <a:prstGeom prst="rect"/>
                  </pic:spPr>
                </pic:pic>
              </a:graphicData>
            </a:graphic>
          </wp:inline>
        </w:drawing>
      </w:r>
    </w:p>
    <w:p>
      <w:pPr>
        <w:spacing w:after="120" w:before="20"/>
        <w:jc w:val="center"/>
      </w:pPr>
      <w:r>
        <w:rPr>
          <w:b w:val="0"/>
          <w:i/>
          <w:color w:val="777777"/>
          <w:sz w:val="16"/>
        </w:rPr>
        <w:t>Figure 6 — Price distribution at T+60 (illustrative).</w:t>
      </w:r>
    </w:p>
    <w:p>
      <w:pPr>
        <w:jc w:val="center"/>
      </w:pPr>
      <w:r>
        <w:drawing>
          <wp:inline xmlns:a="http://schemas.openxmlformats.org/drawingml/2006/main" xmlns:pic="http://schemas.openxmlformats.org/drawingml/2006/picture">
            <wp:extent cx="5303520" cy="2536466"/>
            <wp:docPr id="7" name="Picture 7"/>
            <wp:cNvGraphicFramePr>
              <a:graphicFrameLocks noChangeAspect="1"/>
            </wp:cNvGraphicFramePr>
            <a:graphic>
              <a:graphicData uri="http://schemas.openxmlformats.org/drawingml/2006/picture">
                <pic:pic>
                  <pic:nvPicPr>
                    <pic:cNvPr id="0" name="fig7_touch.png"/>
                    <pic:cNvPicPr/>
                  </pic:nvPicPr>
                  <pic:blipFill>
                    <a:blip r:embed="rId15"/>
                    <a:stretch>
                      <a:fillRect/>
                    </a:stretch>
                  </pic:blipFill>
                  <pic:spPr>
                    <a:xfrm>
                      <a:off x="0" y="0"/>
                      <a:ext cx="5303520" cy="2536466"/>
                    </a:xfrm>
                    <a:prstGeom prst="rect"/>
                  </pic:spPr>
                </pic:pic>
              </a:graphicData>
            </a:graphic>
          </wp:inline>
        </w:drawing>
      </w:r>
    </w:p>
    <w:p>
      <w:pPr>
        <w:spacing w:after="120" w:before="20"/>
        <w:jc w:val="center"/>
      </w:pPr>
      <w:r>
        <w:rPr>
          <w:b w:val="0"/>
          <w:i/>
          <w:color w:val="777777"/>
          <w:sz w:val="16"/>
        </w:rPr>
        <w:t>Figure 7 — Level-touch ladder to T+20 and T+60 (illustrative).</w:t>
      </w:r>
    </w:p>
    <w:p>
      <w:pPr>
        <w:spacing w:after="80" w:before="200"/>
      </w:pPr>
      <w:r>
        <w:rPr>
          <w:b/>
          <w:i w:val="0"/>
          <w:color w:val="1B5E5E"/>
          <w:sz w:val="28"/>
        </w:rPr>
        <w:t>4  Comparison of the lenses, and a verdict</w:t>
      </w:r>
    </w:p>
    <w:p>
      <w:pPr>
        <w:spacing w:after="80" w:before="0"/>
      </w:pPr>
      <w:r>
        <w:rPr>
          <w:b w:val="0"/>
          <w:i w:val="0"/>
          <w:color w:val="222222"/>
          <w:sz w:val="20"/>
        </w:rPr>
        <w:t>The three fundamental methods agree on direction and disagree on degree. The DCF is the most optimistic (EGP 19.8), because it capitalises the margin-and-scale story into a terminal value; the relative multiple is the most grounded (EGP 16.7), because it anchors on what the market pays today for EBITDA; the normalized-earnings lens sits between (EGP 18.0). The dividend-yield floor (~EGP 11) sits at spot, reflecting the small payout. Weighting them gives a central of EGP 17.8 — about +52% above the price.</w:t>
      </w:r>
    </w:p>
    <w:p>
      <w:pPr>
        <w:spacing w:after="80" w:before="0"/>
      </w:pPr>
      <w:r>
        <w:rPr>
          <w:b w:val="0"/>
          <w:i w:val="0"/>
          <w:color w:val="222222"/>
          <w:sz w:val="20"/>
        </w:rPr>
        <w:t>Verdict: on fundamentals ISPH looks cheap, and the disagreement across lenses is narrow enough (EGP 11–20) to give the read some weight. But the discount to that fair value is compensation for genuine risk — a razor-thin net margin geared to Egyptian rates, heavy leverage, and receivables exposure — so the gap is a normalisation bet, not a mispricing to be assumed away. The Monte-Carlo section adds no independent forecasting signal here; it only frames near-term uncertainty. We publish a fair-value range and a probability map, not a rating or a target.</w:t>
      </w:r>
    </w:p>
    <w:p>
      <w:pPr>
        <w:spacing w:after="80" w:before="200"/>
      </w:pPr>
      <w:r>
        <w:rPr>
          <w:b/>
          <w:i w:val="0"/>
          <w:color w:val="1B5E5E"/>
          <w:sz w:val="28"/>
        </w:rPr>
        <w:t>5  Catalysts to watch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B5E5E"/>
          </w:tcPr>
          <w:p>
            <w:pPr>
              <w:spacing w:before="0" w:after="0"/>
              <w:jc w:val="left"/>
            </w:pPr>
            <w:r>
              <w:rPr>
                <w:b/>
                <w:color w:val="FFFFFF"/>
                <w:sz w:val="17"/>
              </w:rPr>
              <w:t>Catalyst</w:t>
            </w:r>
          </w:p>
        </w:tc>
        <w:tc>
          <w:tcPr>
            <w:tcW w:type="dxa" w:w="1440"/>
            <w:shd w:val="clear" w:fill="1B5E5E"/>
          </w:tcPr>
          <w:p>
            <w:pPr>
              <w:spacing w:before="0" w:after="0"/>
              <w:jc w:val="center"/>
            </w:pPr>
            <w:r>
              <w:rPr>
                <w:b/>
                <w:color w:val="FFFFFF"/>
                <w:sz w:val="17"/>
              </w:rPr>
              <w:t>Direction</w:t>
            </w:r>
          </w:p>
        </w:tc>
        <w:tc>
          <w:tcPr>
            <w:tcW w:type="dxa" w:w="4752"/>
            <w:shd w:val="clear" w:fill="1B5E5E"/>
          </w:tcPr>
          <w:p>
            <w:pPr>
              <w:spacing w:before="0" w:after="0"/>
              <w:jc w:val="center"/>
            </w:pPr>
            <w:r>
              <w:rPr>
                <w:b/>
                <w:color w:val="FFFFFF"/>
                <w:sz w:val="17"/>
              </w:rPr>
              <w:t>Why it matters</w:t>
            </w:r>
          </w:p>
        </w:tc>
      </w:tr>
      <w:tr>
        <w:tc>
          <w:tcPr>
            <w:tcW w:type="dxa" w:w="3312"/>
          </w:tcPr>
          <w:p>
            <w:pPr>
              <w:spacing w:before="0" w:after="0"/>
              <w:jc w:val="left"/>
            </w:pPr>
            <w:r>
              <w:rPr>
                <w:b/>
                <w:sz w:val="17"/>
              </w:rPr>
              <w:t>CBE rate cuts</w:t>
            </w:r>
          </w:p>
        </w:tc>
        <w:tc>
          <w:tcPr>
            <w:tcW w:type="dxa" w:w="1440"/>
          </w:tcPr>
          <w:p>
            <w:pPr>
              <w:spacing w:before="0" w:after="0"/>
              <w:jc w:val="right"/>
            </w:pPr>
            <w:r>
              <w:rPr>
                <w:sz w:val="17"/>
              </w:rPr>
              <w:t>+</w:t>
            </w:r>
          </w:p>
        </w:tc>
        <w:tc>
          <w:tcPr>
            <w:tcW w:type="dxa" w:w="4752"/>
          </w:tcPr>
          <w:p>
            <w:pPr>
              <w:spacing w:before="0" w:after="0"/>
              <w:jc w:val="right"/>
            </w:pPr>
            <w:r>
              <w:rPr>
                <w:sz w:val="17"/>
              </w:rPr>
              <w:t>Directly expands the net margin — the crux</w:t>
            </w:r>
          </w:p>
        </w:tc>
      </w:tr>
      <w:tr>
        <w:tc>
          <w:tcPr>
            <w:tcW w:type="dxa" w:w="3312"/>
          </w:tcPr>
          <w:p>
            <w:pPr>
              <w:spacing w:before="0" w:after="0"/>
              <w:jc w:val="left"/>
            </w:pPr>
            <w:r>
              <w:rPr>
                <w:b/>
                <w:sz w:val="17"/>
              </w:rPr>
              <w:t>Drug re-pricing decisions</w:t>
            </w:r>
          </w:p>
        </w:tc>
        <w:tc>
          <w:tcPr>
            <w:tcW w:type="dxa" w:w="1440"/>
          </w:tcPr>
          <w:p>
            <w:pPr>
              <w:spacing w:before="0" w:after="0"/>
              <w:jc w:val="right"/>
            </w:pPr>
            <w:r>
              <w:rPr>
                <w:sz w:val="17"/>
              </w:rPr>
              <w:t>+</w:t>
            </w:r>
          </w:p>
        </w:tc>
        <w:tc>
          <w:tcPr>
            <w:tcW w:type="dxa" w:w="4752"/>
          </w:tcPr>
          <w:p>
            <w:pPr>
              <w:spacing w:before="0" w:after="0"/>
              <w:jc w:val="right"/>
            </w:pPr>
            <w:r>
              <w:rPr>
                <w:sz w:val="17"/>
              </w:rPr>
              <w:t>Sets the pace of nominal revenue pass-through</w:t>
            </w:r>
          </w:p>
        </w:tc>
      </w:tr>
      <w:tr>
        <w:tc>
          <w:tcPr>
            <w:tcW w:type="dxa" w:w="3312"/>
          </w:tcPr>
          <w:p>
            <w:pPr>
              <w:spacing w:before="0" w:after="0"/>
              <w:jc w:val="left"/>
            </w:pPr>
            <w:r>
              <w:rPr>
                <w:b/>
                <w:sz w:val="17"/>
              </w:rPr>
              <w:t>Quarterly margin prints</w:t>
            </w:r>
          </w:p>
        </w:tc>
        <w:tc>
          <w:tcPr>
            <w:tcW w:type="dxa" w:w="1440"/>
          </w:tcPr>
          <w:p>
            <w:pPr>
              <w:spacing w:before="0" w:after="0"/>
              <w:jc w:val="right"/>
            </w:pPr>
            <w:r>
              <w:rPr>
                <w:sz w:val="17"/>
              </w:rPr>
              <w:t>±</w:t>
            </w:r>
          </w:p>
        </w:tc>
        <w:tc>
          <w:tcPr>
            <w:tcW w:type="dxa" w:w="4752"/>
          </w:tcPr>
          <w:p>
            <w:pPr>
              <w:spacing w:before="0" w:after="0"/>
              <w:jc w:val="right"/>
            </w:pPr>
            <w:r>
              <w:rPr>
                <w:sz w:val="17"/>
              </w:rPr>
              <w:t>Evidence the EBITDA-margin scale story is real</w:t>
            </w:r>
          </w:p>
        </w:tc>
      </w:tr>
      <w:tr>
        <w:tc>
          <w:tcPr>
            <w:tcW w:type="dxa" w:w="3312"/>
          </w:tcPr>
          <w:p>
            <w:pPr>
              <w:spacing w:before="0" w:after="0"/>
              <w:jc w:val="left"/>
            </w:pPr>
            <w:r>
              <w:rPr>
                <w:b/>
                <w:sz w:val="17"/>
              </w:rPr>
              <w:t>Working-capital normalisation</w:t>
            </w:r>
          </w:p>
        </w:tc>
        <w:tc>
          <w:tcPr>
            <w:tcW w:type="dxa" w:w="1440"/>
          </w:tcPr>
          <w:p>
            <w:pPr>
              <w:spacing w:before="0" w:after="0"/>
              <w:jc w:val="right"/>
            </w:pPr>
            <w:r>
              <w:rPr>
                <w:sz w:val="17"/>
              </w:rPr>
              <w:t>+</w:t>
            </w:r>
          </w:p>
        </w:tc>
        <w:tc>
          <w:tcPr>
            <w:tcW w:type="dxa" w:w="4752"/>
          </w:tcPr>
          <w:p>
            <w:pPr>
              <w:spacing w:before="0" w:after="0"/>
              <w:jc w:val="right"/>
            </w:pPr>
            <w:r>
              <w:rPr>
                <w:sz w:val="17"/>
              </w:rPr>
              <w:t>Debt was flagged to rise then normalise through 2025</w:t>
            </w:r>
          </w:p>
        </w:tc>
      </w:tr>
      <w:tr>
        <w:tc>
          <w:tcPr>
            <w:tcW w:type="dxa" w:w="3312"/>
          </w:tcPr>
          <w:p>
            <w:pPr>
              <w:spacing w:before="0" w:after="0"/>
              <w:jc w:val="left"/>
            </w:pPr>
            <w:r>
              <w:rPr>
                <w:b/>
                <w:sz w:val="17"/>
              </w:rPr>
              <w:t>New supplier agreements</w:t>
            </w:r>
          </w:p>
        </w:tc>
        <w:tc>
          <w:tcPr>
            <w:tcW w:type="dxa" w:w="1440"/>
          </w:tcPr>
          <w:p>
            <w:pPr>
              <w:spacing w:before="0" w:after="0"/>
              <w:jc w:val="right"/>
            </w:pPr>
            <w:r>
              <w:rPr>
                <w:sz w:val="17"/>
              </w:rPr>
              <w:t>+</w:t>
            </w:r>
          </w:p>
        </w:tc>
        <w:tc>
          <w:tcPr>
            <w:tcW w:type="dxa" w:w="4752"/>
          </w:tcPr>
          <w:p>
            <w:pPr>
              <w:spacing w:before="0" w:after="0"/>
              <w:jc w:val="right"/>
            </w:pPr>
            <w:r>
              <w:rPr>
                <w:sz w:val="17"/>
              </w:rPr>
              <w:t>Market-share gains as stable ISPH wins portfolios</w:t>
            </w:r>
          </w:p>
        </w:tc>
      </w:tr>
      <w:tr>
        <w:tc>
          <w:tcPr>
            <w:tcW w:type="dxa" w:w="3312"/>
          </w:tcPr>
          <w:p>
            <w:pPr>
              <w:spacing w:before="0" w:after="0"/>
              <w:jc w:val="left"/>
            </w:pPr>
            <w:r>
              <w:rPr>
                <w:b/>
                <w:sz w:val="17"/>
              </w:rPr>
              <w:t>EGP devaluation step</w:t>
            </w:r>
          </w:p>
        </w:tc>
        <w:tc>
          <w:tcPr>
            <w:tcW w:type="dxa" w:w="1440"/>
          </w:tcPr>
          <w:p>
            <w:pPr>
              <w:spacing w:before="0" w:after="0"/>
              <w:jc w:val="right"/>
            </w:pPr>
            <w:r>
              <w:rPr>
                <w:sz w:val="17"/>
              </w:rPr>
              <w:t>−</w:t>
            </w:r>
          </w:p>
        </w:tc>
        <w:tc>
          <w:tcPr>
            <w:tcW w:type="dxa" w:w="4752"/>
          </w:tcPr>
          <w:p>
            <w:pPr>
              <w:spacing w:before="0" w:after="0"/>
              <w:jc w:val="right"/>
            </w:pPr>
            <w:r>
              <w:rPr>
                <w:sz w:val="17"/>
              </w:rPr>
              <w:t>Squeezes imported-drug cost before re-pricing catches up</w:t>
            </w:r>
          </w:p>
        </w:tc>
      </w:tr>
      <w:tr>
        <w:tc>
          <w:tcPr>
            <w:tcW w:type="dxa" w:w="3312"/>
          </w:tcPr>
          <w:p>
            <w:pPr>
              <w:spacing w:before="0" w:after="0"/>
              <w:jc w:val="left"/>
            </w:pPr>
            <w:r>
              <w:rPr>
                <w:b/>
                <w:sz w:val="17"/>
              </w:rPr>
              <w:t>Receivables / credit event</w:t>
            </w:r>
          </w:p>
        </w:tc>
        <w:tc>
          <w:tcPr>
            <w:tcW w:type="dxa" w:w="1440"/>
          </w:tcPr>
          <w:p>
            <w:pPr>
              <w:spacing w:before="0" w:after="0"/>
              <w:jc w:val="right"/>
            </w:pPr>
            <w:r>
              <w:rPr>
                <w:sz w:val="17"/>
              </w:rPr>
              <w:t>−</w:t>
            </w:r>
          </w:p>
        </w:tc>
        <w:tc>
          <w:tcPr>
            <w:tcW w:type="dxa" w:w="4752"/>
          </w:tcPr>
          <w:p>
            <w:pPr>
              <w:spacing w:before="0" w:after="0"/>
              <w:jc w:val="right"/>
            </w:pPr>
            <w:r>
              <w:rPr>
                <w:sz w:val="17"/>
              </w:rPr>
              <w:t>Balance-sheet risk in a stressed pharmacy channel</w:t>
            </w:r>
          </w:p>
        </w:tc>
      </w:tr>
    </w:tbl>
    <w:p>
      <w:pPr>
        <w:spacing w:after="120" w:before="20"/>
      </w:pPr>
      <w:r>
        <w:rPr>
          <w:b w:val="0"/>
          <w:i/>
          <w:color w:val="777777"/>
          <w:sz w:val="16"/>
        </w:rPr>
        <w:t>Catalysts. The rate path and the re-pricing cadence dominate.</w:t>
      </w:r>
    </w:p>
    <w:p>
      <w:pPr>
        <w:spacing w:after="80" w:before="200"/>
      </w:pPr>
      <w:r>
        <w:rPr>
          <w:b/>
          <w:i w:val="0"/>
          <w:color w:val="1B5E5E"/>
          <w:sz w:val="28"/>
        </w:rPr>
        <w:t>6  Reading the probability zones</w:t>
      </w:r>
    </w:p>
    <w:p>
      <w:pPr>
        <w:spacing w:after="80" w:before="0"/>
      </w:pPr>
      <w:r>
        <w:rPr>
          <w:b w:val="0"/>
          <w:i w:val="0"/>
          <w:color w:val="222222"/>
          <w:sz w:val="20"/>
        </w:rPr>
        <w:t>Read as an illustrative map (not a forecast): the 25–75% band spans roughly EGP 10.8–13.1 at T+60 — about 19% of spot — which is the instrument's genuine quarter-ahead uncertainty, not padding. The distribution carries a slight upward tilt (P above spot 56%, odds 1.57:1) driven by the re-pricing/rate-cut catalyst set, offset by lower-probability but larger downside events (an FX step, a credit event). The fundamental central (~EGP 17.8) sits above the T+60 median (~EGP 11.9) — the value gap that §1 argues, which §3 deliberately does not price in.</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val="clear" w:fill="1B5E5E"/>
          </w:tcPr>
          <w:p>
            <w:pPr>
              <w:spacing w:before="0" w:after="0"/>
              <w:jc w:val="left"/>
            </w:pPr>
            <w:r>
              <w:rPr>
                <w:b/>
                <w:color w:val="FFFFFF"/>
                <w:sz w:val="17"/>
              </w:rPr>
              <w:t>Zone (T+60)</w:t>
            </w:r>
          </w:p>
        </w:tc>
        <w:tc>
          <w:tcPr>
            <w:tcW w:type="dxa" w:w="2016"/>
            <w:shd w:val="clear" w:fill="1B5E5E"/>
          </w:tcPr>
          <w:p>
            <w:pPr>
              <w:spacing w:before="0" w:after="0"/>
              <w:jc w:val="center"/>
            </w:pPr>
            <w:r>
              <w:rPr>
                <w:b/>
                <w:color w:val="FFFFFF"/>
                <w:sz w:val="17"/>
              </w:rPr>
              <w:t>Level (EGP)</w:t>
            </w:r>
          </w:p>
        </w:tc>
        <w:tc>
          <w:tcPr>
            <w:tcW w:type="dxa" w:w="4320"/>
            <w:shd w:val="clear" w:fill="1B5E5E"/>
          </w:tcPr>
          <w:p>
            <w:pPr>
              <w:spacing w:before="0" w:after="0"/>
              <w:jc w:val="center"/>
            </w:pPr>
            <w:r>
              <w:rPr>
                <w:b/>
                <w:color w:val="FFFFFF"/>
                <w:sz w:val="17"/>
              </w:rPr>
              <w:t>Interpretation</w:t>
            </w:r>
          </w:p>
        </w:tc>
      </w:tr>
      <w:tr>
        <w:tc>
          <w:tcPr>
            <w:tcW w:type="dxa" w:w="3168"/>
          </w:tcPr>
          <w:p>
            <w:pPr>
              <w:spacing w:before="0" w:after="0"/>
              <w:jc w:val="left"/>
            </w:pPr>
            <w:r>
              <w:rPr>
                <w:b/>
                <w:sz w:val="17"/>
              </w:rPr>
              <w:t>Upper tail (p95)</w:t>
            </w:r>
          </w:p>
        </w:tc>
        <w:tc>
          <w:tcPr>
            <w:tcW w:type="dxa" w:w="2016"/>
          </w:tcPr>
          <w:p>
            <w:pPr>
              <w:spacing w:before="0" w:after="0"/>
              <w:jc w:val="right"/>
            </w:pPr>
            <w:r>
              <w:rPr>
                <w:sz w:val="17"/>
              </w:rPr>
              <w:t>15.18</w:t>
            </w:r>
          </w:p>
        </w:tc>
        <w:tc>
          <w:tcPr>
            <w:tcW w:type="dxa" w:w="4320"/>
          </w:tcPr>
          <w:p>
            <w:pPr>
              <w:spacing w:before="0" w:after="0"/>
              <w:jc w:val="right"/>
            </w:pPr>
            <w:r>
              <w:rPr>
                <w:sz w:val="17"/>
              </w:rPr>
              <w:t>re-pricing + rate cuts land together</w:t>
            </w:r>
          </w:p>
        </w:tc>
      </w:tr>
      <w:tr>
        <w:tc>
          <w:tcPr>
            <w:tcW w:type="dxa" w:w="3168"/>
          </w:tcPr>
          <w:p>
            <w:pPr>
              <w:spacing w:before="0" w:after="0"/>
              <w:jc w:val="left"/>
            </w:pPr>
            <w:r>
              <w:rPr>
                <w:b/>
                <w:sz w:val="17"/>
              </w:rPr>
              <w:t>Upper quartile (p75)</w:t>
            </w:r>
          </w:p>
        </w:tc>
        <w:tc>
          <w:tcPr>
            <w:tcW w:type="dxa" w:w="2016"/>
          </w:tcPr>
          <w:p>
            <w:pPr>
              <w:spacing w:before="0" w:after="0"/>
              <w:jc w:val="right"/>
            </w:pPr>
            <w:r>
              <w:rPr>
                <w:sz w:val="17"/>
              </w:rPr>
              <w:t>13.06</w:t>
            </w:r>
          </w:p>
        </w:tc>
        <w:tc>
          <w:tcPr>
            <w:tcW w:type="dxa" w:w="4320"/>
          </w:tcPr>
          <w:p>
            <w:pPr>
              <w:spacing w:before="0" w:after="0"/>
              <w:jc w:val="right"/>
            </w:pPr>
            <w:r>
              <w:rPr>
                <w:sz w:val="17"/>
              </w:rPr>
              <w:t>modest re-rating</w:t>
            </w:r>
          </w:p>
        </w:tc>
      </w:tr>
      <w:tr>
        <w:tc>
          <w:tcPr>
            <w:tcW w:type="dxa" w:w="3168"/>
          </w:tcPr>
          <w:p>
            <w:pPr>
              <w:spacing w:before="0" w:after="0"/>
              <w:jc w:val="left"/>
            </w:pPr>
            <w:r>
              <w:rPr>
                <w:b/>
                <w:sz w:val="17"/>
              </w:rPr>
              <w:t>Median (p50)</w:t>
            </w:r>
          </w:p>
        </w:tc>
        <w:tc>
          <w:tcPr>
            <w:tcW w:type="dxa" w:w="2016"/>
          </w:tcPr>
          <w:p>
            <w:pPr>
              <w:spacing w:before="0" w:after="0"/>
              <w:jc w:val="right"/>
            </w:pPr>
            <w:r>
              <w:rPr>
                <w:sz w:val="17"/>
              </w:rPr>
              <w:t>11.91</w:t>
            </w:r>
          </w:p>
        </w:tc>
        <w:tc>
          <w:tcPr>
            <w:tcW w:type="dxa" w:w="4320"/>
          </w:tcPr>
          <w:p>
            <w:pPr>
              <w:spacing w:before="0" w:after="0"/>
              <w:jc w:val="right"/>
            </w:pPr>
            <w:r>
              <w:rPr>
                <w:sz w:val="17"/>
              </w:rPr>
              <w:t>near spot, slight up-tilt</w:t>
            </w:r>
          </w:p>
        </w:tc>
      </w:tr>
      <w:tr>
        <w:tc>
          <w:tcPr>
            <w:tcW w:type="dxa" w:w="3168"/>
          </w:tcPr>
          <w:p>
            <w:pPr>
              <w:spacing w:before="0" w:after="0"/>
              <w:jc w:val="left"/>
            </w:pPr>
            <w:r>
              <w:rPr>
                <w:b/>
                <w:sz w:val="17"/>
              </w:rPr>
              <w:t>Lower quartile (p25)</w:t>
            </w:r>
          </w:p>
        </w:tc>
        <w:tc>
          <w:tcPr>
            <w:tcW w:type="dxa" w:w="2016"/>
          </w:tcPr>
          <w:p>
            <w:pPr>
              <w:spacing w:before="0" w:after="0"/>
              <w:jc w:val="right"/>
            </w:pPr>
            <w:r>
              <w:rPr>
                <w:sz w:val="17"/>
              </w:rPr>
              <w:t>10.85</w:t>
            </w:r>
          </w:p>
        </w:tc>
        <w:tc>
          <w:tcPr>
            <w:tcW w:type="dxa" w:w="4320"/>
          </w:tcPr>
          <w:p>
            <w:pPr>
              <w:spacing w:before="0" w:after="0"/>
              <w:jc w:val="right"/>
            </w:pPr>
            <w:r>
              <w:rPr>
                <w:sz w:val="17"/>
              </w:rPr>
              <w:t>macro stalls</w:t>
            </w:r>
          </w:p>
        </w:tc>
      </w:tr>
      <w:tr>
        <w:tc>
          <w:tcPr>
            <w:tcW w:type="dxa" w:w="3168"/>
          </w:tcPr>
          <w:p>
            <w:pPr>
              <w:spacing w:before="0" w:after="0"/>
              <w:jc w:val="left"/>
            </w:pPr>
            <w:r>
              <w:rPr>
                <w:b/>
                <w:sz w:val="17"/>
              </w:rPr>
              <w:t>Lower tail (p5)</w:t>
            </w:r>
          </w:p>
        </w:tc>
        <w:tc>
          <w:tcPr>
            <w:tcW w:type="dxa" w:w="2016"/>
          </w:tcPr>
          <w:p>
            <w:pPr>
              <w:spacing w:before="0" w:after="0"/>
              <w:jc w:val="right"/>
            </w:pPr>
            <w:r>
              <w:rPr>
                <w:sz w:val="17"/>
              </w:rPr>
              <w:t>9.29</w:t>
            </w:r>
          </w:p>
        </w:tc>
        <w:tc>
          <w:tcPr>
            <w:tcW w:type="dxa" w:w="4320"/>
          </w:tcPr>
          <w:p>
            <w:pPr>
              <w:spacing w:before="0" w:after="0"/>
              <w:jc w:val="right"/>
            </w:pPr>
            <w:r>
              <w:rPr>
                <w:sz w:val="17"/>
              </w:rPr>
              <w:t>FX / credit shock</w:t>
            </w:r>
          </w:p>
        </w:tc>
      </w:tr>
    </w:tbl>
    <w:p>
      <w:pPr>
        <w:spacing w:after="120" w:before="20"/>
      </w:pPr>
      <w:r>
        <w:rPr>
          <w:b w:val="0"/>
          <w:i/>
          <w:color w:val="777777"/>
          <w:sz w:val="16"/>
        </w:rPr>
        <w:t>Probability zones (illustrative).</w:t>
      </w:r>
    </w:p>
    <w:p>
      <w:pPr>
        <w:spacing w:after="80" w:before="200"/>
      </w:pPr>
      <w:r>
        <w:rPr>
          <w:b/>
          <w:i w:val="0"/>
          <w:color w:val="1B5E5E"/>
          <w:sz w:val="28"/>
        </w:rPr>
        <w:t>7  Caveats and what would change our mind</w:t>
      </w:r>
    </w:p>
    <w:tbl>
      <w:tblPr>
        <w:tblStyle w:val="TableGrid"/>
        <w:tblW w:type="auto" w:w="0"/>
        <w:jc w:val="center"/>
        <w:tblLook w:firstColumn="1" w:firstRow="1" w:lastColumn="0" w:lastRow="0" w:noHBand="0" w:noVBand="1" w:val="04A0"/>
      </w:tblPr>
      <w:tblGrid>
        <w:gridCol w:w="4968"/>
        <w:gridCol w:w="4968"/>
      </w:tblGrid>
      <w:tr>
        <w:tc>
          <w:tcPr>
            <w:tcW w:type="dxa" w:w="3600"/>
            <w:shd w:val="clear" w:fill="1B5E5E"/>
          </w:tcPr>
          <w:p>
            <w:pPr>
              <w:spacing w:before="0" w:after="0"/>
              <w:jc w:val="left"/>
            </w:pPr>
            <w:r>
              <w:rPr>
                <w:b/>
                <w:color w:val="FFFFFF"/>
                <w:sz w:val="17"/>
              </w:rPr>
              <w:t>Caveat / risk</w:t>
            </w:r>
          </w:p>
        </w:tc>
        <w:tc>
          <w:tcPr>
            <w:tcW w:type="dxa" w:w="5904"/>
            <w:shd w:val="clear" w:fill="1B5E5E"/>
          </w:tcPr>
          <w:p>
            <w:pPr>
              <w:spacing w:before="0" w:after="0"/>
              <w:jc w:val="center"/>
            </w:pPr>
            <w:r>
              <w:rPr>
                <w:b/>
                <w:color w:val="FFFFFF"/>
                <w:sz w:val="17"/>
              </w:rPr>
              <w:t>What would change the read</w:t>
            </w:r>
          </w:p>
        </w:tc>
      </w:tr>
      <w:tr>
        <w:tc>
          <w:tcPr>
            <w:tcW w:type="dxa" w:w="3600"/>
          </w:tcPr>
          <w:p>
            <w:pPr>
              <w:spacing w:before="0" w:after="0"/>
              <w:jc w:val="left"/>
            </w:pPr>
            <w:r>
              <w:rPr>
                <w:b/>
                <w:sz w:val="17"/>
              </w:rPr>
              <w:t>Calibration failed (§3)</w:t>
            </w:r>
          </w:p>
        </w:tc>
        <w:tc>
          <w:tcPr>
            <w:tcW w:type="dxa" w:w="5904"/>
          </w:tcPr>
          <w:p>
            <w:pPr>
              <w:spacing w:before="0" w:after="0"/>
              <w:jc w:val="right"/>
            </w:pPr>
            <w:r>
              <w:rPr>
                <w:sz w:val="17"/>
              </w:rPr>
              <w:t>The engine does not beat a random walk for ISPH — §3 is not a forecast</w:t>
            </w:r>
          </w:p>
        </w:tc>
      </w:tr>
      <w:tr>
        <w:tc>
          <w:tcPr>
            <w:tcW w:type="dxa" w:w="3600"/>
          </w:tcPr>
          <w:p>
            <w:pPr>
              <w:spacing w:before="0" w:after="0"/>
              <w:jc w:val="left"/>
            </w:pPr>
            <w:r>
              <w:rPr>
                <w:b/>
                <w:sz w:val="17"/>
              </w:rPr>
              <w:t>Net-margin normalisation is a bet</w:t>
            </w:r>
          </w:p>
        </w:tc>
        <w:tc>
          <w:tcPr>
            <w:tcW w:type="dxa" w:w="5904"/>
          </w:tcPr>
          <w:p>
            <w:pPr>
              <w:spacing w:before="0" w:after="0"/>
              <w:jc w:val="right"/>
            </w:pPr>
            <w:r>
              <w:rPr>
                <w:sz w:val="17"/>
              </w:rPr>
              <w:t>If CBE easing stalls and the net margin stays ~1.2%, DCF/normalized fall sharply</w:t>
            </w:r>
          </w:p>
        </w:tc>
      </w:tr>
      <w:tr>
        <w:tc>
          <w:tcPr>
            <w:tcW w:type="dxa" w:w="3600"/>
          </w:tcPr>
          <w:p>
            <w:pPr>
              <w:spacing w:before="0" w:after="0"/>
              <w:jc w:val="left"/>
            </w:pPr>
            <w:r>
              <w:rPr>
                <w:b/>
                <w:sz w:val="17"/>
              </w:rPr>
              <w:t>Terminal-value heavy DCF (59% of EV)</w:t>
            </w:r>
          </w:p>
        </w:tc>
        <w:tc>
          <w:tcPr>
            <w:tcW w:type="dxa" w:w="5904"/>
          </w:tcPr>
          <w:p>
            <w:pPr>
              <w:spacing w:before="0" w:after="0"/>
              <w:jc w:val="right"/>
            </w:pPr>
            <w:r>
              <w:rPr>
                <w:sz w:val="17"/>
              </w:rPr>
              <w:t>A higher WACC or lower terminal g compresses fair value (see §1.9 grid)</w:t>
            </w:r>
          </w:p>
        </w:tc>
      </w:tr>
      <w:tr>
        <w:tc>
          <w:tcPr>
            <w:tcW w:type="dxa" w:w="3600"/>
          </w:tcPr>
          <w:p>
            <w:pPr>
              <w:spacing w:before="0" w:after="0"/>
              <w:jc w:val="left"/>
            </w:pPr>
            <w:r>
              <w:rPr>
                <w:b/>
                <w:sz w:val="17"/>
              </w:rPr>
              <w:t>Leverage &amp; finance cost</w:t>
            </w:r>
          </w:p>
        </w:tc>
        <w:tc>
          <w:tcPr>
            <w:tcW w:type="dxa" w:w="5904"/>
          </w:tcPr>
          <w:p>
            <w:pPr>
              <w:spacing w:before="0" w:after="0"/>
              <w:jc w:val="right"/>
            </w:pPr>
            <w:r>
              <w:rPr>
                <w:sz w:val="17"/>
              </w:rPr>
              <w:t>A prolonged high-rate environment keeps net profit suppressed</w:t>
            </w:r>
          </w:p>
        </w:tc>
      </w:tr>
      <w:tr>
        <w:tc>
          <w:tcPr>
            <w:tcW w:type="dxa" w:w="3600"/>
          </w:tcPr>
          <w:p>
            <w:pPr>
              <w:spacing w:before="0" w:after="0"/>
              <w:jc w:val="left"/>
            </w:pPr>
            <w:r>
              <w:rPr>
                <w:b/>
                <w:sz w:val="17"/>
              </w:rPr>
              <w:t>Receivables / credit risk</w:t>
            </w:r>
          </w:p>
        </w:tc>
        <w:tc>
          <w:tcPr>
            <w:tcW w:type="dxa" w:w="5904"/>
          </w:tcPr>
          <w:p>
            <w:pPr>
              <w:spacing w:before="0" w:after="0"/>
              <w:jc w:val="right"/>
            </w:pPr>
            <w:r>
              <w:rPr>
                <w:sz w:val="17"/>
              </w:rPr>
              <w:t>A material write-down would hit book value and the Accountant's case</w:t>
            </w:r>
          </w:p>
        </w:tc>
      </w:tr>
      <w:tr>
        <w:tc>
          <w:tcPr>
            <w:tcW w:type="dxa" w:w="3600"/>
          </w:tcPr>
          <w:p>
            <w:pPr>
              <w:spacing w:before="0" w:after="0"/>
              <w:jc w:val="left"/>
            </w:pPr>
            <w:r>
              <w:rPr>
                <w:b/>
                <w:sz w:val="17"/>
              </w:rPr>
              <w:t>Net-debt estimate</w:t>
            </w:r>
          </w:p>
        </w:tc>
        <w:tc>
          <w:tcPr>
            <w:tcW w:type="dxa" w:w="5904"/>
          </w:tcPr>
          <w:p>
            <w:pPr>
              <w:spacing w:before="0" w:after="0"/>
              <w:jc w:val="right"/>
            </w:pPr>
            <w:r>
              <w:rPr>
                <w:sz w:val="17"/>
              </w:rPr>
              <w:t>Net interest-bearing debt (~EGP 4.5 bn) is estimated to tie to disclosed totals</w:t>
            </w:r>
          </w:p>
        </w:tc>
      </w:tr>
      <w:tr>
        <w:tc>
          <w:tcPr>
            <w:tcW w:type="dxa" w:w="3600"/>
          </w:tcPr>
          <w:p>
            <w:pPr>
              <w:spacing w:before="0" w:after="0"/>
              <w:jc w:val="left"/>
            </w:pPr>
            <w:r>
              <w:rPr>
                <w:b/>
                <w:sz w:val="17"/>
              </w:rPr>
              <w:t>FX / re-pricing lag</w:t>
            </w:r>
          </w:p>
        </w:tc>
        <w:tc>
          <w:tcPr>
            <w:tcW w:type="dxa" w:w="5904"/>
          </w:tcPr>
          <w:p>
            <w:pPr>
              <w:spacing w:before="0" w:after="0"/>
              <w:jc w:val="right"/>
            </w:pPr>
            <w:r>
              <w:rPr>
                <w:sz w:val="17"/>
              </w:rPr>
              <w:t>A sharp devaluation squeezes margins until re-pricing catches up</w:t>
            </w:r>
          </w:p>
        </w:tc>
      </w:tr>
    </w:tbl>
    <w:p>
      <w:pPr>
        <w:spacing w:after="120" w:before="20"/>
      </w:pPr>
      <w:r>
        <w:rPr>
          <w:b w:val="0"/>
          <w:i/>
          <w:color w:val="777777"/>
          <w:sz w:val="16"/>
        </w:rPr>
        <w:t>What would change our mind. The single most important is whether the net margin structurally recovers.</w:t>
      </w:r>
    </w:p>
    <w:p>
      <w:r>
        <w:br w:type="page"/>
      </w:r>
    </w:p>
    <w:p>
      <w:pPr>
        <w:spacing w:after="80" w:before="200"/>
      </w:pPr>
      <w:r>
        <w:rPr>
          <w:b/>
          <w:i w:val="0"/>
          <w:color w:val="1B5E5E"/>
          <w:sz w:val="28"/>
        </w:rPr>
        <w:t>Appendix A  Financial statements</w:t>
      </w:r>
    </w:p>
    <w:p>
      <w:pPr>
        <w:spacing w:after="80" w:before="0"/>
      </w:pPr>
      <w:r>
        <w:rPr>
          <w:b w:val="0"/>
          <w:i/>
          <w:color w:val="222222"/>
          <w:sz w:val="19"/>
        </w:rPr>
        <w:t>Consolidated, EGP mn. FY23–FY25 are the company's own disclosure (EGX filings); FY26–FY30 are the model's forecast. Finance-cost and tax history are estimated to tie to reported net profit.</w:t>
      </w:r>
    </w:p>
    <w:p>
      <w:pPr>
        <w:spacing w:after="60" w:before="140"/>
      </w:pPr>
      <w:r>
        <w:rPr>
          <w:b/>
          <w:i w:val="0"/>
          <w:color w:val="2A8F8F"/>
          <w:sz w:val="23"/>
        </w:rPr>
        <w:t>A.1  Income statement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val="clear" w:fill="1B5E5E"/>
          </w:tcPr>
          <w:p>
            <w:pPr>
              <w:spacing w:before="0" w:after="0"/>
              <w:jc w:val="left"/>
            </w:pPr>
            <w:r>
              <w:rPr>
                <w:b/>
                <w:color w:val="FFFFFF"/>
                <w:sz w:val="15"/>
              </w:rPr>
              <w:t>EGP mn</w:t>
            </w:r>
          </w:p>
        </w:tc>
        <w:tc>
          <w:tcPr>
            <w:tcW w:type="dxa" w:w="1238"/>
            <w:shd w:val="clear" w:fill="1B5E5E"/>
          </w:tcPr>
          <w:p>
            <w:pPr>
              <w:spacing w:before="0" w:after="0"/>
              <w:jc w:val="center"/>
            </w:pPr>
            <w:r>
              <w:rPr>
                <w:b/>
                <w:color w:val="FFFFFF"/>
                <w:sz w:val="15"/>
              </w:rPr>
              <w:t>FY23</w:t>
            </w:r>
          </w:p>
        </w:tc>
        <w:tc>
          <w:tcPr>
            <w:tcW w:type="dxa" w:w="1238"/>
            <w:shd w:val="clear" w:fill="1B5E5E"/>
          </w:tcPr>
          <w:p>
            <w:pPr>
              <w:spacing w:before="0" w:after="0"/>
              <w:jc w:val="center"/>
            </w:pPr>
            <w:r>
              <w:rPr>
                <w:b/>
                <w:color w:val="FFFFFF"/>
                <w:sz w:val="15"/>
              </w:rPr>
              <w:t>FY24</w:t>
            </w:r>
          </w:p>
        </w:tc>
        <w:tc>
          <w:tcPr>
            <w:tcW w:type="dxa" w:w="1238"/>
            <w:shd w:val="clear" w:fill="1B5E5E"/>
          </w:tcPr>
          <w:p>
            <w:pPr>
              <w:spacing w:before="0" w:after="0"/>
              <w:jc w:val="center"/>
            </w:pPr>
            <w:r>
              <w:rPr>
                <w:b/>
                <w:color w:val="FFFFFF"/>
                <w:sz w:val="15"/>
              </w:rPr>
              <w:t>FY25</w:t>
            </w:r>
          </w:p>
        </w:tc>
        <w:tc>
          <w:tcPr>
            <w:tcW w:type="dxa" w:w="1238"/>
            <w:shd w:val="clear" w:fill="1B5E5E"/>
          </w:tcPr>
          <w:p>
            <w:pPr>
              <w:spacing w:before="0" w:after="0"/>
              <w:jc w:val="center"/>
            </w:pPr>
            <w:r>
              <w:rPr>
                <w:b/>
                <w:color w:val="FFFFFF"/>
                <w:sz w:val="15"/>
              </w:rPr>
              <w:t>FY26E</w:t>
            </w:r>
          </w:p>
        </w:tc>
        <w:tc>
          <w:tcPr>
            <w:tcW w:type="dxa" w:w="1238"/>
            <w:shd w:val="clear" w:fill="1B5E5E"/>
          </w:tcPr>
          <w:p>
            <w:pPr>
              <w:spacing w:before="0" w:after="0"/>
              <w:jc w:val="center"/>
            </w:pPr>
            <w:r>
              <w:rPr>
                <w:b/>
                <w:color w:val="FFFFFF"/>
                <w:sz w:val="15"/>
              </w:rPr>
              <w:t>FY27E</w:t>
            </w:r>
          </w:p>
        </w:tc>
        <w:tc>
          <w:tcPr>
            <w:tcW w:type="dxa" w:w="1238"/>
            <w:shd w:val="clear" w:fill="1B5E5E"/>
          </w:tcPr>
          <w:p>
            <w:pPr>
              <w:spacing w:before="0" w:after="0"/>
              <w:jc w:val="center"/>
            </w:pPr>
            <w:r>
              <w:rPr>
                <w:b/>
                <w:color w:val="FFFFFF"/>
                <w:sz w:val="15"/>
              </w:rPr>
              <w:t>FY28E</w:t>
            </w:r>
          </w:p>
        </w:tc>
        <w:tc>
          <w:tcPr>
            <w:tcW w:type="dxa" w:w="1238"/>
            <w:shd w:val="clear" w:fill="1B5E5E"/>
          </w:tcPr>
          <w:p>
            <w:pPr>
              <w:spacing w:before="0" w:after="0"/>
              <w:jc w:val="center"/>
            </w:pPr>
            <w:r>
              <w:rPr>
                <w:b/>
                <w:color w:val="FFFFFF"/>
                <w:sz w:val="15"/>
              </w:rPr>
              <w:t>FY29E</w:t>
            </w:r>
          </w:p>
        </w:tc>
        <w:tc>
          <w:tcPr>
            <w:tcW w:type="dxa" w:w="1238"/>
            <w:shd w:val="clear" w:fill="1B5E5E"/>
          </w:tcPr>
          <w:p>
            <w:pPr>
              <w:spacing w:before="0" w:after="0"/>
              <w:jc w:val="center"/>
            </w:pPr>
            <w:r>
              <w:rPr>
                <w:b/>
                <w:color w:val="FFFFFF"/>
                <w:sz w:val="15"/>
              </w:rPr>
              <w:t>FY30E</w:t>
            </w:r>
          </w:p>
        </w:tc>
      </w:tr>
      <w:tr>
        <w:tc>
          <w:tcPr>
            <w:tcW w:type="dxa" w:w="2160"/>
          </w:tcPr>
          <w:p>
            <w:pPr>
              <w:spacing w:before="0" w:after="0"/>
              <w:jc w:val="left"/>
            </w:pPr>
            <w:r>
              <w:rPr>
                <w:b/>
                <w:sz w:val="15"/>
              </w:rPr>
              <w:t>Revenue</w:t>
            </w:r>
          </w:p>
        </w:tc>
        <w:tc>
          <w:tcPr>
            <w:tcW w:type="dxa" w:w="1238"/>
          </w:tcPr>
          <w:p>
            <w:pPr>
              <w:spacing w:before="0" w:after="0"/>
              <w:jc w:val="right"/>
            </w:pPr>
            <w:r>
              <w:rPr>
                <w:sz w:val="15"/>
              </w:rPr>
              <w:t>33,949</w:t>
            </w:r>
          </w:p>
        </w:tc>
        <w:tc>
          <w:tcPr>
            <w:tcW w:type="dxa" w:w="1238"/>
          </w:tcPr>
          <w:p>
            <w:pPr>
              <w:spacing w:before="0" w:after="0"/>
              <w:jc w:val="right"/>
            </w:pPr>
            <w:r>
              <w:rPr>
                <w:sz w:val="15"/>
              </w:rPr>
              <w:t>55,842</w:t>
            </w:r>
          </w:p>
        </w:tc>
        <w:tc>
          <w:tcPr>
            <w:tcW w:type="dxa" w:w="1238"/>
          </w:tcPr>
          <w:p>
            <w:pPr>
              <w:spacing w:before="0" w:after="0"/>
              <w:jc w:val="right"/>
            </w:pPr>
            <w:r>
              <w:rPr>
                <w:sz w:val="15"/>
              </w:rPr>
              <w:t>76,597</w:t>
            </w:r>
          </w:p>
        </w:tc>
        <w:tc>
          <w:tcPr>
            <w:tcW w:type="dxa" w:w="1238"/>
          </w:tcPr>
          <w:p>
            <w:pPr>
              <w:spacing w:before="0" w:after="0"/>
              <w:jc w:val="right"/>
            </w:pPr>
            <w:r>
              <w:rPr>
                <w:sz w:val="15"/>
              </w:rPr>
              <w:t>91,916</w:t>
            </w:r>
          </w:p>
        </w:tc>
        <w:tc>
          <w:tcPr>
            <w:tcW w:type="dxa" w:w="1238"/>
          </w:tcPr>
          <w:p>
            <w:pPr>
              <w:spacing w:before="0" w:after="0"/>
              <w:jc w:val="right"/>
            </w:pPr>
            <w:r>
              <w:rPr>
                <w:sz w:val="15"/>
              </w:rPr>
              <w:t>106,623</w:t>
            </w:r>
          </w:p>
        </w:tc>
        <w:tc>
          <w:tcPr>
            <w:tcW w:type="dxa" w:w="1238"/>
          </w:tcPr>
          <w:p>
            <w:pPr>
              <w:spacing w:before="0" w:after="0"/>
              <w:jc w:val="right"/>
            </w:pPr>
            <w:r>
              <w:rPr>
                <w:sz w:val="15"/>
              </w:rPr>
              <w:t>121,550</w:t>
            </w:r>
          </w:p>
        </w:tc>
        <w:tc>
          <w:tcPr>
            <w:tcW w:type="dxa" w:w="1238"/>
          </w:tcPr>
          <w:p>
            <w:pPr>
              <w:spacing w:before="0" w:after="0"/>
              <w:jc w:val="right"/>
            </w:pPr>
            <w:r>
              <w:rPr>
                <w:sz w:val="15"/>
              </w:rPr>
              <w:t>136,136</w:t>
            </w:r>
          </w:p>
        </w:tc>
        <w:tc>
          <w:tcPr>
            <w:tcW w:type="dxa" w:w="1238"/>
          </w:tcPr>
          <w:p>
            <w:pPr>
              <w:spacing w:before="0" w:after="0"/>
              <w:jc w:val="right"/>
            </w:pPr>
            <w:r>
              <w:rPr>
                <w:sz w:val="15"/>
              </w:rPr>
              <w:t>151,111</w:t>
            </w:r>
          </w:p>
        </w:tc>
      </w:tr>
      <w:tr>
        <w:tc>
          <w:tcPr>
            <w:tcW w:type="dxa" w:w="2160"/>
          </w:tcPr>
          <w:p>
            <w:pPr>
              <w:spacing w:before="0" w:after="0"/>
              <w:jc w:val="left"/>
            </w:pPr>
            <w:r>
              <w:rPr>
                <w:b/>
                <w:sz w:val="15"/>
              </w:rPr>
              <w:t>EBITDA</w:t>
            </w:r>
          </w:p>
        </w:tc>
        <w:tc>
          <w:tcPr>
            <w:tcW w:type="dxa" w:w="1238"/>
          </w:tcPr>
          <w:p>
            <w:pPr>
              <w:spacing w:before="0" w:after="0"/>
              <w:jc w:val="right"/>
            </w:pPr>
            <w:r>
              <w:rPr>
                <w:sz w:val="15"/>
              </w:rPr>
              <w:t>1,560</w:t>
            </w:r>
          </w:p>
        </w:tc>
        <w:tc>
          <w:tcPr>
            <w:tcW w:type="dxa" w:w="1238"/>
          </w:tcPr>
          <w:p>
            <w:pPr>
              <w:spacing w:before="0" w:after="0"/>
              <w:jc w:val="right"/>
            </w:pPr>
            <w:r>
              <w:rPr>
                <w:sz w:val="15"/>
              </w:rPr>
              <w:t>2,560</w:t>
            </w:r>
          </w:p>
        </w:tc>
        <w:tc>
          <w:tcPr>
            <w:tcW w:type="dxa" w:w="1238"/>
          </w:tcPr>
          <w:p>
            <w:pPr>
              <w:spacing w:before="0" w:after="0"/>
              <w:jc w:val="right"/>
            </w:pPr>
            <w:r>
              <w:rPr>
                <w:sz w:val="15"/>
              </w:rPr>
              <w:t>3,880</w:t>
            </w:r>
          </w:p>
        </w:tc>
        <w:tc>
          <w:tcPr>
            <w:tcW w:type="dxa" w:w="1238"/>
          </w:tcPr>
          <w:p>
            <w:pPr>
              <w:spacing w:before="0" w:after="0"/>
              <w:jc w:val="right"/>
            </w:pPr>
            <w:r>
              <w:rPr>
                <w:sz w:val="15"/>
              </w:rPr>
              <w:t>4,688</w:t>
            </w:r>
          </w:p>
        </w:tc>
        <w:tc>
          <w:tcPr>
            <w:tcW w:type="dxa" w:w="1238"/>
          </w:tcPr>
          <w:p>
            <w:pPr>
              <w:spacing w:before="0" w:after="0"/>
              <w:jc w:val="right"/>
            </w:pPr>
            <w:r>
              <w:rPr>
                <w:sz w:val="15"/>
              </w:rPr>
              <w:t>5,544</w:t>
            </w:r>
          </w:p>
        </w:tc>
        <w:tc>
          <w:tcPr>
            <w:tcW w:type="dxa" w:w="1238"/>
          </w:tcPr>
          <w:p>
            <w:pPr>
              <w:spacing w:before="0" w:after="0"/>
              <w:jc w:val="right"/>
            </w:pPr>
            <w:r>
              <w:rPr>
                <w:sz w:val="15"/>
              </w:rPr>
              <w:t>6,442</w:t>
            </w:r>
          </w:p>
        </w:tc>
        <w:tc>
          <w:tcPr>
            <w:tcW w:type="dxa" w:w="1238"/>
          </w:tcPr>
          <w:p>
            <w:pPr>
              <w:spacing w:before="0" w:after="0"/>
              <w:jc w:val="right"/>
            </w:pPr>
            <w:r>
              <w:rPr>
                <w:sz w:val="15"/>
              </w:rPr>
              <w:t>7,351</w:t>
            </w:r>
          </w:p>
        </w:tc>
        <w:tc>
          <w:tcPr>
            <w:tcW w:type="dxa" w:w="1238"/>
          </w:tcPr>
          <w:p>
            <w:pPr>
              <w:spacing w:before="0" w:after="0"/>
              <w:jc w:val="right"/>
            </w:pPr>
            <w:r>
              <w:rPr>
                <w:sz w:val="15"/>
              </w:rPr>
              <w:t>8,311</w:t>
            </w:r>
          </w:p>
        </w:tc>
      </w:tr>
      <w:tr>
        <w:tc>
          <w:tcPr>
            <w:tcW w:type="dxa" w:w="2160"/>
          </w:tcPr>
          <w:p>
            <w:pPr>
              <w:spacing w:before="0" w:after="0"/>
              <w:jc w:val="left"/>
            </w:pPr>
            <w:r>
              <w:rPr>
                <w:b/>
                <w:sz w:val="15"/>
              </w:rPr>
              <w:t>EBITDA margin</w:t>
            </w:r>
          </w:p>
        </w:tc>
        <w:tc>
          <w:tcPr>
            <w:tcW w:type="dxa" w:w="1238"/>
          </w:tcPr>
          <w:p>
            <w:pPr>
              <w:spacing w:before="0" w:after="0"/>
              <w:jc w:val="right"/>
            </w:pPr>
            <w:r>
              <w:rPr>
                <w:sz w:val="15"/>
              </w:rPr>
              <w:t>4.6%</w:t>
            </w:r>
          </w:p>
        </w:tc>
        <w:tc>
          <w:tcPr>
            <w:tcW w:type="dxa" w:w="1238"/>
          </w:tcPr>
          <w:p>
            <w:pPr>
              <w:spacing w:before="0" w:after="0"/>
              <w:jc w:val="right"/>
            </w:pPr>
            <w:r>
              <w:rPr>
                <w:sz w:val="15"/>
              </w:rPr>
              <w:t>4.6%</w:t>
            </w:r>
          </w:p>
        </w:tc>
        <w:tc>
          <w:tcPr>
            <w:tcW w:type="dxa" w:w="1238"/>
          </w:tcPr>
          <w:p>
            <w:pPr>
              <w:spacing w:before="0" w:after="0"/>
              <w:jc w:val="right"/>
            </w:pPr>
            <w:r>
              <w:rPr>
                <w:sz w:val="15"/>
              </w:rPr>
              <w:t>5.1%</w:t>
            </w:r>
          </w:p>
        </w:tc>
        <w:tc>
          <w:tcPr>
            <w:tcW w:type="dxa" w:w="1238"/>
          </w:tcPr>
          <w:p>
            <w:pPr>
              <w:spacing w:before="0" w:after="0"/>
              <w:jc w:val="right"/>
            </w:pPr>
            <w:r>
              <w:rPr>
                <w:sz w:val="15"/>
              </w:rPr>
              <w:t>5.1%</w:t>
            </w:r>
          </w:p>
        </w:tc>
        <w:tc>
          <w:tcPr>
            <w:tcW w:type="dxa" w:w="1238"/>
          </w:tcPr>
          <w:p>
            <w:pPr>
              <w:spacing w:before="0" w:after="0"/>
              <w:jc w:val="right"/>
            </w:pPr>
            <w:r>
              <w:rPr>
                <w:sz w:val="15"/>
              </w:rPr>
              <w:t>5.2%</w:t>
            </w:r>
          </w:p>
        </w:tc>
        <w:tc>
          <w:tcPr>
            <w:tcW w:type="dxa" w:w="1238"/>
          </w:tcPr>
          <w:p>
            <w:pPr>
              <w:spacing w:before="0" w:after="0"/>
              <w:jc w:val="right"/>
            </w:pPr>
            <w:r>
              <w:rPr>
                <w:sz w:val="15"/>
              </w:rPr>
              <w:t>5.3%</w:t>
            </w:r>
          </w:p>
        </w:tc>
        <w:tc>
          <w:tcPr>
            <w:tcW w:type="dxa" w:w="1238"/>
          </w:tcPr>
          <w:p>
            <w:pPr>
              <w:spacing w:before="0" w:after="0"/>
              <w:jc w:val="right"/>
            </w:pPr>
            <w:r>
              <w:rPr>
                <w:sz w:val="15"/>
              </w:rPr>
              <w:t>5.4%</w:t>
            </w:r>
          </w:p>
        </w:tc>
        <w:tc>
          <w:tcPr>
            <w:tcW w:type="dxa" w:w="1238"/>
          </w:tcPr>
          <w:p>
            <w:pPr>
              <w:spacing w:before="0" w:after="0"/>
              <w:jc w:val="right"/>
            </w:pPr>
            <w:r>
              <w:rPr>
                <w:sz w:val="15"/>
              </w:rPr>
              <w:t>5.5%</w:t>
            </w:r>
          </w:p>
        </w:tc>
      </w:tr>
      <w:tr>
        <w:tc>
          <w:tcPr>
            <w:tcW w:type="dxa" w:w="2160"/>
          </w:tcPr>
          <w:p>
            <w:pPr>
              <w:spacing w:before="0" w:after="0"/>
              <w:jc w:val="left"/>
            </w:pPr>
            <w:r>
              <w:rPr>
                <w:b/>
                <w:sz w:val="15"/>
              </w:rPr>
              <w:t>D&amp;A</w:t>
            </w:r>
          </w:p>
        </w:tc>
        <w:tc>
          <w:tcPr>
            <w:tcW w:type="dxa" w:w="1238"/>
          </w:tcPr>
          <w:p>
            <w:pPr>
              <w:spacing w:before="0" w:after="0"/>
              <w:jc w:val="right"/>
            </w:pPr>
            <w:r>
              <w:rPr>
                <w:sz w:val="15"/>
              </w:rPr>
              <w:t>170</w:t>
            </w:r>
          </w:p>
        </w:tc>
        <w:tc>
          <w:tcPr>
            <w:tcW w:type="dxa" w:w="1238"/>
          </w:tcPr>
          <w:p>
            <w:pPr>
              <w:spacing w:before="0" w:after="0"/>
              <w:jc w:val="right"/>
            </w:pPr>
            <w:r>
              <w:rPr>
                <w:sz w:val="15"/>
              </w:rPr>
              <w:t>230</w:t>
            </w:r>
          </w:p>
        </w:tc>
        <w:tc>
          <w:tcPr>
            <w:tcW w:type="dxa" w:w="1238"/>
          </w:tcPr>
          <w:p>
            <w:pPr>
              <w:spacing w:before="0" w:after="0"/>
              <w:jc w:val="right"/>
            </w:pPr>
            <w:r>
              <w:rPr>
                <w:sz w:val="15"/>
              </w:rPr>
              <w:t>300</w:t>
            </w:r>
          </w:p>
        </w:tc>
        <w:tc>
          <w:tcPr>
            <w:tcW w:type="dxa" w:w="1238"/>
          </w:tcPr>
          <w:p>
            <w:pPr>
              <w:spacing w:before="0" w:after="0"/>
              <w:jc w:val="right"/>
            </w:pPr>
            <w:r>
              <w:rPr>
                <w:sz w:val="15"/>
              </w:rPr>
              <w:t>414</w:t>
            </w:r>
          </w:p>
        </w:tc>
        <w:tc>
          <w:tcPr>
            <w:tcW w:type="dxa" w:w="1238"/>
          </w:tcPr>
          <w:p>
            <w:pPr>
              <w:spacing w:before="0" w:after="0"/>
              <w:jc w:val="right"/>
            </w:pPr>
            <w:r>
              <w:rPr>
                <w:sz w:val="15"/>
              </w:rPr>
              <w:t>480</w:t>
            </w:r>
          </w:p>
        </w:tc>
        <w:tc>
          <w:tcPr>
            <w:tcW w:type="dxa" w:w="1238"/>
          </w:tcPr>
          <w:p>
            <w:pPr>
              <w:spacing w:before="0" w:after="0"/>
              <w:jc w:val="right"/>
            </w:pPr>
            <w:r>
              <w:rPr>
                <w:sz w:val="15"/>
              </w:rPr>
              <w:t>547</w:t>
            </w:r>
          </w:p>
        </w:tc>
        <w:tc>
          <w:tcPr>
            <w:tcW w:type="dxa" w:w="1238"/>
          </w:tcPr>
          <w:p>
            <w:pPr>
              <w:spacing w:before="0" w:after="0"/>
              <w:jc w:val="right"/>
            </w:pPr>
            <w:r>
              <w:rPr>
                <w:sz w:val="15"/>
              </w:rPr>
              <w:t>613</w:t>
            </w:r>
          </w:p>
        </w:tc>
        <w:tc>
          <w:tcPr>
            <w:tcW w:type="dxa" w:w="1238"/>
          </w:tcPr>
          <w:p>
            <w:pPr>
              <w:spacing w:before="0" w:after="0"/>
              <w:jc w:val="right"/>
            </w:pPr>
            <w:r>
              <w:rPr>
                <w:sz w:val="15"/>
              </w:rPr>
              <w:t>680</w:t>
            </w:r>
          </w:p>
        </w:tc>
      </w:tr>
      <w:tr>
        <w:tc>
          <w:tcPr>
            <w:tcW w:type="dxa" w:w="2160"/>
          </w:tcPr>
          <w:p>
            <w:pPr>
              <w:spacing w:before="0" w:after="0"/>
              <w:jc w:val="left"/>
            </w:pPr>
            <w:r>
              <w:rPr>
                <w:b/>
                <w:sz w:val="15"/>
              </w:rPr>
              <w:t>EBIT</w:t>
            </w:r>
          </w:p>
        </w:tc>
        <w:tc>
          <w:tcPr>
            <w:tcW w:type="dxa" w:w="1238"/>
          </w:tcPr>
          <w:p>
            <w:pPr>
              <w:spacing w:before="0" w:after="0"/>
              <w:jc w:val="right"/>
            </w:pPr>
            <w:r>
              <w:rPr>
                <w:sz w:val="15"/>
              </w:rPr>
              <w:t>1,390</w:t>
            </w:r>
          </w:p>
        </w:tc>
        <w:tc>
          <w:tcPr>
            <w:tcW w:type="dxa" w:w="1238"/>
          </w:tcPr>
          <w:p>
            <w:pPr>
              <w:spacing w:before="0" w:after="0"/>
              <w:jc w:val="right"/>
            </w:pPr>
            <w:r>
              <w:rPr>
                <w:sz w:val="15"/>
              </w:rPr>
              <w:t>2,330</w:t>
            </w:r>
          </w:p>
        </w:tc>
        <w:tc>
          <w:tcPr>
            <w:tcW w:type="dxa" w:w="1238"/>
          </w:tcPr>
          <w:p>
            <w:pPr>
              <w:spacing w:before="0" w:after="0"/>
              <w:jc w:val="right"/>
            </w:pPr>
            <w:r>
              <w:rPr>
                <w:sz w:val="15"/>
              </w:rPr>
              <w:t>3,580</w:t>
            </w:r>
          </w:p>
        </w:tc>
        <w:tc>
          <w:tcPr>
            <w:tcW w:type="dxa" w:w="1238"/>
          </w:tcPr>
          <w:p>
            <w:pPr>
              <w:spacing w:before="0" w:after="0"/>
              <w:jc w:val="right"/>
            </w:pPr>
            <w:r>
              <w:rPr>
                <w:sz w:val="15"/>
              </w:rPr>
              <w:t>4,274</w:t>
            </w:r>
          </w:p>
        </w:tc>
        <w:tc>
          <w:tcPr>
            <w:tcW w:type="dxa" w:w="1238"/>
          </w:tcPr>
          <w:p>
            <w:pPr>
              <w:spacing w:before="0" w:after="0"/>
              <w:jc w:val="right"/>
            </w:pPr>
            <w:r>
              <w:rPr>
                <w:sz w:val="15"/>
              </w:rPr>
              <w:t>5,065</w:t>
            </w:r>
          </w:p>
        </w:tc>
        <w:tc>
          <w:tcPr>
            <w:tcW w:type="dxa" w:w="1238"/>
          </w:tcPr>
          <w:p>
            <w:pPr>
              <w:spacing w:before="0" w:after="0"/>
              <w:jc w:val="right"/>
            </w:pPr>
            <w:r>
              <w:rPr>
                <w:sz w:val="15"/>
              </w:rPr>
              <w:t>5,895</w:t>
            </w:r>
          </w:p>
        </w:tc>
        <w:tc>
          <w:tcPr>
            <w:tcW w:type="dxa" w:w="1238"/>
          </w:tcPr>
          <w:p>
            <w:pPr>
              <w:spacing w:before="0" w:after="0"/>
              <w:jc w:val="right"/>
            </w:pPr>
            <w:r>
              <w:rPr>
                <w:sz w:val="15"/>
              </w:rPr>
              <w:t>6,739</w:t>
            </w:r>
          </w:p>
        </w:tc>
        <w:tc>
          <w:tcPr>
            <w:tcW w:type="dxa" w:w="1238"/>
          </w:tcPr>
          <w:p>
            <w:pPr>
              <w:spacing w:before="0" w:after="0"/>
              <w:jc w:val="right"/>
            </w:pPr>
            <w:r>
              <w:rPr>
                <w:sz w:val="15"/>
              </w:rPr>
              <w:t>7,631</w:t>
            </w:r>
          </w:p>
        </w:tc>
      </w:tr>
      <w:tr>
        <w:tc>
          <w:tcPr>
            <w:tcW w:type="dxa" w:w="2160"/>
          </w:tcPr>
          <w:p>
            <w:pPr>
              <w:spacing w:before="0" w:after="0"/>
              <w:jc w:val="left"/>
            </w:pPr>
            <w:r>
              <w:rPr>
                <w:b/>
                <w:sz w:val="15"/>
              </w:rPr>
              <w:t>Net finance cost</w:t>
            </w:r>
          </w:p>
        </w:tc>
        <w:tc>
          <w:tcPr>
            <w:tcW w:type="dxa" w:w="1238"/>
          </w:tcPr>
          <w:p>
            <w:pPr>
              <w:spacing w:before="0" w:after="0"/>
              <w:jc w:val="right"/>
            </w:pPr>
            <w:r>
              <w:rPr>
                <w:sz w:val="15"/>
              </w:rPr>
              <w:t>(1,120)</w:t>
            </w:r>
          </w:p>
        </w:tc>
        <w:tc>
          <w:tcPr>
            <w:tcW w:type="dxa" w:w="1238"/>
          </w:tcPr>
          <w:p>
            <w:pPr>
              <w:spacing w:before="0" w:after="0"/>
              <w:jc w:val="right"/>
            </w:pPr>
            <w:r>
              <w:rPr>
                <w:sz w:val="15"/>
              </w:rPr>
              <w:t>(1,650)</w:t>
            </w:r>
          </w:p>
        </w:tc>
        <w:tc>
          <w:tcPr>
            <w:tcW w:type="dxa" w:w="1238"/>
          </w:tcPr>
          <w:p>
            <w:pPr>
              <w:spacing w:before="0" w:after="0"/>
              <w:jc w:val="right"/>
            </w:pPr>
            <w:r>
              <w:rPr>
                <w:sz w:val="15"/>
              </w:rPr>
              <w:t>(2,650)</w:t>
            </w:r>
          </w:p>
        </w:tc>
        <w:tc>
          <w:tcPr>
            <w:tcW w:type="dxa" w:w="1238"/>
          </w:tcPr>
          <w:p>
            <w:pPr>
              <w:spacing w:before="0" w:after="0"/>
              <w:jc w:val="right"/>
            </w:pPr>
            <w:r>
              <w:rPr>
                <w:sz w:val="15"/>
              </w:rPr>
              <w:t>(2,757)</w:t>
            </w:r>
          </w:p>
        </w:tc>
        <w:tc>
          <w:tcPr>
            <w:tcW w:type="dxa" w:w="1238"/>
          </w:tcPr>
          <w:p>
            <w:pPr>
              <w:spacing w:before="0" w:after="0"/>
              <w:jc w:val="right"/>
            </w:pPr>
            <w:r>
              <w:rPr>
                <w:sz w:val="15"/>
              </w:rPr>
              <w:t>(3,199)</w:t>
            </w:r>
          </w:p>
        </w:tc>
        <w:tc>
          <w:tcPr>
            <w:tcW w:type="dxa" w:w="1238"/>
          </w:tcPr>
          <w:p>
            <w:pPr>
              <w:spacing w:before="0" w:after="0"/>
              <w:jc w:val="right"/>
            </w:pPr>
            <w:r>
              <w:rPr>
                <w:sz w:val="15"/>
              </w:rPr>
              <w:t>(3,647)</w:t>
            </w:r>
          </w:p>
        </w:tc>
        <w:tc>
          <w:tcPr>
            <w:tcW w:type="dxa" w:w="1238"/>
          </w:tcPr>
          <w:p>
            <w:pPr>
              <w:spacing w:before="0" w:after="0"/>
              <w:jc w:val="right"/>
            </w:pPr>
            <w:r>
              <w:rPr>
                <w:sz w:val="15"/>
              </w:rPr>
              <w:t>(4,084)</w:t>
            </w:r>
          </w:p>
        </w:tc>
        <w:tc>
          <w:tcPr>
            <w:tcW w:type="dxa" w:w="1238"/>
          </w:tcPr>
          <w:p>
            <w:pPr>
              <w:spacing w:before="0" w:after="0"/>
              <w:jc w:val="right"/>
            </w:pPr>
            <w:r>
              <w:rPr>
                <w:sz w:val="15"/>
              </w:rPr>
              <w:t>(4,533)</w:t>
            </w:r>
          </w:p>
        </w:tc>
      </w:tr>
      <w:tr>
        <w:tc>
          <w:tcPr>
            <w:tcW w:type="dxa" w:w="2160"/>
          </w:tcPr>
          <w:p>
            <w:pPr>
              <w:spacing w:before="0" w:after="0"/>
              <w:jc w:val="left"/>
            </w:pPr>
            <w:r>
              <w:rPr>
                <w:b/>
                <w:sz w:val="15"/>
              </w:rPr>
              <w:t>Net profit (after NCI)*</w:t>
            </w:r>
          </w:p>
        </w:tc>
        <w:tc>
          <w:tcPr>
            <w:tcW w:type="dxa" w:w="1238"/>
          </w:tcPr>
          <w:p>
            <w:pPr>
              <w:spacing w:before="0" w:after="0"/>
              <w:jc w:val="right"/>
            </w:pPr>
            <w:r>
              <w:rPr>
                <w:sz w:val="15"/>
              </w:rPr>
              <w:t>214</w:t>
            </w:r>
          </w:p>
        </w:tc>
        <w:tc>
          <w:tcPr>
            <w:tcW w:type="dxa" w:w="1238"/>
          </w:tcPr>
          <w:p>
            <w:pPr>
              <w:spacing w:before="0" w:after="0"/>
              <w:jc w:val="right"/>
            </w:pPr>
            <w:r>
              <w:rPr>
                <w:sz w:val="15"/>
              </w:rPr>
              <w:t>615</w:t>
            </w:r>
          </w:p>
        </w:tc>
        <w:tc>
          <w:tcPr>
            <w:tcW w:type="dxa" w:w="1238"/>
          </w:tcPr>
          <w:p>
            <w:pPr>
              <w:spacing w:before="0" w:after="0"/>
              <w:jc w:val="right"/>
            </w:pPr>
            <w:r>
              <w:rPr>
                <w:sz w:val="15"/>
              </w:rPr>
              <w:t>952</w:t>
            </w:r>
          </w:p>
        </w:tc>
        <w:tc>
          <w:tcPr>
            <w:tcW w:type="dxa" w:w="1238"/>
          </w:tcPr>
          <w:p>
            <w:pPr>
              <w:spacing w:before="0" w:after="0"/>
              <w:jc w:val="right"/>
            </w:pPr>
            <w:r>
              <w:rPr>
                <w:sz w:val="15"/>
              </w:rPr>
              <w:t>1,175</w:t>
            </w:r>
          </w:p>
        </w:tc>
        <w:tc>
          <w:tcPr>
            <w:tcW w:type="dxa" w:w="1238"/>
          </w:tcPr>
          <w:p>
            <w:pPr>
              <w:spacing w:before="0" w:after="0"/>
              <w:jc w:val="right"/>
            </w:pPr>
            <w:r>
              <w:rPr>
                <w:sz w:val="15"/>
              </w:rPr>
              <w:t>1,446</w:t>
            </w:r>
          </w:p>
        </w:tc>
        <w:tc>
          <w:tcPr>
            <w:tcW w:type="dxa" w:w="1238"/>
          </w:tcPr>
          <w:p>
            <w:pPr>
              <w:spacing w:before="0" w:after="0"/>
              <w:jc w:val="right"/>
            </w:pPr>
            <w:r>
              <w:rPr>
                <w:sz w:val="15"/>
              </w:rPr>
              <w:t>1,743</w:t>
            </w:r>
          </w:p>
        </w:tc>
        <w:tc>
          <w:tcPr>
            <w:tcW w:type="dxa" w:w="1238"/>
          </w:tcPr>
          <w:p>
            <w:pPr>
              <w:spacing w:before="0" w:after="0"/>
              <w:jc w:val="right"/>
            </w:pPr>
            <w:r>
              <w:rPr>
                <w:sz w:val="15"/>
              </w:rPr>
              <w:t>2,057</w:t>
            </w:r>
          </w:p>
        </w:tc>
        <w:tc>
          <w:tcPr>
            <w:tcW w:type="dxa" w:w="1238"/>
          </w:tcPr>
          <w:p>
            <w:pPr>
              <w:spacing w:before="0" w:after="0"/>
              <w:jc w:val="right"/>
            </w:pPr>
            <w:r>
              <w:rPr>
                <w:sz w:val="15"/>
              </w:rPr>
              <w:t>2,401</w:t>
            </w:r>
          </w:p>
        </w:tc>
      </w:tr>
      <w:tr>
        <w:tc>
          <w:tcPr>
            <w:tcW w:type="dxa" w:w="2160"/>
          </w:tcPr>
          <w:p>
            <w:pPr>
              <w:spacing w:before="0" w:after="0"/>
              <w:jc w:val="left"/>
            </w:pPr>
            <w:r>
              <w:rPr>
                <w:b/>
                <w:sz w:val="15"/>
              </w:rPr>
              <w:t>EPS (EGP)</w:t>
            </w:r>
          </w:p>
        </w:tc>
        <w:tc>
          <w:tcPr>
            <w:tcW w:type="dxa" w:w="1238"/>
          </w:tcPr>
          <w:p>
            <w:pPr>
              <w:spacing w:before="0" w:after="0"/>
              <w:jc w:val="right"/>
            </w:pPr>
            <w:r>
              <w:rPr>
                <w:sz w:val="15"/>
              </w:rPr>
              <w:t>0.21</w:t>
            </w:r>
          </w:p>
        </w:tc>
        <w:tc>
          <w:tcPr>
            <w:tcW w:type="dxa" w:w="1238"/>
          </w:tcPr>
          <w:p>
            <w:pPr>
              <w:spacing w:before="0" w:after="0"/>
              <w:jc w:val="right"/>
            </w:pPr>
            <w:r>
              <w:rPr>
                <w:sz w:val="15"/>
              </w:rPr>
              <w:t>0.61</w:t>
            </w:r>
          </w:p>
        </w:tc>
        <w:tc>
          <w:tcPr>
            <w:tcW w:type="dxa" w:w="1238"/>
          </w:tcPr>
          <w:p>
            <w:pPr>
              <w:spacing w:before="0" w:after="0"/>
              <w:jc w:val="right"/>
            </w:pPr>
            <w:r>
              <w:rPr>
                <w:sz w:val="15"/>
              </w:rPr>
              <w:t>0.94</w:t>
            </w:r>
          </w:p>
        </w:tc>
        <w:tc>
          <w:tcPr>
            <w:tcW w:type="dxa" w:w="1238"/>
          </w:tcPr>
          <w:p>
            <w:pPr>
              <w:spacing w:before="0" w:after="0"/>
              <w:jc w:val="right"/>
            </w:pPr>
            <w:r>
              <w:rPr>
                <w:sz w:val="15"/>
              </w:rPr>
              <w:t>1.17</w:t>
            </w:r>
          </w:p>
        </w:tc>
        <w:tc>
          <w:tcPr>
            <w:tcW w:type="dxa" w:w="1238"/>
          </w:tcPr>
          <w:p>
            <w:pPr>
              <w:spacing w:before="0" w:after="0"/>
              <w:jc w:val="right"/>
            </w:pPr>
            <w:r>
              <w:rPr>
                <w:sz w:val="15"/>
              </w:rPr>
              <w:t>1.43</w:t>
            </w:r>
          </w:p>
        </w:tc>
        <w:tc>
          <w:tcPr>
            <w:tcW w:type="dxa" w:w="1238"/>
          </w:tcPr>
          <w:p>
            <w:pPr>
              <w:spacing w:before="0" w:after="0"/>
              <w:jc w:val="right"/>
            </w:pPr>
            <w:r>
              <w:rPr>
                <w:sz w:val="15"/>
              </w:rPr>
              <w:t>1.73</w:t>
            </w:r>
          </w:p>
        </w:tc>
        <w:tc>
          <w:tcPr>
            <w:tcW w:type="dxa" w:w="1238"/>
          </w:tcPr>
          <w:p>
            <w:pPr>
              <w:spacing w:before="0" w:after="0"/>
              <w:jc w:val="right"/>
            </w:pPr>
            <w:r>
              <w:rPr>
                <w:sz w:val="15"/>
              </w:rPr>
              <w:t>2.04</w:t>
            </w:r>
          </w:p>
        </w:tc>
        <w:tc>
          <w:tcPr>
            <w:tcW w:type="dxa" w:w="1238"/>
          </w:tcPr>
          <w:p>
            <w:pPr>
              <w:spacing w:before="0" w:after="0"/>
              <w:jc w:val="right"/>
            </w:pPr>
            <w:r>
              <w:rPr>
                <w:sz w:val="15"/>
              </w:rPr>
              <w:t>2.38</w:t>
            </w:r>
          </w:p>
        </w:tc>
      </w:tr>
    </w:tbl>
    <w:p>
      <w:pPr>
        <w:spacing w:after="120" w:before="20"/>
      </w:pPr>
      <w:r>
        <w:rPr>
          <w:b w:val="0"/>
          <w:i/>
          <w:color w:val="777777"/>
          <w:sz w:val="16"/>
        </w:rPr>
        <w:t>*FY26–30 net profit = NOPAT less after-tax finance cost (simplified). Source: company FY23–25; forecast = model.</w:t>
      </w:r>
    </w:p>
    <w:p>
      <w:pPr>
        <w:spacing w:after="60" w:before="140"/>
      </w:pPr>
      <w:r>
        <w:rPr>
          <w:b/>
          <w:i w:val="0"/>
          <w:color w:val="2A8F8F"/>
          <w:sz w:val="23"/>
        </w:rPr>
        <w:t>A.2  Balance sheet (working-capital markers)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val="clear" w:fill="1B5E5E"/>
          </w:tcPr>
          <w:p>
            <w:pPr>
              <w:spacing w:before="0" w:after="0"/>
              <w:jc w:val="left"/>
            </w:pPr>
            <w:r>
              <w:rPr>
                <w:b/>
                <w:color w:val="FFFFFF"/>
                <w:sz w:val="15"/>
              </w:rPr>
              <w:t>EGP mn</w:t>
            </w:r>
          </w:p>
        </w:tc>
        <w:tc>
          <w:tcPr>
            <w:tcW w:type="dxa" w:w="1238"/>
            <w:shd w:val="clear" w:fill="1B5E5E"/>
          </w:tcPr>
          <w:p>
            <w:pPr>
              <w:spacing w:before="0" w:after="0"/>
              <w:jc w:val="center"/>
            </w:pPr>
            <w:r>
              <w:rPr>
                <w:b/>
                <w:color w:val="FFFFFF"/>
                <w:sz w:val="15"/>
              </w:rPr>
              <w:t>FY23</w:t>
            </w:r>
          </w:p>
        </w:tc>
        <w:tc>
          <w:tcPr>
            <w:tcW w:type="dxa" w:w="1238"/>
            <w:shd w:val="clear" w:fill="1B5E5E"/>
          </w:tcPr>
          <w:p>
            <w:pPr>
              <w:spacing w:before="0" w:after="0"/>
              <w:jc w:val="center"/>
            </w:pPr>
            <w:r>
              <w:rPr>
                <w:b/>
                <w:color w:val="FFFFFF"/>
                <w:sz w:val="15"/>
              </w:rPr>
              <w:t>FY24</w:t>
            </w:r>
          </w:p>
        </w:tc>
        <w:tc>
          <w:tcPr>
            <w:tcW w:type="dxa" w:w="1238"/>
            <w:shd w:val="clear" w:fill="1B5E5E"/>
          </w:tcPr>
          <w:p>
            <w:pPr>
              <w:spacing w:before="0" w:after="0"/>
              <w:jc w:val="center"/>
            </w:pPr>
            <w:r>
              <w:rPr>
                <w:b/>
                <w:color w:val="FFFFFF"/>
                <w:sz w:val="15"/>
              </w:rPr>
              <w:t>FY25</w:t>
            </w:r>
          </w:p>
        </w:tc>
        <w:tc>
          <w:tcPr>
            <w:tcW w:type="dxa" w:w="1238"/>
            <w:shd w:val="clear" w:fill="1B5E5E"/>
          </w:tcPr>
          <w:p>
            <w:pPr>
              <w:spacing w:before="0" w:after="0"/>
              <w:jc w:val="center"/>
            </w:pPr>
            <w:r>
              <w:rPr>
                <w:b/>
                <w:color w:val="FFFFFF"/>
                <w:sz w:val="15"/>
              </w:rPr>
              <w:t>FY26E</w:t>
            </w:r>
          </w:p>
        </w:tc>
        <w:tc>
          <w:tcPr>
            <w:tcW w:type="dxa" w:w="1238"/>
            <w:shd w:val="clear" w:fill="1B5E5E"/>
          </w:tcPr>
          <w:p>
            <w:pPr>
              <w:spacing w:before="0" w:after="0"/>
              <w:jc w:val="center"/>
            </w:pPr>
            <w:r>
              <w:rPr>
                <w:b/>
                <w:color w:val="FFFFFF"/>
                <w:sz w:val="15"/>
              </w:rPr>
              <w:t>FY27E</w:t>
            </w:r>
          </w:p>
        </w:tc>
        <w:tc>
          <w:tcPr>
            <w:tcW w:type="dxa" w:w="1238"/>
            <w:shd w:val="clear" w:fill="1B5E5E"/>
          </w:tcPr>
          <w:p>
            <w:pPr>
              <w:spacing w:before="0" w:after="0"/>
              <w:jc w:val="center"/>
            </w:pPr>
            <w:r>
              <w:rPr>
                <w:b/>
                <w:color w:val="FFFFFF"/>
                <w:sz w:val="15"/>
              </w:rPr>
              <w:t>FY28E</w:t>
            </w:r>
          </w:p>
        </w:tc>
        <w:tc>
          <w:tcPr>
            <w:tcW w:type="dxa" w:w="1238"/>
            <w:shd w:val="clear" w:fill="1B5E5E"/>
          </w:tcPr>
          <w:p>
            <w:pPr>
              <w:spacing w:before="0" w:after="0"/>
              <w:jc w:val="center"/>
            </w:pPr>
            <w:r>
              <w:rPr>
                <w:b/>
                <w:color w:val="FFFFFF"/>
                <w:sz w:val="15"/>
              </w:rPr>
              <w:t>FY29E</w:t>
            </w:r>
          </w:p>
        </w:tc>
        <w:tc>
          <w:tcPr>
            <w:tcW w:type="dxa" w:w="1238"/>
            <w:shd w:val="clear" w:fill="1B5E5E"/>
          </w:tcPr>
          <w:p>
            <w:pPr>
              <w:spacing w:before="0" w:after="0"/>
              <w:jc w:val="center"/>
            </w:pPr>
            <w:r>
              <w:rPr>
                <w:b/>
                <w:color w:val="FFFFFF"/>
                <w:sz w:val="15"/>
              </w:rPr>
              <w:t>FY30E</w:t>
            </w:r>
          </w:p>
        </w:tc>
      </w:tr>
      <w:tr>
        <w:tc>
          <w:tcPr>
            <w:tcW w:type="dxa" w:w="2160"/>
          </w:tcPr>
          <w:p>
            <w:pPr>
              <w:spacing w:before="0" w:after="0"/>
              <w:jc w:val="left"/>
            </w:pPr>
            <w:r>
              <w:rPr>
                <w:b/>
                <w:sz w:val="15"/>
              </w:rPr>
              <w:t>Receivables (~90d)</w:t>
            </w:r>
          </w:p>
        </w:tc>
        <w:tc>
          <w:tcPr>
            <w:tcW w:type="dxa" w:w="1238"/>
          </w:tcPr>
          <w:p>
            <w:pPr>
              <w:spacing w:before="0" w:after="0"/>
              <w:jc w:val="right"/>
            </w:pPr>
            <w:r>
              <w:rPr>
                <w:sz w:val="15"/>
              </w:rPr>
              <w:t>8,371</w:t>
            </w:r>
          </w:p>
        </w:tc>
        <w:tc>
          <w:tcPr>
            <w:tcW w:type="dxa" w:w="1238"/>
          </w:tcPr>
          <w:p>
            <w:pPr>
              <w:spacing w:before="0" w:after="0"/>
              <w:jc w:val="right"/>
            </w:pPr>
            <w:r>
              <w:rPr>
                <w:sz w:val="15"/>
              </w:rPr>
              <w:t>13,769</w:t>
            </w:r>
          </w:p>
        </w:tc>
        <w:tc>
          <w:tcPr>
            <w:tcW w:type="dxa" w:w="1238"/>
          </w:tcPr>
          <w:p>
            <w:pPr>
              <w:spacing w:before="0" w:after="0"/>
              <w:jc w:val="right"/>
            </w:pPr>
            <w:r>
              <w:rPr>
                <w:sz w:val="15"/>
              </w:rPr>
              <w:t>18,887</w:t>
            </w:r>
          </w:p>
        </w:tc>
        <w:tc>
          <w:tcPr>
            <w:tcW w:type="dxa" w:w="1238"/>
          </w:tcPr>
          <w:p>
            <w:pPr>
              <w:spacing w:before="0" w:after="0"/>
              <w:jc w:val="right"/>
            </w:pPr>
            <w:r>
              <w:rPr>
                <w:sz w:val="15"/>
              </w:rPr>
              <w:t>22,664</w:t>
            </w:r>
          </w:p>
        </w:tc>
        <w:tc>
          <w:tcPr>
            <w:tcW w:type="dxa" w:w="1238"/>
          </w:tcPr>
          <w:p>
            <w:pPr>
              <w:spacing w:before="0" w:after="0"/>
              <w:jc w:val="right"/>
            </w:pPr>
            <w:r>
              <w:rPr>
                <w:sz w:val="15"/>
              </w:rPr>
              <w:t>26,291</w:t>
            </w:r>
          </w:p>
        </w:tc>
        <w:tc>
          <w:tcPr>
            <w:tcW w:type="dxa" w:w="1238"/>
          </w:tcPr>
          <w:p>
            <w:pPr>
              <w:spacing w:before="0" w:after="0"/>
              <w:jc w:val="right"/>
            </w:pPr>
            <w:r>
              <w:rPr>
                <w:sz w:val="15"/>
              </w:rPr>
              <w:t>29,971</w:t>
            </w:r>
          </w:p>
        </w:tc>
        <w:tc>
          <w:tcPr>
            <w:tcW w:type="dxa" w:w="1238"/>
          </w:tcPr>
          <w:p>
            <w:pPr>
              <w:spacing w:before="0" w:after="0"/>
              <w:jc w:val="right"/>
            </w:pPr>
            <w:r>
              <w:rPr>
                <w:sz w:val="15"/>
              </w:rPr>
              <w:t>33,568</w:t>
            </w:r>
          </w:p>
        </w:tc>
        <w:tc>
          <w:tcPr>
            <w:tcW w:type="dxa" w:w="1238"/>
          </w:tcPr>
          <w:p>
            <w:pPr>
              <w:spacing w:before="0" w:after="0"/>
              <w:jc w:val="right"/>
            </w:pPr>
            <w:r>
              <w:rPr>
                <w:sz w:val="15"/>
              </w:rPr>
              <w:t>37,260</w:t>
            </w:r>
          </w:p>
        </w:tc>
      </w:tr>
      <w:tr>
        <w:tc>
          <w:tcPr>
            <w:tcW w:type="dxa" w:w="2160"/>
          </w:tcPr>
          <w:p>
            <w:pPr>
              <w:spacing w:before="0" w:after="0"/>
              <w:jc w:val="left"/>
            </w:pPr>
            <w:r>
              <w:rPr>
                <w:b/>
                <w:sz w:val="15"/>
              </w:rPr>
              <w:t>Inventory (~30d)</w:t>
            </w:r>
          </w:p>
        </w:tc>
        <w:tc>
          <w:tcPr>
            <w:tcW w:type="dxa" w:w="1238"/>
          </w:tcPr>
          <w:p>
            <w:pPr>
              <w:spacing w:before="0" w:after="0"/>
              <w:jc w:val="right"/>
            </w:pPr>
            <w:r>
              <w:rPr>
                <w:sz w:val="15"/>
              </w:rPr>
              <w:t>2,567</w:t>
            </w:r>
          </w:p>
        </w:tc>
        <w:tc>
          <w:tcPr>
            <w:tcW w:type="dxa" w:w="1238"/>
          </w:tcPr>
          <w:p>
            <w:pPr>
              <w:spacing w:before="0" w:after="0"/>
              <w:jc w:val="right"/>
            </w:pPr>
            <w:r>
              <w:rPr>
                <w:sz w:val="15"/>
              </w:rPr>
              <w:t>4,223</w:t>
            </w:r>
          </w:p>
        </w:tc>
        <w:tc>
          <w:tcPr>
            <w:tcW w:type="dxa" w:w="1238"/>
          </w:tcPr>
          <w:p>
            <w:pPr>
              <w:spacing w:before="0" w:after="0"/>
              <w:jc w:val="right"/>
            </w:pPr>
            <w:r>
              <w:rPr>
                <w:sz w:val="15"/>
              </w:rPr>
              <w:t>5,792</w:t>
            </w:r>
          </w:p>
        </w:tc>
        <w:tc>
          <w:tcPr>
            <w:tcW w:type="dxa" w:w="1238"/>
          </w:tcPr>
          <w:p>
            <w:pPr>
              <w:spacing w:before="0" w:after="0"/>
              <w:jc w:val="right"/>
            </w:pPr>
            <w:r>
              <w:rPr>
                <w:sz w:val="15"/>
              </w:rPr>
              <w:t>6,950</w:t>
            </w:r>
          </w:p>
        </w:tc>
        <w:tc>
          <w:tcPr>
            <w:tcW w:type="dxa" w:w="1238"/>
          </w:tcPr>
          <w:p>
            <w:pPr>
              <w:spacing w:before="0" w:after="0"/>
              <w:jc w:val="right"/>
            </w:pPr>
            <w:r>
              <w:rPr>
                <w:sz w:val="15"/>
              </w:rPr>
              <w:t>8,062</w:t>
            </w:r>
          </w:p>
        </w:tc>
        <w:tc>
          <w:tcPr>
            <w:tcW w:type="dxa" w:w="1238"/>
          </w:tcPr>
          <w:p>
            <w:pPr>
              <w:spacing w:before="0" w:after="0"/>
              <w:jc w:val="right"/>
            </w:pPr>
            <w:r>
              <w:rPr>
                <w:sz w:val="15"/>
              </w:rPr>
              <w:t>9,191</w:t>
            </w:r>
          </w:p>
        </w:tc>
        <w:tc>
          <w:tcPr>
            <w:tcW w:type="dxa" w:w="1238"/>
          </w:tcPr>
          <w:p>
            <w:pPr>
              <w:spacing w:before="0" w:after="0"/>
              <w:jc w:val="right"/>
            </w:pPr>
            <w:r>
              <w:rPr>
                <w:sz w:val="15"/>
              </w:rPr>
              <w:t>10,294</w:t>
            </w:r>
          </w:p>
        </w:tc>
        <w:tc>
          <w:tcPr>
            <w:tcW w:type="dxa" w:w="1238"/>
          </w:tcPr>
          <w:p>
            <w:pPr>
              <w:spacing w:before="0" w:after="0"/>
              <w:jc w:val="right"/>
            </w:pPr>
            <w:r>
              <w:rPr>
                <w:sz w:val="15"/>
              </w:rPr>
              <w:t>11,426</w:t>
            </w:r>
          </w:p>
        </w:tc>
      </w:tr>
      <w:tr>
        <w:tc>
          <w:tcPr>
            <w:tcW w:type="dxa" w:w="2160"/>
          </w:tcPr>
          <w:p>
            <w:pPr>
              <w:spacing w:before="0" w:after="0"/>
              <w:jc w:val="left"/>
            </w:pPr>
            <w:r>
              <w:rPr>
                <w:b/>
                <w:sz w:val="15"/>
              </w:rPr>
              <w:t>Trade payables (~119d)</w:t>
            </w:r>
          </w:p>
        </w:tc>
        <w:tc>
          <w:tcPr>
            <w:tcW w:type="dxa" w:w="1238"/>
          </w:tcPr>
          <w:p>
            <w:pPr>
              <w:spacing w:before="0" w:after="0"/>
              <w:jc w:val="right"/>
            </w:pPr>
            <w:r>
              <w:rPr>
                <w:sz w:val="15"/>
              </w:rPr>
              <w:t>10,183</w:t>
            </w:r>
          </w:p>
        </w:tc>
        <w:tc>
          <w:tcPr>
            <w:tcW w:type="dxa" w:w="1238"/>
          </w:tcPr>
          <w:p>
            <w:pPr>
              <w:spacing w:before="0" w:after="0"/>
              <w:jc w:val="right"/>
            </w:pPr>
            <w:r>
              <w:rPr>
                <w:sz w:val="15"/>
              </w:rPr>
              <w:t>16,750</w:t>
            </w:r>
          </w:p>
        </w:tc>
        <w:tc>
          <w:tcPr>
            <w:tcW w:type="dxa" w:w="1238"/>
          </w:tcPr>
          <w:p>
            <w:pPr>
              <w:spacing w:before="0" w:after="0"/>
              <w:jc w:val="right"/>
            </w:pPr>
            <w:r>
              <w:rPr>
                <w:sz w:val="15"/>
              </w:rPr>
              <w:t>22,975</w:t>
            </w:r>
          </w:p>
        </w:tc>
        <w:tc>
          <w:tcPr>
            <w:tcW w:type="dxa" w:w="1238"/>
          </w:tcPr>
          <w:p>
            <w:pPr>
              <w:spacing w:before="0" w:after="0"/>
              <w:jc w:val="right"/>
            </w:pPr>
            <w:r>
              <w:rPr>
                <w:sz w:val="15"/>
              </w:rPr>
              <w:t>27,570</w:t>
            </w:r>
          </w:p>
        </w:tc>
        <w:tc>
          <w:tcPr>
            <w:tcW w:type="dxa" w:w="1238"/>
          </w:tcPr>
          <w:p>
            <w:pPr>
              <w:spacing w:before="0" w:after="0"/>
              <w:jc w:val="right"/>
            </w:pPr>
            <w:r>
              <w:rPr>
                <w:sz w:val="15"/>
              </w:rPr>
              <w:t>31,981</w:t>
            </w:r>
          </w:p>
        </w:tc>
        <w:tc>
          <w:tcPr>
            <w:tcW w:type="dxa" w:w="1238"/>
          </w:tcPr>
          <w:p>
            <w:pPr>
              <w:spacing w:before="0" w:after="0"/>
              <w:jc w:val="right"/>
            </w:pPr>
            <w:r>
              <w:rPr>
                <w:sz w:val="15"/>
              </w:rPr>
              <w:t>36,458</w:t>
            </w:r>
          </w:p>
        </w:tc>
        <w:tc>
          <w:tcPr>
            <w:tcW w:type="dxa" w:w="1238"/>
          </w:tcPr>
          <w:p>
            <w:pPr>
              <w:spacing w:before="0" w:after="0"/>
              <w:jc w:val="right"/>
            </w:pPr>
            <w:r>
              <w:rPr>
                <w:sz w:val="15"/>
              </w:rPr>
              <w:t>40,833</w:t>
            </w:r>
          </w:p>
        </w:tc>
        <w:tc>
          <w:tcPr>
            <w:tcW w:type="dxa" w:w="1238"/>
          </w:tcPr>
          <w:p>
            <w:pPr>
              <w:spacing w:before="0" w:after="0"/>
              <w:jc w:val="right"/>
            </w:pPr>
            <w:r>
              <w:rPr>
                <w:sz w:val="15"/>
              </w:rPr>
              <w:t>45,325</w:t>
            </w:r>
          </w:p>
        </w:tc>
      </w:tr>
      <w:tr>
        <w:tc>
          <w:tcPr>
            <w:tcW w:type="dxa" w:w="2160"/>
          </w:tcPr>
          <w:p>
            <w:pPr>
              <w:spacing w:before="0" w:after="0"/>
              <w:jc w:val="left"/>
            </w:pPr>
            <w:r>
              <w:rPr>
                <w:b/>
                <w:sz w:val="15"/>
              </w:rPr>
              <w:t>Net working capital</w:t>
            </w:r>
          </w:p>
        </w:tc>
        <w:tc>
          <w:tcPr>
            <w:tcW w:type="dxa" w:w="1238"/>
          </w:tcPr>
          <w:p>
            <w:pPr>
              <w:spacing w:before="0" w:after="0"/>
              <w:jc w:val="right"/>
            </w:pPr>
            <w:r>
              <w:rPr>
                <w:sz w:val="15"/>
              </w:rPr>
              <w:t>755</w:t>
            </w:r>
          </w:p>
        </w:tc>
        <w:tc>
          <w:tcPr>
            <w:tcW w:type="dxa" w:w="1238"/>
          </w:tcPr>
          <w:p>
            <w:pPr>
              <w:spacing w:before="0" w:after="0"/>
              <w:jc w:val="right"/>
            </w:pPr>
            <w:r>
              <w:rPr>
                <w:sz w:val="15"/>
              </w:rPr>
              <w:t>1,242</w:t>
            </w:r>
          </w:p>
        </w:tc>
        <w:tc>
          <w:tcPr>
            <w:tcW w:type="dxa" w:w="1238"/>
          </w:tcPr>
          <w:p>
            <w:pPr>
              <w:spacing w:before="0" w:after="0"/>
              <w:jc w:val="right"/>
            </w:pPr>
            <w:r>
              <w:rPr>
                <w:sz w:val="15"/>
              </w:rPr>
              <w:t>1,704</w:t>
            </w:r>
          </w:p>
        </w:tc>
        <w:tc>
          <w:tcPr>
            <w:tcW w:type="dxa" w:w="1238"/>
          </w:tcPr>
          <w:p>
            <w:pPr>
              <w:spacing w:before="0" w:after="0"/>
              <w:jc w:val="right"/>
            </w:pPr>
            <w:r>
              <w:rPr>
                <w:sz w:val="15"/>
              </w:rPr>
              <w:t>2,045</w:t>
            </w:r>
          </w:p>
        </w:tc>
        <w:tc>
          <w:tcPr>
            <w:tcW w:type="dxa" w:w="1238"/>
          </w:tcPr>
          <w:p>
            <w:pPr>
              <w:spacing w:before="0" w:after="0"/>
              <w:jc w:val="right"/>
            </w:pPr>
            <w:r>
              <w:rPr>
                <w:sz w:val="15"/>
              </w:rPr>
              <w:t>2,372</w:t>
            </w:r>
          </w:p>
        </w:tc>
        <w:tc>
          <w:tcPr>
            <w:tcW w:type="dxa" w:w="1238"/>
          </w:tcPr>
          <w:p>
            <w:pPr>
              <w:spacing w:before="0" w:after="0"/>
              <w:jc w:val="right"/>
            </w:pPr>
            <w:r>
              <w:rPr>
                <w:sz w:val="15"/>
              </w:rPr>
              <w:t>2,704</w:t>
            </w:r>
          </w:p>
        </w:tc>
        <w:tc>
          <w:tcPr>
            <w:tcW w:type="dxa" w:w="1238"/>
          </w:tcPr>
          <w:p>
            <w:pPr>
              <w:spacing w:before="0" w:after="0"/>
              <w:jc w:val="right"/>
            </w:pPr>
            <w:r>
              <w:rPr>
                <w:sz w:val="15"/>
              </w:rPr>
              <w:t>3,029</w:t>
            </w:r>
          </w:p>
        </w:tc>
        <w:tc>
          <w:tcPr>
            <w:tcW w:type="dxa" w:w="1238"/>
          </w:tcPr>
          <w:p>
            <w:pPr>
              <w:spacing w:before="0" w:after="0"/>
              <w:jc w:val="right"/>
            </w:pPr>
            <w:r>
              <w:rPr>
                <w:sz w:val="15"/>
              </w:rPr>
              <w:t>3,362</w:t>
            </w:r>
          </w:p>
        </w:tc>
      </w:tr>
      <w:tr>
        <w:tc>
          <w:tcPr>
            <w:tcW w:type="dxa" w:w="2160"/>
          </w:tcPr>
          <w:p>
            <w:pPr>
              <w:spacing w:before="0" w:after="0"/>
              <w:jc w:val="left"/>
            </w:pPr>
            <w:r>
              <w:rPr>
                <w:b/>
                <w:sz w:val="15"/>
              </w:rPr>
              <w:t>Net interest-bearing debt</w:t>
            </w:r>
          </w:p>
        </w:tc>
        <w:tc>
          <w:tcPr>
            <w:tcW w:type="dxa" w:w="1238"/>
          </w:tcPr>
          <w:p>
            <w:pPr>
              <w:spacing w:before="0" w:after="0"/>
              <w:jc w:val="right"/>
            </w:pPr>
            <w:r>
              <w:rPr>
                <w:sz w:val="15"/>
              </w:rPr>
              <w:t>2,100</w:t>
            </w:r>
          </w:p>
        </w:tc>
        <w:tc>
          <w:tcPr>
            <w:tcW w:type="dxa" w:w="1238"/>
          </w:tcPr>
          <w:p>
            <w:pPr>
              <w:spacing w:before="0" w:after="0"/>
              <w:jc w:val="right"/>
            </w:pPr>
            <w:r>
              <w:rPr>
                <w:sz w:val="15"/>
              </w:rPr>
              <w:t>3,200</w:t>
            </w:r>
          </w:p>
        </w:tc>
        <w:tc>
          <w:tcPr>
            <w:tcW w:type="dxa" w:w="1238"/>
          </w:tcPr>
          <w:p>
            <w:pPr>
              <w:spacing w:before="0" w:after="0"/>
              <w:jc w:val="right"/>
            </w:pPr>
            <w:r>
              <w:rPr>
                <w:sz w:val="15"/>
              </w:rPr>
              <w:t>4,500</w:t>
            </w:r>
          </w:p>
        </w:tc>
        <w:tc>
          <w:tcPr>
            <w:tcW w:type="dxa" w:w="1238"/>
          </w:tcPr>
          <w:p>
            <w:pPr>
              <w:spacing w:before="0" w:after="0"/>
              <w:jc w:val="right"/>
            </w:pPr>
            <w:r>
              <w:rPr>
                <w:sz w:val="15"/>
              </w:rPr>
              <w:t>5,040</w:t>
            </w:r>
          </w:p>
        </w:tc>
        <w:tc>
          <w:tcPr>
            <w:tcW w:type="dxa" w:w="1238"/>
          </w:tcPr>
          <w:p>
            <w:pPr>
              <w:spacing w:before="0" w:after="0"/>
              <w:jc w:val="right"/>
            </w:pPr>
            <w:r>
              <w:rPr>
                <w:sz w:val="15"/>
              </w:rPr>
              <w:t>5,645</w:t>
            </w:r>
          </w:p>
        </w:tc>
        <w:tc>
          <w:tcPr>
            <w:tcW w:type="dxa" w:w="1238"/>
          </w:tcPr>
          <w:p>
            <w:pPr>
              <w:spacing w:before="0" w:after="0"/>
              <w:jc w:val="right"/>
            </w:pPr>
            <w:r>
              <w:rPr>
                <w:sz w:val="15"/>
              </w:rPr>
              <w:t>6,322</w:t>
            </w:r>
          </w:p>
        </w:tc>
        <w:tc>
          <w:tcPr>
            <w:tcW w:type="dxa" w:w="1238"/>
          </w:tcPr>
          <w:p>
            <w:pPr>
              <w:spacing w:before="0" w:after="0"/>
              <w:jc w:val="right"/>
            </w:pPr>
            <w:r>
              <w:rPr>
                <w:sz w:val="15"/>
              </w:rPr>
              <w:t>7,081</w:t>
            </w:r>
          </w:p>
        </w:tc>
        <w:tc>
          <w:tcPr>
            <w:tcW w:type="dxa" w:w="1238"/>
          </w:tcPr>
          <w:p>
            <w:pPr>
              <w:spacing w:before="0" w:after="0"/>
              <w:jc w:val="right"/>
            </w:pPr>
            <w:r>
              <w:rPr>
                <w:sz w:val="15"/>
              </w:rPr>
              <w:t>7,931</w:t>
            </w:r>
          </w:p>
        </w:tc>
      </w:tr>
    </w:tbl>
    <w:p>
      <w:pPr>
        <w:spacing w:after="120" w:before="20"/>
      </w:pPr>
      <w:r>
        <w:rPr>
          <w:b w:val="0"/>
          <w:i/>
          <w:color w:val="777777"/>
          <w:sz w:val="16"/>
        </w:rPr>
        <w:t>Working capital = days × sales/COGS. Near-zero cash-conversion cycle. Net debt FY23–24 estimated; FY25 per disclosure.</w:t>
      </w:r>
    </w:p>
    <w:p>
      <w:pPr>
        <w:spacing w:after="60" w:before="140"/>
      </w:pPr>
      <w:r>
        <w:rPr>
          <w:b/>
          <w:i w:val="0"/>
          <w:color w:val="2A8F8F"/>
          <w:sz w:val="23"/>
        </w:rPr>
        <w:t>A.3  Cash flow (simplified)</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shd w:val="clear" w:fill="1B5E5E"/>
          </w:tcPr>
          <w:p>
            <w:pPr>
              <w:spacing w:before="0" w:after="0"/>
              <w:jc w:val="left"/>
            </w:pPr>
            <w:r>
              <w:rPr>
                <w:b/>
                <w:color w:val="FFFFFF"/>
                <w:sz w:val="15"/>
              </w:rPr>
              <w:t>EGP mn</w:t>
            </w:r>
          </w:p>
        </w:tc>
        <w:tc>
          <w:tcPr>
            <w:tcW w:type="dxa" w:w="1238"/>
            <w:shd w:val="clear" w:fill="1B5E5E"/>
          </w:tcPr>
          <w:p>
            <w:pPr>
              <w:spacing w:before="0" w:after="0"/>
              <w:jc w:val="center"/>
            </w:pPr>
            <w:r>
              <w:rPr>
                <w:b/>
                <w:color w:val="FFFFFF"/>
                <w:sz w:val="15"/>
              </w:rPr>
              <w:t>FY23</w:t>
            </w:r>
          </w:p>
        </w:tc>
        <w:tc>
          <w:tcPr>
            <w:tcW w:type="dxa" w:w="1238"/>
            <w:shd w:val="clear" w:fill="1B5E5E"/>
          </w:tcPr>
          <w:p>
            <w:pPr>
              <w:spacing w:before="0" w:after="0"/>
              <w:jc w:val="center"/>
            </w:pPr>
            <w:r>
              <w:rPr>
                <w:b/>
                <w:color w:val="FFFFFF"/>
                <w:sz w:val="15"/>
              </w:rPr>
              <w:t>FY24</w:t>
            </w:r>
          </w:p>
        </w:tc>
        <w:tc>
          <w:tcPr>
            <w:tcW w:type="dxa" w:w="1238"/>
            <w:shd w:val="clear" w:fill="1B5E5E"/>
          </w:tcPr>
          <w:p>
            <w:pPr>
              <w:spacing w:before="0" w:after="0"/>
              <w:jc w:val="center"/>
            </w:pPr>
            <w:r>
              <w:rPr>
                <w:b/>
                <w:color w:val="FFFFFF"/>
                <w:sz w:val="15"/>
              </w:rPr>
              <w:t>FY25</w:t>
            </w:r>
          </w:p>
        </w:tc>
        <w:tc>
          <w:tcPr>
            <w:tcW w:type="dxa" w:w="1238"/>
            <w:shd w:val="clear" w:fill="1B5E5E"/>
          </w:tcPr>
          <w:p>
            <w:pPr>
              <w:spacing w:before="0" w:after="0"/>
              <w:jc w:val="center"/>
            </w:pPr>
            <w:r>
              <w:rPr>
                <w:b/>
                <w:color w:val="FFFFFF"/>
                <w:sz w:val="15"/>
              </w:rPr>
              <w:t>FY26E</w:t>
            </w:r>
          </w:p>
        </w:tc>
        <w:tc>
          <w:tcPr>
            <w:tcW w:type="dxa" w:w="1238"/>
            <w:shd w:val="clear" w:fill="1B5E5E"/>
          </w:tcPr>
          <w:p>
            <w:pPr>
              <w:spacing w:before="0" w:after="0"/>
              <w:jc w:val="center"/>
            </w:pPr>
            <w:r>
              <w:rPr>
                <w:b/>
                <w:color w:val="FFFFFF"/>
                <w:sz w:val="15"/>
              </w:rPr>
              <w:t>FY27E</w:t>
            </w:r>
          </w:p>
        </w:tc>
        <w:tc>
          <w:tcPr>
            <w:tcW w:type="dxa" w:w="1238"/>
            <w:shd w:val="clear" w:fill="1B5E5E"/>
          </w:tcPr>
          <w:p>
            <w:pPr>
              <w:spacing w:before="0" w:after="0"/>
              <w:jc w:val="center"/>
            </w:pPr>
            <w:r>
              <w:rPr>
                <w:b/>
                <w:color w:val="FFFFFF"/>
                <w:sz w:val="15"/>
              </w:rPr>
              <w:t>FY28E</w:t>
            </w:r>
          </w:p>
        </w:tc>
        <w:tc>
          <w:tcPr>
            <w:tcW w:type="dxa" w:w="1238"/>
            <w:shd w:val="clear" w:fill="1B5E5E"/>
          </w:tcPr>
          <w:p>
            <w:pPr>
              <w:spacing w:before="0" w:after="0"/>
              <w:jc w:val="center"/>
            </w:pPr>
            <w:r>
              <w:rPr>
                <w:b/>
                <w:color w:val="FFFFFF"/>
                <w:sz w:val="15"/>
              </w:rPr>
              <w:t>FY29E</w:t>
            </w:r>
          </w:p>
        </w:tc>
        <w:tc>
          <w:tcPr>
            <w:tcW w:type="dxa" w:w="1238"/>
            <w:shd w:val="clear" w:fill="1B5E5E"/>
          </w:tcPr>
          <w:p>
            <w:pPr>
              <w:spacing w:before="0" w:after="0"/>
              <w:jc w:val="center"/>
            </w:pPr>
            <w:r>
              <w:rPr>
                <w:b/>
                <w:color w:val="FFFFFF"/>
                <w:sz w:val="15"/>
              </w:rPr>
              <w:t>FY30E</w:t>
            </w:r>
          </w:p>
        </w:tc>
      </w:tr>
      <w:tr>
        <w:tc>
          <w:tcPr>
            <w:tcW w:type="dxa" w:w="2160"/>
          </w:tcPr>
          <w:p>
            <w:pPr>
              <w:spacing w:before="0" w:after="0"/>
              <w:jc w:val="left"/>
            </w:pPr>
            <w:r>
              <w:rPr>
                <w:b/>
                <w:sz w:val="15"/>
              </w:rPr>
              <w:t>Net profit</w:t>
            </w:r>
          </w:p>
        </w:tc>
        <w:tc>
          <w:tcPr>
            <w:tcW w:type="dxa" w:w="1238"/>
          </w:tcPr>
          <w:p>
            <w:pPr>
              <w:spacing w:before="0" w:after="0"/>
              <w:jc w:val="right"/>
            </w:pPr>
            <w:r>
              <w:rPr>
                <w:sz w:val="15"/>
              </w:rPr>
              <w:t>214</w:t>
            </w:r>
          </w:p>
        </w:tc>
        <w:tc>
          <w:tcPr>
            <w:tcW w:type="dxa" w:w="1238"/>
          </w:tcPr>
          <w:p>
            <w:pPr>
              <w:spacing w:before="0" w:after="0"/>
              <w:jc w:val="right"/>
            </w:pPr>
            <w:r>
              <w:rPr>
                <w:sz w:val="15"/>
              </w:rPr>
              <w:t>615</w:t>
            </w:r>
          </w:p>
        </w:tc>
        <w:tc>
          <w:tcPr>
            <w:tcW w:type="dxa" w:w="1238"/>
          </w:tcPr>
          <w:p>
            <w:pPr>
              <w:spacing w:before="0" w:after="0"/>
              <w:jc w:val="right"/>
            </w:pPr>
            <w:r>
              <w:rPr>
                <w:sz w:val="15"/>
              </w:rPr>
              <w:t>952</w:t>
            </w:r>
          </w:p>
        </w:tc>
        <w:tc>
          <w:tcPr>
            <w:tcW w:type="dxa" w:w="1238"/>
          </w:tcPr>
          <w:p>
            <w:pPr>
              <w:spacing w:before="0" w:after="0"/>
              <w:jc w:val="right"/>
            </w:pPr>
            <w:r>
              <w:rPr>
                <w:sz w:val="15"/>
              </w:rPr>
              <w:t>1,175</w:t>
            </w:r>
          </w:p>
        </w:tc>
        <w:tc>
          <w:tcPr>
            <w:tcW w:type="dxa" w:w="1238"/>
          </w:tcPr>
          <w:p>
            <w:pPr>
              <w:spacing w:before="0" w:after="0"/>
              <w:jc w:val="right"/>
            </w:pPr>
            <w:r>
              <w:rPr>
                <w:sz w:val="15"/>
              </w:rPr>
              <w:t>1,446</w:t>
            </w:r>
          </w:p>
        </w:tc>
        <w:tc>
          <w:tcPr>
            <w:tcW w:type="dxa" w:w="1238"/>
          </w:tcPr>
          <w:p>
            <w:pPr>
              <w:spacing w:before="0" w:after="0"/>
              <w:jc w:val="right"/>
            </w:pPr>
            <w:r>
              <w:rPr>
                <w:sz w:val="15"/>
              </w:rPr>
              <w:t>1,743</w:t>
            </w:r>
          </w:p>
        </w:tc>
        <w:tc>
          <w:tcPr>
            <w:tcW w:type="dxa" w:w="1238"/>
          </w:tcPr>
          <w:p>
            <w:pPr>
              <w:spacing w:before="0" w:after="0"/>
              <w:jc w:val="right"/>
            </w:pPr>
            <w:r>
              <w:rPr>
                <w:sz w:val="15"/>
              </w:rPr>
              <w:t>2,057</w:t>
            </w:r>
          </w:p>
        </w:tc>
        <w:tc>
          <w:tcPr>
            <w:tcW w:type="dxa" w:w="1238"/>
          </w:tcPr>
          <w:p>
            <w:pPr>
              <w:spacing w:before="0" w:after="0"/>
              <w:jc w:val="right"/>
            </w:pPr>
            <w:r>
              <w:rPr>
                <w:sz w:val="15"/>
              </w:rPr>
              <w:t>2,401</w:t>
            </w:r>
          </w:p>
        </w:tc>
      </w:tr>
      <w:tr>
        <w:tc>
          <w:tcPr>
            <w:tcW w:type="dxa" w:w="2160"/>
          </w:tcPr>
          <w:p>
            <w:pPr>
              <w:spacing w:before="0" w:after="0"/>
              <w:jc w:val="left"/>
            </w:pPr>
            <w:r>
              <w:rPr>
                <w:b/>
                <w:sz w:val="15"/>
              </w:rPr>
              <w:t>+ D&amp;A</w:t>
            </w:r>
          </w:p>
        </w:tc>
        <w:tc>
          <w:tcPr>
            <w:tcW w:type="dxa" w:w="1238"/>
          </w:tcPr>
          <w:p>
            <w:pPr>
              <w:spacing w:before="0" w:after="0"/>
              <w:jc w:val="right"/>
            </w:pPr>
            <w:r>
              <w:rPr>
                <w:sz w:val="15"/>
              </w:rPr>
              <w:t>170</w:t>
            </w:r>
          </w:p>
        </w:tc>
        <w:tc>
          <w:tcPr>
            <w:tcW w:type="dxa" w:w="1238"/>
          </w:tcPr>
          <w:p>
            <w:pPr>
              <w:spacing w:before="0" w:after="0"/>
              <w:jc w:val="right"/>
            </w:pPr>
            <w:r>
              <w:rPr>
                <w:sz w:val="15"/>
              </w:rPr>
              <w:t>230</w:t>
            </w:r>
          </w:p>
        </w:tc>
        <w:tc>
          <w:tcPr>
            <w:tcW w:type="dxa" w:w="1238"/>
          </w:tcPr>
          <w:p>
            <w:pPr>
              <w:spacing w:before="0" w:after="0"/>
              <w:jc w:val="right"/>
            </w:pPr>
            <w:r>
              <w:rPr>
                <w:sz w:val="15"/>
              </w:rPr>
              <w:t>300</w:t>
            </w:r>
          </w:p>
        </w:tc>
        <w:tc>
          <w:tcPr>
            <w:tcW w:type="dxa" w:w="1238"/>
          </w:tcPr>
          <w:p>
            <w:pPr>
              <w:spacing w:before="0" w:after="0"/>
              <w:jc w:val="right"/>
            </w:pPr>
            <w:r>
              <w:rPr>
                <w:sz w:val="15"/>
              </w:rPr>
              <w:t>414</w:t>
            </w:r>
          </w:p>
        </w:tc>
        <w:tc>
          <w:tcPr>
            <w:tcW w:type="dxa" w:w="1238"/>
          </w:tcPr>
          <w:p>
            <w:pPr>
              <w:spacing w:before="0" w:after="0"/>
              <w:jc w:val="right"/>
            </w:pPr>
            <w:r>
              <w:rPr>
                <w:sz w:val="15"/>
              </w:rPr>
              <w:t>480</w:t>
            </w:r>
          </w:p>
        </w:tc>
        <w:tc>
          <w:tcPr>
            <w:tcW w:type="dxa" w:w="1238"/>
          </w:tcPr>
          <w:p>
            <w:pPr>
              <w:spacing w:before="0" w:after="0"/>
              <w:jc w:val="right"/>
            </w:pPr>
            <w:r>
              <w:rPr>
                <w:sz w:val="15"/>
              </w:rPr>
              <w:t>547</w:t>
            </w:r>
          </w:p>
        </w:tc>
        <w:tc>
          <w:tcPr>
            <w:tcW w:type="dxa" w:w="1238"/>
          </w:tcPr>
          <w:p>
            <w:pPr>
              <w:spacing w:before="0" w:after="0"/>
              <w:jc w:val="right"/>
            </w:pPr>
            <w:r>
              <w:rPr>
                <w:sz w:val="15"/>
              </w:rPr>
              <w:t>613</w:t>
            </w:r>
          </w:p>
        </w:tc>
        <w:tc>
          <w:tcPr>
            <w:tcW w:type="dxa" w:w="1238"/>
          </w:tcPr>
          <w:p>
            <w:pPr>
              <w:spacing w:before="0" w:after="0"/>
              <w:jc w:val="right"/>
            </w:pPr>
            <w:r>
              <w:rPr>
                <w:sz w:val="15"/>
              </w:rPr>
              <w:t>680</w:t>
            </w:r>
          </w:p>
        </w:tc>
      </w:tr>
      <w:tr>
        <w:tc>
          <w:tcPr>
            <w:tcW w:type="dxa" w:w="2160"/>
          </w:tcPr>
          <w:p>
            <w:pPr>
              <w:spacing w:before="0" w:after="0"/>
              <w:jc w:val="left"/>
            </w:pPr>
            <w:r>
              <w:rPr>
                <w:b/>
                <w:sz w:val="15"/>
              </w:rPr>
              <w:t>− Increase in net WC</w:t>
            </w:r>
          </w:p>
        </w:tc>
        <w:tc>
          <w:tcPr>
            <w:tcW w:type="dxa" w:w="1238"/>
          </w:tcPr>
          <w:p>
            <w:pPr>
              <w:spacing w:before="0" w:after="0"/>
              <w:jc w:val="right"/>
            </w:pPr>
            <w:r>
              <w:rPr>
                <w:sz w:val="15"/>
              </w:rPr>
              <w:t>0</w:t>
            </w:r>
          </w:p>
        </w:tc>
        <w:tc>
          <w:tcPr>
            <w:tcW w:type="dxa" w:w="1238"/>
          </w:tcPr>
          <w:p>
            <w:pPr>
              <w:spacing w:before="0" w:after="0"/>
              <w:jc w:val="right"/>
            </w:pPr>
            <w:r>
              <w:rPr>
                <w:sz w:val="15"/>
              </w:rPr>
              <w:t>(487)</w:t>
            </w:r>
          </w:p>
        </w:tc>
        <w:tc>
          <w:tcPr>
            <w:tcW w:type="dxa" w:w="1238"/>
          </w:tcPr>
          <w:p>
            <w:pPr>
              <w:spacing w:before="0" w:after="0"/>
              <w:jc w:val="right"/>
            </w:pPr>
            <w:r>
              <w:rPr>
                <w:sz w:val="15"/>
              </w:rPr>
              <w:t>(462)</w:t>
            </w:r>
          </w:p>
        </w:tc>
        <w:tc>
          <w:tcPr>
            <w:tcW w:type="dxa" w:w="1238"/>
          </w:tcPr>
          <w:p>
            <w:pPr>
              <w:spacing w:before="0" w:after="0"/>
              <w:jc w:val="right"/>
            </w:pPr>
            <w:r>
              <w:rPr>
                <w:sz w:val="15"/>
              </w:rPr>
              <w:t>(341)</w:t>
            </w:r>
          </w:p>
        </w:tc>
        <w:tc>
          <w:tcPr>
            <w:tcW w:type="dxa" w:w="1238"/>
          </w:tcPr>
          <w:p>
            <w:pPr>
              <w:spacing w:before="0" w:after="0"/>
              <w:jc w:val="right"/>
            </w:pPr>
            <w:r>
              <w:rPr>
                <w:sz w:val="15"/>
              </w:rPr>
              <w:t>(327)</w:t>
            </w:r>
          </w:p>
        </w:tc>
        <w:tc>
          <w:tcPr>
            <w:tcW w:type="dxa" w:w="1238"/>
          </w:tcPr>
          <w:p>
            <w:pPr>
              <w:spacing w:before="0" w:after="0"/>
              <w:jc w:val="right"/>
            </w:pPr>
            <w:r>
              <w:rPr>
                <w:sz w:val="15"/>
              </w:rPr>
              <w:t>(332)</w:t>
            </w:r>
          </w:p>
        </w:tc>
        <w:tc>
          <w:tcPr>
            <w:tcW w:type="dxa" w:w="1238"/>
          </w:tcPr>
          <w:p>
            <w:pPr>
              <w:spacing w:before="0" w:after="0"/>
              <w:jc w:val="right"/>
            </w:pPr>
            <w:r>
              <w:rPr>
                <w:sz w:val="15"/>
              </w:rPr>
              <w:t>(324)</w:t>
            </w:r>
          </w:p>
        </w:tc>
        <w:tc>
          <w:tcPr>
            <w:tcW w:type="dxa" w:w="1238"/>
          </w:tcPr>
          <w:p>
            <w:pPr>
              <w:spacing w:before="0" w:after="0"/>
              <w:jc w:val="right"/>
            </w:pPr>
            <w:r>
              <w:rPr>
                <w:sz w:val="15"/>
              </w:rPr>
              <w:t>(333)</w:t>
            </w:r>
          </w:p>
        </w:tc>
      </w:tr>
      <w:tr>
        <w:tc>
          <w:tcPr>
            <w:tcW w:type="dxa" w:w="2160"/>
          </w:tcPr>
          <w:p>
            <w:pPr>
              <w:spacing w:before="0" w:after="0"/>
              <w:jc w:val="left"/>
            </w:pPr>
            <w:r>
              <w:rPr>
                <w:b/>
                <w:sz w:val="15"/>
              </w:rPr>
              <w:t>− Capex</w:t>
            </w:r>
          </w:p>
        </w:tc>
        <w:tc>
          <w:tcPr>
            <w:tcW w:type="dxa" w:w="1238"/>
          </w:tcPr>
          <w:p>
            <w:pPr>
              <w:spacing w:before="0" w:after="0"/>
              <w:jc w:val="right"/>
            </w:pPr>
            <w:r>
              <w:rPr>
                <w:sz w:val="15"/>
              </w:rPr>
              <w:t>(204)</w:t>
            </w:r>
          </w:p>
        </w:tc>
        <w:tc>
          <w:tcPr>
            <w:tcW w:type="dxa" w:w="1238"/>
          </w:tcPr>
          <w:p>
            <w:pPr>
              <w:spacing w:before="0" w:after="0"/>
              <w:jc w:val="right"/>
            </w:pPr>
            <w:r>
              <w:rPr>
                <w:sz w:val="15"/>
              </w:rPr>
              <w:t>(335)</w:t>
            </w:r>
          </w:p>
        </w:tc>
        <w:tc>
          <w:tcPr>
            <w:tcW w:type="dxa" w:w="1238"/>
          </w:tcPr>
          <w:p>
            <w:pPr>
              <w:spacing w:before="0" w:after="0"/>
              <w:jc w:val="right"/>
            </w:pPr>
            <w:r>
              <w:rPr>
                <w:sz w:val="15"/>
              </w:rPr>
              <w:t>(460)</w:t>
            </w:r>
          </w:p>
        </w:tc>
        <w:tc>
          <w:tcPr>
            <w:tcW w:type="dxa" w:w="1238"/>
          </w:tcPr>
          <w:p>
            <w:pPr>
              <w:spacing w:before="0" w:after="0"/>
              <w:jc w:val="right"/>
            </w:pPr>
            <w:r>
              <w:rPr>
                <w:sz w:val="15"/>
              </w:rPr>
              <w:t>(551)</w:t>
            </w:r>
          </w:p>
        </w:tc>
        <w:tc>
          <w:tcPr>
            <w:tcW w:type="dxa" w:w="1238"/>
          </w:tcPr>
          <w:p>
            <w:pPr>
              <w:spacing w:before="0" w:after="0"/>
              <w:jc w:val="right"/>
            </w:pPr>
            <w:r>
              <w:rPr>
                <w:sz w:val="15"/>
              </w:rPr>
              <w:t>(640)</w:t>
            </w:r>
          </w:p>
        </w:tc>
        <w:tc>
          <w:tcPr>
            <w:tcW w:type="dxa" w:w="1238"/>
          </w:tcPr>
          <w:p>
            <w:pPr>
              <w:spacing w:before="0" w:after="0"/>
              <w:jc w:val="right"/>
            </w:pPr>
            <w:r>
              <w:rPr>
                <w:sz w:val="15"/>
              </w:rPr>
              <w:t>(729)</w:t>
            </w:r>
          </w:p>
        </w:tc>
        <w:tc>
          <w:tcPr>
            <w:tcW w:type="dxa" w:w="1238"/>
          </w:tcPr>
          <w:p>
            <w:pPr>
              <w:spacing w:before="0" w:after="0"/>
              <w:jc w:val="right"/>
            </w:pPr>
            <w:r>
              <w:rPr>
                <w:sz w:val="15"/>
              </w:rPr>
              <w:t>(817)</w:t>
            </w:r>
          </w:p>
        </w:tc>
        <w:tc>
          <w:tcPr>
            <w:tcW w:type="dxa" w:w="1238"/>
          </w:tcPr>
          <w:p>
            <w:pPr>
              <w:spacing w:before="0" w:after="0"/>
              <w:jc w:val="right"/>
            </w:pPr>
            <w:r>
              <w:rPr>
                <w:sz w:val="15"/>
              </w:rPr>
              <w:t>(907)</w:t>
            </w:r>
          </w:p>
        </w:tc>
      </w:tr>
      <w:tr>
        <w:tc>
          <w:tcPr>
            <w:tcW w:type="dxa" w:w="2160"/>
          </w:tcPr>
          <w:p>
            <w:pPr>
              <w:spacing w:before="0" w:after="0"/>
              <w:jc w:val="left"/>
            </w:pPr>
            <w:r>
              <w:rPr>
                <w:b/>
                <w:sz w:val="15"/>
              </w:rPr>
              <w:t>Free cash flow to firm</w:t>
            </w:r>
          </w:p>
        </w:tc>
        <w:tc>
          <w:tcPr>
            <w:tcW w:type="dxa" w:w="1238"/>
          </w:tcPr>
          <w:p>
            <w:pPr>
              <w:spacing w:before="0" w:after="0"/>
              <w:jc w:val="right"/>
            </w:pPr>
            <w:r>
              <w:rPr>
                <w:sz w:val="15"/>
              </w:rPr>
              <w:t>180</w:t>
            </w:r>
          </w:p>
        </w:tc>
        <w:tc>
          <w:tcPr>
            <w:tcW w:type="dxa" w:w="1238"/>
          </w:tcPr>
          <w:p>
            <w:pPr>
              <w:spacing w:before="0" w:after="0"/>
              <w:jc w:val="right"/>
            </w:pPr>
            <w:r>
              <w:rPr>
                <w:sz w:val="15"/>
              </w:rPr>
              <w:t>23</w:t>
            </w:r>
          </w:p>
        </w:tc>
        <w:tc>
          <w:tcPr>
            <w:tcW w:type="dxa" w:w="1238"/>
          </w:tcPr>
          <w:p>
            <w:pPr>
              <w:spacing w:before="0" w:after="0"/>
              <w:jc w:val="right"/>
            </w:pPr>
            <w:r>
              <w:rPr>
                <w:sz w:val="15"/>
              </w:rPr>
              <w:t>331</w:t>
            </w:r>
          </w:p>
        </w:tc>
        <w:tc>
          <w:tcPr>
            <w:tcW w:type="dxa" w:w="1238"/>
          </w:tcPr>
          <w:p>
            <w:pPr>
              <w:spacing w:before="0" w:after="0"/>
              <w:jc w:val="right"/>
            </w:pPr>
            <w:r>
              <w:rPr>
                <w:sz w:val="15"/>
              </w:rPr>
              <w:t>697</w:t>
            </w:r>
          </w:p>
        </w:tc>
        <w:tc>
          <w:tcPr>
            <w:tcW w:type="dxa" w:w="1238"/>
          </w:tcPr>
          <w:p>
            <w:pPr>
              <w:spacing w:before="0" w:after="0"/>
              <w:jc w:val="right"/>
            </w:pPr>
            <w:r>
              <w:rPr>
                <w:sz w:val="15"/>
              </w:rPr>
              <w:t>959</w:t>
            </w:r>
          </w:p>
        </w:tc>
        <w:tc>
          <w:tcPr>
            <w:tcW w:type="dxa" w:w="1238"/>
          </w:tcPr>
          <w:p>
            <w:pPr>
              <w:spacing w:before="0" w:after="0"/>
              <w:jc w:val="right"/>
            </w:pPr>
            <w:r>
              <w:rPr>
                <w:sz w:val="15"/>
              </w:rPr>
              <w:t>1,228</w:t>
            </w:r>
          </w:p>
        </w:tc>
        <w:tc>
          <w:tcPr>
            <w:tcW w:type="dxa" w:w="1238"/>
          </w:tcPr>
          <w:p>
            <w:pPr>
              <w:spacing w:before="0" w:after="0"/>
              <w:jc w:val="right"/>
            </w:pPr>
            <w:r>
              <w:rPr>
                <w:sz w:val="15"/>
              </w:rPr>
              <w:t>1,529</w:t>
            </w:r>
          </w:p>
        </w:tc>
        <w:tc>
          <w:tcPr>
            <w:tcW w:type="dxa" w:w="1238"/>
          </w:tcPr>
          <w:p>
            <w:pPr>
              <w:spacing w:before="0" w:after="0"/>
              <w:jc w:val="right"/>
            </w:pPr>
            <w:r>
              <w:rPr>
                <w:sz w:val="15"/>
              </w:rPr>
              <w:t>1,841</w:t>
            </w:r>
          </w:p>
        </w:tc>
      </w:tr>
    </w:tbl>
    <w:p>
      <w:pPr>
        <w:spacing w:after="120" w:before="20"/>
      </w:pPr>
      <w:r>
        <w:rPr>
          <w:b w:val="0"/>
          <w:i/>
          <w:color w:val="777777"/>
          <w:sz w:val="16"/>
        </w:rPr>
        <w:t>Simplified FCFF bridge. Near-zero cash-conversion cycle keeps the working-capital draw small.</w:t>
      </w:r>
    </w:p>
    <w:p>
      <w:pPr>
        <w:spacing w:after="60" w:before="140"/>
      </w:pPr>
      <w:r>
        <w:rPr>
          <w:b/>
          <w:i w:val="0"/>
          <w:color w:val="2A8F8F"/>
          <w:sz w:val="23"/>
        </w:rPr>
        <w:t>A.4  Per-share &amp; ratio dashboard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880"/>
            <w:shd w:val="clear" w:fill="1B5E5E"/>
          </w:tcPr>
          <w:p>
            <w:pPr>
              <w:spacing w:before="0" w:after="0"/>
              <w:jc w:val="left"/>
            </w:pPr>
            <w:r>
              <w:rPr>
                <w:b/>
                <w:color w:val="FFFFFF"/>
                <w:sz w:val="16"/>
              </w:rPr>
              <w:t>Metric</w:t>
            </w:r>
          </w:p>
        </w:tc>
        <w:tc>
          <w:tcPr>
            <w:tcW w:type="dxa" w:w="1325"/>
            <w:shd w:val="clear" w:fill="1B5E5E"/>
          </w:tcPr>
          <w:p>
            <w:pPr>
              <w:spacing w:before="0" w:after="0"/>
              <w:jc w:val="center"/>
            </w:pPr>
            <w:r>
              <w:rPr>
                <w:b/>
                <w:color w:val="FFFFFF"/>
                <w:sz w:val="16"/>
              </w:rPr>
              <w:t>FY23</w:t>
            </w:r>
          </w:p>
        </w:tc>
        <w:tc>
          <w:tcPr>
            <w:tcW w:type="dxa" w:w="1325"/>
            <w:shd w:val="clear" w:fill="1B5E5E"/>
          </w:tcPr>
          <w:p>
            <w:pPr>
              <w:spacing w:before="0" w:after="0"/>
              <w:jc w:val="center"/>
            </w:pPr>
            <w:r>
              <w:rPr>
                <w:b/>
                <w:color w:val="FFFFFF"/>
                <w:sz w:val="16"/>
              </w:rPr>
              <w:t>FY24</w:t>
            </w:r>
          </w:p>
        </w:tc>
        <w:tc>
          <w:tcPr>
            <w:tcW w:type="dxa" w:w="1325"/>
            <w:shd w:val="clear" w:fill="1B5E5E"/>
          </w:tcPr>
          <w:p>
            <w:pPr>
              <w:spacing w:before="0" w:after="0"/>
              <w:jc w:val="center"/>
            </w:pPr>
            <w:r>
              <w:rPr>
                <w:b/>
                <w:color w:val="FFFFFF"/>
                <w:sz w:val="16"/>
              </w:rPr>
              <w:t>FY25</w:t>
            </w:r>
          </w:p>
        </w:tc>
        <w:tc>
          <w:tcPr>
            <w:tcW w:type="dxa" w:w="1325"/>
            <w:shd w:val="clear" w:fill="1B5E5E"/>
          </w:tcPr>
          <w:p>
            <w:pPr>
              <w:spacing w:before="0" w:after="0"/>
              <w:jc w:val="center"/>
            </w:pPr>
            <w:r>
              <w:rPr>
                <w:b/>
                <w:color w:val="FFFFFF"/>
                <w:sz w:val="16"/>
              </w:rPr>
              <w:t>FY26E</w:t>
            </w:r>
          </w:p>
        </w:tc>
        <w:tc>
          <w:tcPr>
            <w:tcW w:type="dxa" w:w="1325"/>
            <w:shd w:val="clear" w:fill="1B5E5E"/>
          </w:tcPr>
          <w:p>
            <w:pPr>
              <w:spacing w:before="0" w:after="0"/>
              <w:jc w:val="center"/>
            </w:pPr>
            <w:r>
              <w:rPr>
                <w:b/>
                <w:color w:val="FFFFFF"/>
                <w:sz w:val="16"/>
              </w:rPr>
              <w:t>FY27E</w:t>
            </w:r>
          </w:p>
        </w:tc>
      </w:tr>
      <w:tr>
        <w:tc>
          <w:tcPr>
            <w:tcW w:type="dxa" w:w="2880"/>
          </w:tcPr>
          <w:p>
            <w:pPr>
              <w:spacing w:before="0" w:after="0"/>
              <w:jc w:val="left"/>
            </w:pPr>
            <w:r>
              <w:rPr>
                <w:b/>
                <w:sz w:val="16"/>
              </w:rPr>
              <w:t>EPS (EGP)</w:t>
            </w:r>
          </w:p>
        </w:tc>
        <w:tc>
          <w:tcPr>
            <w:tcW w:type="dxa" w:w="1325"/>
          </w:tcPr>
          <w:p>
            <w:pPr>
              <w:spacing w:before="0" w:after="0"/>
              <w:jc w:val="right"/>
            </w:pPr>
            <w:r>
              <w:rPr>
                <w:sz w:val="16"/>
              </w:rPr>
              <w:t>0.21</w:t>
            </w:r>
          </w:p>
        </w:tc>
        <w:tc>
          <w:tcPr>
            <w:tcW w:type="dxa" w:w="1325"/>
          </w:tcPr>
          <w:p>
            <w:pPr>
              <w:spacing w:before="0" w:after="0"/>
              <w:jc w:val="right"/>
            </w:pPr>
            <w:r>
              <w:rPr>
                <w:sz w:val="16"/>
              </w:rPr>
              <w:t>0.61</w:t>
            </w:r>
          </w:p>
        </w:tc>
        <w:tc>
          <w:tcPr>
            <w:tcW w:type="dxa" w:w="1325"/>
          </w:tcPr>
          <w:p>
            <w:pPr>
              <w:spacing w:before="0" w:after="0"/>
              <w:jc w:val="right"/>
            </w:pPr>
            <w:r>
              <w:rPr>
                <w:sz w:val="16"/>
              </w:rPr>
              <w:t>0.94</w:t>
            </w:r>
          </w:p>
        </w:tc>
        <w:tc>
          <w:tcPr>
            <w:tcW w:type="dxa" w:w="1325"/>
          </w:tcPr>
          <w:p>
            <w:pPr>
              <w:spacing w:before="0" w:after="0"/>
              <w:jc w:val="right"/>
            </w:pPr>
            <w:r>
              <w:rPr>
                <w:sz w:val="16"/>
              </w:rPr>
              <w:t>1.17</w:t>
            </w:r>
          </w:p>
        </w:tc>
        <w:tc>
          <w:tcPr>
            <w:tcW w:type="dxa" w:w="1325"/>
          </w:tcPr>
          <w:p>
            <w:pPr>
              <w:spacing w:before="0" w:after="0"/>
              <w:jc w:val="right"/>
            </w:pPr>
            <w:r>
              <w:rPr>
                <w:sz w:val="16"/>
              </w:rPr>
              <w:t>1.43</w:t>
            </w:r>
          </w:p>
        </w:tc>
      </w:tr>
      <w:tr>
        <w:tc>
          <w:tcPr>
            <w:tcW w:type="dxa" w:w="2880"/>
          </w:tcPr>
          <w:p>
            <w:pPr>
              <w:spacing w:before="0" w:after="0"/>
              <w:jc w:val="left"/>
            </w:pPr>
            <w:r>
              <w:rPr>
                <w:b/>
                <w:sz w:val="16"/>
              </w:rPr>
              <w:t>EBITDA margin</w:t>
            </w:r>
          </w:p>
        </w:tc>
        <w:tc>
          <w:tcPr>
            <w:tcW w:type="dxa" w:w="1325"/>
          </w:tcPr>
          <w:p>
            <w:pPr>
              <w:spacing w:before="0" w:after="0"/>
              <w:jc w:val="right"/>
            </w:pPr>
            <w:r>
              <w:rPr>
                <w:sz w:val="16"/>
              </w:rPr>
              <w:t>4.6%</w:t>
            </w:r>
          </w:p>
        </w:tc>
        <w:tc>
          <w:tcPr>
            <w:tcW w:type="dxa" w:w="1325"/>
          </w:tcPr>
          <w:p>
            <w:pPr>
              <w:spacing w:before="0" w:after="0"/>
              <w:jc w:val="right"/>
            </w:pPr>
            <w:r>
              <w:rPr>
                <w:sz w:val="16"/>
              </w:rPr>
              <w:t>4.6%</w:t>
            </w:r>
          </w:p>
        </w:tc>
        <w:tc>
          <w:tcPr>
            <w:tcW w:type="dxa" w:w="1325"/>
          </w:tcPr>
          <w:p>
            <w:pPr>
              <w:spacing w:before="0" w:after="0"/>
              <w:jc w:val="right"/>
            </w:pPr>
            <w:r>
              <w:rPr>
                <w:sz w:val="16"/>
              </w:rPr>
              <w:t>5.1%</w:t>
            </w:r>
          </w:p>
        </w:tc>
        <w:tc>
          <w:tcPr>
            <w:tcW w:type="dxa" w:w="1325"/>
          </w:tcPr>
          <w:p>
            <w:pPr>
              <w:spacing w:before="0" w:after="0"/>
              <w:jc w:val="right"/>
            </w:pPr>
            <w:r>
              <w:rPr>
                <w:sz w:val="16"/>
              </w:rPr>
              <w:t>5.1%</w:t>
            </w:r>
          </w:p>
        </w:tc>
        <w:tc>
          <w:tcPr>
            <w:tcW w:type="dxa" w:w="1325"/>
          </w:tcPr>
          <w:p>
            <w:pPr>
              <w:spacing w:before="0" w:after="0"/>
              <w:jc w:val="right"/>
            </w:pPr>
            <w:r>
              <w:rPr>
                <w:sz w:val="16"/>
              </w:rPr>
              <w:t>5.2%</w:t>
            </w:r>
          </w:p>
        </w:tc>
      </w:tr>
      <w:tr>
        <w:tc>
          <w:tcPr>
            <w:tcW w:type="dxa" w:w="2880"/>
          </w:tcPr>
          <w:p>
            <w:pPr>
              <w:spacing w:before="0" w:after="0"/>
              <w:jc w:val="left"/>
            </w:pPr>
            <w:r>
              <w:rPr>
                <w:b/>
                <w:sz w:val="16"/>
              </w:rPr>
              <w:t>Net margin</w:t>
            </w:r>
          </w:p>
        </w:tc>
        <w:tc>
          <w:tcPr>
            <w:tcW w:type="dxa" w:w="1325"/>
          </w:tcPr>
          <w:p>
            <w:pPr>
              <w:spacing w:before="0" w:after="0"/>
              <w:jc w:val="right"/>
            </w:pPr>
            <w:r>
              <w:rPr>
                <w:sz w:val="16"/>
              </w:rPr>
              <w:t>0.6%</w:t>
            </w:r>
          </w:p>
        </w:tc>
        <w:tc>
          <w:tcPr>
            <w:tcW w:type="dxa" w:w="1325"/>
          </w:tcPr>
          <w:p>
            <w:pPr>
              <w:spacing w:before="0" w:after="0"/>
              <w:jc w:val="right"/>
            </w:pPr>
            <w:r>
              <w:rPr>
                <w:sz w:val="16"/>
              </w:rPr>
              <w:t>1.1%</w:t>
            </w:r>
          </w:p>
        </w:tc>
        <w:tc>
          <w:tcPr>
            <w:tcW w:type="dxa" w:w="1325"/>
          </w:tcPr>
          <w:p>
            <w:pPr>
              <w:spacing w:before="0" w:after="0"/>
              <w:jc w:val="right"/>
            </w:pPr>
            <w:r>
              <w:rPr>
                <w:sz w:val="16"/>
              </w:rPr>
              <w:t>1.2%</w:t>
            </w:r>
          </w:p>
        </w:tc>
        <w:tc>
          <w:tcPr>
            <w:tcW w:type="dxa" w:w="1325"/>
          </w:tcPr>
          <w:p>
            <w:pPr>
              <w:spacing w:before="0" w:after="0"/>
              <w:jc w:val="right"/>
            </w:pPr>
            <w:r>
              <w:rPr>
                <w:sz w:val="16"/>
              </w:rPr>
              <w:t>1.3%</w:t>
            </w:r>
          </w:p>
        </w:tc>
        <w:tc>
          <w:tcPr>
            <w:tcW w:type="dxa" w:w="1325"/>
          </w:tcPr>
          <w:p>
            <w:pPr>
              <w:spacing w:before="0" w:after="0"/>
              <w:jc w:val="right"/>
            </w:pPr>
            <w:r>
              <w:rPr>
                <w:sz w:val="16"/>
              </w:rPr>
              <w:t>1.4%</w:t>
            </w:r>
          </w:p>
        </w:tc>
      </w:tr>
      <w:tr>
        <w:tc>
          <w:tcPr>
            <w:tcW w:type="dxa" w:w="2880"/>
          </w:tcPr>
          <w:p>
            <w:pPr>
              <w:spacing w:before="0" w:after="0"/>
              <w:jc w:val="left"/>
            </w:pPr>
            <w:r>
              <w:rPr>
                <w:b/>
                <w:sz w:val="16"/>
              </w:rPr>
              <w:t>Net debt / EBITDA</w:t>
            </w:r>
          </w:p>
        </w:tc>
        <w:tc>
          <w:tcPr>
            <w:tcW w:type="dxa" w:w="1325"/>
          </w:tcPr>
          <w:p>
            <w:pPr>
              <w:spacing w:before="0" w:after="0"/>
              <w:jc w:val="right"/>
            </w:pPr>
            <w:r>
              <w:rPr>
                <w:sz w:val="16"/>
              </w:rPr>
              <w:t>1.3x</w:t>
            </w:r>
          </w:p>
        </w:tc>
        <w:tc>
          <w:tcPr>
            <w:tcW w:type="dxa" w:w="1325"/>
          </w:tcPr>
          <w:p>
            <w:pPr>
              <w:spacing w:before="0" w:after="0"/>
              <w:jc w:val="right"/>
            </w:pPr>
            <w:r>
              <w:rPr>
                <w:sz w:val="16"/>
              </w:rPr>
              <w:t>1.2x</w:t>
            </w:r>
          </w:p>
        </w:tc>
        <w:tc>
          <w:tcPr>
            <w:tcW w:type="dxa" w:w="1325"/>
          </w:tcPr>
          <w:p>
            <w:pPr>
              <w:spacing w:before="0" w:after="0"/>
              <w:jc w:val="right"/>
            </w:pPr>
            <w:r>
              <w:rPr>
                <w:sz w:val="16"/>
              </w:rPr>
              <w:t>1.2x</w:t>
            </w:r>
          </w:p>
        </w:tc>
        <w:tc>
          <w:tcPr>
            <w:tcW w:type="dxa" w:w="1325"/>
          </w:tcPr>
          <w:p>
            <w:pPr>
              <w:spacing w:before="0" w:after="0"/>
              <w:jc w:val="right"/>
            </w:pPr>
            <w:r>
              <w:rPr>
                <w:sz w:val="16"/>
              </w:rPr>
              <w:t>1.1x</w:t>
            </w:r>
          </w:p>
        </w:tc>
        <w:tc>
          <w:tcPr>
            <w:tcW w:type="dxa" w:w="1325"/>
          </w:tcPr>
          <w:p>
            <w:pPr>
              <w:spacing w:before="0" w:after="0"/>
              <w:jc w:val="right"/>
            </w:pPr>
            <w:r>
              <w:rPr>
                <w:sz w:val="16"/>
              </w:rPr>
              <w:t>1.0x</w:t>
            </w:r>
          </w:p>
        </w:tc>
      </w:tr>
      <w:tr>
        <w:tc>
          <w:tcPr>
            <w:tcW w:type="dxa" w:w="2880"/>
          </w:tcPr>
          <w:p>
            <w:pPr>
              <w:spacing w:before="0" w:after="0"/>
              <w:jc w:val="left"/>
            </w:pPr>
            <w:r>
              <w:rPr>
                <w:b/>
                <w:sz w:val="16"/>
              </w:rPr>
              <w:t>P/E at spot (x)</w:t>
            </w:r>
          </w:p>
        </w:tc>
        <w:tc>
          <w:tcPr>
            <w:tcW w:type="dxa" w:w="1325"/>
          </w:tcPr>
          <w:p>
            <w:pPr>
              <w:spacing w:before="0" w:after="0"/>
              <w:jc w:val="right"/>
            </w:pPr>
            <w:r>
              <w:rPr>
                <w:sz w:val="16"/>
              </w:rPr>
              <w:t>55.0x</w:t>
            </w:r>
          </w:p>
        </w:tc>
        <w:tc>
          <w:tcPr>
            <w:tcW w:type="dxa" w:w="1325"/>
          </w:tcPr>
          <w:p>
            <w:pPr>
              <w:spacing w:before="0" w:after="0"/>
              <w:jc w:val="right"/>
            </w:pPr>
            <w:r>
              <w:rPr>
                <w:sz w:val="16"/>
              </w:rPr>
              <w:t>19.1x</w:t>
            </w:r>
          </w:p>
        </w:tc>
        <w:tc>
          <w:tcPr>
            <w:tcW w:type="dxa" w:w="1325"/>
          </w:tcPr>
          <w:p>
            <w:pPr>
              <w:spacing w:before="0" w:after="0"/>
              <w:jc w:val="right"/>
            </w:pPr>
            <w:r>
              <w:rPr>
                <w:sz w:val="16"/>
              </w:rPr>
              <w:t>12.4x</w:t>
            </w:r>
          </w:p>
        </w:tc>
        <w:tc>
          <w:tcPr>
            <w:tcW w:type="dxa" w:w="1325"/>
          </w:tcPr>
          <w:p>
            <w:pPr>
              <w:spacing w:before="0" w:after="0"/>
              <w:jc w:val="right"/>
            </w:pPr>
            <w:r>
              <w:rPr>
                <w:sz w:val="16"/>
              </w:rPr>
              <w:t>10.0x</w:t>
            </w:r>
          </w:p>
        </w:tc>
        <w:tc>
          <w:tcPr>
            <w:tcW w:type="dxa" w:w="1325"/>
          </w:tcPr>
          <w:p>
            <w:pPr>
              <w:spacing w:before="0" w:after="0"/>
              <w:jc w:val="right"/>
            </w:pPr>
            <w:r>
              <w:rPr>
                <w:sz w:val="16"/>
              </w:rPr>
              <w:t>8.1x</w:t>
            </w:r>
          </w:p>
        </w:tc>
      </w:tr>
      <w:tr>
        <w:tc>
          <w:tcPr>
            <w:tcW w:type="dxa" w:w="2880"/>
          </w:tcPr>
          <w:p>
            <w:pPr>
              <w:spacing w:before="0" w:after="0"/>
              <w:jc w:val="left"/>
            </w:pPr>
            <w:r>
              <w:rPr>
                <w:b/>
                <w:sz w:val="16"/>
              </w:rPr>
              <w:t>EV/EBITDA at spot (x)</w:t>
            </w:r>
          </w:p>
        </w:tc>
        <w:tc>
          <w:tcPr>
            <w:tcW w:type="dxa" w:w="1325"/>
          </w:tcPr>
          <w:p>
            <w:pPr>
              <w:spacing w:before="0" w:after="0"/>
              <w:jc w:val="right"/>
            </w:pPr>
            <w:r>
              <w:rPr>
                <w:sz w:val="16"/>
              </w:rPr>
              <w:t>10.4x</w:t>
            </w:r>
          </w:p>
        </w:tc>
        <w:tc>
          <w:tcPr>
            <w:tcW w:type="dxa" w:w="1325"/>
          </w:tcPr>
          <w:p>
            <w:pPr>
              <w:spacing w:before="0" w:after="0"/>
              <w:jc w:val="right"/>
            </w:pPr>
            <w:r>
              <w:rPr>
                <w:sz w:val="16"/>
              </w:rPr>
              <w:t>6.4x</w:t>
            </w:r>
          </w:p>
        </w:tc>
        <w:tc>
          <w:tcPr>
            <w:tcW w:type="dxa" w:w="1325"/>
          </w:tcPr>
          <w:p>
            <w:pPr>
              <w:spacing w:before="0" w:after="0"/>
              <w:jc w:val="right"/>
            </w:pPr>
            <w:r>
              <w:rPr>
                <w:sz w:val="16"/>
              </w:rPr>
              <w:t>4.2x</w:t>
            </w:r>
          </w:p>
        </w:tc>
        <w:tc>
          <w:tcPr>
            <w:tcW w:type="dxa" w:w="1325"/>
          </w:tcPr>
          <w:p>
            <w:pPr>
              <w:spacing w:before="0" w:after="0"/>
              <w:jc w:val="right"/>
            </w:pPr>
            <w:r>
              <w:rPr>
                <w:sz w:val="16"/>
              </w:rPr>
              <w:t>3.5x</w:t>
            </w:r>
          </w:p>
        </w:tc>
        <w:tc>
          <w:tcPr>
            <w:tcW w:type="dxa" w:w="1325"/>
          </w:tcPr>
          <w:p>
            <w:pPr>
              <w:spacing w:before="0" w:after="0"/>
              <w:jc w:val="right"/>
            </w:pPr>
            <w:r>
              <w:rPr>
                <w:sz w:val="16"/>
              </w:rPr>
              <w:t>2.9x</w:t>
            </w:r>
          </w:p>
        </w:tc>
      </w:tr>
    </w:tbl>
    <w:p>
      <w:pPr>
        <w:spacing w:after="120" w:before="20"/>
      </w:pPr>
      <w:r>
        <w:rPr>
          <w:b w:val="0"/>
          <w:i/>
          <w:color w:val="777777"/>
          <w:sz w:val="16"/>
        </w:rPr>
        <w:t>Standardized dashboard (identical fields across every Testahil study).</w:t>
      </w:r>
    </w:p>
    <w:p>
      <w:r>
        <w:br w:type="page"/>
      </w:r>
    </w:p>
    <w:p>
      <w:pPr>
        <w:spacing w:after="80" w:before="200"/>
      </w:pPr>
      <w:r>
        <w:rPr>
          <w:b/>
          <w:i w:val="0"/>
          <w:color w:val="1B5E5E"/>
          <w:sz w:val="28"/>
        </w:rPr>
        <w:t>Appendix B  Peer set, sector structure, and risks</w:t>
      </w:r>
    </w:p>
    <w:p>
      <w:pPr>
        <w:spacing w:after="80" w:before="0"/>
      </w:pPr>
      <w:r>
        <w:rPr>
          <w:b w:val="0"/>
          <w:i w:val="0"/>
          <w:color w:val="222222"/>
          <w:sz w:val="20"/>
        </w:rPr>
        <w:t>Egyptian pharmaceutical distribution is a scale-and-working-capital game. The top two players — Ibnsina and UCP/Pharma Overseas — hold the bulk of the organised market; demand is defensive (population +2%/yr, inelastic drug consumption) with an inflation re-pricing overlay. Very high local interest rates compress the multiples the market will pay relative to global distributors, and receivables quality separates the winners from the strugglers.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shd w:val="clear" w:fill="1B5E5E"/>
          </w:tcPr>
          <w:p>
            <w:pPr>
              <w:spacing w:before="0" w:after="0"/>
              <w:jc w:val="left"/>
            </w:pPr>
            <w:r>
              <w:rPr>
                <w:b/>
                <w:color w:val="FFFFFF"/>
                <w:sz w:val="17"/>
              </w:rPr>
              <w:t>Comparable</w:t>
            </w:r>
          </w:p>
        </w:tc>
        <w:tc>
          <w:tcPr>
            <w:tcW w:type="dxa" w:w="2304"/>
            <w:shd w:val="clear" w:fill="1B5E5E"/>
          </w:tcPr>
          <w:p>
            <w:pPr>
              <w:spacing w:before="0" w:after="0"/>
              <w:jc w:val="center"/>
            </w:pPr>
            <w:r>
              <w:rPr>
                <w:b/>
                <w:color w:val="FFFFFF"/>
                <w:sz w:val="17"/>
              </w:rPr>
              <w:t>Market</w:t>
            </w:r>
          </w:p>
        </w:tc>
        <w:tc>
          <w:tcPr>
            <w:tcW w:type="dxa" w:w="2736"/>
            <w:shd w:val="clear" w:fill="1B5E5E"/>
          </w:tcPr>
          <w:p>
            <w:pPr>
              <w:spacing w:before="0" w:after="0"/>
              <w:jc w:val="center"/>
            </w:pPr>
            <w:r>
              <w:rPr>
                <w:b/>
                <w:color w:val="FFFFFF"/>
                <w:sz w:val="17"/>
              </w:rPr>
              <w:t>Type</w:t>
            </w:r>
          </w:p>
        </w:tc>
        <w:tc>
          <w:tcPr>
            <w:tcW w:type="dxa" w:w="2304"/>
            <w:shd w:val="clear" w:fill="1B5E5E"/>
          </w:tcPr>
          <w:p>
            <w:pPr>
              <w:spacing w:before="0" w:after="0"/>
              <w:jc w:val="center"/>
            </w:pPr>
            <w:r>
              <w:rPr>
                <w:b/>
                <w:color w:val="FFFFFF"/>
                <w:sz w:val="17"/>
              </w:rPr>
              <w:t>Typical EV/EBITDA</w:t>
            </w:r>
          </w:p>
        </w:tc>
      </w:tr>
      <w:tr>
        <w:tc>
          <w:tcPr>
            <w:tcW w:type="dxa" w:w="3456"/>
          </w:tcPr>
          <w:p>
            <w:pPr>
              <w:spacing w:before="0" w:after="0"/>
              <w:jc w:val="left"/>
            </w:pPr>
            <w:r>
              <w:rPr>
                <w:b/>
                <w:sz w:val="17"/>
              </w:rPr>
              <w:t>Ibnsina Pharma (ISPH)</w:t>
            </w:r>
          </w:p>
        </w:tc>
        <w:tc>
          <w:tcPr>
            <w:tcW w:type="dxa" w:w="2304"/>
          </w:tcPr>
          <w:p>
            <w:pPr>
              <w:spacing w:before="0" w:after="0"/>
              <w:jc w:val="right"/>
            </w:pPr>
            <w:r>
              <w:rPr>
                <w:sz w:val="17"/>
              </w:rPr>
              <w:t>Egypt (EGX)</w:t>
            </w:r>
          </w:p>
        </w:tc>
        <w:tc>
          <w:tcPr>
            <w:tcW w:type="dxa" w:w="2736"/>
          </w:tcPr>
          <w:p>
            <w:pPr>
              <w:spacing w:before="0" w:after="0"/>
              <w:jc w:val="right"/>
            </w:pPr>
            <w:r>
              <w:rPr>
                <w:sz w:val="17"/>
              </w:rPr>
              <w:t>Pharma distribution #1–2</w:t>
            </w:r>
          </w:p>
        </w:tc>
        <w:tc>
          <w:tcPr>
            <w:tcW w:type="dxa" w:w="2304"/>
          </w:tcPr>
          <w:p>
            <w:pPr>
              <w:spacing w:before="0" w:after="0"/>
              <w:jc w:val="right"/>
            </w:pPr>
            <w:r>
              <w:rPr>
                <w:sz w:val="17"/>
              </w:rPr>
              <w:t>~4.2x (spot)</w:t>
            </w:r>
          </w:p>
        </w:tc>
      </w:tr>
      <w:tr>
        <w:tc>
          <w:tcPr>
            <w:tcW w:type="dxa" w:w="3456"/>
          </w:tcPr>
          <w:p>
            <w:pPr>
              <w:spacing w:before="0" w:after="0"/>
              <w:jc w:val="left"/>
            </w:pPr>
            <w:r>
              <w:rPr>
                <w:b/>
                <w:sz w:val="17"/>
              </w:rPr>
              <w:t>UCP / Pharma Overseas</w:t>
            </w:r>
          </w:p>
        </w:tc>
        <w:tc>
          <w:tcPr>
            <w:tcW w:type="dxa" w:w="2304"/>
          </w:tcPr>
          <w:p>
            <w:pPr>
              <w:spacing w:before="0" w:after="0"/>
              <w:jc w:val="right"/>
            </w:pPr>
            <w:r>
              <w:rPr>
                <w:sz w:val="17"/>
              </w:rPr>
              <w:t>Egypt (private)</w:t>
            </w:r>
          </w:p>
        </w:tc>
        <w:tc>
          <w:tcPr>
            <w:tcW w:type="dxa" w:w="2736"/>
          </w:tcPr>
          <w:p>
            <w:pPr>
              <w:spacing w:before="0" w:after="0"/>
              <w:jc w:val="right"/>
            </w:pPr>
            <w:r>
              <w:rPr>
                <w:sz w:val="17"/>
              </w:rPr>
              <w:t>Pharma distribution</w:t>
            </w:r>
          </w:p>
        </w:tc>
        <w:tc>
          <w:tcPr>
            <w:tcW w:type="dxa" w:w="2304"/>
          </w:tcPr>
          <w:p>
            <w:pPr>
              <w:spacing w:before="0" w:after="0"/>
              <w:jc w:val="right"/>
            </w:pPr>
            <w:r>
              <w:rPr>
                <w:sz w:val="17"/>
              </w:rPr>
              <w:t>n/a (unlisted)</w:t>
            </w:r>
          </w:p>
        </w:tc>
      </w:tr>
      <w:tr>
        <w:tc>
          <w:tcPr>
            <w:tcW w:type="dxa" w:w="3456"/>
          </w:tcPr>
          <w:p>
            <w:pPr>
              <w:spacing w:before="0" w:after="0"/>
              <w:jc w:val="left"/>
            </w:pPr>
            <w:r>
              <w:rPr>
                <w:b/>
                <w:sz w:val="17"/>
              </w:rPr>
              <w:t>MENA healthcare distributors</w:t>
            </w:r>
          </w:p>
        </w:tc>
        <w:tc>
          <w:tcPr>
            <w:tcW w:type="dxa" w:w="2304"/>
          </w:tcPr>
          <w:p>
            <w:pPr>
              <w:spacing w:before="0" w:after="0"/>
              <w:jc w:val="right"/>
            </w:pPr>
            <w:r>
              <w:rPr>
                <w:sz w:val="17"/>
              </w:rPr>
              <w:t>MENA</w:t>
            </w:r>
          </w:p>
        </w:tc>
        <w:tc>
          <w:tcPr>
            <w:tcW w:type="dxa" w:w="2736"/>
          </w:tcPr>
          <w:p>
            <w:pPr>
              <w:spacing w:before="0" w:after="0"/>
              <w:jc w:val="right"/>
            </w:pPr>
            <w:r>
              <w:rPr>
                <w:sz w:val="17"/>
              </w:rPr>
              <w:t>Distribution / logistics</w:t>
            </w:r>
          </w:p>
        </w:tc>
        <w:tc>
          <w:tcPr>
            <w:tcW w:type="dxa" w:w="2304"/>
          </w:tcPr>
          <w:p>
            <w:pPr>
              <w:spacing w:before="0" w:after="0"/>
              <w:jc w:val="right"/>
            </w:pPr>
            <w:r>
              <w:rPr>
                <w:sz w:val="17"/>
              </w:rPr>
              <w:t>5–8x</w:t>
            </w:r>
          </w:p>
        </w:tc>
      </w:tr>
      <w:tr>
        <w:tc>
          <w:tcPr>
            <w:tcW w:type="dxa" w:w="3456"/>
          </w:tcPr>
          <w:p>
            <w:pPr>
              <w:spacing w:before="0" w:after="0"/>
              <w:jc w:val="left"/>
            </w:pPr>
            <w:r>
              <w:rPr>
                <w:b/>
                <w:sz w:val="17"/>
              </w:rPr>
              <w:t>Global EM pharma distributors</w:t>
            </w:r>
          </w:p>
        </w:tc>
        <w:tc>
          <w:tcPr>
            <w:tcW w:type="dxa" w:w="2304"/>
          </w:tcPr>
          <w:p>
            <w:pPr>
              <w:spacing w:before="0" w:after="0"/>
              <w:jc w:val="right"/>
            </w:pPr>
            <w:r>
              <w:rPr>
                <w:sz w:val="17"/>
              </w:rPr>
              <w:t>Global EM</w:t>
            </w:r>
          </w:p>
        </w:tc>
        <w:tc>
          <w:tcPr>
            <w:tcW w:type="dxa" w:w="2736"/>
          </w:tcPr>
          <w:p>
            <w:pPr>
              <w:spacing w:before="0" w:after="0"/>
              <w:jc w:val="right"/>
            </w:pPr>
            <w:r>
              <w:rPr>
                <w:sz w:val="17"/>
              </w:rPr>
              <w:t>Distribution</w:t>
            </w:r>
          </w:p>
        </w:tc>
        <w:tc>
          <w:tcPr>
            <w:tcW w:type="dxa" w:w="2304"/>
          </w:tcPr>
          <w:p>
            <w:pPr>
              <w:spacing w:before="0" w:after="0"/>
              <w:jc w:val="right"/>
            </w:pPr>
            <w:r>
              <w:rPr>
                <w:sz w:val="17"/>
              </w:rPr>
              <w:t>6–10x</w:t>
            </w:r>
          </w:p>
        </w:tc>
      </w:tr>
    </w:tbl>
    <w:p>
      <w:pPr>
        <w:spacing w:after="120" w:before="20"/>
      </w:pPr>
      <w:r>
        <w:rPr>
          <w:b w:val="0"/>
          <w:i/>
          <w:color w:val="777777"/>
          <w:sz w:val="16"/>
        </w:rPr>
        <w:t>Peer set. ISPH's discount to global distributors is a fair Egyptian-risk gap, not a mispricing on its own.</w:t>
      </w:r>
    </w:p>
    <w:p>
      <w:pPr>
        <w:spacing w:after="80" w:before="0"/>
      </w:pPr>
      <w:r>
        <w:rPr>
          <w:b w:val="0"/>
          <w:i w:val="0"/>
          <w:color w:val="222222"/>
          <w:sz w:val="20"/>
        </w:rPr>
        <w:t>Sector risks: interest-rate persistence (finance-cost drag), FX/devaluation (imported-drug cost, re-pricing lag), drug-pricing regulation (pace of pass-through), and channel credit risk (pharmacy solvency). Structural supports: defensive demand, consolidation toward scale leaders, and re-pricing as an inflation hedge.</w:t>
      </w:r>
    </w:p>
    <w:p>
      <w:r>
        <w:br w:type="page"/>
      </w:r>
    </w:p>
    <w:p>
      <w:pPr>
        <w:spacing w:after="80" w:before="200"/>
      </w:pPr>
      <w:r>
        <w:rPr>
          <w:b/>
          <w:i w:val="0"/>
          <w:color w:val="1B5E5E"/>
          <w:sz w:val="28"/>
        </w:rPr>
        <w:t>Appendix C  The expert panel</w:t>
      </w:r>
    </w:p>
    <w:p>
      <w:pPr>
        <w:spacing w:after="80" w:before="0"/>
      </w:pPr>
      <w:r>
        <w:rPr>
          <w:b w:val="0"/>
          <w:i w:val="0"/>
          <w:color w:val="222222"/>
          <w:sz w:val="20"/>
        </w:rPr>
        <w:t>Three independent valuation experts, each running a genuinely different method on the same disclosures, cast for a working-capital-heavy distributor: an earnings-power specialist (normalized multiple), a cash-returns specialist (ROIC/FCF — the distributor crux), and an accountant (balance-sheet and receivables quality). They are labelled Expert 1/2/3; each shows workings, a sensitivity on their swing input, how they cross-examine the others, a verdict and a falsification condition. Macro-policy runs through §1.8 and §5 rather than as a fourth persona.</w:t>
      </w:r>
    </w:p>
    <w:p>
      <w:pPr>
        <w:spacing w:after="60" w:before="140"/>
      </w:pPr>
      <w:r>
        <w:rPr>
          <w:b/>
          <w:i w:val="0"/>
          <w:color w:val="2A8F8F"/>
          <w:sz w:val="23"/>
        </w:rPr>
        <w:t>C.1  Expert 1 — Earnings-power (normalized multiple)</w:t>
      </w:r>
    </w:p>
    <w:p>
      <w:pPr>
        <w:spacing w:after="60" w:before="0"/>
      </w:pPr>
      <w:r>
        <w:rPr>
          <w:b w:val="0"/>
          <w:i w:val="0"/>
          <w:color w:val="222222"/>
          <w:sz w:val="20"/>
        </w:rPr>
        <w:t>Worldview and tradition. Value is a normalized mid-cycle earnings stream times a justified multiple. Current EPS is trough-like because finance costs are rate-compressed; the right anchor is what ISPH earns once the net margin normalises. Works best for stable-demand franchises with a cyclical cost line; fails when the 'normal' never returns.</w:t>
      </w:r>
    </w:p>
    <w:tbl>
      <w:tblPr>
        <w:tblStyle w:val="TableGrid"/>
        <w:tblW w:type="auto" w:w="0"/>
        <w:jc w:val="center"/>
        <w:tblLook w:firstColumn="1" w:firstRow="1" w:lastColumn="0" w:lastRow="0" w:noHBand="0" w:noVBand="1" w:val="04A0"/>
      </w:tblPr>
      <w:tblGrid>
        <w:gridCol w:w="4968"/>
        <w:gridCol w:w="4968"/>
      </w:tblGrid>
      <w:tr>
        <w:tc>
          <w:tcPr>
            <w:tcW w:type="dxa" w:w="3744"/>
            <w:shd w:val="clear" w:fill="1B5E5E"/>
          </w:tcPr>
          <w:p>
            <w:pPr>
              <w:spacing w:before="0" w:after="0"/>
              <w:jc w:val="left"/>
            </w:pPr>
            <w:r>
              <w:rPr>
                <w:b/>
                <w:color w:val="FFFFFF"/>
                <w:sz w:val="17"/>
              </w:rPr>
              <w:t>Step</w:t>
            </w:r>
          </w:p>
        </w:tc>
        <w:tc>
          <w:tcPr>
            <w:tcW w:type="dxa" w:w="5760"/>
            <w:shd w:val="clear" w:fill="1B5E5E"/>
          </w:tcPr>
          <w:p>
            <w:pPr>
              <w:spacing w:before="0" w:after="0"/>
              <w:jc w:val="center"/>
            </w:pPr>
            <w:r>
              <w:rPr>
                <w:b/>
                <w:color w:val="FFFFFF"/>
                <w:sz w:val="17"/>
              </w:rPr>
              <w:t>Value</w:t>
            </w:r>
          </w:p>
        </w:tc>
      </w:tr>
      <w:tr>
        <w:tc>
          <w:tcPr>
            <w:tcW w:type="dxa" w:w="3744"/>
          </w:tcPr>
          <w:p>
            <w:pPr>
              <w:spacing w:before="0" w:after="0"/>
              <w:jc w:val="left"/>
            </w:pPr>
            <w:r>
              <w:rPr>
                <w:b/>
                <w:sz w:val="17"/>
              </w:rPr>
              <w:t>FY27E revenue</w:t>
            </w:r>
          </w:p>
        </w:tc>
        <w:tc>
          <w:tcPr>
            <w:tcW w:type="dxa" w:w="5760"/>
          </w:tcPr>
          <w:p>
            <w:pPr>
              <w:spacing w:before="0" w:after="0"/>
              <w:jc w:val="right"/>
            </w:pPr>
            <w:r>
              <w:rPr>
                <w:sz w:val="17"/>
              </w:rPr>
              <w:t>EGP 106,623 mn</w:t>
            </w:r>
          </w:p>
        </w:tc>
      </w:tr>
      <w:tr>
        <w:tc>
          <w:tcPr>
            <w:tcW w:type="dxa" w:w="3744"/>
          </w:tcPr>
          <w:p>
            <w:pPr>
              <w:spacing w:before="0" w:after="0"/>
              <w:jc w:val="left"/>
            </w:pPr>
            <w:r>
              <w:rPr>
                <w:b/>
                <w:sz w:val="17"/>
              </w:rPr>
              <w:t>Normalized net margin</w:t>
            </w:r>
          </w:p>
        </w:tc>
        <w:tc>
          <w:tcPr>
            <w:tcW w:type="dxa" w:w="5760"/>
          </w:tcPr>
          <w:p>
            <w:pPr>
              <w:spacing w:before="0" w:after="0"/>
              <w:jc w:val="right"/>
            </w:pPr>
            <w:r>
              <w:rPr>
                <w:sz w:val="17"/>
              </w:rPr>
              <w:t>1.9%</w:t>
            </w:r>
          </w:p>
        </w:tc>
      </w:tr>
      <w:tr>
        <w:tc>
          <w:tcPr>
            <w:tcW w:type="dxa" w:w="3744"/>
          </w:tcPr>
          <w:p>
            <w:pPr>
              <w:spacing w:before="0" w:after="0"/>
              <w:jc w:val="left"/>
            </w:pPr>
            <w:r>
              <w:rPr>
                <w:b/>
                <w:sz w:val="17"/>
              </w:rPr>
              <w:t>Normalized net profit</w:t>
            </w:r>
          </w:p>
        </w:tc>
        <w:tc>
          <w:tcPr>
            <w:tcW w:type="dxa" w:w="5760"/>
          </w:tcPr>
          <w:p>
            <w:pPr>
              <w:spacing w:before="0" w:after="0"/>
              <w:jc w:val="right"/>
            </w:pPr>
            <w:r>
              <w:rPr>
                <w:sz w:val="17"/>
              </w:rPr>
              <w:t>EGP ~2,026 mn</w:t>
            </w:r>
          </w:p>
        </w:tc>
      </w:tr>
      <w:tr>
        <w:tc>
          <w:tcPr>
            <w:tcW w:type="dxa" w:w="3744"/>
          </w:tcPr>
          <w:p>
            <w:pPr>
              <w:spacing w:before="0" w:after="0"/>
              <w:jc w:val="left"/>
            </w:pPr>
            <w:r>
              <w:rPr>
                <w:b/>
                <w:sz w:val="17"/>
              </w:rPr>
              <w:t>Justified P/E</w:t>
            </w:r>
          </w:p>
        </w:tc>
        <w:tc>
          <w:tcPr>
            <w:tcW w:type="dxa" w:w="5760"/>
          </w:tcPr>
          <w:p>
            <w:pPr>
              <w:spacing w:before="0" w:after="0"/>
              <w:jc w:val="right"/>
            </w:pPr>
            <w:r>
              <w:rPr>
                <w:sz w:val="17"/>
              </w:rPr>
              <w:t>10.0x</w:t>
            </w:r>
          </w:p>
        </w:tc>
      </w:tr>
      <w:tr>
        <w:tc>
          <w:tcPr>
            <w:tcW w:type="dxa" w:w="3744"/>
          </w:tcPr>
          <w:p>
            <w:pPr>
              <w:spacing w:before="0" w:after="0"/>
              <w:jc w:val="left"/>
            </w:pPr>
            <w:r>
              <w:rPr>
                <w:b/>
                <w:sz w:val="17"/>
              </w:rPr>
              <w:t>Fair value per share</w:t>
            </w:r>
          </w:p>
        </w:tc>
        <w:tc>
          <w:tcPr>
            <w:tcW w:type="dxa" w:w="5760"/>
          </w:tcPr>
          <w:p>
            <w:pPr>
              <w:spacing w:before="0" w:after="0"/>
              <w:jc w:val="right"/>
            </w:pPr>
            <w:r>
              <w:rPr>
                <w:sz w:val="17"/>
              </w:rPr>
              <w:t>EGP ~20.1</w:t>
            </w:r>
          </w:p>
        </w:tc>
      </w:tr>
    </w:tbl>
    <w:p>
      <w:pPr>
        <w:spacing w:after="120" w:before="20"/>
      </w:pPr>
      <w:r>
        <w:rPr>
          <w:b w:val="0"/>
          <w:i/>
          <w:color w:val="777777"/>
          <w:sz w:val="16"/>
        </w:rPr>
        <w:t>Worked example (base). Bear 1.5%×8.5x → ~13.5; bull 2.2%×12x → ~27.9.</w:t>
      </w:r>
    </w:p>
    <w:p>
      <w:pPr>
        <w:spacing w:after="40" w:before="0"/>
      </w:pPr>
      <w:r>
        <w:rPr>
          <w:b/>
          <w:i w:val="0"/>
          <w:color w:val="222222"/>
          <w:sz w:val="19"/>
        </w:rPr>
        <w:t>Sensitivity on the swing input.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val="clear" w:fill="1B5E5E"/>
          </w:tcPr>
          <w:p>
            <w:pPr>
              <w:spacing w:before="0" w:after="0"/>
              <w:jc w:val="left"/>
            </w:pPr>
            <w:r>
              <w:rPr>
                <w:b/>
                <w:color w:val="FFFFFF"/>
                <w:sz w:val="17"/>
              </w:rPr>
              <w:t>Net margin →</w:t>
            </w:r>
          </w:p>
        </w:tc>
        <w:tc>
          <w:tcPr>
            <w:tcW w:type="dxa" w:w="2112"/>
            <w:shd w:val="clear" w:fill="1B5E5E"/>
          </w:tcPr>
          <w:p>
            <w:pPr>
              <w:spacing w:before="0" w:after="0"/>
              <w:jc w:val="center"/>
            </w:pPr>
            <w:r>
              <w:rPr>
                <w:b/>
                <w:color w:val="FFFFFF"/>
                <w:sz w:val="17"/>
              </w:rPr>
              <w:t>1.4%</w:t>
            </w:r>
          </w:p>
        </w:tc>
        <w:tc>
          <w:tcPr>
            <w:tcW w:type="dxa" w:w="2112"/>
            <w:shd w:val="clear" w:fill="1B5E5E"/>
          </w:tcPr>
          <w:p>
            <w:pPr>
              <w:spacing w:before="0" w:after="0"/>
              <w:jc w:val="center"/>
            </w:pPr>
            <w:r>
              <w:rPr>
                <w:b/>
                <w:color w:val="FFFFFF"/>
                <w:sz w:val="17"/>
              </w:rPr>
              <w:t>1.9%</w:t>
            </w:r>
          </w:p>
        </w:tc>
        <w:tc>
          <w:tcPr>
            <w:tcW w:type="dxa" w:w="2112"/>
            <w:shd w:val="clear" w:fill="1B5E5E"/>
          </w:tcPr>
          <w:p>
            <w:pPr>
              <w:spacing w:before="0" w:after="0"/>
              <w:jc w:val="center"/>
            </w:pPr>
            <w:r>
              <w:rPr>
                <w:b/>
                <w:color w:val="FFFFFF"/>
                <w:sz w:val="17"/>
              </w:rPr>
              <w:t>2.4%</w:t>
            </w:r>
          </w:p>
        </w:tc>
      </w:tr>
      <w:tr>
        <w:tc>
          <w:tcPr>
            <w:tcW w:type="dxa" w:w="3168"/>
          </w:tcPr>
          <w:p>
            <w:pPr>
              <w:spacing w:before="0" w:after="0"/>
              <w:jc w:val="left"/>
            </w:pPr>
            <w:r>
              <w:rPr>
                <w:b/>
                <w:sz w:val="17"/>
              </w:rPr>
              <w:t>Value at 10x (EGP)</w:t>
            </w:r>
          </w:p>
        </w:tc>
        <w:tc>
          <w:tcPr>
            <w:tcW w:type="dxa" w:w="2112"/>
          </w:tcPr>
          <w:p>
            <w:pPr>
              <w:spacing w:before="0" w:after="0"/>
              <w:jc w:val="right"/>
            </w:pPr>
            <w:r>
              <w:rPr>
                <w:sz w:val="17"/>
              </w:rPr>
              <w:t>14.8</w:t>
            </w:r>
          </w:p>
        </w:tc>
        <w:tc>
          <w:tcPr>
            <w:tcW w:type="dxa" w:w="2112"/>
          </w:tcPr>
          <w:p>
            <w:pPr>
              <w:spacing w:before="0" w:after="0"/>
              <w:jc w:val="right"/>
            </w:pPr>
            <w:r>
              <w:rPr>
                <w:sz w:val="17"/>
              </w:rPr>
              <w:t>20.1</w:t>
            </w:r>
          </w:p>
        </w:tc>
        <w:tc>
          <w:tcPr>
            <w:tcW w:type="dxa" w:w="2112"/>
          </w:tcPr>
          <w:p>
            <w:pPr>
              <w:spacing w:before="0" w:after="0"/>
              <w:jc w:val="right"/>
            </w:pPr>
            <w:r>
              <w:rPr>
                <w:sz w:val="17"/>
              </w:rPr>
              <w:t>25.4</w:t>
            </w:r>
          </w:p>
        </w:tc>
      </w:tr>
    </w:tbl>
    <w:p>
      <w:pPr>
        <w:spacing w:after="40" w:before="0"/>
      </w:pPr>
      <w:r>
        <w:rPr>
          <w:b w:val="0"/>
          <w:i w:val="0"/>
          <w:color w:val="222222"/>
          <w:sz w:val="4"/>
        </w:rPr>
      </w:r>
    </w:p>
    <w:p>
      <w:pPr>
        <w:spacing w:after="60" w:before="0"/>
      </w:pPr>
      <w:r>
        <w:rPr>
          <w:b w:val="0"/>
          <w:i w:val="0"/>
          <w:color w:val="222222"/>
          <w:sz w:val="20"/>
        </w:rPr>
        <w:t>Cross-examination. Challenges the Accountant for anchoring on a rate-compressed trough as if it were permanent, and the Cash-returns expert for ignoring the multiple re-rating that comes with margin recovery.</w:t>
      </w:r>
    </w:p>
    <w:p>
      <w:pPr>
        <w:spacing w:after="40" w:before="0"/>
      </w:pPr>
      <w:r>
        <w:rPr>
          <w:b w:val="0"/>
          <w:i w:val="0"/>
          <w:color w:val="222222"/>
          <w:sz w:val="20"/>
        </w:rPr>
        <w:t>Verdict. ISPH is cheap: EGP ~20 base, roughly 70% above spot, if — and only if — the net margin normalises toward ~1.9%.</w:t>
      </w:r>
    </w:p>
    <w:p>
      <w:pPr>
        <w:spacing w:after="40" w:before="0"/>
      </w:pPr>
      <w:r>
        <w:rPr>
          <w:b w:val="0"/>
          <w:i/>
          <w:color w:val="222222"/>
          <w:sz w:val="20"/>
        </w:rPr>
        <w:t>Falsification condition. If the net margin has not risen above ~1.6% by FY27 despite CBE easing, the normalization thesis is falsified and fair value collapses toward the multiple lens.</w:t>
      </w:r>
    </w:p>
    <w:p>
      <w:pPr>
        <w:spacing w:after="80" w:before="0"/>
      </w:pPr>
      <w:r>
        <w:rPr>
          <w:b w:val="0"/>
          <w:i w:val="0"/>
          <w:color w:val="222222"/>
          <w:sz w:val="20"/>
        </w:rPr>
        <w:t>What the market price implies. At EGP 11.67 the market implies a normalized net margin barely above today's ~1.2% — i.e. it does not believe the margin recovers.</w:t>
      </w:r>
    </w:p>
    <w:p>
      <w:pPr>
        <w:spacing w:after="60" w:before="140"/>
      </w:pPr>
      <w:r>
        <w:rPr>
          <w:b/>
          <w:i w:val="0"/>
          <w:color w:val="2A8F8F"/>
          <w:sz w:val="23"/>
        </w:rPr>
        <w:t>C.2  Expert 2 — Cash-returns (ROIC / FCF)</w:t>
      </w:r>
    </w:p>
    <w:p>
      <w:pPr>
        <w:spacing w:after="60" w:before="0"/>
      </w:pPr>
      <w:r>
        <w:rPr>
          <w:b w:val="0"/>
          <w:i w:val="0"/>
          <w:color w:val="222222"/>
          <w:sz w:val="20"/>
        </w:rPr>
        <w:t>Worldview and tradition. Value is the present value of cash the business actually throws off, and the quality test is return on invested capital versus the cost of capital. For a distributor the magic is the near-zero cash-conversion cycle — growth funded by suppliers, not shareholders — but the discipline is that the net margin is thin, so FCFF must be verified, not assumed. Works best where cash conversion is clean; fails when working capital swings violently.</w:t>
      </w:r>
    </w:p>
    <w:tbl>
      <w:tblPr>
        <w:tblStyle w:val="TableGrid"/>
        <w:tblW w:type="auto" w:w="0"/>
        <w:jc w:val="center"/>
        <w:tblLook w:firstColumn="1" w:firstRow="1" w:lastColumn="0" w:lastRow="0" w:noHBand="0" w:noVBand="1" w:val="04A0"/>
      </w:tblPr>
      <w:tblGrid>
        <w:gridCol w:w="4968"/>
        <w:gridCol w:w="4968"/>
      </w:tblGrid>
      <w:tr>
        <w:tc>
          <w:tcPr>
            <w:tcW w:type="dxa" w:w="3744"/>
            <w:shd w:val="clear" w:fill="1B5E5E"/>
          </w:tcPr>
          <w:p>
            <w:pPr>
              <w:spacing w:before="0" w:after="0"/>
              <w:jc w:val="left"/>
            </w:pPr>
            <w:r>
              <w:rPr>
                <w:b/>
                <w:color w:val="FFFFFF"/>
                <w:sz w:val="17"/>
              </w:rPr>
              <w:t>Step</w:t>
            </w:r>
          </w:p>
        </w:tc>
        <w:tc>
          <w:tcPr>
            <w:tcW w:type="dxa" w:w="5760"/>
            <w:shd w:val="clear" w:fill="1B5E5E"/>
          </w:tcPr>
          <w:p>
            <w:pPr>
              <w:spacing w:before="0" w:after="0"/>
              <w:jc w:val="center"/>
            </w:pPr>
            <w:r>
              <w:rPr>
                <w:b/>
                <w:color w:val="FFFFFF"/>
                <w:sz w:val="17"/>
              </w:rPr>
              <w:t>Value</w:t>
            </w:r>
          </w:p>
        </w:tc>
      </w:tr>
      <w:tr>
        <w:tc>
          <w:tcPr>
            <w:tcW w:type="dxa" w:w="3744"/>
          </w:tcPr>
          <w:p>
            <w:pPr>
              <w:spacing w:before="0" w:after="0"/>
              <w:jc w:val="left"/>
            </w:pPr>
            <w:r>
              <w:rPr>
                <w:b/>
                <w:sz w:val="17"/>
              </w:rPr>
              <w:t>FY26E FCFF</w:t>
            </w:r>
          </w:p>
        </w:tc>
        <w:tc>
          <w:tcPr>
            <w:tcW w:type="dxa" w:w="5760"/>
          </w:tcPr>
          <w:p>
            <w:pPr>
              <w:spacing w:before="0" w:after="0"/>
              <w:jc w:val="right"/>
            </w:pPr>
            <w:r>
              <w:rPr>
                <w:sz w:val="17"/>
              </w:rPr>
              <w:t>EGP ~2,830 mn</w:t>
            </w:r>
          </w:p>
        </w:tc>
      </w:tr>
      <w:tr>
        <w:tc>
          <w:tcPr>
            <w:tcW w:type="dxa" w:w="3744"/>
          </w:tcPr>
          <w:p>
            <w:pPr>
              <w:spacing w:before="0" w:after="0"/>
              <w:jc w:val="left"/>
            </w:pPr>
            <w:r>
              <w:rPr>
                <w:b/>
                <w:sz w:val="17"/>
              </w:rPr>
              <w:t>Enterprise value (DCF)</w:t>
            </w:r>
          </w:p>
        </w:tc>
        <w:tc>
          <w:tcPr>
            <w:tcW w:type="dxa" w:w="5760"/>
          </w:tcPr>
          <w:p>
            <w:pPr>
              <w:spacing w:before="0" w:after="0"/>
              <w:jc w:val="right"/>
            </w:pPr>
            <w:r>
              <w:rPr>
                <w:sz w:val="17"/>
              </w:rPr>
              <w:t>EGP ~24,400 mn</w:t>
            </w:r>
          </w:p>
        </w:tc>
      </w:tr>
      <w:tr>
        <w:tc>
          <w:tcPr>
            <w:tcW w:type="dxa" w:w="3744"/>
          </w:tcPr>
          <w:p>
            <w:pPr>
              <w:spacing w:before="0" w:after="0"/>
              <w:jc w:val="left"/>
            </w:pPr>
            <w:r>
              <w:rPr>
                <w:b/>
                <w:sz w:val="17"/>
              </w:rPr>
              <w:t>Forward FCFF yield</w:t>
            </w:r>
          </w:p>
        </w:tc>
        <w:tc>
          <w:tcPr>
            <w:tcW w:type="dxa" w:w="5760"/>
          </w:tcPr>
          <w:p>
            <w:pPr>
              <w:spacing w:before="0" w:after="0"/>
              <w:jc w:val="right"/>
            </w:pPr>
            <w:r>
              <w:rPr>
                <w:sz w:val="17"/>
              </w:rPr>
              <w:t>~11–12%</w:t>
            </w:r>
          </w:p>
        </w:tc>
      </w:tr>
      <w:tr>
        <w:tc>
          <w:tcPr>
            <w:tcW w:type="dxa" w:w="3744"/>
          </w:tcPr>
          <w:p>
            <w:pPr>
              <w:spacing w:before="0" w:after="0"/>
              <w:jc w:val="left"/>
            </w:pPr>
            <w:r>
              <w:rPr>
                <w:b/>
                <w:sz w:val="17"/>
              </w:rPr>
              <w:t>Fair FCFF yield (Egypt, levered)</w:t>
            </w:r>
          </w:p>
        </w:tc>
        <w:tc>
          <w:tcPr>
            <w:tcW w:type="dxa" w:w="5760"/>
          </w:tcPr>
          <w:p>
            <w:pPr>
              <w:spacing w:before="0" w:after="0"/>
              <w:jc w:val="right"/>
            </w:pPr>
            <w:r>
              <w:rPr>
                <w:sz w:val="17"/>
              </w:rPr>
              <w:t>~14%</w:t>
            </w:r>
          </w:p>
        </w:tc>
      </w:tr>
      <w:tr>
        <w:tc>
          <w:tcPr>
            <w:tcW w:type="dxa" w:w="3744"/>
          </w:tcPr>
          <w:p>
            <w:pPr>
              <w:spacing w:before="0" w:after="0"/>
              <w:jc w:val="left"/>
            </w:pPr>
            <w:r>
              <w:rPr>
                <w:b/>
                <w:sz w:val="17"/>
              </w:rPr>
              <w:t>Implied EV → equity / share</w:t>
            </w:r>
          </w:p>
        </w:tc>
        <w:tc>
          <w:tcPr>
            <w:tcW w:type="dxa" w:w="5760"/>
          </w:tcPr>
          <w:p>
            <w:pPr>
              <w:spacing w:before="0" w:after="0"/>
              <w:jc w:val="right"/>
            </w:pPr>
            <w:r>
              <w:rPr>
                <w:sz w:val="17"/>
              </w:rPr>
              <w:t>EGP ~15.5</w:t>
            </w:r>
          </w:p>
        </w:tc>
      </w:tr>
    </w:tbl>
    <w:p>
      <w:pPr>
        <w:spacing w:after="120" w:before="20"/>
      </w:pPr>
      <w:r>
        <w:rPr>
          <w:b w:val="0"/>
          <w:i/>
          <w:color w:val="777777"/>
          <w:sz w:val="16"/>
        </w:rPr>
        <w:t>Worked example (base). A demanded ~14% FCFF yield on near-term FCFF, growing.</w:t>
      </w:r>
    </w:p>
    <w:p>
      <w:pPr>
        <w:spacing w:after="40" w:before="0"/>
      </w:pPr>
      <w:r>
        <w:rPr>
          <w:b/>
          <w:i w:val="0"/>
          <w:color w:val="222222"/>
          <w:sz w:val="19"/>
        </w:rPr>
        <w:t>Sensitivity on the swing input.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val="clear" w:fill="1B5E5E"/>
          </w:tcPr>
          <w:p>
            <w:pPr>
              <w:spacing w:before="0" w:after="0"/>
              <w:jc w:val="left"/>
            </w:pPr>
            <w:r>
              <w:rPr>
                <w:b/>
                <w:color w:val="FFFFFF"/>
                <w:sz w:val="17"/>
              </w:rPr>
              <w:t>FCFF yield demanded →</w:t>
            </w:r>
          </w:p>
        </w:tc>
        <w:tc>
          <w:tcPr>
            <w:tcW w:type="dxa" w:w="2112"/>
            <w:shd w:val="clear" w:fill="1B5E5E"/>
          </w:tcPr>
          <w:p>
            <w:pPr>
              <w:spacing w:before="0" w:after="0"/>
              <w:jc w:val="center"/>
            </w:pPr>
            <w:r>
              <w:rPr>
                <w:b/>
                <w:color w:val="FFFFFF"/>
                <w:sz w:val="17"/>
              </w:rPr>
              <w:t>12%</w:t>
            </w:r>
          </w:p>
        </w:tc>
        <w:tc>
          <w:tcPr>
            <w:tcW w:type="dxa" w:w="2112"/>
            <w:shd w:val="clear" w:fill="1B5E5E"/>
          </w:tcPr>
          <w:p>
            <w:pPr>
              <w:spacing w:before="0" w:after="0"/>
              <w:jc w:val="center"/>
            </w:pPr>
            <w:r>
              <w:rPr>
                <w:b/>
                <w:color w:val="FFFFFF"/>
                <w:sz w:val="17"/>
              </w:rPr>
              <w:t>14%</w:t>
            </w:r>
          </w:p>
        </w:tc>
        <w:tc>
          <w:tcPr>
            <w:tcW w:type="dxa" w:w="2112"/>
            <w:shd w:val="clear" w:fill="1B5E5E"/>
          </w:tcPr>
          <w:p>
            <w:pPr>
              <w:spacing w:before="0" w:after="0"/>
              <w:jc w:val="center"/>
            </w:pPr>
            <w:r>
              <w:rPr>
                <w:b/>
                <w:color w:val="FFFFFF"/>
                <w:sz w:val="17"/>
              </w:rPr>
              <w:t>16%</w:t>
            </w:r>
          </w:p>
        </w:tc>
      </w:tr>
      <w:tr>
        <w:tc>
          <w:tcPr>
            <w:tcW w:type="dxa" w:w="3168"/>
          </w:tcPr>
          <w:p>
            <w:pPr>
              <w:spacing w:before="0" w:after="0"/>
              <w:jc w:val="left"/>
            </w:pPr>
            <w:r>
              <w:rPr>
                <w:b/>
                <w:sz w:val="17"/>
              </w:rPr>
              <w:t>Fair value (EGP)</w:t>
            </w:r>
          </w:p>
        </w:tc>
        <w:tc>
          <w:tcPr>
            <w:tcW w:type="dxa" w:w="2112"/>
          </w:tcPr>
          <w:p>
            <w:pPr>
              <w:spacing w:before="0" w:after="0"/>
              <w:jc w:val="right"/>
            </w:pPr>
            <w:r>
              <w:rPr>
                <w:sz w:val="17"/>
              </w:rPr>
              <w:t>~18.5</w:t>
            </w:r>
          </w:p>
        </w:tc>
        <w:tc>
          <w:tcPr>
            <w:tcW w:type="dxa" w:w="2112"/>
          </w:tcPr>
          <w:p>
            <w:pPr>
              <w:spacing w:before="0" w:after="0"/>
              <w:jc w:val="right"/>
            </w:pPr>
            <w:r>
              <w:rPr>
                <w:sz w:val="17"/>
              </w:rPr>
              <w:t>~15.5</w:t>
            </w:r>
          </w:p>
        </w:tc>
        <w:tc>
          <w:tcPr>
            <w:tcW w:type="dxa" w:w="2112"/>
          </w:tcPr>
          <w:p>
            <w:pPr>
              <w:spacing w:before="0" w:after="0"/>
              <w:jc w:val="right"/>
            </w:pPr>
            <w:r>
              <w:rPr>
                <w:sz w:val="17"/>
              </w:rPr>
              <w:t>~13.2</w:t>
            </w:r>
          </w:p>
        </w:tc>
      </w:tr>
    </w:tbl>
    <w:p>
      <w:pPr>
        <w:spacing w:after="40" w:before="0"/>
      </w:pPr>
      <w:r>
        <w:rPr>
          <w:b w:val="0"/>
          <w:i w:val="0"/>
          <w:color w:val="222222"/>
          <w:sz w:val="4"/>
        </w:rPr>
      </w:r>
    </w:p>
    <w:p>
      <w:pPr>
        <w:spacing w:after="60" w:before="0"/>
      </w:pPr>
      <w:r>
        <w:rPr>
          <w:b w:val="0"/>
          <w:i w:val="0"/>
          <w:color w:val="222222"/>
          <w:sz w:val="20"/>
        </w:rPr>
        <w:t>Cross-examination. Challenges Earnings-power for capitalising a terminal margin the cash flows have not yet shown, and agrees with the Accountant that the receivables cycle is the real risk — but reads the near-zero CCC as a strength that funds growth cheaply.</w:t>
      </w:r>
    </w:p>
    <w:p>
      <w:pPr>
        <w:spacing w:after="40" w:before="0"/>
      </w:pPr>
      <w:r>
        <w:rPr>
          <w:b w:val="0"/>
          <w:i w:val="0"/>
          <w:color w:val="222222"/>
          <w:sz w:val="20"/>
        </w:rPr>
        <w:t>Verdict. Fair value ~EGP 15.5 — cheap, but less so than the earnings-power lens, because a levered Egyptian distributor deserves a high demanded cash yield.</w:t>
      </w:r>
    </w:p>
    <w:p>
      <w:pPr>
        <w:spacing w:after="40" w:before="0"/>
      </w:pPr>
      <w:r>
        <w:rPr>
          <w:b w:val="0"/>
          <w:i/>
          <w:color w:val="222222"/>
          <w:sz w:val="20"/>
        </w:rPr>
        <w:t>Falsification condition. If the cash-conversion cycle turns materially positive (working capital starts absorbing cash as re-pricing accelerates and collection lags), FCFF falls and the case weakens.</w:t>
      </w:r>
    </w:p>
    <w:p>
      <w:pPr>
        <w:spacing w:after="80" w:before="0"/>
      </w:pPr>
      <w:r>
        <w:rPr>
          <w:b w:val="0"/>
          <w:i w:val="0"/>
          <w:color w:val="222222"/>
          <w:sz w:val="20"/>
        </w:rPr>
        <w:t>What the market price implies. At EGP 11.67 the market demands a forward FCFF yield well above 16% — pricing in either weaker cash conversion or higher-for-longer rates.</w:t>
      </w:r>
    </w:p>
    <w:p>
      <w:pPr>
        <w:spacing w:after="60" w:before="140"/>
      </w:pPr>
      <w:r>
        <w:rPr>
          <w:b/>
          <w:i w:val="0"/>
          <w:color w:val="2A8F8F"/>
          <w:sz w:val="23"/>
        </w:rPr>
        <w:t>C.3  Expert 3 — Accountant (balance-sheet &amp; receivables quality)</w:t>
      </w:r>
    </w:p>
    <w:p>
      <w:pPr>
        <w:spacing w:after="60" w:before="0"/>
      </w:pPr>
      <w:r>
        <w:rPr>
          <w:b w:val="0"/>
          <w:i w:val="0"/>
          <w:color w:val="222222"/>
          <w:sz w:val="20"/>
        </w:rPr>
        <w:t>Worldview and tradition. Value starts from the balance sheet and the durability of reported earnings, with a heavy discount for leverage and collectability risk. On ~EGP 76 bn of revenue the receivables book is large and the leverage (mostly supplier payables, but real interest-bearing debt too) is high; conservative value is asset-backing plus a modest multiple on sustainable — not peak-hope — earnings. Works best as a downside anchor; fails by being too cautious in a genuine recovery.</w:t>
      </w:r>
    </w:p>
    <w:tbl>
      <w:tblPr>
        <w:tblStyle w:val="TableGrid"/>
        <w:tblW w:type="auto" w:w="0"/>
        <w:jc w:val="center"/>
        <w:tblLook w:firstColumn="1" w:firstRow="1" w:lastColumn="0" w:lastRow="0" w:noHBand="0" w:noVBand="1" w:val="04A0"/>
      </w:tblPr>
      <w:tblGrid>
        <w:gridCol w:w="4968"/>
        <w:gridCol w:w="4968"/>
      </w:tblGrid>
      <w:tr>
        <w:tc>
          <w:tcPr>
            <w:tcW w:type="dxa" w:w="3744"/>
            <w:shd w:val="clear" w:fill="1B5E5E"/>
          </w:tcPr>
          <w:p>
            <w:pPr>
              <w:spacing w:before="0" w:after="0"/>
              <w:jc w:val="left"/>
            </w:pPr>
            <w:r>
              <w:rPr>
                <w:b/>
                <w:color w:val="FFFFFF"/>
                <w:sz w:val="17"/>
              </w:rPr>
              <w:t>Step</w:t>
            </w:r>
          </w:p>
        </w:tc>
        <w:tc>
          <w:tcPr>
            <w:tcW w:type="dxa" w:w="5760"/>
            <w:shd w:val="clear" w:fill="1B5E5E"/>
          </w:tcPr>
          <w:p>
            <w:pPr>
              <w:spacing w:before="0" w:after="0"/>
              <w:jc w:val="center"/>
            </w:pPr>
            <w:r>
              <w:rPr>
                <w:b/>
                <w:color w:val="FFFFFF"/>
                <w:sz w:val="17"/>
              </w:rPr>
              <w:t>Value</w:t>
            </w:r>
          </w:p>
        </w:tc>
      </w:tr>
      <w:tr>
        <w:tc>
          <w:tcPr>
            <w:tcW w:type="dxa" w:w="3744"/>
          </w:tcPr>
          <w:p>
            <w:pPr>
              <w:spacing w:before="0" w:after="0"/>
              <w:jc w:val="left"/>
            </w:pPr>
            <w:r>
              <w:rPr>
                <w:b/>
                <w:sz w:val="17"/>
              </w:rPr>
              <w:t>Book value per share (approx.)</w:t>
            </w:r>
          </w:p>
        </w:tc>
        <w:tc>
          <w:tcPr>
            <w:tcW w:type="dxa" w:w="5760"/>
          </w:tcPr>
          <w:p>
            <w:pPr>
              <w:spacing w:before="0" w:after="0"/>
              <w:jc w:val="right"/>
            </w:pPr>
            <w:r>
              <w:rPr>
                <w:sz w:val="17"/>
              </w:rPr>
              <w:t>EGP ~2.9</w:t>
            </w:r>
          </w:p>
        </w:tc>
      </w:tr>
      <w:tr>
        <w:tc>
          <w:tcPr>
            <w:tcW w:type="dxa" w:w="3744"/>
          </w:tcPr>
          <w:p>
            <w:pPr>
              <w:spacing w:before="0" w:after="0"/>
              <w:jc w:val="left"/>
            </w:pPr>
            <w:r>
              <w:rPr>
                <w:b/>
                <w:sz w:val="17"/>
              </w:rPr>
              <w:t>Sustainable net profit (haircut)</w:t>
            </w:r>
          </w:p>
        </w:tc>
        <w:tc>
          <w:tcPr>
            <w:tcW w:type="dxa" w:w="5760"/>
          </w:tcPr>
          <w:p>
            <w:pPr>
              <w:spacing w:before="0" w:after="0"/>
              <w:jc w:val="right"/>
            </w:pPr>
            <w:r>
              <w:rPr>
                <w:sz w:val="17"/>
              </w:rPr>
              <w:t>EGP ~1,300 mn</w:t>
            </w:r>
          </w:p>
        </w:tc>
      </w:tr>
      <w:tr>
        <w:tc>
          <w:tcPr>
            <w:tcW w:type="dxa" w:w="3744"/>
          </w:tcPr>
          <w:p>
            <w:pPr>
              <w:spacing w:before="0" w:after="0"/>
              <w:jc w:val="left"/>
            </w:pPr>
            <w:r>
              <w:rPr>
                <w:b/>
                <w:sz w:val="17"/>
              </w:rPr>
              <w:t>Multiple on sustainable earnings</w:t>
            </w:r>
          </w:p>
        </w:tc>
        <w:tc>
          <w:tcPr>
            <w:tcW w:type="dxa" w:w="5760"/>
          </w:tcPr>
          <w:p>
            <w:pPr>
              <w:spacing w:before="0" w:after="0"/>
              <w:jc w:val="right"/>
            </w:pPr>
            <w:r>
              <w:rPr>
                <w:sz w:val="17"/>
              </w:rPr>
              <w:t>~9x</w:t>
            </w:r>
          </w:p>
        </w:tc>
      </w:tr>
      <w:tr>
        <w:tc>
          <w:tcPr>
            <w:tcW w:type="dxa" w:w="3744"/>
          </w:tcPr>
          <w:p>
            <w:pPr>
              <w:spacing w:before="0" w:after="0"/>
              <w:jc w:val="left"/>
            </w:pPr>
            <w:r>
              <w:rPr>
                <w:b/>
                <w:sz w:val="17"/>
              </w:rPr>
              <w:t>Asset-backing + earnings blend</w:t>
            </w:r>
          </w:p>
        </w:tc>
        <w:tc>
          <w:tcPr>
            <w:tcW w:type="dxa" w:w="5760"/>
          </w:tcPr>
          <w:p>
            <w:pPr>
              <w:spacing w:before="0" w:after="0"/>
              <w:jc w:val="right"/>
            </w:pPr>
            <w:r>
              <w:rPr>
                <w:sz w:val="17"/>
              </w:rPr>
              <w:t>EGP ~13.5</w:t>
            </w:r>
          </w:p>
        </w:tc>
      </w:tr>
      <w:tr>
        <w:tc>
          <w:tcPr>
            <w:tcW w:type="dxa" w:w="3744"/>
          </w:tcPr>
          <w:p>
            <w:pPr>
              <w:spacing w:before="0" w:after="0"/>
              <w:jc w:val="left"/>
            </w:pPr>
            <w:r>
              <w:rPr>
                <w:b/>
                <w:sz w:val="17"/>
              </w:rPr>
              <w:t>Fair value per share</w:t>
            </w:r>
          </w:p>
        </w:tc>
        <w:tc>
          <w:tcPr>
            <w:tcW w:type="dxa" w:w="5760"/>
          </w:tcPr>
          <w:p>
            <w:pPr>
              <w:spacing w:before="0" w:after="0"/>
              <w:jc w:val="right"/>
            </w:pPr>
            <w:r>
              <w:rPr>
                <w:sz w:val="17"/>
              </w:rPr>
              <w:t>EGP ~13.5</w:t>
            </w:r>
          </w:p>
        </w:tc>
      </w:tr>
    </w:tbl>
    <w:p>
      <w:pPr>
        <w:spacing w:after="120" w:before="20"/>
      </w:pPr>
      <w:r>
        <w:rPr>
          <w:b w:val="0"/>
          <w:i/>
          <w:color w:val="777777"/>
          <w:sz w:val="16"/>
        </w:rPr>
        <w:t>Worked example (base). A conservative blend; receivables provisioning is the swing.</w:t>
      </w:r>
    </w:p>
    <w:p>
      <w:pPr>
        <w:spacing w:after="40" w:before="0"/>
      </w:pPr>
      <w:r>
        <w:rPr>
          <w:b/>
          <w:i w:val="0"/>
          <w:color w:val="222222"/>
          <w:sz w:val="19"/>
        </w:rPr>
        <w:t>Sensitivity on the swing input.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val="clear" w:fill="1B5E5E"/>
          </w:tcPr>
          <w:p>
            <w:pPr>
              <w:spacing w:before="0" w:after="0"/>
              <w:jc w:val="left"/>
            </w:pPr>
            <w:r>
              <w:rPr>
                <w:b/>
                <w:color w:val="FFFFFF"/>
                <w:sz w:val="17"/>
              </w:rPr>
              <w:t>Receivables provision →</w:t>
            </w:r>
          </w:p>
        </w:tc>
        <w:tc>
          <w:tcPr>
            <w:tcW w:type="dxa" w:w="2112"/>
            <w:shd w:val="clear" w:fill="1B5E5E"/>
          </w:tcPr>
          <w:p>
            <w:pPr>
              <w:spacing w:before="0" w:after="0"/>
              <w:jc w:val="center"/>
            </w:pPr>
            <w:r>
              <w:rPr>
                <w:b/>
                <w:color w:val="FFFFFF"/>
                <w:sz w:val="17"/>
              </w:rPr>
              <w:t>base</w:t>
            </w:r>
          </w:p>
        </w:tc>
        <w:tc>
          <w:tcPr>
            <w:tcW w:type="dxa" w:w="2112"/>
            <w:shd w:val="clear" w:fill="1B5E5E"/>
          </w:tcPr>
          <w:p>
            <w:pPr>
              <w:spacing w:before="0" w:after="0"/>
              <w:jc w:val="center"/>
            </w:pPr>
            <w:r>
              <w:rPr>
                <w:b/>
                <w:color w:val="FFFFFF"/>
                <w:sz w:val="17"/>
              </w:rPr>
              <w:t>+2%</w:t>
            </w:r>
          </w:p>
        </w:tc>
        <w:tc>
          <w:tcPr>
            <w:tcW w:type="dxa" w:w="2112"/>
            <w:shd w:val="clear" w:fill="1B5E5E"/>
          </w:tcPr>
          <w:p>
            <w:pPr>
              <w:spacing w:before="0" w:after="0"/>
              <w:jc w:val="center"/>
            </w:pPr>
            <w:r>
              <w:rPr>
                <w:b/>
                <w:color w:val="FFFFFF"/>
                <w:sz w:val="17"/>
              </w:rPr>
              <w:t>+4%</w:t>
            </w:r>
          </w:p>
        </w:tc>
      </w:tr>
      <w:tr>
        <w:tc>
          <w:tcPr>
            <w:tcW w:type="dxa" w:w="3168"/>
          </w:tcPr>
          <w:p>
            <w:pPr>
              <w:spacing w:before="0" w:after="0"/>
              <w:jc w:val="left"/>
            </w:pPr>
            <w:r>
              <w:rPr>
                <w:b/>
                <w:sz w:val="17"/>
              </w:rPr>
              <w:t>Fair value (EGP)</w:t>
            </w:r>
          </w:p>
        </w:tc>
        <w:tc>
          <w:tcPr>
            <w:tcW w:type="dxa" w:w="2112"/>
          </w:tcPr>
          <w:p>
            <w:pPr>
              <w:spacing w:before="0" w:after="0"/>
              <w:jc w:val="right"/>
            </w:pPr>
            <w:r>
              <w:rPr>
                <w:sz w:val="17"/>
              </w:rPr>
              <w:t>~13.5</w:t>
            </w:r>
          </w:p>
        </w:tc>
        <w:tc>
          <w:tcPr>
            <w:tcW w:type="dxa" w:w="2112"/>
          </w:tcPr>
          <w:p>
            <w:pPr>
              <w:spacing w:before="0" w:after="0"/>
              <w:jc w:val="right"/>
            </w:pPr>
            <w:r>
              <w:rPr>
                <w:sz w:val="17"/>
              </w:rPr>
              <w:t>~11.5</w:t>
            </w:r>
          </w:p>
        </w:tc>
        <w:tc>
          <w:tcPr>
            <w:tcW w:type="dxa" w:w="2112"/>
          </w:tcPr>
          <w:p>
            <w:pPr>
              <w:spacing w:before="0" w:after="0"/>
              <w:jc w:val="right"/>
            </w:pPr>
            <w:r>
              <w:rPr>
                <w:sz w:val="17"/>
              </w:rPr>
              <w:t>~9.8</w:t>
            </w:r>
          </w:p>
        </w:tc>
      </w:tr>
    </w:tbl>
    <w:p>
      <w:pPr>
        <w:spacing w:after="40" w:before="0"/>
      </w:pPr>
      <w:r>
        <w:rPr>
          <w:b w:val="0"/>
          <w:i w:val="0"/>
          <w:color w:val="222222"/>
          <w:sz w:val="4"/>
        </w:rPr>
      </w:r>
    </w:p>
    <w:p>
      <w:pPr>
        <w:spacing w:after="60" w:before="0"/>
      </w:pPr>
      <w:r>
        <w:rPr>
          <w:b w:val="0"/>
          <w:i w:val="0"/>
          <w:color w:val="222222"/>
          <w:sz w:val="20"/>
        </w:rPr>
        <w:t>Cross-examination. Challenges Earnings-power for treating a rate-cut that has not happened as banked, and Cash-returns for trusting FCFF that depends on collecting a large, macro-sensitive receivables book on time.</w:t>
      </w:r>
    </w:p>
    <w:p>
      <w:pPr>
        <w:spacing w:after="40" w:before="0"/>
      </w:pPr>
      <w:r>
        <w:rPr>
          <w:b w:val="0"/>
          <w:i w:val="0"/>
          <w:color w:val="222222"/>
          <w:sz w:val="20"/>
        </w:rPr>
        <w:t>Verdict. Fair value ~EGP 13.5 — the stock is modestly cheap, but the margin of safety is thin given the leverage and receivables exposure.</w:t>
      </w:r>
    </w:p>
    <w:p>
      <w:pPr>
        <w:spacing w:after="40" w:before="0"/>
      </w:pPr>
      <w:r>
        <w:rPr>
          <w:b w:val="0"/>
          <w:i/>
          <w:color w:val="222222"/>
          <w:sz w:val="20"/>
        </w:rPr>
        <w:t>Falsification condition. If a receivables write-down or a covenant/finance-cost squeeze materialises, book value and sustainable earnings both fall and fair value drops toward EGP 10.</w:t>
      </w:r>
    </w:p>
    <w:p>
      <w:pPr>
        <w:spacing w:after="80" w:before="0"/>
      </w:pPr>
      <w:r>
        <w:rPr>
          <w:b w:val="0"/>
          <w:i w:val="0"/>
          <w:color w:val="222222"/>
          <w:sz w:val="20"/>
        </w:rPr>
        <w:t>What the market price implies. At EGP 11.67 the market is close to the Accountant's conservative fair value — it is pricing the risks, not the recovery.</w:t>
      </w:r>
    </w:p>
    <w:p>
      <w:pPr>
        <w:spacing w:after="60" w:before="140"/>
      </w:pPr>
      <w:r>
        <w:rPr>
          <w:b/>
          <w:i w:val="0"/>
          <w:color w:val="2A8F8F"/>
          <w:sz w:val="23"/>
        </w:rPr>
        <w:t>C.5  The three in one room</w:t>
      </w:r>
    </w:p>
    <w:p>
      <w:pPr>
        <w:spacing w:after="80" w:before="0"/>
      </w:pPr>
      <w:r>
        <w:rPr>
          <w:b w:val="0"/>
          <w:i w:val="0"/>
          <w:color w:val="222222"/>
          <w:sz w:val="20"/>
        </w:rPr>
        <w:t>Put the three in a room and the argument is about one number: the net margin two years out. Expert 1 (Earnings-power) says CBE easing plus scale lifts it to ~1.9%, and the stock is worth ~EGP 20. Expert 2 (Cash-returns) says show me the cash — the near-zero CCC is real and funds growth, but a levered Egyptian distributor deserves a ~14% cash yield, so ~EGP 15.5. Expert 3 (Accountant) says you are both banking a rate cut and a clean receivables book that a devaluation could impair; anchored on today's balance sheet, ~EGP 13.5. They agree the business is good and the direction is up; they disagree on whether the thin net margin structurally recovers or stays pinned by finance costs and credit risk.</w:t>
      </w:r>
    </w:p>
    <w:p>
      <w:pPr>
        <w:spacing w:after="60" w:before="140"/>
      </w:pPr>
      <w:r>
        <w:rPr>
          <w:b/>
          <w:i w:val="0"/>
          <w:color w:val="2A8F8F"/>
          <w:sz w:val="23"/>
        </w:rPr>
        <w:t>C.6  Reading the divergence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val="clear" w:fill="1B5E5E"/>
          </w:tcPr>
          <w:p>
            <w:pPr>
              <w:spacing w:before="0" w:after="0"/>
              <w:jc w:val="left"/>
            </w:pPr>
            <w:r>
              <w:rPr>
                <w:b/>
                <w:color w:val="FFFFFF"/>
                <w:sz w:val="17"/>
              </w:rPr>
              <w:t>Expert</w:t>
            </w:r>
          </w:p>
        </w:tc>
        <w:tc>
          <w:tcPr>
            <w:tcW w:type="dxa" w:w="3456"/>
            <w:shd w:val="clear" w:fill="1B5E5E"/>
          </w:tcPr>
          <w:p>
            <w:pPr>
              <w:spacing w:before="0" w:after="0"/>
              <w:jc w:val="center"/>
            </w:pPr>
            <w:r>
              <w:rPr>
                <w:b/>
                <w:color w:val="FFFFFF"/>
                <w:sz w:val="17"/>
              </w:rPr>
              <w:t>Method</w:t>
            </w:r>
          </w:p>
        </w:tc>
        <w:tc>
          <w:tcPr>
            <w:tcW w:type="dxa" w:w="2016"/>
            <w:shd w:val="clear" w:fill="1B5E5E"/>
          </w:tcPr>
          <w:p>
            <w:pPr>
              <w:spacing w:before="0" w:after="0"/>
              <w:jc w:val="center"/>
            </w:pPr>
            <w:r>
              <w:rPr>
                <w:b/>
                <w:color w:val="FFFFFF"/>
                <w:sz w:val="17"/>
              </w:rPr>
              <w:t>Fair value (EGP)</w:t>
            </w:r>
          </w:p>
        </w:tc>
        <w:tc>
          <w:tcPr>
            <w:tcW w:type="dxa" w:w="2880"/>
            <w:shd w:val="clear" w:fill="1B5E5E"/>
          </w:tcPr>
          <w:p>
            <w:pPr>
              <w:spacing w:before="0" w:after="0"/>
              <w:jc w:val="center"/>
            </w:pPr>
            <w:r>
              <w:rPr>
                <w:b/>
                <w:color w:val="FFFFFF"/>
                <w:sz w:val="17"/>
              </w:rPr>
              <w:t>The one assumption driving it</w:t>
            </w:r>
          </w:p>
        </w:tc>
      </w:tr>
      <w:tr>
        <w:tc>
          <w:tcPr>
            <w:tcW w:type="dxa" w:w="1728"/>
          </w:tcPr>
          <w:p>
            <w:pPr>
              <w:spacing w:before="0" w:after="0"/>
              <w:jc w:val="left"/>
            </w:pPr>
            <w:r>
              <w:rPr>
                <w:b/>
                <w:sz w:val="17"/>
              </w:rPr>
              <w:t>Expert 1</w:t>
            </w:r>
          </w:p>
        </w:tc>
        <w:tc>
          <w:tcPr>
            <w:tcW w:type="dxa" w:w="3456"/>
          </w:tcPr>
          <w:p>
            <w:pPr>
              <w:spacing w:before="0" w:after="0"/>
              <w:jc w:val="right"/>
            </w:pPr>
            <w:r>
              <w:rPr>
                <w:sz w:val="17"/>
              </w:rPr>
              <w:t>Earnings-power (normalized × P/E)</w:t>
            </w:r>
          </w:p>
        </w:tc>
        <w:tc>
          <w:tcPr>
            <w:tcW w:type="dxa" w:w="2016"/>
          </w:tcPr>
          <w:p>
            <w:pPr>
              <w:spacing w:before="0" w:after="0"/>
              <w:jc w:val="right"/>
            </w:pPr>
            <w:r>
              <w:rPr>
                <w:sz w:val="17"/>
              </w:rPr>
              <w:t>~20.1</w:t>
            </w:r>
          </w:p>
        </w:tc>
        <w:tc>
          <w:tcPr>
            <w:tcW w:type="dxa" w:w="2880"/>
          </w:tcPr>
          <w:p>
            <w:pPr>
              <w:spacing w:before="0" w:after="0"/>
              <w:jc w:val="right"/>
            </w:pPr>
            <w:r>
              <w:rPr>
                <w:sz w:val="17"/>
              </w:rPr>
              <w:t>Net margin normalises to ~1.9%</w:t>
            </w:r>
          </w:p>
        </w:tc>
      </w:tr>
      <w:tr>
        <w:tc>
          <w:tcPr>
            <w:tcW w:type="dxa" w:w="1728"/>
          </w:tcPr>
          <w:p>
            <w:pPr>
              <w:spacing w:before="0" w:after="0"/>
              <w:jc w:val="left"/>
            </w:pPr>
            <w:r>
              <w:rPr>
                <w:b/>
                <w:sz w:val="17"/>
              </w:rPr>
              <w:t>Expert 2</w:t>
            </w:r>
          </w:p>
        </w:tc>
        <w:tc>
          <w:tcPr>
            <w:tcW w:type="dxa" w:w="3456"/>
          </w:tcPr>
          <w:p>
            <w:pPr>
              <w:spacing w:before="0" w:after="0"/>
              <w:jc w:val="right"/>
            </w:pPr>
            <w:r>
              <w:rPr>
                <w:sz w:val="17"/>
              </w:rPr>
              <w:t>Cash-returns (FCFF yield)</w:t>
            </w:r>
          </w:p>
        </w:tc>
        <w:tc>
          <w:tcPr>
            <w:tcW w:type="dxa" w:w="2016"/>
          </w:tcPr>
          <w:p>
            <w:pPr>
              <w:spacing w:before="0" w:after="0"/>
              <w:jc w:val="right"/>
            </w:pPr>
            <w:r>
              <w:rPr>
                <w:sz w:val="17"/>
              </w:rPr>
              <w:t>~15.5</w:t>
            </w:r>
          </w:p>
        </w:tc>
        <w:tc>
          <w:tcPr>
            <w:tcW w:type="dxa" w:w="2880"/>
          </w:tcPr>
          <w:p>
            <w:pPr>
              <w:spacing w:before="0" w:after="0"/>
              <w:jc w:val="right"/>
            </w:pPr>
            <w:r>
              <w:rPr>
                <w:sz w:val="17"/>
              </w:rPr>
              <w:t>Demanded FCFF yield ~14%</w:t>
            </w:r>
          </w:p>
        </w:tc>
      </w:tr>
      <w:tr>
        <w:tc>
          <w:tcPr>
            <w:tcW w:type="dxa" w:w="1728"/>
          </w:tcPr>
          <w:p>
            <w:pPr>
              <w:spacing w:before="0" w:after="0"/>
              <w:jc w:val="left"/>
            </w:pPr>
            <w:r>
              <w:rPr>
                <w:b/>
                <w:sz w:val="17"/>
              </w:rPr>
              <w:t>Expert 3</w:t>
            </w:r>
          </w:p>
        </w:tc>
        <w:tc>
          <w:tcPr>
            <w:tcW w:type="dxa" w:w="3456"/>
          </w:tcPr>
          <w:p>
            <w:pPr>
              <w:spacing w:before="0" w:after="0"/>
              <w:jc w:val="right"/>
            </w:pPr>
            <w:r>
              <w:rPr>
                <w:sz w:val="17"/>
              </w:rPr>
              <w:t>Accountant (asset + sustainable)</w:t>
            </w:r>
          </w:p>
        </w:tc>
        <w:tc>
          <w:tcPr>
            <w:tcW w:type="dxa" w:w="2016"/>
          </w:tcPr>
          <w:p>
            <w:pPr>
              <w:spacing w:before="0" w:after="0"/>
              <w:jc w:val="right"/>
            </w:pPr>
            <w:r>
              <w:rPr>
                <w:sz w:val="17"/>
              </w:rPr>
              <w:t>~13.5</w:t>
            </w:r>
          </w:p>
        </w:tc>
        <w:tc>
          <w:tcPr>
            <w:tcW w:type="dxa" w:w="2880"/>
          </w:tcPr>
          <w:p>
            <w:pPr>
              <w:spacing w:before="0" w:after="0"/>
              <w:jc w:val="right"/>
            </w:pPr>
            <w:r>
              <w:rPr>
                <w:sz w:val="17"/>
              </w:rPr>
              <w:t>Receivables/leverage haircut holds</w:t>
            </w:r>
          </w:p>
        </w:tc>
      </w:tr>
      <w:tr>
        <w:tc>
          <w:tcPr>
            <w:tcW w:type="dxa" w:w="1728"/>
          </w:tcPr>
          <w:p>
            <w:pPr>
              <w:spacing w:before="0" w:after="0"/>
              <w:jc w:val="left"/>
            </w:pPr>
            <w:r>
              <w:rPr>
                <w:b/>
                <w:sz w:val="17"/>
              </w:rPr>
              <w:t>Spread</w:t>
            </w:r>
          </w:p>
        </w:tc>
        <w:tc>
          <w:tcPr>
            <w:tcW w:type="dxa" w:w="3456"/>
          </w:tcPr>
          <w:p>
            <w:pPr>
              <w:spacing w:before="0" w:after="0"/>
              <w:jc w:val="right"/>
            </w:pPr>
            <w:r>
              <w:rPr>
                <w:sz w:val="17"/>
              </w:rPr>
              <w:t>—</w:t>
            </w:r>
          </w:p>
        </w:tc>
        <w:tc>
          <w:tcPr>
            <w:tcW w:type="dxa" w:w="2016"/>
          </w:tcPr>
          <w:p>
            <w:pPr>
              <w:spacing w:before="0" w:after="0"/>
              <w:jc w:val="right"/>
            </w:pPr>
            <w:r>
              <w:rPr>
                <w:sz w:val="17"/>
              </w:rPr>
              <w:t>13.5 – 20.1</w:t>
            </w:r>
          </w:p>
        </w:tc>
        <w:tc>
          <w:tcPr>
            <w:tcW w:type="dxa" w:w="2880"/>
          </w:tcPr>
          <w:p>
            <w:pPr>
              <w:spacing w:before="0" w:after="0"/>
              <w:jc w:val="right"/>
            </w:pPr>
            <w:r>
              <w:rPr>
                <w:sz w:val="17"/>
              </w:rPr>
              <w:t>Does the net margin recover?</w:t>
            </w:r>
          </w:p>
        </w:tc>
      </w:tr>
    </w:tbl>
    <w:p>
      <w:pPr>
        <w:spacing w:after="120" w:before="20"/>
      </w:pPr>
      <w:r>
        <w:rPr>
          <w:b w:val="0"/>
          <w:i/>
          <w:color w:val="777777"/>
          <w:sz w:val="16"/>
        </w:rPr>
        <w:t>The football field of expert fair values. The ~EGP 6.6 spread is a direct measure of disagreement over net-margin normalisation.</w:t>
      </w:r>
    </w:p>
    <w:p>
      <w:pPr>
        <w:spacing w:after="80" w:before="0"/>
      </w:pPr>
      <w:r>
        <w:rPr>
          <w:b w:val="0"/>
          <w:i w:val="0"/>
          <w:color w:val="222222"/>
          <w:sz w:val="20"/>
        </w:rPr>
        <w:t>The spread (EGP 13.5–20.1, midpoint ~16.8) brackets the study's four-lens central of EGP 17.8 and sits above spot. What the spread measures is not modelling noise but a single real question — whether Egypt's disinflation feeds through to ISPH's net margin. Resolve that one variable and the three experts converge.</w:t>
      </w:r>
    </w:p>
    <w:p>
      <w:r>
        <w:br w:type="page"/>
      </w:r>
    </w:p>
    <w:p>
      <w:pPr>
        <w:spacing w:after="80" w:before="200"/>
      </w:pPr>
      <w:r>
        <w:rPr>
          <w:b/>
          <w:i w:val="0"/>
          <w:color w:val="1B5E5E"/>
          <w:sz w:val="28"/>
        </w:rPr>
        <w:t>About this series</w:t>
      </w:r>
    </w:p>
    <w:p>
      <w:pPr>
        <w:spacing w:after="80" w:before="0"/>
      </w:pPr>
      <w:r>
        <w:rPr>
          <w:b w:val="0"/>
          <w:i w:val="0"/>
          <w:color w:val="222222"/>
          <w:sz w:val="19"/>
        </w:rPr>
        <w:t>Testahil ('is it worth it?') publishes independent, educational valuation studies of listed equities and metals. Each study integrates a fundamental valuation, a technical read and a Monte-Carlo probability map, and is graded against a public calibration ledger: every forecast is scored, after the fact, against a naïve random-walk benchmark, and a forecast only 'succeeds' if it beats that benchmark on CRPS skill with a well-calibrated distribution. Studies present fair-value ranges and probability distributions — never a rating, a target price or advice. This study is issued with a calibration caveat and its §3 is therefore illustrative.</w:t>
      </w:r>
    </w:p>
    <w:p>
      <w:pPr>
        <w:spacing w:after="80" w:before="200"/>
      </w:pPr>
      <w:r>
        <w:rPr>
          <w:b/>
          <w:i w:val="0"/>
          <w:color w:val="1B5E5E"/>
          <w:sz w:val="28"/>
        </w:rPr>
        <w:t>Disclosure &amp; Disclaimer</w:t>
      </w:r>
    </w:p>
    <w:p>
      <w:pPr>
        <w:spacing w:before="0" w:after="80"/>
      </w:pPr>
      <w:r>
        <w:rPr>
          <w:b/>
          <w:color w:val="222222"/>
          <w:sz w:val="18"/>
        </w:rPr>
        <w:t xml:space="preserve">1. Not investment advice. </w:t>
      </w:r>
      <w:r>
        <w:rPr>
          <w:color w:val="444444"/>
          <w:sz w:val="18"/>
        </w:rPr>
        <w:t>This report is an educational and analytical exercise. It is not investment advice, not a recommendation, and not an offer or solicitation to buy or sell any security. It contains no rating and no price target.</w:t>
      </w:r>
    </w:p>
    <w:p>
      <w:pPr>
        <w:spacing w:before="0" w:after="80"/>
      </w:pPr>
      <w:r>
        <w:rPr>
          <w:b/>
          <w:color w:val="222222"/>
          <w:sz w:val="18"/>
        </w:rPr>
        <w:t xml:space="preserve">2. No licence, no advisory relationship. </w:t>
      </w:r>
      <w:r>
        <w:rPr>
          <w:color w:val="444444"/>
          <w:sz w:val="18"/>
        </w:rPr>
        <w:t>The preparer is not licensed or registered with any securities regulator in any jurisdiction, holds no brokerage or advisory authorisation, manages no money, and accepts no fees, funds or clients. Nothing here creates an advisory relationship.</w:t>
      </w:r>
    </w:p>
    <w:p>
      <w:pPr>
        <w:spacing w:before="0" w:after="80"/>
      </w:pPr>
      <w:r>
        <w:rPr>
          <w:b/>
          <w:color w:val="222222"/>
          <w:sz w:val="18"/>
        </w:rPr>
        <w:t xml:space="preserve">3. Model outputs, not facts. </w:t>
      </w:r>
      <w:r>
        <w:rPr>
          <w:color w:val="444444"/>
          <w:sz w:val="18"/>
        </w:rPr>
        <w:t>All valuations are outputs of models built on assumptions that are uncertain and may be wrong. They are presented as ranges and distributions precisely because no single number should be relied upon. Reported financials are the company's own disclosure; forward-looking inputs are the preparer's judgments and are flagged.</w:t>
      </w:r>
    </w:p>
    <w:p>
      <w:pPr>
        <w:spacing w:before="0" w:after="80"/>
      </w:pPr>
      <w:r>
        <w:rPr>
          <w:b/>
          <w:color w:val="222222"/>
          <w:sz w:val="18"/>
        </w:rPr>
        <w:t xml:space="preserve">4. Calibration limitation on this name. </w:t>
      </w:r>
      <w:r>
        <w:rPr>
          <w:color w:val="444444"/>
          <w:sz w:val="18"/>
        </w:rPr>
        <w:t>For Ibnsina Pharma the Monte-Carlo engine did not beat a naïve random-walk benchmark in the Step-0 backtest. The §3 probability map is illustrative and must not be relied upon as a forecast for this stock.</w:t>
      </w:r>
    </w:p>
    <w:p>
      <w:pPr>
        <w:spacing w:before="0" w:after="80"/>
      </w:pPr>
      <w:r>
        <w:rPr>
          <w:b/>
          <w:color w:val="222222"/>
          <w:sz w:val="18"/>
        </w:rPr>
        <w:t xml:space="preserve">5. No liability. </w:t>
      </w:r>
      <w:r>
        <w:rPr>
          <w:color w:val="444444"/>
          <w:sz w:val="18"/>
        </w:rPr>
        <w:t>The preparer accepts no liability for any loss arising from any use of this document. Markets involve risk, including loss of capital. Consult a licensed financial advisor before making any decision.</w:t>
      </w:r>
    </w:p>
    <w:p>
      <w:pPr>
        <w:spacing w:before="0" w:after="80"/>
      </w:pPr>
      <w:r>
        <w:rPr>
          <w:b/>
          <w:color w:val="222222"/>
          <w:sz w:val="18"/>
        </w:rPr>
        <w:t xml:space="preserve">6. Holdings disclosure. </w:t>
      </w:r>
      <w:r>
        <w:rPr>
          <w:color w:val="444444"/>
          <w:sz w:val="18"/>
        </w:rPr>
        <w:t>The preparer may hold, and may in the future take or dispose of, a position in the security discussed in this report.</w:t>
      </w:r>
    </w:p>
    <w:p>
      <w:pPr>
        <w:spacing w:after="80" w:before="0"/>
      </w:pPr>
      <w:r>
        <w:rPr>
          <w:b w:val="0"/>
          <w:i w:val="0"/>
          <w:color w:val="222222"/>
          <w:sz w:val="12"/>
        </w:rPr>
      </w:r>
    </w:p>
    <w:p>
      <w:pPr>
        <w:jc w:val="center"/>
      </w:pPr>
      <w:r>
        <w:rPr>
          <w:i/>
          <w:color w:val="777777"/>
          <w:sz w:val="16"/>
        </w:rPr>
        <w:t>TESTAHIL · Independent Valuation Study · Educational Analysis · Ibnsina Pharma S.A.E. (EGX: ISPH) · edition 07-07-2026 · reporting currency EGP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