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5112"/>
        <w:gridCol w:w="5112"/>
      </w:tblGrid>
      <w:tr>
        <w:tc>
          <w:tcPr>
            <w:tcW w:type="dxa" w:w="8064"/>
            <w:shd w:val="clear" w:color="auto" w:fill="1B5E5E"/>
            <w:vAlign w:val="center"/>
          </w:tcPr>
          <w:p>
            <w:pPr>
              <w:spacing w:after="20" w:before="20"/>
              <w:jc w:val="left"/>
            </w:pPr>
            <w:r/>
            <w:r>
              <w:rPr>
                <w:b/>
                <w:color w:val="FFFFFF"/>
                <w:sz w:val="20"/>
              </w:rPr>
              <w:t>Testahil   ·   Independent Valuation Study — Educational Analysis</w:t>
            </w:r>
          </w:p>
        </w:tc>
        <w:tc>
          <w:tcPr>
            <w:tcW w:type="dxa" w:w="2160"/>
            <w:shd w:val="clear" w:color="auto" w:fill="1B5E5E"/>
            <w:vAlign w:val="center"/>
          </w:tcPr>
          <w:p>
            <w:pPr>
              <w:spacing w:after="20" w:before="20"/>
              <w:jc w:val="right"/>
            </w:pPr>
            <w:r/>
            <w:r>
              <w:rPr>
                <w:b/>
                <w:color w:val="FFFFFF"/>
                <w:sz w:val="18"/>
              </w:rPr>
              <w:t>Not investment advice</w:t>
            </w:r>
          </w:p>
        </w:tc>
      </w:tr>
    </w:tbl>
    <w:p>
      <w:pPr>
        <w:spacing w:after="40"/>
      </w:pPr>
    </w:p>
    <w:p>
      <w:pPr>
        <w:spacing w:after="20"/>
      </w:pPr>
      <w:r>
        <w:rPr>
          <w:b/>
          <w:color w:val="2A8F8F"/>
          <w:sz w:val="22"/>
        </w:rPr>
        <w:t>Independent Valuation Study — Educational Analysis</w:t>
      </w:r>
    </w:p>
    <w:p>
      <w:pPr>
        <w:spacing w:after="20"/>
      </w:pPr>
      <w:r>
        <w:rPr>
          <w:b/>
          <w:color w:val="1B5E5E"/>
          <w:sz w:val="36"/>
        </w:rPr>
        <w:t>El Nasr Clothing &amp; Textiles Co. (Kabo)  ·  (EGX: KABO)</w:t>
      </w:r>
    </w:p>
    <w:p>
      <w:pPr>
        <w:spacing w:after="60"/>
      </w:pPr>
      <w:r>
        <w:rPr>
          <w:i/>
          <w:sz w:val="21"/>
        </w:rPr>
        <w:t>Fundamental analysis · Technical analysis · Monte Carlo simulation — one integrated read</w:t>
      </w:r>
    </w:p>
    <w:p>
      <w:pPr>
        <w:spacing w:after="80" w:line="259" w:lineRule="auto"/>
      </w:pPr>
      <w:r>
        <w:rPr>
          <w:b/>
          <w:i w:val="0"/>
          <w:sz w:val="20"/>
        </w:rPr>
        <w:t xml:space="preserve">Anchor: </w:t>
      </w:r>
      <w:r>
        <w:rPr>
          <w:b w:val="0"/>
          <w:i w:val="0"/>
          <w:sz w:val="20"/>
        </w:rPr>
        <w:t xml:space="preserve">EGP 7.00 (06 Jul 2026 close) · ~565m shares · mkt cap ~EGP 3.96bn · a private-sector Alexandria knitwear manufacturer and exporter (brands Kabo, Jil, Super Kabo), listed on the EGX since 1995, fiscal year July–June · prices and probabilities computed 06 Jul 2026 from the attached daily history · </w:t>
      </w:r>
      <w:r>
        <w:rPr>
          <w:b/>
          <w:i w:val="0"/>
          <w:sz w:val="20"/>
        </w:rPr>
        <w:t>primary lens: revalued net asset value (RNAV) on a going-concern basis</w:t>
      </w:r>
      <w:r>
        <w:rPr>
          <w:b w:val="0"/>
          <w:i w:val="0"/>
          <w:sz w:val="20"/>
        </w:rPr>
        <w:t xml:space="preserve"> · the swing factor is the realizable value of the company's legacy Alexandria land against a collapsed operating earnings base. Note: the Monte Carlo layer failed Testahil's calibration gate on KABO and is carried for </w:t>
      </w:r>
      <w:r>
        <w:rPr>
          <w:b/>
          <w:i w:val="0"/>
          <w:sz w:val="20"/>
        </w:rPr>
        <w:t>illustration only</w:t>
      </w:r>
      <w:r>
        <w:rPr>
          <w:b w:val="0"/>
          <w:i w:val="0"/>
          <w:sz w:val="20"/>
        </w:rPr>
        <w:t xml:space="preserve"> — no probabilistic price forecast is published (see §3 and Appendix B).</w:t>
      </w:r>
    </w:p>
    <w:tbl>
      <w:tblPr>
        <w:tblW w:type="auto" w:w="0"/>
        <w:jc w:val="center"/>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0224"/>
      </w:tblGrid>
      <w:tr>
        <w:tc>
          <w:tcPr>
            <w:tcW w:type="dxa" w:w="10224"/>
            <w:shd w:val="clear" w:color="auto" w:fill="EFF4F4"/>
          </w:tcPr>
          <w:p>
            <w:pPr>
              <w:spacing w:after="40"/>
            </w:pPr>
            <w:r/>
            <w:r>
              <w:rPr>
                <w:b/>
                <w:color w:val="1B5E5E"/>
                <w:sz w:val="19"/>
              </w:rPr>
              <w:t>READ FIRST — what this document is, and is not.</w:t>
            </w:r>
          </w:p>
          <w:p>
            <w:pPr>
              <w:spacing w:after="40"/>
            </w:pPr>
            <w:r>
              <w:rPr>
                <w:b w:val="0"/>
                <w:sz w:val="18"/>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because no single number should be relied on. Reported financials are the company's own disclosure via the EGX; because KABO is a thinly-covered small-cap, several historical line items and the balance-sheet split are reconstructed on a fiscal-year (July–June) basis and are flagged as estimates throughout — the land-revaluation mark that drives the primary lens is the preparer's own judgment, not a disclosed figure, and is sensitised rather than asserted. A note on the Monte Carlo: unlike a standard Testahil study, no probabilistic price forecast is published here, because the engine did not beat its naïve benchmark on this security (Appendix B); the simulation is shown only as an illustrative volatility map. Consult a licensed financial advisor before any investment decision.</w:t>
            </w:r>
          </w:p>
        </w:tc>
      </w:tr>
    </w:tbl>
    <w:p>
      <w:pPr>
        <w:spacing w:after="40"/>
      </w:pPr>
    </w:p>
    <w:p>
      <w:pPr>
        <w:spacing w:before="200" w:after="80"/>
      </w:pPr>
      <w:r>
        <w:rPr>
          <w:b/>
          <w:color w:val="1B5E5E"/>
          <w:sz w:val="30"/>
        </w:rPr>
        <w:t>Headline</w:t>
      </w:r>
    </w:p>
    <w:p>
      <w:pPr>
        <w:spacing w:after="80" w:line="259" w:lineRule="auto"/>
      </w:pPr>
      <w:r>
        <w:rPr>
          <w:b/>
          <w:i w:val="0"/>
          <w:sz w:val="20"/>
        </w:rPr>
        <w:t>The model's read: the tape and the fundamentals point in opposite directions, and the gap is an asset story that is not yet on the page.</w:t>
      </w:r>
      <w:r>
        <w:rPr>
          <w:b w:val="0"/>
          <w:i w:val="0"/>
          <w:sz w:val="20"/>
        </w:rPr>
        <w:t xml:space="preserve"> At EGP 7.00 the shares trade at about 3.4× audited book value (~EGP 2.04/share) and near an all-time high, while reported earnings have collapsed — nine-month FY2024/25 attributable profit was EGP 9.4m against EGP 193m a year earlier. Every fundamental lens lands well below the price: a going-concern discounted-cash-flow of the operating business is worth under EGP 1/share at Egyptian discount rates, a relative price-to-book read sits near EGP 2.6, and even a </w:t>
      </w:r>
      <w:r>
        <w:rPr>
          <w:b/>
          <w:i w:val="0"/>
          <w:sz w:val="20"/>
        </w:rPr>
        <w:t>revalued net asset value that generously credits a re-mark of the legacy Alexandria land</w:t>
      </w:r>
      <w:r>
        <w:rPr>
          <w:b w:val="0"/>
          <w:i w:val="0"/>
          <w:sz w:val="20"/>
        </w:rPr>
        <w:t xml:space="preserve"> reaches only ~EGP 3.3. The weighted central estimate is ~EGP 2.39 — roughly a third of the market price. The entire distance between value and price is a single, undisclosed variable: what the company's land and buildings would realise if revalued or monetised. On the tape the stock is the opposite of its fundamentals — above all four major moving averages, RSI in the high-70s, MACD positive — a strong, overbought uptrend rather than a value gap waiting to close. Because the Monte Carlo engine failed its calibration test on KABO (Appendix B), we publish no three-month price distribution; the illustrative cone is shown only to describe the stock's volatility, not to forecast it.</w:t>
      </w:r>
    </w:p>
    <w:p>
      <w:pPr>
        <w:spacing w:before="200" w:after="80"/>
      </w:pPr>
      <w:r>
        <w:rPr>
          <w:b/>
          <w:color w:val="1B5E5E"/>
          <w:sz w:val="30"/>
        </w:rPr>
        <w:t>Valuation summary — every read at a glance</w:t>
      </w:r>
    </w:p>
    <w:p>
      <w:pPr>
        <w:spacing w:after="60" w:line="259" w:lineRule="auto"/>
      </w:pPr>
      <w:r>
        <w:rPr>
          <w:b w:val="0"/>
          <w:i w:val="0"/>
          <w:sz w:val="20"/>
        </w:rPr>
        <w:t>One table for the reads that follow — what the business is worth (fundamental), what the tape is doing (technical), an illustrative volatility map (Monte Carlo, not a forecast here), and how three independent expert methods land. Every row is developed in the sections and appendices below.</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2520"/>
            <w:shd w:val="clear" w:color="auto" w:fill="1B5E5E"/>
            <w:vAlign w:val="center"/>
          </w:tcPr>
          <w:p>
            <w:pPr>
              <w:spacing w:after="20" w:before="20"/>
              <w:jc w:val="left"/>
            </w:pPr>
            <w:r/>
            <w:r>
              <w:rPr>
                <w:b/>
                <w:color w:val="FFFFFF"/>
                <w:sz w:val="18"/>
              </w:rPr>
              <w:t>Lens / read</w:t>
            </w:r>
          </w:p>
        </w:tc>
        <w:tc>
          <w:tcPr>
            <w:tcW w:type="dxa" w:w="4104"/>
            <w:shd w:val="clear" w:color="auto" w:fill="1B5E5E"/>
            <w:vAlign w:val="center"/>
          </w:tcPr>
          <w:p>
            <w:pPr>
              <w:spacing w:after="20" w:before="20"/>
              <w:jc w:val="left"/>
            </w:pPr>
            <w:r/>
            <w:r>
              <w:rPr>
                <w:b/>
                <w:color w:val="FFFFFF"/>
                <w:sz w:val="18"/>
              </w:rPr>
              <w:t>What it measures</w:t>
            </w:r>
          </w:p>
        </w:tc>
        <w:tc>
          <w:tcPr>
            <w:tcW w:type="dxa" w:w="1656"/>
            <w:shd w:val="clear" w:color="auto" w:fill="1B5E5E"/>
            <w:vAlign w:val="center"/>
          </w:tcPr>
          <w:p>
            <w:pPr>
              <w:spacing w:after="20" w:before="20"/>
              <w:jc w:val="center"/>
            </w:pPr>
            <w:r/>
            <w:r>
              <w:rPr>
                <w:b/>
                <w:color w:val="FFFFFF"/>
                <w:sz w:val="18"/>
              </w:rPr>
              <w:t>Output</w:t>
            </w:r>
          </w:p>
        </w:tc>
        <w:tc>
          <w:tcPr>
            <w:tcW w:type="dxa" w:w="2232"/>
            <w:shd w:val="clear" w:color="auto" w:fill="1B5E5E"/>
            <w:vAlign w:val="center"/>
          </w:tcPr>
          <w:p>
            <w:pPr>
              <w:spacing w:after="20" w:before="20"/>
              <w:jc w:val="left"/>
            </w:pPr>
            <w:r/>
            <w:r>
              <w:rPr>
                <w:b/>
                <w:color w:val="FFFFFF"/>
                <w:sz w:val="18"/>
              </w:rPr>
              <w:t>Takeaway</w:t>
            </w:r>
          </w:p>
        </w:tc>
      </w:tr>
      <w:tr>
        <w:tc>
          <w:tcPr>
            <w:tcW w:type="dxa" w:w="2232"/>
            <w:gridSpan w:val="4"/>
            <w:shd w:val="clear" w:color="auto" w:fill="E3ECEC"/>
            <w:vAlign w:val="center"/>
          </w:tcPr>
          <w:p>
            <w:pPr>
              <w:spacing w:after="20" w:before="20"/>
              <w:jc w:val="left"/>
            </w:pPr>
            <w:r/>
            <w:r>
              <w:rPr>
                <w:b/>
                <w:color w:val="1B5E5E"/>
                <w:sz w:val="18"/>
              </w:rPr>
              <w:t>FUNDAMENTAL — what the business is worth (the anchor)</w:t>
            </w:r>
          </w:p>
        </w:tc>
      </w:tr>
      <w:tr>
        <w:tc>
          <w:tcPr>
            <w:tcW w:type="dxa" w:w="2520"/>
            <w:shd w:val="clear" w:color="auto" w:fill="F3F7F7"/>
            <w:vAlign w:val="center"/>
          </w:tcPr>
          <w:p>
            <w:pPr>
              <w:spacing w:after="20" w:before="20"/>
              <w:jc w:val="left"/>
            </w:pPr>
            <w:r/>
            <w:r>
              <w:rPr>
                <w:b w:val="0"/>
                <w:sz w:val="17"/>
              </w:rPr>
              <w:t>Revalued NAV (primary)</w:t>
            </w:r>
          </w:p>
        </w:tc>
        <w:tc>
          <w:tcPr>
            <w:tcW w:type="dxa" w:w="4104"/>
            <w:shd w:val="clear" w:color="auto" w:fill="F3F7F7"/>
            <w:vAlign w:val="center"/>
          </w:tcPr>
          <w:p>
            <w:pPr>
              <w:spacing w:after="20" w:before="20"/>
              <w:jc w:val="left"/>
            </w:pPr>
            <w:r/>
            <w:r>
              <w:rPr>
                <w:b w:val="0"/>
                <w:sz w:val="17"/>
              </w:rPr>
              <w:t>Book equity + land/asset re-mark, less haircuts</w:t>
            </w:r>
          </w:p>
        </w:tc>
        <w:tc>
          <w:tcPr>
            <w:tcW w:type="dxa" w:w="1656"/>
            <w:shd w:val="clear" w:color="auto" w:fill="F3F7F7"/>
            <w:vAlign w:val="center"/>
          </w:tcPr>
          <w:p>
            <w:pPr>
              <w:spacing w:after="20" w:before="20"/>
              <w:jc w:val="center"/>
            </w:pPr>
            <w:r/>
            <w:r>
              <w:rPr>
                <w:b w:val="0"/>
                <w:sz w:val="17"/>
              </w:rPr>
              <w:t>EGP 3.28</w:t>
            </w:r>
          </w:p>
        </w:tc>
        <w:tc>
          <w:tcPr>
            <w:tcW w:type="dxa" w:w="2232"/>
            <w:shd w:val="clear" w:color="auto" w:fill="F3F7F7"/>
            <w:vAlign w:val="center"/>
          </w:tcPr>
          <w:p>
            <w:pPr>
              <w:spacing w:after="20" w:before="20"/>
              <w:jc w:val="left"/>
            </w:pPr>
            <w:r/>
            <w:r>
              <w:rPr>
                <w:b w:val="0"/>
                <w:sz w:val="17"/>
              </w:rPr>
              <w:t>−53% vs spot · the anchor</w:t>
            </w:r>
          </w:p>
        </w:tc>
      </w:tr>
      <w:tr>
        <w:tc>
          <w:tcPr>
            <w:tcW w:type="dxa" w:w="2520"/>
            <w:vAlign w:val="center"/>
          </w:tcPr>
          <w:p>
            <w:pPr>
              <w:spacing w:after="20" w:before="20"/>
              <w:jc w:val="left"/>
            </w:pPr>
            <w:r/>
            <w:r>
              <w:rPr>
                <w:b w:val="0"/>
                <w:sz w:val="17"/>
              </w:rPr>
              <w:t>Going-concern DCF</w:t>
            </w:r>
          </w:p>
        </w:tc>
        <w:tc>
          <w:tcPr>
            <w:tcW w:type="dxa" w:w="4104"/>
            <w:vAlign w:val="center"/>
          </w:tcPr>
          <w:p>
            <w:pPr>
              <w:spacing w:after="20" w:before="20"/>
              <w:jc w:val="left"/>
            </w:pPr>
            <w:r/>
            <w:r>
              <w:rPr>
                <w:b w:val="0"/>
                <w:sz w:val="17"/>
              </w:rPr>
              <w:t>Discounted 5-yr operating cash flows</w:t>
            </w:r>
          </w:p>
        </w:tc>
        <w:tc>
          <w:tcPr>
            <w:tcW w:type="dxa" w:w="1656"/>
            <w:vAlign w:val="center"/>
          </w:tcPr>
          <w:p>
            <w:pPr>
              <w:spacing w:after="20" w:before="20"/>
              <w:jc w:val="center"/>
            </w:pPr>
            <w:r/>
            <w:r>
              <w:rPr>
                <w:b w:val="0"/>
                <w:sz w:val="17"/>
              </w:rPr>
              <w:t>EGP 0.55</w:t>
            </w:r>
          </w:p>
        </w:tc>
        <w:tc>
          <w:tcPr>
            <w:tcW w:type="dxa" w:w="2232"/>
            <w:vAlign w:val="center"/>
          </w:tcPr>
          <w:p>
            <w:pPr>
              <w:spacing w:after="20" w:before="20"/>
              <w:jc w:val="left"/>
            </w:pPr>
            <w:r/>
            <w:r>
              <w:rPr>
                <w:b w:val="0"/>
                <w:sz w:val="17"/>
              </w:rPr>
              <w:t>−92% · the floor of operations</w:t>
            </w:r>
          </w:p>
        </w:tc>
      </w:tr>
      <w:tr>
        <w:tc>
          <w:tcPr>
            <w:tcW w:type="dxa" w:w="2520"/>
            <w:shd w:val="clear" w:color="auto" w:fill="F3F7F7"/>
            <w:vAlign w:val="center"/>
          </w:tcPr>
          <w:p>
            <w:pPr>
              <w:spacing w:after="20" w:before="20"/>
              <w:jc w:val="left"/>
            </w:pPr>
            <w:r/>
            <w:r>
              <w:rPr>
                <w:b w:val="0"/>
                <w:sz w:val="17"/>
              </w:rPr>
              <w:t>Relative multiples</w:t>
            </w:r>
          </w:p>
        </w:tc>
        <w:tc>
          <w:tcPr>
            <w:tcW w:type="dxa" w:w="4104"/>
            <w:shd w:val="clear" w:color="auto" w:fill="F3F7F7"/>
            <w:vAlign w:val="center"/>
          </w:tcPr>
          <w:p>
            <w:pPr>
              <w:spacing w:after="20" w:before="20"/>
              <w:jc w:val="left"/>
            </w:pPr>
            <w:r/>
            <w:r>
              <w:rPr>
                <w:b w:val="0"/>
                <w:sz w:val="17"/>
              </w:rPr>
              <w:t>Justified price-to-book</w:t>
            </w:r>
          </w:p>
        </w:tc>
        <w:tc>
          <w:tcPr>
            <w:tcW w:type="dxa" w:w="1656"/>
            <w:shd w:val="clear" w:color="auto" w:fill="F3F7F7"/>
            <w:vAlign w:val="center"/>
          </w:tcPr>
          <w:p>
            <w:pPr>
              <w:spacing w:after="20" w:before="20"/>
              <w:jc w:val="center"/>
            </w:pPr>
            <w:r/>
            <w:r>
              <w:rPr>
                <w:b w:val="0"/>
                <w:sz w:val="17"/>
              </w:rPr>
              <w:t>EGP 2.65</w:t>
            </w:r>
          </w:p>
        </w:tc>
        <w:tc>
          <w:tcPr>
            <w:tcW w:type="dxa" w:w="2232"/>
            <w:shd w:val="clear" w:color="auto" w:fill="F3F7F7"/>
            <w:vAlign w:val="center"/>
          </w:tcPr>
          <w:p>
            <w:pPr>
              <w:spacing w:after="20" w:before="20"/>
              <w:jc w:val="left"/>
            </w:pPr>
            <w:r/>
            <w:r>
              <w:rPr>
                <w:b w:val="0"/>
                <w:sz w:val="17"/>
              </w:rPr>
              <w:t>−62%</w:t>
            </w:r>
          </w:p>
        </w:tc>
      </w:tr>
      <w:tr>
        <w:tc>
          <w:tcPr>
            <w:tcW w:type="dxa" w:w="2520"/>
            <w:vAlign w:val="center"/>
          </w:tcPr>
          <w:p>
            <w:pPr>
              <w:spacing w:after="20" w:before="20"/>
              <w:jc w:val="left"/>
            </w:pPr>
            <w:r/>
            <w:r>
              <w:rPr>
                <w:b w:val="0"/>
                <w:sz w:val="17"/>
              </w:rPr>
              <w:t>Normalized earnings</w:t>
            </w:r>
          </w:p>
        </w:tc>
        <w:tc>
          <w:tcPr>
            <w:tcW w:type="dxa" w:w="4104"/>
            <w:vAlign w:val="center"/>
          </w:tcPr>
          <w:p>
            <w:pPr>
              <w:spacing w:after="20" w:before="20"/>
              <w:jc w:val="left"/>
            </w:pPr>
            <w:r/>
            <w:r>
              <w:rPr>
                <w:b w:val="0"/>
                <w:sz w:val="17"/>
              </w:rPr>
              <w:t>Mid-cycle EPS × through-cycle P/E</w:t>
            </w:r>
          </w:p>
        </w:tc>
        <w:tc>
          <w:tcPr>
            <w:tcW w:type="dxa" w:w="1656"/>
            <w:vAlign w:val="center"/>
          </w:tcPr>
          <w:p>
            <w:pPr>
              <w:spacing w:after="20" w:before="20"/>
              <w:jc w:val="center"/>
            </w:pPr>
            <w:r/>
            <w:r>
              <w:rPr>
                <w:b w:val="0"/>
                <w:sz w:val="17"/>
              </w:rPr>
              <w:t>EGP 1.24</w:t>
            </w:r>
          </w:p>
        </w:tc>
        <w:tc>
          <w:tcPr>
            <w:tcW w:type="dxa" w:w="2232"/>
            <w:vAlign w:val="center"/>
          </w:tcPr>
          <w:p>
            <w:pPr>
              <w:spacing w:after="20" w:before="20"/>
              <w:jc w:val="left"/>
            </w:pPr>
            <w:r/>
            <w:r>
              <w:rPr>
                <w:b w:val="0"/>
                <w:sz w:val="17"/>
              </w:rPr>
              <w:t>−82%</w:t>
            </w:r>
          </w:p>
        </w:tc>
      </w:tr>
      <w:tr>
        <w:tc>
          <w:tcPr>
            <w:tcW w:type="dxa" w:w="2520"/>
            <w:shd w:val="clear" w:color="auto" w:fill="E3ECEC"/>
            <w:vAlign w:val="center"/>
          </w:tcPr>
          <w:p>
            <w:pPr>
              <w:spacing w:after="20" w:before="20"/>
              <w:jc w:val="left"/>
            </w:pPr>
            <w:r/>
            <w:r>
              <w:rPr>
                <w:b/>
                <w:sz w:val="17"/>
              </w:rPr>
              <w:t>Weighted central</w:t>
            </w:r>
          </w:p>
        </w:tc>
        <w:tc>
          <w:tcPr>
            <w:tcW w:type="dxa" w:w="4104"/>
            <w:shd w:val="clear" w:color="auto" w:fill="E3ECEC"/>
            <w:vAlign w:val="center"/>
          </w:tcPr>
          <w:p>
            <w:pPr>
              <w:spacing w:after="20" w:before="20"/>
              <w:jc w:val="left"/>
            </w:pPr>
            <w:r/>
            <w:r>
              <w:rPr>
                <w:b/>
                <w:sz w:val="17"/>
              </w:rPr>
              <w:t>Blend 45 / 15 / 25 / 15</w:t>
            </w:r>
          </w:p>
        </w:tc>
        <w:tc>
          <w:tcPr>
            <w:tcW w:type="dxa" w:w="1656"/>
            <w:shd w:val="clear" w:color="auto" w:fill="E3ECEC"/>
            <w:vAlign w:val="center"/>
          </w:tcPr>
          <w:p>
            <w:pPr>
              <w:spacing w:after="20" w:before="20"/>
              <w:jc w:val="center"/>
            </w:pPr>
            <w:r/>
            <w:r>
              <w:rPr>
                <w:b/>
                <w:sz w:val="17"/>
              </w:rPr>
              <w:t>EGP 2.39</w:t>
            </w:r>
          </w:p>
        </w:tc>
        <w:tc>
          <w:tcPr>
            <w:tcW w:type="dxa" w:w="2232"/>
            <w:shd w:val="clear" w:color="auto" w:fill="E3ECEC"/>
            <w:vAlign w:val="center"/>
          </w:tcPr>
          <w:p>
            <w:pPr>
              <w:spacing w:after="20" w:before="20"/>
              <w:jc w:val="left"/>
            </w:pPr>
            <w:r/>
            <w:r>
              <w:rPr>
                <w:b/>
                <w:sz w:val="17"/>
              </w:rPr>
              <w:t>−66% vs EGP 7.00</w:t>
            </w:r>
          </w:p>
        </w:tc>
      </w:tr>
      <w:tr>
        <w:tc>
          <w:tcPr>
            <w:tcW w:type="dxa" w:w="2232"/>
            <w:gridSpan w:val="4"/>
            <w:shd w:val="clear" w:color="auto" w:fill="E3ECEC"/>
            <w:vAlign w:val="center"/>
          </w:tcPr>
          <w:p>
            <w:pPr>
              <w:spacing w:after="20" w:before="20"/>
              <w:jc w:val="left"/>
            </w:pPr>
            <w:r/>
            <w:r>
              <w:rPr>
                <w:b/>
                <w:color w:val="1B5E5E"/>
                <w:sz w:val="18"/>
              </w:rPr>
              <w:t>TECHNICAL — what the tape is doing (timing, not value)</w:t>
            </w:r>
          </w:p>
        </w:tc>
      </w:tr>
      <w:tr>
        <w:tc>
          <w:tcPr>
            <w:tcW w:type="dxa" w:w="2520"/>
            <w:shd w:val="clear" w:color="auto" w:fill="F3F7F7"/>
            <w:vAlign w:val="center"/>
          </w:tcPr>
          <w:p>
            <w:pPr>
              <w:spacing w:after="20" w:before="20"/>
              <w:jc w:val="left"/>
            </w:pPr>
            <w:r/>
            <w:r>
              <w:rPr>
                <w:b w:val="0"/>
                <w:sz w:val="17"/>
              </w:rPr>
              <w:t>Trend &amp; momentum</w:t>
            </w:r>
          </w:p>
        </w:tc>
        <w:tc>
          <w:tcPr>
            <w:tcW w:type="dxa" w:w="4104"/>
            <w:shd w:val="clear" w:color="auto" w:fill="F3F7F7"/>
            <w:vAlign w:val="center"/>
          </w:tcPr>
          <w:p>
            <w:pPr>
              <w:spacing w:after="20" w:before="20"/>
              <w:jc w:val="left"/>
            </w:pPr>
            <w:r/>
            <w:r>
              <w:rPr>
                <w:b w:val="0"/>
                <w:sz w:val="17"/>
              </w:rPr>
              <w:t>Price vs the 20/50/100/200-day averages</w:t>
            </w:r>
          </w:p>
        </w:tc>
        <w:tc>
          <w:tcPr>
            <w:tcW w:type="dxa" w:w="1656"/>
            <w:shd w:val="clear" w:color="auto" w:fill="F3F7F7"/>
            <w:vAlign w:val="center"/>
          </w:tcPr>
          <w:p>
            <w:pPr>
              <w:spacing w:after="20" w:before="20"/>
              <w:jc w:val="center"/>
            </w:pPr>
            <w:r/>
            <w:r>
              <w:rPr>
                <w:b w:val="0"/>
                <w:sz w:val="17"/>
              </w:rPr>
              <w:t>Above all four</w:t>
            </w:r>
          </w:p>
        </w:tc>
        <w:tc>
          <w:tcPr>
            <w:tcW w:type="dxa" w:w="2232"/>
            <w:shd w:val="clear" w:color="auto" w:fill="F3F7F7"/>
            <w:vAlign w:val="center"/>
          </w:tcPr>
          <w:p>
            <w:pPr>
              <w:spacing w:after="20" w:before="20"/>
              <w:jc w:val="left"/>
            </w:pPr>
            <w:r/>
            <w:r>
              <w:rPr>
                <w:b w:val="0"/>
                <w:sz w:val="17"/>
              </w:rPr>
              <w:t>Strong, extended</w:t>
            </w:r>
          </w:p>
        </w:tc>
      </w:tr>
      <w:tr>
        <w:tc>
          <w:tcPr>
            <w:tcW w:type="dxa" w:w="2520"/>
            <w:vAlign w:val="center"/>
          </w:tcPr>
          <w:p>
            <w:pPr>
              <w:spacing w:after="20" w:before="20"/>
              <w:jc w:val="left"/>
            </w:pPr>
            <w:r/>
            <w:r>
              <w:rPr>
                <w:b w:val="0"/>
                <w:sz w:val="17"/>
              </w:rPr>
              <w:t>Momentum / range</w:t>
            </w:r>
          </w:p>
        </w:tc>
        <w:tc>
          <w:tcPr>
            <w:tcW w:type="dxa" w:w="4104"/>
            <w:vAlign w:val="center"/>
          </w:tcPr>
          <w:p>
            <w:pPr>
              <w:spacing w:after="20" w:before="20"/>
              <w:jc w:val="left"/>
            </w:pPr>
            <w:r/>
            <w:r>
              <w:rPr>
                <w:b w:val="0"/>
                <w:sz w:val="17"/>
              </w:rPr>
              <w:t>RSI · MACD · 52-week range</w:t>
            </w:r>
          </w:p>
        </w:tc>
        <w:tc>
          <w:tcPr>
            <w:tcW w:type="dxa" w:w="1656"/>
            <w:vAlign w:val="center"/>
          </w:tcPr>
          <w:p>
            <w:pPr>
              <w:spacing w:after="20" w:before="20"/>
              <w:jc w:val="center"/>
            </w:pPr>
            <w:r/>
            <w:r>
              <w:rPr>
                <w:b w:val="0"/>
                <w:sz w:val="17"/>
              </w:rPr>
              <w:t>RSI 78 · MACD +0.05 · EGP 4.71–7.13</w:t>
            </w:r>
          </w:p>
        </w:tc>
        <w:tc>
          <w:tcPr>
            <w:tcW w:type="dxa" w:w="2232"/>
            <w:vAlign w:val="center"/>
          </w:tcPr>
          <w:p>
            <w:pPr>
              <w:spacing w:after="20" w:before="20"/>
              <w:jc w:val="left"/>
            </w:pPr>
            <w:r/>
            <w:r>
              <w:rPr>
                <w:b w:val="0"/>
                <w:sz w:val="17"/>
              </w:rPr>
              <w:t>Overbought</w:t>
            </w:r>
          </w:p>
        </w:tc>
      </w:tr>
      <w:tr>
        <w:tc>
          <w:tcPr>
            <w:tcW w:type="dxa" w:w="2232"/>
            <w:gridSpan w:val="4"/>
            <w:shd w:val="clear" w:color="auto" w:fill="E3ECEC"/>
            <w:vAlign w:val="center"/>
          </w:tcPr>
          <w:p>
            <w:pPr>
              <w:spacing w:after="20" w:before="20"/>
              <w:jc w:val="left"/>
            </w:pPr>
            <w:r/>
            <w:r>
              <w:rPr>
                <w:b/>
                <w:color w:val="1B5E5E"/>
                <w:sz w:val="18"/>
              </w:rPr>
              <w:t>MONTE CARLO — ILLUSTRATIVE ONLY (failed calibration — no forecast published)</w:t>
            </w:r>
          </w:p>
        </w:tc>
      </w:tr>
      <w:tr>
        <w:tc>
          <w:tcPr>
            <w:tcW w:type="dxa" w:w="2520"/>
            <w:vAlign w:val="center"/>
          </w:tcPr>
          <w:p>
            <w:pPr>
              <w:spacing w:after="20" w:before="20"/>
              <w:jc w:val="left"/>
            </w:pPr>
            <w:r/>
            <w:r>
              <w:rPr>
                <w:b w:val="0"/>
                <w:sz w:val="17"/>
              </w:rPr>
              <w:t>Step 0 gate</w:t>
            </w:r>
          </w:p>
        </w:tc>
        <w:tc>
          <w:tcPr>
            <w:tcW w:type="dxa" w:w="4104"/>
            <w:vAlign w:val="center"/>
          </w:tcPr>
          <w:p>
            <w:pPr>
              <w:spacing w:after="20" w:before="20"/>
              <w:jc w:val="left"/>
            </w:pPr>
            <w:r/>
            <w:r>
              <w:rPr>
                <w:b w:val="0"/>
                <w:sz w:val="17"/>
              </w:rPr>
              <w:t>CRPS skill vs random-walk cone</w:t>
            </w:r>
          </w:p>
        </w:tc>
        <w:tc>
          <w:tcPr>
            <w:tcW w:type="dxa" w:w="1656"/>
            <w:vAlign w:val="center"/>
          </w:tcPr>
          <w:p>
            <w:pPr>
              <w:spacing w:after="20" w:before="20"/>
              <w:jc w:val="center"/>
            </w:pPr>
            <w:r/>
            <w:r>
              <w:rPr>
                <w:b w:val="0"/>
                <w:sz w:val="17"/>
              </w:rPr>
              <w:t>−0.010 (fails &gt; 0)</w:t>
            </w:r>
          </w:p>
        </w:tc>
        <w:tc>
          <w:tcPr>
            <w:tcW w:type="dxa" w:w="2232"/>
            <w:vAlign w:val="center"/>
          </w:tcPr>
          <w:p>
            <w:pPr>
              <w:spacing w:after="20" w:before="20"/>
              <w:jc w:val="left"/>
            </w:pPr>
            <w:r/>
            <w:r>
              <w:rPr>
                <w:b w:val="0"/>
                <w:sz w:val="17"/>
              </w:rPr>
              <w:t>Engine has no edge on KABO</w:t>
            </w:r>
          </w:p>
        </w:tc>
      </w:tr>
      <w:tr>
        <w:tc>
          <w:tcPr>
            <w:tcW w:type="dxa" w:w="2520"/>
            <w:shd w:val="clear" w:color="auto" w:fill="F3F7F7"/>
            <w:vAlign w:val="center"/>
          </w:tcPr>
          <w:p>
            <w:pPr>
              <w:spacing w:after="20" w:before="20"/>
              <w:jc w:val="left"/>
            </w:pPr>
            <w:r/>
            <w:r>
              <w:rPr>
                <w:b w:val="0"/>
                <w:sz w:val="17"/>
              </w:rPr>
              <w:t>Illustrative cone</w:t>
            </w:r>
          </w:p>
        </w:tc>
        <w:tc>
          <w:tcPr>
            <w:tcW w:type="dxa" w:w="4104"/>
            <w:shd w:val="clear" w:color="auto" w:fill="F3F7F7"/>
            <w:vAlign w:val="center"/>
          </w:tcPr>
          <w:p>
            <w:pPr>
              <w:spacing w:after="20" w:before="20"/>
              <w:jc w:val="left"/>
            </w:pPr>
            <w:r/>
            <w:r>
              <w:rPr>
                <w:b w:val="0"/>
                <w:sz w:val="17"/>
              </w:rPr>
              <w:t>50,000 paths · shown for volatility only</w:t>
            </w:r>
          </w:p>
        </w:tc>
        <w:tc>
          <w:tcPr>
            <w:tcW w:type="dxa" w:w="1656"/>
            <w:shd w:val="clear" w:color="auto" w:fill="F3F7F7"/>
            <w:vAlign w:val="center"/>
          </w:tcPr>
          <w:p>
            <w:pPr>
              <w:spacing w:after="20" w:before="20"/>
              <w:jc w:val="center"/>
            </w:pPr>
            <w:r/>
            <w:r>
              <w:rPr>
                <w:b w:val="0"/>
                <w:sz w:val="17"/>
              </w:rPr>
              <w:t>p5 4.79 · p50 7.12 · p95 10.68</w:t>
            </w:r>
          </w:p>
        </w:tc>
        <w:tc>
          <w:tcPr>
            <w:tcW w:type="dxa" w:w="2232"/>
            <w:shd w:val="clear" w:color="auto" w:fill="F3F7F7"/>
            <w:vAlign w:val="center"/>
          </w:tcPr>
          <w:p>
            <w:pPr>
              <w:spacing w:after="20" w:before="20"/>
              <w:jc w:val="left"/>
            </w:pPr>
            <w:r/>
            <w:r>
              <w:rPr>
                <w:b w:val="0"/>
                <w:sz w:val="17"/>
              </w:rPr>
              <w:t>Not a probability forecast</w:t>
            </w:r>
          </w:p>
        </w:tc>
      </w:tr>
      <w:tr>
        <w:tc>
          <w:tcPr>
            <w:tcW w:type="dxa" w:w="2232"/>
            <w:gridSpan w:val="4"/>
            <w:shd w:val="clear" w:color="auto" w:fill="E3ECEC"/>
            <w:vAlign w:val="center"/>
          </w:tcPr>
          <w:p>
            <w:pPr>
              <w:spacing w:after="20" w:before="20"/>
              <w:jc w:val="left"/>
            </w:pPr>
            <w:r/>
            <w:r>
              <w:rPr>
                <w:b/>
                <w:color w:val="1B5E5E"/>
                <w:sz w:val="18"/>
              </w:rPr>
              <w:t>EXPERT PANEL — three independent methods (closing appendix)</w:t>
            </w:r>
          </w:p>
        </w:tc>
      </w:tr>
      <w:tr>
        <w:tc>
          <w:tcPr>
            <w:tcW w:type="dxa" w:w="2520"/>
            <w:shd w:val="clear" w:color="auto" w:fill="F3F7F7"/>
            <w:vAlign w:val="center"/>
          </w:tcPr>
          <w:p>
            <w:pPr>
              <w:spacing w:after="20" w:before="20"/>
              <w:jc w:val="left"/>
            </w:pPr>
            <w:r/>
            <w:r>
              <w:rPr>
                <w:b w:val="0"/>
                <w:sz w:val="17"/>
              </w:rPr>
              <w:t>Expert 1 — revalued NAV</w:t>
            </w:r>
          </w:p>
        </w:tc>
        <w:tc>
          <w:tcPr>
            <w:tcW w:type="dxa" w:w="4104"/>
            <w:shd w:val="clear" w:color="auto" w:fill="F3F7F7"/>
            <w:vAlign w:val="center"/>
          </w:tcPr>
          <w:p>
            <w:pPr>
              <w:spacing w:after="20" w:before="20"/>
              <w:jc w:val="left"/>
            </w:pPr>
            <w:r/>
            <w:r>
              <w:rPr>
                <w:b w:val="0"/>
                <w:sz w:val="17"/>
              </w:rPr>
              <w:t>Land/asset re-mark, less discount</w:t>
            </w:r>
          </w:p>
        </w:tc>
        <w:tc>
          <w:tcPr>
            <w:tcW w:type="dxa" w:w="1656"/>
            <w:shd w:val="clear" w:color="auto" w:fill="F3F7F7"/>
            <w:vAlign w:val="center"/>
          </w:tcPr>
          <w:p>
            <w:pPr>
              <w:spacing w:after="20" w:before="20"/>
              <w:jc w:val="center"/>
            </w:pPr>
            <w:r/>
            <w:r>
              <w:rPr>
                <w:b w:val="0"/>
                <w:sz w:val="17"/>
              </w:rPr>
              <w:t>EGP 3.10</w:t>
            </w:r>
          </w:p>
        </w:tc>
        <w:tc>
          <w:tcPr>
            <w:tcW w:type="dxa" w:w="2232"/>
            <w:shd w:val="clear" w:color="auto" w:fill="F3F7F7"/>
            <w:vAlign w:val="center"/>
          </w:tcPr>
          <w:p>
            <w:pPr>
              <w:spacing w:after="20" w:before="20"/>
              <w:jc w:val="left"/>
            </w:pPr>
            <w:r/>
            <w:r>
              <w:rPr>
                <w:b w:val="0"/>
                <w:sz w:val="17"/>
              </w:rPr>
              <w:t>The anchor</w:t>
            </w:r>
          </w:p>
        </w:tc>
      </w:tr>
      <w:tr>
        <w:tc>
          <w:tcPr>
            <w:tcW w:type="dxa" w:w="2520"/>
            <w:vAlign w:val="center"/>
          </w:tcPr>
          <w:p>
            <w:pPr>
              <w:spacing w:after="20" w:before="20"/>
              <w:jc w:val="left"/>
            </w:pPr>
            <w:r/>
            <w:r>
              <w:rPr>
                <w:b w:val="0"/>
                <w:sz w:val="17"/>
              </w:rPr>
              <w:t>Expert 2 — normalized earnings</w:t>
            </w:r>
          </w:p>
        </w:tc>
        <w:tc>
          <w:tcPr>
            <w:tcW w:type="dxa" w:w="4104"/>
            <w:vAlign w:val="center"/>
          </w:tcPr>
          <w:p>
            <w:pPr>
              <w:spacing w:after="20" w:before="20"/>
              <w:jc w:val="left"/>
            </w:pPr>
            <w:r/>
            <w:r>
              <w:rPr>
                <w:b w:val="0"/>
                <w:sz w:val="17"/>
              </w:rPr>
              <w:t>Mid-cycle margin × multiple</w:t>
            </w:r>
          </w:p>
        </w:tc>
        <w:tc>
          <w:tcPr>
            <w:tcW w:type="dxa" w:w="1656"/>
            <w:vAlign w:val="center"/>
          </w:tcPr>
          <w:p>
            <w:pPr>
              <w:spacing w:after="20" w:before="20"/>
              <w:jc w:val="center"/>
            </w:pPr>
            <w:r/>
            <w:r>
              <w:rPr>
                <w:b w:val="0"/>
                <w:sz w:val="17"/>
              </w:rPr>
              <w:t>EGP 1.30</w:t>
            </w:r>
          </w:p>
        </w:tc>
        <w:tc>
          <w:tcPr>
            <w:tcW w:type="dxa" w:w="2232"/>
            <w:vAlign w:val="center"/>
          </w:tcPr>
          <w:p>
            <w:pPr>
              <w:spacing w:after="20" w:before="20"/>
              <w:jc w:val="left"/>
            </w:pPr>
            <w:r/>
            <w:r>
              <w:rPr>
                <w:b w:val="0"/>
                <w:sz w:val="17"/>
              </w:rPr>
              <w:t>Most conservative on ops</w:t>
            </w:r>
          </w:p>
        </w:tc>
      </w:tr>
      <w:tr>
        <w:tc>
          <w:tcPr>
            <w:tcW w:type="dxa" w:w="2520"/>
            <w:shd w:val="clear" w:color="auto" w:fill="F3F7F7"/>
            <w:vAlign w:val="center"/>
          </w:tcPr>
          <w:p>
            <w:pPr>
              <w:spacing w:after="20" w:before="20"/>
              <w:jc w:val="left"/>
            </w:pPr>
            <w:r/>
            <w:r>
              <w:rPr>
                <w:b w:val="0"/>
                <w:sz w:val="17"/>
              </w:rPr>
              <w:t>Expert 3 — scenario / policy</w:t>
            </w:r>
          </w:p>
        </w:tc>
        <w:tc>
          <w:tcPr>
            <w:tcW w:type="dxa" w:w="4104"/>
            <w:shd w:val="clear" w:color="auto" w:fill="F3F7F7"/>
            <w:vAlign w:val="center"/>
          </w:tcPr>
          <w:p>
            <w:pPr>
              <w:spacing w:after="20" w:before="20"/>
              <w:jc w:val="left"/>
            </w:pPr>
            <w:r/>
            <w:r>
              <w:rPr>
                <w:b w:val="0"/>
                <w:sz w:val="17"/>
              </w:rPr>
              <w:t>EGP, land-monetisation &amp; restructuring odds</w:t>
            </w:r>
          </w:p>
        </w:tc>
        <w:tc>
          <w:tcPr>
            <w:tcW w:type="dxa" w:w="1656"/>
            <w:shd w:val="clear" w:color="auto" w:fill="F3F7F7"/>
            <w:vAlign w:val="center"/>
          </w:tcPr>
          <w:p>
            <w:pPr>
              <w:spacing w:after="20" w:before="20"/>
              <w:jc w:val="center"/>
            </w:pPr>
            <w:r/>
            <w:r>
              <w:rPr>
                <w:b w:val="0"/>
                <w:sz w:val="17"/>
              </w:rPr>
              <w:t>EGP 2.40</w:t>
            </w:r>
          </w:p>
        </w:tc>
        <w:tc>
          <w:tcPr>
            <w:tcW w:type="dxa" w:w="2232"/>
            <w:shd w:val="clear" w:color="auto" w:fill="F3F7F7"/>
            <w:vAlign w:val="center"/>
          </w:tcPr>
          <w:p>
            <w:pPr>
              <w:spacing w:after="20" w:before="20"/>
              <w:jc w:val="left"/>
            </w:pPr>
            <w:r/>
            <w:r>
              <w:rPr>
                <w:b w:val="0"/>
                <w:sz w:val="17"/>
              </w:rPr>
              <w:t>The catalyst bet</w:t>
            </w:r>
          </w:p>
        </w:tc>
      </w:tr>
      <w:tr>
        <w:tc>
          <w:tcPr>
            <w:tcW w:type="dxa" w:w="2520"/>
            <w:shd w:val="clear" w:color="auto" w:fill="E3ECEC"/>
            <w:vAlign w:val="center"/>
          </w:tcPr>
          <w:p>
            <w:pPr>
              <w:spacing w:after="20" w:before="20"/>
              <w:jc w:val="left"/>
            </w:pPr>
            <w:r/>
            <w:r>
              <w:rPr>
                <w:b/>
                <w:sz w:val="17"/>
              </w:rPr>
              <w:t>Panel range</w:t>
            </w:r>
          </w:p>
        </w:tc>
        <w:tc>
          <w:tcPr>
            <w:tcW w:type="dxa" w:w="4104"/>
            <w:shd w:val="clear" w:color="auto" w:fill="E3ECEC"/>
            <w:vAlign w:val="center"/>
          </w:tcPr>
          <w:p>
            <w:pPr>
              <w:spacing w:after="20" w:before="20"/>
              <w:jc w:val="left"/>
            </w:pPr>
            <w:r/>
            <w:r>
              <w:rPr>
                <w:b/>
                <w:sz w:val="17"/>
              </w:rPr>
              <w:t>Spread = the land question</w:t>
            </w:r>
          </w:p>
        </w:tc>
        <w:tc>
          <w:tcPr>
            <w:tcW w:type="dxa" w:w="1656"/>
            <w:shd w:val="clear" w:color="auto" w:fill="E3ECEC"/>
            <w:vAlign w:val="center"/>
          </w:tcPr>
          <w:p>
            <w:pPr>
              <w:spacing w:after="20" w:before="20"/>
              <w:jc w:val="center"/>
            </w:pPr>
            <w:r/>
            <w:r>
              <w:rPr>
                <w:b/>
                <w:sz w:val="17"/>
              </w:rPr>
              <w:t>EGP 1.30–3.10</w:t>
            </w:r>
          </w:p>
        </w:tc>
        <w:tc>
          <w:tcPr>
            <w:tcW w:type="dxa" w:w="2232"/>
            <w:shd w:val="clear" w:color="auto" w:fill="E3ECEC"/>
            <w:vAlign w:val="center"/>
          </w:tcPr>
          <w:p>
            <w:pPr>
              <w:spacing w:after="20" w:before="20"/>
              <w:jc w:val="left"/>
            </w:pPr>
            <w:r/>
            <w:r>
              <w:rPr>
                <w:b/>
                <w:sz w:val="17"/>
              </w:rPr>
              <w:t>Centres ~EGP 2.45</w:t>
            </w:r>
          </w:p>
        </w:tc>
      </w:tr>
    </w:tbl>
    <w:p>
      <w:pPr>
        <w:spacing w:after="40"/>
      </w:pPr>
    </w:p>
    <w:p>
      <w:pPr>
        <w:spacing w:after="80" w:line="259" w:lineRule="auto"/>
      </w:pPr>
      <w:r>
        <w:rPr>
          <w:b/>
          <w:i w:val="0"/>
          <w:sz w:val="20"/>
        </w:rPr>
        <w:t xml:space="preserve">Bottom line. </w:t>
      </w:r>
      <w:r>
        <w:rPr>
          <w:b w:val="0"/>
          <w:i w:val="0"/>
          <w:sz w:val="20"/>
        </w:rPr>
        <w:t>Every fundamental read points the same way: on its operations and its audited assets, KABO is worth a fraction of its market price. The reads disagree only on how much latent asset value to credit — from ~EGP 0.9 (operating cash flows alone) to ~EGP 3.3 (a generous land re-mark). The technical tape is the lone dissenter, strong and overbought near an all-time high. The honest summary is a value well below price, a momentum picture well above it, and a gap that only closes if the company's land is worth far more than its books show — and is actually revalued or sold. We publish the range and the distribution of expert views, not a target.</w:t>
      </w:r>
    </w:p>
    <w:p>
      <w:pPr>
        <w:spacing w:before="200" w:after="80"/>
      </w:pPr>
      <w:r>
        <w:rPr>
          <w:b/>
          <w:color w:val="1B5E5E"/>
          <w:sz w:val="30"/>
        </w:rPr>
        <w:t>Company overview — El Nasr Clothing &amp; Textiles (Kabo) at a glance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5112"/>
        <w:gridCol w:w="5112"/>
      </w:tblGrid>
      <w:tr>
        <w:tc>
          <w:tcPr>
            <w:tcW w:type="dxa" w:w="2448"/>
            <w:shd w:val="clear" w:color="auto" w:fill="1B5E5E"/>
            <w:vAlign w:val="center"/>
          </w:tcPr>
          <w:p>
            <w:pPr>
              <w:spacing w:after="20" w:before="20"/>
              <w:jc w:val="left"/>
            </w:pPr>
            <w:r/>
            <w:r>
              <w:rPr>
                <w:b/>
                <w:color w:val="FFFFFF"/>
                <w:sz w:val="18"/>
              </w:rPr>
              <w:t>Item</w:t>
            </w:r>
          </w:p>
        </w:tc>
        <w:tc>
          <w:tcPr>
            <w:tcW w:type="dxa" w:w="7776"/>
            <w:shd w:val="clear" w:color="auto" w:fill="1B5E5E"/>
            <w:vAlign w:val="center"/>
          </w:tcPr>
          <w:p>
            <w:pPr>
              <w:spacing w:after="20" w:before="20"/>
              <w:jc w:val="left"/>
            </w:pPr>
            <w:r/>
            <w:r>
              <w:rPr>
                <w:b/>
                <w:color w:val="FFFFFF"/>
                <w:sz w:val="18"/>
              </w:rPr>
              <w:t>Value</w:t>
            </w:r>
          </w:p>
        </w:tc>
      </w:tr>
      <w:tr>
        <w:tc>
          <w:tcPr>
            <w:tcW w:type="dxa" w:w="2448"/>
            <w:vAlign w:val="center"/>
          </w:tcPr>
          <w:p>
            <w:pPr>
              <w:spacing w:after="20" w:before="20"/>
              <w:jc w:val="left"/>
            </w:pPr>
            <w:r/>
            <w:r>
              <w:rPr>
                <w:b w:val="0"/>
                <w:sz w:val="18"/>
              </w:rPr>
              <w:t>Listed entity</w:t>
            </w:r>
          </w:p>
        </w:tc>
        <w:tc>
          <w:tcPr>
            <w:tcW w:type="dxa" w:w="7776"/>
            <w:vAlign w:val="center"/>
          </w:tcPr>
          <w:p>
            <w:pPr>
              <w:spacing w:after="20" w:before="20"/>
              <w:jc w:val="left"/>
            </w:pPr>
            <w:r/>
            <w:r>
              <w:rPr>
                <w:b w:val="0"/>
                <w:sz w:val="18"/>
              </w:rPr>
              <w:t>El Nasr Clothing &amp; Textiles Co. S.A.E — "Kabo" (EGX: KABO; Reuters KABO.CA; ISIN EGS33061C010)</w:t>
            </w:r>
          </w:p>
        </w:tc>
      </w:tr>
      <w:tr>
        <w:tc>
          <w:tcPr>
            <w:tcW w:type="dxa" w:w="2448"/>
            <w:shd w:val="clear" w:color="auto" w:fill="F3F7F7"/>
            <w:vAlign w:val="center"/>
          </w:tcPr>
          <w:p>
            <w:pPr>
              <w:spacing w:after="20" w:before="20"/>
              <w:jc w:val="left"/>
            </w:pPr>
            <w:r/>
            <w:r>
              <w:rPr>
                <w:b w:val="0"/>
                <w:sz w:val="18"/>
              </w:rPr>
              <w:t>What it does</w:t>
            </w:r>
          </w:p>
        </w:tc>
        <w:tc>
          <w:tcPr>
            <w:tcW w:type="dxa" w:w="7776"/>
            <w:shd w:val="clear" w:color="auto" w:fill="F3F7F7"/>
            <w:vAlign w:val="center"/>
          </w:tcPr>
          <w:p>
            <w:pPr>
              <w:spacing w:after="20" w:before="20"/>
              <w:jc w:val="left"/>
            </w:pPr>
            <w:r/>
            <w:r>
              <w:rPr>
                <w:b w:val="0"/>
                <w:sz w:val="18"/>
              </w:rPr>
              <w:t>Manufacture and export of knitted apparel — underwear, loungewear, sportswear, polos, T-shirts (brands Kabo, Jil, Super Kabo)</w:t>
            </w:r>
          </w:p>
        </w:tc>
      </w:tr>
      <w:tr>
        <w:tc>
          <w:tcPr>
            <w:tcW w:type="dxa" w:w="2448"/>
            <w:vAlign w:val="center"/>
          </w:tcPr>
          <w:p>
            <w:pPr>
              <w:spacing w:after="20" w:before="20"/>
              <w:jc w:val="left"/>
            </w:pPr>
            <w:r/>
            <w:r>
              <w:rPr>
                <w:b w:val="0"/>
                <w:sz w:val="18"/>
              </w:rPr>
              <w:t>Founded · listed</w:t>
            </w:r>
          </w:p>
        </w:tc>
        <w:tc>
          <w:tcPr>
            <w:tcW w:type="dxa" w:w="7776"/>
            <w:vAlign w:val="center"/>
          </w:tcPr>
          <w:p>
            <w:pPr>
              <w:spacing w:after="20" w:before="20"/>
              <w:jc w:val="left"/>
            </w:pPr>
            <w:r/>
            <w:r>
              <w:rPr>
                <w:b w:val="0"/>
                <w:sz w:val="18"/>
              </w:rPr>
              <w:t>1940 (Alexandria) · EGX-listed since February 1995</w:t>
            </w:r>
          </w:p>
        </w:tc>
      </w:tr>
      <w:tr>
        <w:tc>
          <w:tcPr>
            <w:tcW w:type="dxa" w:w="2448"/>
            <w:shd w:val="clear" w:color="auto" w:fill="F3F7F7"/>
            <w:vAlign w:val="center"/>
          </w:tcPr>
          <w:p>
            <w:pPr>
              <w:spacing w:after="20" w:before="20"/>
              <w:jc w:val="left"/>
            </w:pPr>
            <w:r/>
            <w:r>
              <w:rPr>
                <w:b w:val="0"/>
                <w:sz w:val="18"/>
              </w:rPr>
              <w:t>Spot / date</w:t>
            </w:r>
          </w:p>
        </w:tc>
        <w:tc>
          <w:tcPr>
            <w:tcW w:type="dxa" w:w="7776"/>
            <w:shd w:val="clear" w:color="auto" w:fill="F3F7F7"/>
            <w:vAlign w:val="center"/>
          </w:tcPr>
          <w:p>
            <w:pPr>
              <w:spacing w:after="20" w:before="20"/>
              <w:jc w:val="left"/>
            </w:pPr>
            <w:r/>
            <w:r>
              <w:rPr>
                <w:b w:val="0"/>
                <w:sz w:val="18"/>
              </w:rPr>
              <w:t>EGP 7.00 · 06 Jul 2026 close</w:t>
            </w:r>
          </w:p>
        </w:tc>
      </w:tr>
      <w:tr>
        <w:tc>
          <w:tcPr>
            <w:tcW w:type="dxa" w:w="2448"/>
            <w:vAlign w:val="center"/>
          </w:tcPr>
          <w:p>
            <w:pPr>
              <w:spacing w:after="20" w:before="20"/>
              <w:jc w:val="left"/>
            </w:pPr>
            <w:r/>
            <w:r>
              <w:rPr>
                <w:b w:val="0"/>
                <w:sz w:val="18"/>
              </w:rPr>
              <w:t>Shares · market cap</w:t>
            </w:r>
          </w:p>
        </w:tc>
        <w:tc>
          <w:tcPr>
            <w:tcW w:type="dxa" w:w="7776"/>
            <w:vAlign w:val="center"/>
          </w:tcPr>
          <w:p>
            <w:pPr>
              <w:spacing w:after="20" w:before="20"/>
              <w:jc w:val="left"/>
            </w:pPr>
            <w:r/>
            <w:r>
              <w:rPr>
                <w:b w:val="0"/>
                <w:sz w:val="18"/>
              </w:rPr>
              <w:t>~565m (mkt-cap-derived, flagged) · ~EGP 3.96bn</w:t>
            </w:r>
          </w:p>
        </w:tc>
      </w:tr>
      <w:tr>
        <w:tc>
          <w:tcPr>
            <w:tcW w:type="dxa" w:w="2448"/>
            <w:shd w:val="clear" w:color="auto" w:fill="F3F7F7"/>
            <w:vAlign w:val="center"/>
          </w:tcPr>
          <w:p>
            <w:pPr>
              <w:spacing w:after="20" w:before="20"/>
              <w:jc w:val="left"/>
            </w:pPr>
            <w:r/>
            <w:r>
              <w:rPr>
                <w:b w:val="0"/>
                <w:sz w:val="18"/>
              </w:rPr>
              <w:t>Book equity · BVPS</w:t>
            </w:r>
          </w:p>
        </w:tc>
        <w:tc>
          <w:tcPr>
            <w:tcW w:type="dxa" w:w="7776"/>
            <w:shd w:val="clear" w:color="auto" w:fill="F3F7F7"/>
            <w:vAlign w:val="center"/>
          </w:tcPr>
          <w:p>
            <w:pPr>
              <w:spacing w:after="20" w:before="20"/>
              <w:jc w:val="left"/>
            </w:pPr>
            <w:r/>
            <w:r>
              <w:rPr>
                <w:b w:val="0"/>
                <w:sz w:val="18"/>
              </w:rPr>
              <w:t>~EGP 1152m · ~EGP 2.04/share (reviewed, ~Mar 2025)</w:t>
            </w:r>
          </w:p>
        </w:tc>
      </w:tr>
      <w:tr>
        <w:tc>
          <w:tcPr>
            <w:tcW w:type="dxa" w:w="2448"/>
            <w:vAlign w:val="center"/>
          </w:tcPr>
          <w:p>
            <w:pPr>
              <w:spacing w:after="20" w:before="20"/>
              <w:jc w:val="left"/>
            </w:pPr>
            <w:r/>
            <w:r>
              <w:rPr>
                <w:b w:val="0"/>
                <w:sz w:val="18"/>
              </w:rPr>
              <w:t>Price-to-book</w:t>
            </w:r>
          </w:p>
        </w:tc>
        <w:tc>
          <w:tcPr>
            <w:tcW w:type="dxa" w:w="7776"/>
            <w:vAlign w:val="center"/>
          </w:tcPr>
          <w:p>
            <w:pPr>
              <w:spacing w:after="20" w:before="20"/>
              <w:jc w:val="left"/>
            </w:pPr>
            <w:r/>
            <w:r>
              <w:rPr>
                <w:b w:val="0"/>
                <w:sz w:val="18"/>
              </w:rPr>
              <w:t>~3.4× audited book</w:t>
            </w:r>
          </w:p>
        </w:tc>
      </w:tr>
      <w:tr>
        <w:tc>
          <w:tcPr>
            <w:tcW w:type="dxa" w:w="2448"/>
            <w:shd w:val="clear" w:color="auto" w:fill="F3F7F7"/>
            <w:vAlign w:val="center"/>
          </w:tcPr>
          <w:p>
            <w:pPr>
              <w:spacing w:after="20" w:before="20"/>
              <w:jc w:val="left"/>
            </w:pPr>
            <w:r/>
            <w:r>
              <w:rPr>
                <w:b w:val="0"/>
                <w:sz w:val="18"/>
              </w:rPr>
              <w:t>Total assets · liabilities</w:t>
            </w:r>
          </w:p>
        </w:tc>
        <w:tc>
          <w:tcPr>
            <w:tcW w:type="dxa" w:w="7776"/>
            <w:shd w:val="clear" w:color="auto" w:fill="F3F7F7"/>
            <w:vAlign w:val="center"/>
          </w:tcPr>
          <w:p>
            <w:pPr>
              <w:spacing w:after="20" w:before="20"/>
              <w:jc w:val="left"/>
            </w:pPr>
            <w:r/>
            <w:r>
              <w:rPr>
                <w:b w:val="0"/>
                <w:sz w:val="18"/>
              </w:rPr>
              <w:t>~EGP 1834m · ~EGP 683m</w:t>
            </w:r>
          </w:p>
        </w:tc>
      </w:tr>
      <w:tr>
        <w:tc>
          <w:tcPr>
            <w:tcW w:type="dxa" w:w="2448"/>
            <w:vAlign w:val="center"/>
          </w:tcPr>
          <w:p>
            <w:pPr>
              <w:spacing w:after="20" w:before="20"/>
              <w:jc w:val="left"/>
            </w:pPr>
            <w:r/>
            <w:r>
              <w:rPr>
                <w:b w:val="0"/>
                <w:sz w:val="18"/>
              </w:rPr>
              <w:t>Interest-bearing debt</w:t>
            </w:r>
          </w:p>
        </w:tc>
        <w:tc>
          <w:tcPr>
            <w:tcW w:type="dxa" w:w="7776"/>
            <w:vAlign w:val="center"/>
          </w:tcPr>
          <w:p>
            <w:pPr>
              <w:spacing w:after="20" w:before="20"/>
              <w:jc w:val="left"/>
            </w:pPr>
            <w:r/>
            <w:r>
              <w:rPr>
                <w:b w:val="0"/>
                <w:sz w:val="18"/>
              </w:rPr>
              <w:t>~EGP 559m (debt/equity ~48.6%)</w:t>
            </w:r>
          </w:p>
        </w:tc>
      </w:tr>
      <w:tr>
        <w:tc>
          <w:tcPr>
            <w:tcW w:type="dxa" w:w="2448"/>
            <w:shd w:val="clear" w:color="auto" w:fill="F3F7F7"/>
            <w:vAlign w:val="center"/>
          </w:tcPr>
          <w:p>
            <w:pPr>
              <w:spacing w:after="20" w:before="20"/>
              <w:jc w:val="left"/>
            </w:pPr>
            <w:r/>
            <w:r>
              <w:rPr>
                <w:b w:val="0"/>
                <w:sz w:val="18"/>
              </w:rPr>
              <w:t>FY2024 revenue / earnings</w:t>
            </w:r>
          </w:p>
        </w:tc>
        <w:tc>
          <w:tcPr>
            <w:tcW w:type="dxa" w:w="7776"/>
            <w:shd w:val="clear" w:color="auto" w:fill="F3F7F7"/>
            <w:vAlign w:val="center"/>
          </w:tcPr>
          <w:p>
            <w:pPr>
              <w:spacing w:after="20" w:before="20"/>
              <w:jc w:val="left"/>
            </w:pPr>
            <w:r/>
            <w:r>
              <w:rPr>
                <w:b w:val="0"/>
                <w:sz w:val="18"/>
              </w:rPr>
              <w:t>EGP ~1,020m (+72% YoY on EGP devaluation) · net ~EGP 129m (FX-boosted)</w:t>
            </w:r>
          </w:p>
        </w:tc>
      </w:tr>
      <w:tr>
        <w:tc>
          <w:tcPr>
            <w:tcW w:type="dxa" w:w="2448"/>
            <w:vAlign w:val="center"/>
          </w:tcPr>
          <w:p>
            <w:pPr>
              <w:spacing w:after="20" w:before="20"/>
              <w:jc w:val="left"/>
            </w:pPr>
            <w:r/>
            <w:r>
              <w:rPr>
                <w:b w:val="0"/>
                <w:sz w:val="18"/>
              </w:rPr>
              <w:t>9M FY2024/25 earnings</w:t>
            </w:r>
          </w:p>
        </w:tc>
        <w:tc>
          <w:tcPr>
            <w:tcW w:type="dxa" w:w="7776"/>
            <w:vAlign w:val="center"/>
          </w:tcPr>
          <w:p>
            <w:pPr>
              <w:spacing w:after="20" w:before="20"/>
              <w:jc w:val="left"/>
            </w:pPr>
            <w:r/>
            <w:r>
              <w:rPr>
                <w:b w:val="0"/>
                <w:sz w:val="18"/>
              </w:rPr>
              <w:t>EGP 9.4m attributable, vs EGP 193m in 9M FY2023/24 — a ~95% collapse</w:t>
            </w:r>
          </w:p>
        </w:tc>
      </w:tr>
      <w:tr>
        <w:tc>
          <w:tcPr>
            <w:tcW w:type="dxa" w:w="2448"/>
            <w:shd w:val="clear" w:color="auto" w:fill="F3F7F7"/>
            <w:vAlign w:val="center"/>
          </w:tcPr>
          <w:p>
            <w:pPr>
              <w:spacing w:after="20" w:before="20"/>
              <w:jc w:val="left"/>
            </w:pPr>
            <w:r/>
            <w:r>
              <w:rPr>
                <w:b w:val="0"/>
                <w:sz w:val="18"/>
              </w:rPr>
              <w:t>Dividends</w:t>
            </w:r>
          </w:p>
        </w:tc>
        <w:tc>
          <w:tcPr>
            <w:tcW w:type="dxa" w:w="7776"/>
            <w:shd w:val="clear" w:color="auto" w:fill="F3F7F7"/>
            <w:vAlign w:val="center"/>
          </w:tcPr>
          <w:p>
            <w:pPr>
              <w:spacing w:after="20" w:before="20"/>
              <w:jc w:val="left"/>
            </w:pPr>
            <w:r/>
            <w:r>
              <w:rPr>
                <w:b w:val="0"/>
                <w:sz w:val="18"/>
              </w:rPr>
              <w:t>None — KABO has never paid a dividend</w:t>
            </w:r>
          </w:p>
        </w:tc>
      </w:tr>
      <w:tr>
        <w:tc>
          <w:tcPr>
            <w:tcW w:type="dxa" w:w="2448"/>
            <w:vAlign w:val="center"/>
          </w:tcPr>
          <w:p>
            <w:pPr>
              <w:spacing w:after="20" w:before="20"/>
              <w:jc w:val="left"/>
            </w:pPr>
            <w:r/>
            <w:r>
              <w:rPr>
                <w:b w:val="0"/>
                <w:sz w:val="18"/>
              </w:rPr>
              <w:t>Employees</w:t>
            </w:r>
          </w:p>
        </w:tc>
        <w:tc>
          <w:tcPr>
            <w:tcW w:type="dxa" w:w="7776"/>
            <w:vAlign w:val="center"/>
          </w:tcPr>
          <w:p>
            <w:pPr>
              <w:spacing w:after="20" w:before="20"/>
              <w:jc w:val="left"/>
            </w:pPr>
            <w:r/>
            <w:r>
              <w:rPr>
                <w:b w:val="0"/>
                <w:sz w:val="18"/>
              </w:rPr>
              <w:t>~2,997</w:t>
            </w:r>
          </w:p>
        </w:tc>
      </w:tr>
      <w:tr>
        <w:tc>
          <w:tcPr>
            <w:tcW w:type="dxa" w:w="2448"/>
            <w:shd w:val="clear" w:color="auto" w:fill="F3F7F7"/>
            <w:vAlign w:val="center"/>
          </w:tcPr>
          <w:p>
            <w:pPr>
              <w:spacing w:after="20" w:before="20"/>
              <w:jc w:val="left"/>
            </w:pPr>
            <w:r/>
            <w:r>
              <w:rPr>
                <w:b w:val="0"/>
                <w:sz w:val="18"/>
              </w:rPr>
              <w:t>52-week range</w:t>
            </w:r>
          </w:p>
        </w:tc>
        <w:tc>
          <w:tcPr>
            <w:tcW w:type="dxa" w:w="7776"/>
            <w:shd w:val="clear" w:color="auto" w:fill="F3F7F7"/>
            <w:vAlign w:val="center"/>
          </w:tcPr>
          <w:p>
            <w:pPr>
              <w:spacing w:after="20" w:before="20"/>
              <w:jc w:val="left"/>
            </w:pPr>
            <w:r/>
            <w:r>
              <w:rPr>
                <w:b w:val="0"/>
                <w:sz w:val="18"/>
              </w:rPr>
              <w:t>EGP 4.71 – 7.13 (all-time high EGP 7.30, Nov 2025)</w:t>
            </w:r>
          </w:p>
        </w:tc>
      </w:tr>
      <w:tr>
        <w:tc>
          <w:tcPr>
            <w:tcW w:type="dxa" w:w="2448"/>
            <w:vAlign w:val="center"/>
          </w:tcPr>
          <w:p>
            <w:pPr>
              <w:spacing w:after="20" w:before="20"/>
              <w:jc w:val="left"/>
            </w:pPr>
            <w:r/>
            <w:r>
              <w:rPr>
                <w:b w:val="0"/>
                <w:sz w:val="18"/>
              </w:rPr>
              <w:t>Fiscal year</w:t>
            </w:r>
          </w:p>
        </w:tc>
        <w:tc>
          <w:tcPr>
            <w:tcW w:type="dxa" w:w="7776"/>
            <w:vAlign w:val="center"/>
          </w:tcPr>
          <w:p>
            <w:pPr>
              <w:spacing w:after="20" w:before="20"/>
              <w:jc w:val="left"/>
            </w:pPr>
            <w:r/>
            <w:r>
              <w:rPr>
                <w:b w:val="0"/>
                <w:sz w:val="18"/>
              </w:rPr>
              <w:t>1 July – 30 June</w:t>
            </w:r>
          </w:p>
        </w:tc>
      </w:tr>
    </w:tbl>
    <w:p>
      <w:pPr>
        <w:spacing w:after="40"/>
      </w:pPr>
    </w:p>
    <w:p>
      <w:pPr>
        <w:spacing w:after="120" w:line="259" w:lineRule="auto"/>
      </w:pPr>
      <w:r>
        <w:rPr>
          <w:b w:val="0"/>
          <w:i/>
          <w:sz w:val="17"/>
        </w:rPr>
        <w:t>*Source: EGX/Mubasher disclosures, company reviewed financial statements (period to 31 Mar 2025), and exchange data. KABO is thinly covered; the share count is derived from market capitalisation and several historical splits are reconstructed on a fiscal-year basis. Figures rounded; flagged items are the preparer's estimates.*</w:t>
      </w:r>
    </w:p>
    <w:p>
      <w:pPr>
        <w:spacing w:before="200" w:after="80"/>
      </w:pPr>
      <w:r>
        <w:rPr>
          <w:b/>
          <w:color w:val="1B5E5E"/>
          <w:sz w:val="30"/>
        </w:rPr>
        <w:t>1  Fundamental valuation</w:t>
      </w:r>
    </w:p>
    <w:p>
      <w:pPr>
        <w:spacing w:after="80" w:line="259" w:lineRule="auto"/>
      </w:pPr>
      <w:r>
        <w:rPr>
          <w:b w:val="0"/>
          <w:i w:val="0"/>
          <w:sz w:val="20"/>
        </w:rPr>
        <w:t xml:space="preserve">We value KABO as an </w:t>
      </w:r>
      <w:r>
        <w:rPr>
          <w:b/>
          <w:i w:val="0"/>
          <w:sz w:val="20"/>
        </w:rPr>
        <w:t>asset-heavy operating company whose market price has detached from its earnings</w:t>
      </w:r>
      <w:r>
        <w:rPr>
          <w:b w:val="0"/>
          <w:i w:val="0"/>
          <w:sz w:val="20"/>
        </w:rPr>
        <w:t xml:space="preserve">. At EGP 7.00 the stock trades near an all-time high and at roughly three-and-a-half times audited book value, while nine-month FY2024/25 attributable profit fell about 95% year-on-year. A company this profitable would not command that multiple; a company this asset-rich might — if the assets are worth far more than the books show. The primary lens is therefore a </w:t>
      </w:r>
      <w:r>
        <w:rPr>
          <w:b/>
          <w:i w:val="0"/>
          <w:sz w:val="20"/>
        </w:rPr>
        <w:t>revalued net asset value (RNAV)</w:t>
      </w:r>
      <w:r>
        <w:rPr>
          <w:b w:val="0"/>
          <w:i w:val="0"/>
          <w:sz w:val="20"/>
        </w:rPr>
        <w:t>, because the only coherent case for the price is that KABO's legacy Alexandria land and buildings, carried near historical cost, would realise a large re-mark. We cross-check that against three going-concern lenses — a discounted-cash-flow of the operating business, a relative price-to-book read, and a normalized-earnings-power read — none of which, on their own economics, gets close to the price. The weights and the football field are in §1.5; the swing factor — the land mark — is dissected in §1.7 and the sensitivity grid in §1.9. The lens choice is a judgment call and is flagged: for a marginally-profitable manufacturer trading at a large premium to book, RNAV is the disciplined way to ask whether assets, not earnings, back the price.</w:t>
      </w:r>
    </w:p>
    <w:p>
      <w:pPr>
        <w:spacing w:before="140" w:after="40"/>
      </w:pPr>
      <w:r>
        <w:rPr>
          <w:b/>
          <w:color w:val="2A8F8F"/>
          <w:sz w:val="23"/>
        </w:rPr>
        <w:t>1.1  Revalued net asset value — the primary lens</w:t>
      </w:r>
    </w:p>
    <w:p>
      <w:pPr>
        <w:spacing w:after="60" w:line="259" w:lineRule="auto"/>
      </w:pPr>
      <w:r>
        <w:rPr>
          <w:b w:val="0"/>
          <w:i w:val="0"/>
          <w:sz w:val="20"/>
        </w:rPr>
        <w:t xml:space="preserve">RNAV starts from the audited net assets and asks what they would realise, component by component, with explicit haircuts on anything speculative or illiquid. KABO's audited equity is ~EGP 1,152m (~EGP 2.04/share). The realizable-value question is almost entirely about </w:t>
      </w:r>
      <w:r>
        <w:rPr>
          <w:b/>
          <w:i w:val="0"/>
          <w:sz w:val="20"/>
        </w:rPr>
        <w:t>property, plant and equipment</w:t>
      </w:r>
      <w:r>
        <w:rPr>
          <w:b w:val="0"/>
          <w:i w:val="0"/>
          <w:sz w:val="20"/>
        </w:rPr>
        <w:t xml:space="preserve"> — specifically the land and buildings of a company that has manufactured in Alexandria since 1940 and is very likely carrying that real estate at depreciated historical cost far below current market. We add a </w:t>
      </w:r>
      <w:r>
        <w:rPr>
          <w:b/>
          <w:i w:val="0"/>
          <w:sz w:val="20"/>
        </w:rPr>
        <w:t>flagged</w:t>
      </w:r>
      <w:r>
        <w:rPr>
          <w:b w:val="0"/>
          <w:i w:val="0"/>
          <w:sz w:val="20"/>
        </w:rPr>
        <w:t xml:space="preserve"> land-and-buildings re-mark, a conservative brand value for Kabo/Jil (which does not sit on the balance sheet), and a working-capital realizability haircut. The land re-mark is the preparer's own estimate — KABO does not disclose an asset register or a monetisation plan — and it is sensitised, not asserted, in §1.9.</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408"/>
        <w:gridCol w:w="3408"/>
        <w:gridCol w:w="3408"/>
      </w:tblGrid>
      <w:tr>
        <w:tc>
          <w:tcPr>
            <w:tcW w:type="dxa" w:w="5328"/>
            <w:shd w:val="clear" w:color="auto" w:fill="1B5E5E"/>
            <w:vAlign w:val="center"/>
          </w:tcPr>
          <w:p>
            <w:pPr>
              <w:spacing w:after="20" w:before="20"/>
              <w:jc w:val="left"/>
            </w:pPr>
            <w:r/>
            <w:r>
              <w:rPr>
                <w:b/>
                <w:color w:val="FFFFFF"/>
                <w:sz w:val="18"/>
              </w:rPr>
              <w:t>RNAV component (base case)</w:t>
            </w:r>
          </w:p>
        </w:tc>
        <w:tc>
          <w:tcPr>
            <w:tcW w:type="dxa" w:w="2016"/>
            <w:shd w:val="clear" w:color="auto" w:fill="1B5E5E"/>
            <w:vAlign w:val="center"/>
          </w:tcPr>
          <w:p>
            <w:pPr>
              <w:spacing w:after="20" w:before="20"/>
              <w:jc w:val="center"/>
            </w:pPr>
            <w:r/>
            <w:r>
              <w:rPr>
                <w:b/>
                <w:color w:val="FFFFFF"/>
                <w:sz w:val="18"/>
              </w:rPr>
              <w:t>EGP m</w:t>
            </w:r>
          </w:p>
        </w:tc>
        <w:tc>
          <w:tcPr>
            <w:tcW w:type="dxa" w:w="2304"/>
            <w:shd w:val="clear" w:color="auto" w:fill="1B5E5E"/>
            <w:vAlign w:val="center"/>
          </w:tcPr>
          <w:p>
            <w:pPr>
              <w:spacing w:after="20" w:before="20"/>
              <w:jc w:val="center"/>
            </w:pPr>
            <w:r/>
            <w:r>
              <w:rPr>
                <w:b/>
                <w:color w:val="FFFFFF"/>
                <w:sz w:val="18"/>
              </w:rPr>
              <w:t>EGP / share</w:t>
            </w:r>
          </w:p>
        </w:tc>
      </w:tr>
      <w:tr>
        <w:tc>
          <w:tcPr>
            <w:tcW w:type="dxa" w:w="5328"/>
            <w:vAlign w:val="center"/>
          </w:tcPr>
          <w:p>
            <w:pPr>
              <w:spacing w:after="20" w:before="20"/>
              <w:jc w:val="left"/>
            </w:pPr>
            <w:r/>
            <w:r>
              <w:rPr>
                <w:b w:val="0"/>
                <w:sz w:val="18"/>
              </w:rPr>
              <w:t>Audited book equity (net assets, reviewed)</w:t>
            </w:r>
          </w:p>
        </w:tc>
        <w:tc>
          <w:tcPr>
            <w:tcW w:type="dxa" w:w="2016"/>
            <w:vAlign w:val="center"/>
          </w:tcPr>
          <w:p>
            <w:pPr>
              <w:spacing w:after="20" w:before="20"/>
              <w:jc w:val="center"/>
            </w:pPr>
            <w:r/>
            <w:r>
              <w:rPr>
                <w:b w:val="0"/>
                <w:sz w:val="18"/>
              </w:rPr>
              <w:t>1,152</w:t>
            </w:r>
          </w:p>
        </w:tc>
        <w:tc>
          <w:tcPr>
            <w:tcW w:type="dxa" w:w="2304"/>
            <w:vAlign w:val="center"/>
          </w:tcPr>
          <w:p>
            <w:pPr>
              <w:spacing w:after="20" w:before="20"/>
              <w:jc w:val="center"/>
            </w:pPr>
            <w:r/>
            <w:r>
              <w:rPr>
                <w:b w:val="0"/>
                <w:sz w:val="18"/>
              </w:rPr>
              <w:t>2.04</w:t>
            </w:r>
          </w:p>
        </w:tc>
      </w:tr>
      <w:tr>
        <w:tc>
          <w:tcPr>
            <w:tcW w:type="dxa" w:w="5328"/>
            <w:shd w:val="clear" w:color="auto" w:fill="F3F7F7"/>
            <w:vAlign w:val="center"/>
          </w:tcPr>
          <w:p>
            <w:pPr>
              <w:spacing w:after="20" w:before="20"/>
              <w:jc w:val="left"/>
            </w:pPr>
            <w:r/>
            <w:r>
              <w:rPr>
                <w:b w:val="0"/>
                <w:sz w:val="18"/>
              </w:rPr>
              <w:t>+ Land &amp; buildings revaluation uplift (estimate)</w:t>
            </w:r>
          </w:p>
        </w:tc>
        <w:tc>
          <w:tcPr>
            <w:tcW w:type="dxa" w:w="2016"/>
            <w:shd w:val="clear" w:color="auto" w:fill="F3F7F7"/>
            <w:vAlign w:val="center"/>
          </w:tcPr>
          <w:p>
            <w:pPr>
              <w:spacing w:after="20" w:before="20"/>
              <w:jc w:val="center"/>
            </w:pPr>
            <w:r/>
            <w:r>
              <w:rPr>
                <w:b w:val="0"/>
                <w:sz w:val="18"/>
              </w:rPr>
              <w:t>700</w:t>
            </w:r>
          </w:p>
        </w:tc>
        <w:tc>
          <w:tcPr>
            <w:tcW w:type="dxa" w:w="2304"/>
            <w:shd w:val="clear" w:color="auto" w:fill="F3F7F7"/>
            <w:vAlign w:val="center"/>
          </w:tcPr>
          <w:p>
            <w:pPr>
              <w:spacing w:after="20" w:before="20"/>
              <w:jc w:val="center"/>
            </w:pPr>
            <w:r/>
            <w:r>
              <w:rPr>
                <w:b w:val="0"/>
                <w:sz w:val="18"/>
              </w:rPr>
              <w:t>1.24</w:t>
            </w:r>
          </w:p>
        </w:tc>
      </w:tr>
      <w:tr>
        <w:tc>
          <w:tcPr>
            <w:tcW w:type="dxa" w:w="5328"/>
            <w:vAlign w:val="center"/>
          </w:tcPr>
          <w:p>
            <w:pPr>
              <w:spacing w:after="20" w:before="20"/>
              <w:jc w:val="left"/>
            </w:pPr>
            <w:r/>
            <w:r>
              <w:rPr>
                <w:b w:val="0"/>
                <w:sz w:val="18"/>
              </w:rPr>
              <w:t>+ Brand value (Kabo / Jil, off-balance-sheet, estimate)</w:t>
            </w:r>
          </w:p>
        </w:tc>
        <w:tc>
          <w:tcPr>
            <w:tcW w:type="dxa" w:w="2016"/>
            <w:vAlign w:val="center"/>
          </w:tcPr>
          <w:p>
            <w:pPr>
              <w:spacing w:after="20" w:before="20"/>
              <w:jc w:val="center"/>
            </w:pPr>
            <w:r/>
            <w:r>
              <w:rPr>
                <w:b w:val="0"/>
                <w:sz w:val="18"/>
              </w:rPr>
              <w:t>50</w:t>
            </w:r>
          </w:p>
        </w:tc>
        <w:tc>
          <w:tcPr>
            <w:tcW w:type="dxa" w:w="2304"/>
            <w:vAlign w:val="center"/>
          </w:tcPr>
          <w:p>
            <w:pPr>
              <w:spacing w:after="20" w:before="20"/>
              <w:jc w:val="center"/>
            </w:pPr>
            <w:r/>
            <w:r>
              <w:rPr>
                <w:b w:val="0"/>
                <w:sz w:val="18"/>
              </w:rPr>
              <w:t>0.09</w:t>
            </w:r>
          </w:p>
        </w:tc>
      </w:tr>
      <w:tr>
        <w:tc>
          <w:tcPr>
            <w:tcW w:type="dxa" w:w="5328"/>
            <w:shd w:val="clear" w:color="auto" w:fill="F3F7F7"/>
            <w:vAlign w:val="center"/>
          </w:tcPr>
          <w:p>
            <w:pPr>
              <w:spacing w:after="20" w:before="20"/>
              <w:jc w:val="left"/>
            </w:pPr>
            <w:r/>
            <w:r>
              <w:rPr>
                <w:b w:val="0"/>
                <w:sz w:val="18"/>
              </w:rPr>
              <w:t>− Working-capital / inventory realizability haircut</w:t>
            </w:r>
          </w:p>
        </w:tc>
        <w:tc>
          <w:tcPr>
            <w:tcW w:type="dxa" w:w="2016"/>
            <w:shd w:val="clear" w:color="auto" w:fill="F3F7F7"/>
            <w:vAlign w:val="center"/>
          </w:tcPr>
          <w:p>
            <w:pPr>
              <w:spacing w:after="20" w:before="20"/>
              <w:jc w:val="center"/>
            </w:pPr>
            <w:r/>
            <w:r>
              <w:rPr>
                <w:b w:val="0"/>
                <w:sz w:val="18"/>
              </w:rPr>
              <w:t>(50)</w:t>
            </w:r>
          </w:p>
        </w:tc>
        <w:tc>
          <w:tcPr>
            <w:tcW w:type="dxa" w:w="2304"/>
            <w:shd w:val="clear" w:color="auto" w:fill="F3F7F7"/>
            <w:vAlign w:val="center"/>
          </w:tcPr>
          <w:p>
            <w:pPr>
              <w:spacing w:after="20" w:before="20"/>
              <w:jc w:val="center"/>
            </w:pPr>
            <w:r/>
            <w:r>
              <w:rPr>
                <w:b w:val="0"/>
                <w:sz w:val="18"/>
              </w:rPr>
              <w:t>(0.09)</w:t>
            </w:r>
          </w:p>
        </w:tc>
      </w:tr>
      <w:tr>
        <w:tc>
          <w:tcPr>
            <w:tcW w:type="dxa" w:w="5328"/>
            <w:shd w:val="clear" w:color="auto" w:fill="E3ECEC"/>
            <w:vAlign w:val="center"/>
          </w:tcPr>
          <w:p>
            <w:pPr>
              <w:spacing w:after="20" w:before="20"/>
              <w:jc w:val="left"/>
            </w:pPr>
            <w:r/>
            <w:r>
              <w:rPr>
                <w:b w:val="0"/>
                <w:sz w:val="18"/>
              </w:rPr>
              <w:t>RNAV equity (base)</w:t>
            </w:r>
          </w:p>
        </w:tc>
        <w:tc>
          <w:tcPr>
            <w:tcW w:type="dxa" w:w="2016"/>
            <w:shd w:val="clear" w:color="auto" w:fill="E3ECEC"/>
            <w:vAlign w:val="center"/>
          </w:tcPr>
          <w:p>
            <w:pPr>
              <w:spacing w:after="20" w:before="20"/>
              <w:jc w:val="center"/>
            </w:pPr>
            <w:r/>
            <w:r>
              <w:rPr>
                <w:b w:val="0"/>
                <w:sz w:val="18"/>
              </w:rPr>
              <w:t>1,852</w:t>
            </w:r>
          </w:p>
        </w:tc>
        <w:tc>
          <w:tcPr>
            <w:tcW w:type="dxa" w:w="2304"/>
            <w:shd w:val="clear" w:color="auto" w:fill="E3ECEC"/>
            <w:vAlign w:val="center"/>
          </w:tcPr>
          <w:p>
            <w:pPr>
              <w:spacing w:after="20" w:before="20"/>
              <w:jc w:val="center"/>
            </w:pPr>
            <w:r/>
            <w:r>
              <w:rPr>
                <w:b w:val="0"/>
                <w:sz w:val="18"/>
              </w:rPr>
              <w:t>3.28</w:t>
            </w:r>
          </w:p>
        </w:tc>
      </w:tr>
    </w:tbl>
    <w:p>
      <w:pPr>
        <w:spacing w:after="40"/>
      </w:pPr>
    </w:p>
    <w:p>
      <w:pPr>
        <w:spacing w:after="80" w:line="259" w:lineRule="auto"/>
      </w:pPr>
      <w:r>
        <w:rPr>
          <w:b/>
          <w:i w:val="0"/>
          <w:sz w:val="20"/>
        </w:rPr>
        <w:t>RNAV base ≈ EGP 3.28/share</w:t>
      </w:r>
      <w:r>
        <w:rPr>
          <w:b w:val="0"/>
          <w:i w:val="0"/>
          <w:sz w:val="20"/>
        </w:rPr>
        <w:t>, with a bear–bull span of ~EGP 1.90–4.50 driven almost entirely by the land mark (§1.9). Read the base carefully: even after generously crediting EGP 0.7bn of hidden land value — more than 60% of the entire audited asset base again — the RNAV lands at less than half the EGP 7.00 price. To justify the price on assets alone, the land would have to be worth roughly EGP 2.8bn above book, a figure the company has never disclosed. RNAV is the most price-sympathetic lens available, and it still says the market is paying for assets it cannot see.</w:t>
      </w:r>
    </w:p>
    <w:p>
      <w:pPr>
        <w:spacing w:before="140" w:after="40"/>
      </w:pPr>
      <w:r>
        <w:rPr>
          <w:b/>
          <w:color w:val="2A8F8F"/>
          <w:sz w:val="23"/>
        </w:rPr>
        <w:t>1.2  Going-concern DCF — the cash-flow cross-check</w:t>
      </w:r>
    </w:p>
    <w:p>
      <w:pPr>
        <w:spacing w:after="60" w:line="259" w:lineRule="auto"/>
      </w:pPr>
      <w:r>
        <w:rPr>
          <w:b w:val="0"/>
          <w:i w:val="0"/>
          <w:sz w:val="20"/>
        </w:rPr>
        <w:t xml:space="preserve">The natural check on an asset sum is what the operating business generates in cash. Here the result is stark. KABO is a low-margin knitwear maker (gross margin ~16%) whose FY2024 earnings were inflated by a one-off currency-translation windfall as the pound devalued; the sustainable, mid-cycle picture is a business earning perhaps EGP 55–95m net on ~EGP 1.2–1.8bn of revenue. Discounted at an Egyptian cost of capital, and after deducting net debt, the equity is worth very little. We publish the cost of equity explicitly as </w:t>
      </w:r>
      <w:r>
        <w:rPr>
          <w:b/>
          <w:i w:val="0"/>
          <w:sz w:val="20"/>
        </w:rPr>
        <w:t>Ke = risk-free + beta × equity-risk-premium = 17.5% + 0.95 × 6.0% = 23.2%</w:t>
      </w:r>
      <w:r>
        <w:rPr>
          <w:b w:val="0"/>
          <w:i w:val="0"/>
          <w:sz w:val="20"/>
        </w:rPr>
        <w:t xml:space="preserve">; blended with an after-tax cost of debt of ~15.5% at an 88/12 equity/debt mix, the </w:t>
      </w:r>
      <w:r>
        <w:rPr>
          <w:b/>
          <w:i w:val="0"/>
          <w:sz w:val="20"/>
        </w:rPr>
        <w:t>WACC is ~22%</w:t>
      </w:r>
      <w:r>
        <w:rPr>
          <w:b w:val="0"/>
          <w:i w:val="0"/>
          <w:sz w:val="20"/>
        </w:rPr>
        <w:t>, with a nominal-EGP terminal growth of 13.5%. The full waterfall follows — every row shown, from revenue to the present value of each year's free cash flow.</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704"/>
        <w:gridCol w:w="1704"/>
        <w:gridCol w:w="1704"/>
        <w:gridCol w:w="1704"/>
        <w:gridCol w:w="1704"/>
        <w:gridCol w:w="1704"/>
      </w:tblGrid>
      <w:tr>
        <w:tc>
          <w:tcPr>
            <w:tcW w:type="dxa" w:w="4320"/>
            <w:shd w:val="clear" w:color="auto" w:fill="1B5E5E"/>
            <w:vAlign w:val="center"/>
          </w:tcPr>
          <w:p>
            <w:pPr>
              <w:spacing w:after="20" w:before="20"/>
              <w:jc w:val="left"/>
            </w:pPr>
            <w:r/>
            <w:r>
              <w:rPr>
                <w:b/>
                <w:color w:val="FFFFFF"/>
                <w:sz w:val="18"/>
              </w:rPr>
              <w:t>DCF waterfall — going concern (EGP m)</w:t>
            </w:r>
          </w:p>
        </w:tc>
        <w:tc>
          <w:tcPr>
            <w:tcW w:type="dxa" w:w="1469"/>
            <w:shd w:val="clear" w:color="auto" w:fill="1B5E5E"/>
            <w:vAlign w:val="center"/>
          </w:tcPr>
          <w:p>
            <w:pPr>
              <w:spacing w:after="20" w:before="20"/>
              <w:jc w:val="center"/>
            </w:pPr>
            <w:r/>
            <w:r>
              <w:rPr>
                <w:b/>
                <w:color w:val="FFFFFF"/>
                <w:sz w:val="18"/>
              </w:rPr>
              <w:t>FY26e</w:t>
            </w:r>
          </w:p>
        </w:tc>
        <w:tc>
          <w:tcPr>
            <w:tcW w:type="dxa" w:w="1469"/>
            <w:shd w:val="clear" w:color="auto" w:fill="1B5E5E"/>
            <w:vAlign w:val="center"/>
          </w:tcPr>
          <w:p>
            <w:pPr>
              <w:spacing w:after="20" w:before="20"/>
              <w:jc w:val="center"/>
            </w:pPr>
            <w:r/>
            <w:r>
              <w:rPr>
                <w:b/>
                <w:color w:val="FFFFFF"/>
                <w:sz w:val="18"/>
              </w:rPr>
              <w:t>FY27e</w:t>
            </w:r>
          </w:p>
        </w:tc>
        <w:tc>
          <w:tcPr>
            <w:tcW w:type="dxa" w:w="1469"/>
            <w:shd w:val="clear" w:color="auto" w:fill="1B5E5E"/>
            <w:vAlign w:val="center"/>
          </w:tcPr>
          <w:p>
            <w:pPr>
              <w:spacing w:after="20" w:before="20"/>
              <w:jc w:val="center"/>
            </w:pPr>
            <w:r/>
            <w:r>
              <w:rPr>
                <w:b/>
                <w:color w:val="FFFFFF"/>
                <w:sz w:val="18"/>
              </w:rPr>
              <w:t>FY28e</w:t>
            </w:r>
          </w:p>
        </w:tc>
        <w:tc>
          <w:tcPr>
            <w:tcW w:type="dxa" w:w="1469"/>
            <w:shd w:val="clear" w:color="auto" w:fill="1B5E5E"/>
            <w:vAlign w:val="center"/>
          </w:tcPr>
          <w:p>
            <w:pPr>
              <w:spacing w:after="20" w:before="20"/>
              <w:jc w:val="center"/>
            </w:pPr>
            <w:r/>
            <w:r>
              <w:rPr>
                <w:b/>
                <w:color w:val="FFFFFF"/>
                <w:sz w:val="18"/>
              </w:rPr>
              <w:t>FY29e</w:t>
            </w:r>
          </w:p>
        </w:tc>
        <w:tc>
          <w:tcPr>
            <w:tcW w:type="dxa" w:w="1469"/>
            <w:shd w:val="clear" w:color="auto" w:fill="1B5E5E"/>
            <w:vAlign w:val="center"/>
          </w:tcPr>
          <w:p>
            <w:pPr>
              <w:spacing w:after="20" w:before="20"/>
              <w:jc w:val="center"/>
            </w:pPr>
            <w:r/>
            <w:r>
              <w:rPr>
                <w:b/>
                <w:color w:val="FFFFFF"/>
                <w:sz w:val="18"/>
              </w:rPr>
              <w:t>FY30e</w:t>
            </w:r>
          </w:p>
        </w:tc>
      </w:tr>
      <w:tr>
        <w:tc>
          <w:tcPr>
            <w:tcW w:type="dxa" w:w="4320"/>
            <w:vAlign w:val="center"/>
          </w:tcPr>
          <w:p>
            <w:pPr>
              <w:spacing w:after="20" w:before="20"/>
              <w:jc w:val="left"/>
            </w:pPr>
            <w:r/>
            <w:r>
              <w:rPr>
                <w:b w:val="0"/>
                <w:sz w:val="17"/>
              </w:rPr>
              <w:t>Revenue</w:t>
            </w:r>
          </w:p>
        </w:tc>
        <w:tc>
          <w:tcPr>
            <w:tcW w:type="dxa" w:w="1469"/>
            <w:vAlign w:val="center"/>
          </w:tcPr>
          <w:p>
            <w:pPr>
              <w:spacing w:after="20" w:before="20"/>
              <w:jc w:val="center"/>
            </w:pPr>
            <w:r/>
            <w:r>
              <w:rPr>
                <w:b w:val="0"/>
                <w:sz w:val="17"/>
              </w:rPr>
              <w:t>1,180</w:t>
            </w:r>
          </w:p>
        </w:tc>
        <w:tc>
          <w:tcPr>
            <w:tcW w:type="dxa" w:w="1469"/>
            <w:vAlign w:val="center"/>
          </w:tcPr>
          <w:p>
            <w:pPr>
              <w:spacing w:after="20" w:before="20"/>
              <w:jc w:val="center"/>
            </w:pPr>
            <w:r/>
            <w:r>
              <w:rPr>
                <w:b w:val="0"/>
                <w:sz w:val="17"/>
              </w:rPr>
              <w:t>1,320</w:t>
            </w:r>
          </w:p>
        </w:tc>
        <w:tc>
          <w:tcPr>
            <w:tcW w:type="dxa" w:w="1469"/>
            <w:vAlign w:val="center"/>
          </w:tcPr>
          <w:p>
            <w:pPr>
              <w:spacing w:after="20" w:before="20"/>
              <w:jc w:val="center"/>
            </w:pPr>
            <w:r/>
            <w:r>
              <w:rPr>
                <w:b w:val="0"/>
                <w:sz w:val="17"/>
              </w:rPr>
              <w:t>1,470</w:t>
            </w:r>
          </w:p>
        </w:tc>
        <w:tc>
          <w:tcPr>
            <w:tcW w:type="dxa" w:w="1469"/>
            <w:vAlign w:val="center"/>
          </w:tcPr>
          <w:p>
            <w:pPr>
              <w:spacing w:after="20" w:before="20"/>
              <w:jc w:val="center"/>
            </w:pPr>
            <w:r/>
            <w:r>
              <w:rPr>
                <w:b w:val="0"/>
                <w:sz w:val="17"/>
              </w:rPr>
              <w:t>1,630</w:t>
            </w:r>
          </w:p>
        </w:tc>
        <w:tc>
          <w:tcPr>
            <w:tcW w:type="dxa" w:w="1469"/>
            <w:vAlign w:val="center"/>
          </w:tcPr>
          <w:p>
            <w:pPr>
              <w:spacing w:after="20" w:before="20"/>
              <w:jc w:val="center"/>
            </w:pPr>
            <w:r/>
            <w:r>
              <w:rPr>
                <w:b w:val="0"/>
                <w:sz w:val="17"/>
              </w:rPr>
              <w:t>1,800</w:t>
            </w:r>
          </w:p>
        </w:tc>
      </w:tr>
      <w:tr>
        <w:tc>
          <w:tcPr>
            <w:tcW w:type="dxa" w:w="4320"/>
            <w:shd w:val="clear" w:color="auto" w:fill="F3F7F7"/>
            <w:vAlign w:val="center"/>
          </w:tcPr>
          <w:p>
            <w:pPr>
              <w:spacing w:after="20" w:before="20"/>
              <w:jc w:val="left"/>
            </w:pPr>
            <w:r/>
            <w:r>
              <w:rPr>
                <w:b w:val="0"/>
                <w:sz w:val="17"/>
              </w:rPr>
              <w:t>EBITDA (13.5% margin)</w:t>
            </w:r>
          </w:p>
        </w:tc>
        <w:tc>
          <w:tcPr>
            <w:tcW w:type="dxa" w:w="1469"/>
            <w:shd w:val="clear" w:color="auto" w:fill="F3F7F7"/>
            <w:vAlign w:val="center"/>
          </w:tcPr>
          <w:p>
            <w:pPr>
              <w:spacing w:after="20" w:before="20"/>
              <w:jc w:val="center"/>
            </w:pPr>
            <w:r/>
            <w:r>
              <w:rPr>
                <w:b w:val="0"/>
                <w:sz w:val="17"/>
              </w:rPr>
              <w:t>159.3</w:t>
            </w:r>
          </w:p>
        </w:tc>
        <w:tc>
          <w:tcPr>
            <w:tcW w:type="dxa" w:w="1469"/>
            <w:shd w:val="clear" w:color="auto" w:fill="F3F7F7"/>
            <w:vAlign w:val="center"/>
          </w:tcPr>
          <w:p>
            <w:pPr>
              <w:spacing w:after="20" w:before="20"/>
              <w:jc w:val="center"/>
            </w:pPr>
            <w:r/>
            <w:r>
              <w:rPr>
                <w:b w:val="0"/>
                <w:sz w:val="17"/>
              </w:rPr>
              <w:t>178.2</w:t>
            </w:r>
          </w:p>
        </w:tc>
        <w:tc>
          <w:tcPr>
            <w:tcW w:type="dxa" w:w="1469"/>
            <w:shd w:val="clear" w:color="auto" w:fill="F3F7F7"/>
            <w:vAlign w:val="center"/>
          </w:tcPr>
          <w:p>
            <w:pPr>
              <w:spacing w:after="20" w:before="20"/>
              <w:jc w:val="center"/>
            </w:pPr>
            <w:r/>
            <w:r>
              <w:rPr>
                <w:b w:val="0"/>
                <w:sz w:val="17"/>
              </w:rPr>
              <w:t>198.5</w:t>
            </w:r>
          </w:p>
        </w:tc>
        <w:tc>
          <w:tcPr>
            <w:tcW w:type="dxa" w:w="1469"/>
            <w:shd w:val="clear" w:color="auto" w:fill="F3F7F7"/>
            <w:vAlign w:val="center"/>
          </w:tcPr>
          <w:p>
            <w:pPr>
              <w:spacing w:after="20" w:before="20"/>
              <w:jc w:val="center"/>
            </w:pPr>
            <w:r/>
            <w:r>
              <w:rPr>
                <w:b w:val="0"/>
                <w:sz w:val="17"/>
              </w:rPr>
              <w:t>220.1</w:t>
            </w:r>
          </w:p>
        </w:tc>
        <w:tc>
          <w:tcPr>
            <w:tcW w:type="dxa" w:w="1469"/>
            <w:shd w:val="clear" w:color="auto" w:fill="F3F7F7"/>
            <w:vAlign w:val="center"/>
          </w:tcPr>
          <w:p>
            <w:pPr>
              <w:spacing w:after="20" w:before="20"/>
              <w:jc w:val="center"/>
            </w:pPr>
            <w:r/>
            <w:r>
              <w:rPr>
                <w:b w:val="0"/>
                <w:sz w:val="17"/>
              </w:rPr>
              <w:t>243.0</w:t>
            </w:r>
          </w:p>
        </w:tc>
      </w:tr>
      <w:tr>
        <w:tc>
          <w:tcPr>
            <w:tcW w:type="dxa" w:w="4320"/>
            <w:vAlign w:val="center"/>
          </w:tcPr>
          <w:p>
            <w:pPr>
              <w:spacing w:after="20" w:before="20"/>
              <w:jc w:val="left"/>
            </w:pPr>
            <w:r/>
            <w:r>
              <w:rPr>
                <w:b w:val="0"/>
                <w:sz w:val="17"/>
              </w:rPr>
              <w:t>− D&amp;A</w:t>
            </w:r>
          </w:p>
        </w:tc>
        <w:tc>
          <w:tcPr>
            <w:tcW w:type="dxa" w:w="1469"/>
            <w:vAlign w:val="center"/>
          </w:tcPr>
          <w:p>
            <w:pPr>
              <w:spacing w:after="20" w:before="20"/>
              <w:jc w:val="center"/>
            </w:pPr>
            <w:r/>
            <w:r>
              <w:rPr>
                <w:b w:val="0"/>
                <w:sz w:val="17"/>
              </w:rPr>
              <w:t>(45.0)</w:t>
            </w:r>
          </w:p>
        </w:tc>
        <w:tc>
          <w:tcPr>
            <w:tcW w:type="dxa" w:w="1469"/>
            <w:vAlign w:val="center"/>
          </w:tcPr>
          <w:p>
            <w:pPr>
              <w:spacing w:after="20" w:before="20"/>
              <w:jc w:val="center"/>
            </w:pPr>
            <w:r/>
            <w:r>
              <w:rPr>
                <w:b w:val="0"/>
                <w:sz w:val="17"/>
              </w:rPr>
              <w:t>(48.0)</w:t>
            </w:r>
          </w:p>
        </w:tc>
        <w:tc>
          <w:tcPr>
            <w:tcW w:type="dxa" w:w="1469"/>
            <w:vAlign w:val="center"/>
          </w:tcPr>
          <w:p>
            <w:pPr>
              <w:spacing w:after="20" w:before="20"/>
              <w:jc w:val="center"/>
            </w:pPr>
            <w:r/>
            <w:r>
              <w:rPr>
                <w:b w:val="0"/>
                <w:sz w:val="17"/>
              </w:rPr>
              <w:t>(51.0)</w:t>
            </w:r>
          </w:p>
        </w:tc>
        <w:tc>
          <w:tcPr>
            <w:tcW w:type="dxa" w:w="1469"/>
            <w:vAlign w:val="center"/>
          </w:tcPr>
          <w:p>
            <w:pPr>
              <w:spacing w:after="20" w:before="20"/>
              <w:jc w:val="center"/>
            </w:pPr>
            <w:r/>
            <w:r>
              <w:rPr>
                <w:b w:val="0"/>
                <w:sz w:val="17"/>
              </w:rPr>
              <w:t>(54.0)</w:t>
            </w:r>
          </w:p>
        </w:tc>
        <w:tc>
          <w:tcPr>
            <w:tcW w:type="dxa" w:w="1469"/>
            <w:vAlign w:val="center"/>
          </w:tcPr>
          <w:p>
            <w:pPr>
              <w:spacing w:after="20" w:before="20"/>
              <w:jc w:val="center"/>
            </w:pPr>
            <w:r/>
            <w:r>
              <w:rPr>
                <w:b w:val="0"/>
                <w:sz w:val="17"/>
              </w:rPr>
              <w:t>(57.0)</w:t>
            </w:r>
          </w:p>
        </w:tc>
      </w:tr>
      <w:tr>
        <w:tc>
          <w:tcPr>
            <w:tcW w:type="dxa" w:w="4320"/>
            <w:shd w:val="clear" w:color="auto" w:fill="F3F7F7"/>
            <w:vAlign w:val="center"/>
          </w:tcPr>
          <w:p>
            <w:pPr>
              <w:spacing w:after="20" w:before="20"/>
              <w:jc w:val="left"/>
            </w:pPr>
            <w:r/>
            <w:r>
              <w:rPr>
                <w:b w:val="0"/>
                <w:sz w:val="17"/>
              </w:rPr>
              <w:t>EBIT</w:t>
            </w:r>
          </w:p>
        </w:tc>
        <w:tc>
          <w:tcPr>
            <w:tcW w:type="dxa" w:w="1469"/>
            <w:shd w:val="clear" w:color="auto" w:fill="F3F7F7"/>
            <w:vAlign w:val="center"/>
          </w:tcPr>
          <w:p>
            <w:pPr>
              <w:spacing w:after="20" w:before="20"/>
              <w:jc w:val="center"/>
            </w:pPr>
            <w:r/>
            <w:r>
              <w:rPr>
                <w:b w:val="0"/>
                <w:sz w:val="17"/>
              </w:rPr>
              <w:t>114.3</w:t>
            </w:r>
          </w:p>
        </w:tc>
        <w:tc>
          <w:tcPr>
            <w:tcW w:type="dxa" w:w="1469"/>
            <w:shd w:val="clear" w:color="auto" w:fill="F3F7F7"/>
            <w:vAlign w:val="center"/>
          </w:tcPr>
          <w:p>
            <w:pPr>
              <w:spacing w:after="20" w:before="20"/>
              <w:jc w:val="center"/>
            </w:pPr>
            <w:r/>
            <w:r>
              <w:rPr>
                <w:b w:val="0"/>
                <w:sz w:val="17"/>
              </w:rPr>
              <w:t>130.2</w:t>
            </w:r>
          </w:p>
        </w:tc>
        <w:tc>
          <w:tcPr>
            <w:tcW w:type="dxa" w:w="1469"/>
            <w:shd w:val="clear" w:color="auto" w:fill="F3F7F7"/>
            <w:vAlign w:val="center"/>
          </w:tcPr>
          <w:p>
            <w:pPr>
              <w:spacing w:after="20" w:before="20"/>
              <w:jc w:val="center"/>
            </w:pPr>
            <w:r/>
            <w:r>
              <w:rPr>
                <w:b w:val="0"/>
                <w:sz w:val="17"/>
              </w:rPr>
              <w:t>147.5</w:t>
            </w:r>
          </w:p>
        </w:tc>
        <w:tc>
          <w:tcPr>
            <w:tcW w:type="dxa" w:w="1469"/>
            <w:shd w:val="clear" w:color="auto" w:fill="F3F7F7"/>
            <w:vAlign w:val="center"/>
          </w:tcPr>
          <w:p>
            <w:pPr>
              <w:spacing w:after="20" w:before="20"/>
              <w:jc w:val="center"/>
            </w:pPr>
            <w:r/>
            <w:r>
              <w:rPr>
                <w:b w:val="0"/>
                <w:sz w:val="17"/>
              </w:rPr>
              <w:t>166.1</w:t>
            </w:r>
          </w:p>
        </w:tc>
        <w:tc>
          <w:tcPr>
            <w:tcW w:type="dxa" w:w="1469"/>
            <w:shd w:val="clear" w:color="auto" w:fill="F3F7F7"/>
            <w:vAlign w:val="center"/>
          </w:tcPr>
          <w:p>
            <w:pPr>
              <w:spacing w:after="20" w:before="20"/>
              <w:jc w:val="center"/>
            </w:pPr>
            <w:r/>
            <w:r>
              <w:rPr>
                <w:b w:val="0"/>
                <w:sz w:val="17"/>
              </w:rPr>
              <w:t>186.0</w:t>
            </w:r>
          </w:p>
        </w:tc>
      </w:tr>
      <w:tr>
        <w:tc>
          <w:tcPr>
            <w:tcW w:type="dxa" w:w="4320"/>
            <w:vAlign w:val="center"/>
          </w:tcPr>
          <w:p>
            <w:pPr>
              <w:spacing w:after="20" w:before="20"/>
              <w:jc w:val="left"/>
            </w:pPr>
            <w:r/>
            <w:r>
              <w:rPr>
                <w:b w:val="0"/>
                <w:sz w:val="17"/>
              </w:rPr>
              <w:t>NOPAT = EBIT × (1 − 22.5%)</w:t>
            </w:r>
          </w:p>
        </w:tc>
        <w:tc>
          <w:tcPr>
            <w:tcW w:type="dxa" w:w="1469"/>
            <w:vAlign w:val="center"/>
          </w:tcPr>
          <w:p>
            <w:pPr>
              <w:spacing w:after="20" w:before="20"/>
              <w:jc w:val="center"/>
            </w:pPr>
            <w:r/>
            <w:r>
              <w:rPr>
                <w:b w:val="0"/>
                <w:sz w:val="17"/>
              </w:rPr>
              <w:t>88.6</w:t>
            </w:r>
          </w:p>
        </w:tc>
        <w:tc>
          <w:tcPr>
            <w:tcW w:type="dxa" w:w="1469"/>
            <w:vAlign w:val="center"/>
          </w:tcPr>
          <w:p>
            <w:pPr>
              <w:spacing w:after="20" w:before="20"/>
              <w:jc w:val="center"/>
            </w:pPr>
            <w:r/>
            <w:r>
              <w:rPr>
                <w:b w:val="0"/>
                <w:sz w:val="17"/>
              </w:rPr>
              <w:t>100.9</w:t>
            </w:r>
          </w:p>
        </w:tc>
        <w:tc>
          <w:tcPr>
            <w:tcW w:type="dxa" w:w="1469"/>
            <w:vAlign w:val="center"/>
          </w:tcPr>
          <w:p>
            <w:pPr>
              <w:spacing w:after="20" w:before="20"/>
              <w:jc w:val="center"/>
            </w:pPr>
            <w:r/>
            <w:r>
              <w:rPr>
                <w:b w:val="0"/>
                <w:sz w:val="17"/>
              </w:rPr>
              <w:t>114.3</w:t>
            </w:r>
          </w:p>
        </w:tc>
        <w:tc>
          <w:tcPr>
            <w:tcW w:type="dxa" w:w="1469"/>
            <w:vAlign w:val="center"/>
          </w:tcPr>
          <w:p>
            <w:pPr>
              <w:spacing w:after="20" w:before="20"/>
              <w:jc w:val="center"/>
            </w:pPr>
            <w:r/>
            <w:r>
              <w:rPr>
                <w:b w:val="0"/>
                <w:sz w:val="17"/>
              </w:rPr>
              <w:t>128.7</w:t>
            </w:r>
          </w:p>
        </w:tc>
        <w:tc>
          <w:tcPr>
            <w:tcW w:type="dxa" w:w="1469"/>
            <w:vAlign w:val="center"/>
          </w:tcPr>
          <w:p>
            <w:pPr>
              <w:spacing w:after="20" w:before="20"/>
              <w:jc w:val="center"/>
            </w:pPr>
            <w:r/>
            <w:r>
              <w:rPr>
                <w:b w:val="0"/>
                <w:sz w:val="17"/>
              </w:rPr>
              <w:t>144.2</w:t>
            </w:r>
          </w:p>
        </w:tc>
      </w:tr>
      <w:tr>
        <w:tc>
          <w:tcPr>
            <w:tcW w:type="dxa" w:w="4320"/>
            <w:shd w:val="clear" w:color="auto" w:fill="F3F7F7"/>
            <w:vAlign w:val="center"/>
          </w:tcPr>
          <w:p>
            <w:pPr>
              <w:spacing w:after="20" w:before="20"/>
              <w:jc w:val="left"/>
            </w:pPr>
            <w:r/>
            <w:r>
              <w:rPr>
                <w:b w:val="0"/>
                <w:sz w:val="17"/>
              </w:rPr>
              <w:t>+ D&amp;A</w:t>
            </w:r>
          </w:p>
        </w:tc>
        <w:tc>
          <w:tcPr>
            <w:tcW w:type="dxa" w:w="1469"/>
            <w:shd w:val="clear" w:color="auto" w:fill="F3F7F7"/>
            <w:vAlign w:val="center"/>
          </w:tcPr>
          <w:p>
            <w:pPr>
              <w:spacing w:after="20" w:before="20"/>
              <w:jc w:val="center"/>
            </w:pPr>
            <w:r/>
            <w:r>
              <w:rPr>
                <w:b w:val="0"/>
                <w:sz w:val="17"/>
              </w:rPr>
              <w:t>45.0</w:t>
            </w:r>
          </w:p>
        </w:tc>
        <w:tc>
          <w:tcPr>
            <w:tcW w:type="dxa" w:w="1469"/>
            <w:shd w:val="clear" w:color="auto" w:fill="F3F7F7"/>
            <w:vAlign w:val="center"/>
          </w:tcPr>
          <w:p>
            <w:pPr>
              <w:spacing w:after="20" w:before="20"/>
              <w:jc w:val="center"/>
            </w:pPr>
            <w:r/>
            <w:r>
              <w:rPr>
                <w:b w:val="0"/>
                <w:sz w:val="17"/>
              </w:rPr>
              <w:t>48.0</w:t>
            </w:r>
          </w:p>
        </w:tc>
        <w:tc>
          <w:tcPr>
            <w:tcW w:type="dxa" w:w="1469"/>
            <w:shd w:val="clear" w:color="auto" w:fill="F3F7F7"/>
            <w:vAlign w:val="center"/>
          </w:tcPr>
          <w:p>
            <w:pPr>
              <w:spacing w:after="20" w:before="20"/>
              <w:jc w:val="center"/>
            </w:pPr>
            <w:r/>
            <w:r>
              <w:rPr>
                <w:b w:val="0"/>
                <w:sz w:val="17"/>
              </w:rPr>
              <w:t>51.0</w:t>
            </w:r>
          </w:p>
        </w:tc>
        <w:tc>
          <w:tcPr>
            <w:tcW w:type="dxa" w:w="1469"/>
            <w:shd w:val="clear" w:color="auto" w:fill="F3F7F7"/>
            <w:vAlign w:val="center"/>
          </w:tcPr>
          <w:p>
            <w:pPr>
              <w:spacing w:after="20" w:before="20"/>
              <w:jc w:val="center"/>
            </w:pPr>
            <w:r/>
            <w:r>
              <w:rPr>
                <w:b w:val="0"/>
                <w:sz w:val="17"/>
              </w:rPr>
              <w:t>54.0</w:t>
            </w:r>
          </w:p>
        </w:tc>
        <w:tc>
          <w:tcPr>
            <w:tcW w:type="dxa" w:w="1469"/>
            <w:shd w:val="clear" w:color="auto" w:fill="F3F7F7"/>
            <w:vAlign w:val="center"/>
          </w:tcPr>
          <w:p>
            <w:pPr>
              <w:spacing w:after="20" w:before="20"/>
              <w:jc w:val="center"/>
            </w:pPr>
            <w:r/>
            <w:r>
              <w:rPr>
                <w:b w:val="0"/>
                <w:sz w:val="17"/>
              </w:rPr>
              <w:t>57.0</w:t>
            </w:r>
          </w:p>
        </w:tc>
      </w:tr>
      <w:tr>
        <w:tc>
          <w:tcPr>
            <w:tcW w:type="dxa" w:w="4320"/>
            <w:vAlign w:val="center"/>
          </w:tcPr>
          <w:p>
            <w:pPr>
              <w:spacing w:after="20" w:before="20"/>
              <w:jc w:val="left"/>
            </w:pPr>
            <w:r/>
            <w:r>
              <w:rPr>
                <w:b w:val="0"/>
                <w:sz w:val="17"/>
              </w:rPr>
              <w:t>− Capex</w:t>
            </w:r>
          </w:p>
        </w:tc>
        <w:tc>
          <w:tcPr>
            <w:tcW w:type="dxa" w:w="1469"/>
            <w:vAlign w:val="center"/>
          </w:tcPr>
          <w:p>
            <w:pPr>
              <w:spacing w:after="20" w:before="20"/>
              <w:jc w:val="center"/>
            </w:pPr>
            <w:r/>
            <w:r>
              <w:rPr>
                <w:b w:val="0"/>
                <w:sz w:val="17"/>
              </w:rPr>
              <w:t>(55.0)</w:t>
            </w:r>
          </w:p>
        </w:tc>
        <w:tc>
          <w:tcPr>
            <w:tcW w:type="dxa" w:w="1469"/>
            <w:vAlign w:val="center"/>
          </w:tcPr>
          <w:p>
            <w:pPr>
              <w:spacing w:after="20" w:before="20"/>
              <w:jc w:val="center"/>
            </w:pPr>
            <w:r/>
            <w:r>
              <w:rPr>
                <w:b w:val="0"/>
                <w:sz w:val="17"/>
              </w:rPr>
              <w:t>(58.0)</w:t>
            </w:r>
          </w:p>
        </w:tc>
        <w:tc>
          <w:tcPr>
            <w:tcW w:type="dxa" w:w="1469"/>
            <w:vAlign w:val="center"/>
          </w:tcPr>
          <w:p>
            <w:pPr>
              <w:spacing w:after="20" w:before="20"/>
              <w:jc w:val="center"/>
            </w:pPr>
            <w:r/>
            <w:r>
              <w:rPr>
                <w:b w:val="0"/>
                <w:sz w:val="17"/>
              </w:rPr>
              <w:t>(61.0)</w:t>
            </w:r>
          </w:p>
        </w:tc>
        <w:tc>
          <w:tcPr>
            <w:tcW w:type="dxa" w:w="1469"/>
            <w:vAlign w:val="center"/>
          </w:tcPr>
          <w:p>
            <w:pPr>
              <w:spacing w:after="20" w:before="20"/>
              <w:jc w:val="center"/>
            </w:pPr>
            <w:r/>
            <w:r>
              <w:rPr>
                <w:b w:val="0"/>
                <w:sz w:val="17"/>
              </w:rPr>
              <w:t>(64.0)</w:t>
            </w:r>
          </w:p>
        </w:tc>
        <w:tc>
          <w:tcPr>
            <w:tcW w:type="dxa" w:w="1469"/>
            <w:vAlign w:val="center"/>
          </w:tcPr>
          <w:p>
            <w:pPr>
              <w:spacing w:after="20" w:before="20"/>
              <w:jc w:val="center"/>
            </w:pPr>
            <w:r/>
            <w:r>
              <w:rPr>
                <w:b w:val="0"/>
                <w:sz w:val="17"/>
              </w:rPr>
              <w:t>(67.0)</w:t>
            </w:r>
          </w:p>
        </w:tc>
      </w:tr>
      <w:tr>
        <w:tc>
          <w:tcPr>
            <w:tcW w:type="dxa" w:w="4320"/>
            <w:shd w:val="clear" w:color="auto" w:fill="F3F7F7"/>
            <w:vAlign w:val="center"/>
          </w:tcPr>
          <w:p>
            <w:pPr>
              <w:spacing w:after="20" w:before="20"/>
              <w:jc w:val="left"/>
            </w:pPr>
            <w:r/>
            <w:r>
              <w:rPr>
                <w:b w:val="0"/>
                <w:sz w:val="17"/>
              </w:rPr>
              <w:t>− Δ working capital</w:t>
            </w:r>
          </w:p>
        </w:tc>
        <w:tc>
          <w:tcPr>
            <w:tcW w:type="dxa" w:w="1469"/>
            <w:shd w:val="clear" w:color="auto" w:fill="F3F7F7"/>
            <w:vAlign w:val="center"/>
          </w:tcPr>
          <w:p>
            <w:pPr>
              <w:spacing w:after="20" w:before="20"/>
              <w:jc w:val="center"/>
            </w:pPr>
            <w:r/>
            <w:r>
              <w:rPr>
                <w:b w:val="0"/>
                <w:sz w:val="17"/>
              </w:rPr>
              <w:t>(35.0)</w:t>
            </w:r>
          </w:p>
        </w:tc>
        <w:tc>
          <w:tcPr>
            <w:tcW w:type="dxa" w:w="1469"/>
            <w:shd w:val="clear" w:color="auto" w:fill="F3F7F7"/>
            <w:vAlign w:val="center"/>
          </w:tcPr>
          <w:p>
            <w:pPr>
              <w:spacing w:after="20" w:before="20"/>
              <w:jc w:val="center"/>
            </w:pPr>
            <w:r/>
            <w:r>
              <w:rPr>
                <w:b w:val="0"/>
                <w:sz w:val="17"/>
              </w:rPr>
              <w:t>(30.0)</w:t>
            </w:r>
          </w:p>
        </w:tc>
        <w:tc>
          <w:tcPr>
            <w:tcW w:type="dxa" w:w="1469"/>
            <w:shd w:val="clear" w:color="auto" w:fill="F3F7F7"/>
            <w:vAlign w:val="center"/>
          </w:tcPr>
          <w:p>
            <w:pPr>
              <w:spacing w:after="20" w:before="20"/>
              <w:jc w:val="center"/>
            </w:pPr>
            <w:r/>
            <w:r>
              <w:rPr>
                <w:b w:val="0"/>
                <w:sz w:val="17"/>
              </w:rPr>
              <w:t>(32.0)</w:t>
            </w:r>
          </w:p>
        </w:tc>
        <w:tc>
          <w:tcPr>
            <w:tcW w:type="dxa" w:w="1469"/>
            <w:shd w:val="clear" w:color="auto" w:fill="F3F7F7"/>
            <w:vAlign w:val="center"/>
          </w:tcPr>
          <w:p>
            <w:pPr>
              <w:spacing w:after="20" w:before="20"/>
              <w:jc w:val="center"/>
            </w:pPr>
            <w:r/>
            <w:r>
              <w:rPr>
                <w:b w:val="0"/>
                <w:sz w:val="17"/>
              </w:rPr>
              <w:t>(34.0)</w:t>
            </w:r>
          </w:p>
        </w:tc>
        <w:tc>
          <w:tcPr>
            <w:tcW w:type="dxa" w:w="1469"/>
            <w:shd w:val="clear" w:color="auto" w:fill="F3F7F7"/>
            <w:vAlign w:val="center"/>
          </w:tcPr>
          <w:p>
            <w:pPr>
              <w:spacing w:after="20" w:before="20"/>
              <w:jc w:val="center"/>
            </w:pPr>
            <w:r/>
            <w:r>
              <w:rPr>
                <w:b w:val="0"/>
                <w:sz w:val="17"/>
              </w:rPr>
              <w:t>(36.0)</w:t>
            </w:r>
          </w:p>
        </w:tc>
      </w:tr>
      <w:tr>
        <w:tc>
          <w:tcPr>
            <w:tcW w:type="dxa" w:w="4320"/>
            <w:shd w:val="clear" w:color="auto" w:fill="E3ECEC"/>
            <w:vAlign w:val="center"/>
          </w:tcPr>
          <w:p>
            <w:pPr>
              <w:spacing w:after="20" w:before="20"/>
              <w:jc w:val="left"/>
            </w:pPr>
            <w:r/>
            <w:r>
              <w:rPr>
                <w:b w:val="0"/>
                <w:sz w:val="17"/>
              </w:rPr>
              <w:t>Free cash flow to firm</w:t>
            </w:r>
          </w:p>
        </w:tc>
        <w:tc>
          <w:tcPr>
            <w:tcW w:type="dxa" w:w="1469"/>
            <w:shd w:val="clear" w:color="auto" w:fill="E3ECEC"/>
            <w:vAlign w:val="center"/>
          </w:tcPr>
          <w:p>
            <w:pPr>
              <w:spacing w:after="20" w:before="20"/>
              <w:jc w:val="center"/>
            </w:pPr>
            <w:r/>
            <w:r>
              <w:rPr>
                <w:b w:val="0"/>
                <w:sz w:val="17"/>
              </w:rPr>
              <w:t>43.6</w:t>
            </w:r>
          </w:p>
        </w:tc>
        <w:tc>
          <w:tcPr>
            <w:tcW w:type="dxa" w:w="1469"/>
            <w:shd w:val="clear" w:color="auto" w:fill="E3ECEC"/>
            <w:vAlign w:val="center"/>
          </w:tcPr>
          <w:p>
            <w:pPr>
              <w:spacing w:after="20" w:before="20"/>
              <w:jc w:val="center"/>
            </w:pPr>
            <w:r/>
            <w:r>
              <w:rPr>
                <w:b w:val="0"/>
                <w:sz w:val="17"/>
              </w:rPr>
              <w:t>60.9</w:t>
            </w:r>
          </w:p>
        </w:tc>
        <w:tc>
          <w:tcPr>
            <w:tcW w:type="dxa" w:w="1469"/>
            <w:shd w:val="clear" w:color="auto" w:fill="E3ECEC"/>
            <w:vAlign w:val="center"/>
          </w:tcPr>
          <w:p>
            <w:pPr>
              <w:spacing w:after="20" w:before="20"/>
              <w:jc w:val="center"/>
            </w:pPr>
            <w:r/>
            <w:r>
              <w:rPr>
                <w:b w:val="0"/>
                <w:sz w:val="17"/>
              </w:rPr>
              <w:t>72.3</w:t>
            </w:r>
          </w:p>
        </w:tc>
        <w:tc>
          <w:tcPr>
            <w:tcW w:type="dxa" w:w="1469"/>
            <w:shd w:val="clear" w:color="auto" w:fill="E3ECEC"/>
            <w:vAlign w:val="center"/>
          </w:tcPr>
          <w:p>
            <w:pPr>
              <w:spacing w:after="20" w:before="20"/>
              <w:jc w:val="center"/>
            </w:pPr>
            <w:r/>
            <w:r>
              <w:rPr>
                <w:b w:val="0"/>
                <w:sz w:val="17"/>
              </w:rPr>
              <w:t>84.7</w:t>
            </w:r>
          </w:p>
        </w:tc>
        <w:tc>
          <w:tcPr>
            <w:tcW w:type="dxa" w:w="1469"/>
            <w:shd w:val="clear" w:color="auto" w:fill="E3ECEC"/>
            <w:vAlign w:val="center"/>
          </w:tcPr>
          <w:p>
            <w:pPr>
              <w:spacing w:after="20" w:before="20"/>
              <w:jc w:val="center"/>
            </w:pPr>
            <w:r/>
            <w:r>
              <w:rPr>
                <w:b w:val="0"/>
                <w:sz w:val="17"/>
              </w:rPr>
              <w:t>98.2</w:t>
            </w:r>
          </w:p>
        </w:tc>
      </w:tr>
      <w:tr>
        <w:tc>
          <w:tcPr>
            <w:tcW w:type="dxa" w:w="4320"/>
            <w:shd w:val="clear" w:color="auto" w:fill="F3F7F7"/>
            <w:vAlign w:val="center"/>
          </w:tcPr>
          <w:p>
            <w:pPr>
              <w:spacing w:after="20" w:before="20"/>
              <w:jc w:val="left"/>
            </w:pPr>
            <w:r/>
            <w:r>
              <w:rPr>
                <w:b w:val="0"/>
                <w:sz w:val="17"/>
              </w:rPr>
              <w:t>Discount factor @ 22% WACC</w:t>
            </w:r>
          </w:p>
        </w:tc>
        <w:tc>
          <w:tcPr>
            <w:tcW w:type="dxa" w:w="1469"/>
            <w:shd w:val="clear" w:color="auto" w:fill="F3F7F7"/>
            <w:vAlign w:val="center"/>
          </w:tcPr>
          <w:p>
            <w:pPr>
              <w:spacing w:after="20" w:before="20"/>
              <w:jc w:val="center"/>
            </w:pPr>
            <w:r/>
            <w:r>
              <w:rPr>
                <w:b w:val="0"/>
                <w:sz w:val="17"/>
              </w:rPr>
              <w:t>0.820</w:t>
            </w:r>
          </w:p>
        </w:tc>
        <w:tc>
          <w:tcPr>
            <w:tcW w:type="dxa" w:w="1469"/>
            <w:shd w:val="clear" w:color="auto" w:fill="F3F7F7"/>
            <w:vAlign w:val="center"/>
          </w:tcPr>
          <w:p>
            <w:pPr>
              <w:spacing w:after="20" w:before="20"/>
              <w:jc w:val="center"/>
            </w:pPr>
            <w:r/>
            <w:r>
              <w:rPr>
                <w:b w:val="0"/>
                <w:sz w:val="17"/>
              </w:rPr>
              <w:t>0.672</w:t>
            </w:r>
          </w:p>
        </w:tc>
        <w:tc>
          <w:tcPr>
            <w:tcW w:type="dxa" w:w="1469"/>
            <w:shd w:val="clear" w:color="auto" w:fill="F3F7F7"/>
            <w:vAlign w:val="center"/>
          </w:tcPr>
          <w:p>
            <w:pPr>
              <w:spacing w:after="20" w:before="20"/>
              <w:jc w:val="center"/>
            </w:pPr>
            <w:r/>
            <w:r>
              <w:rPr>
                <w:b w:val="0"/>
                <w:sz w:val="17"/>
              </w:rPr>
              <w:t>0.551</w:t>
            </w:r>
          </w:p>
        </w:tc>
        <w:tc>
          <w:tcPr>
            <w:tcW w:type="dxa" w:w="1469"/>
            <w:shd w:val="clear" w:color="auto" w:fill="F3F7F7"/>
            <w:vAlign w:val="center"/>
          </w:tcPr>
          <w:p>
            <w:pPr>
              <w:spacing w:after="20" w:before="20"/>
              <w:jc w:val="center"/>
            </w:pPr>
            <w:r/>
            <w:r>
              <w:rPr>
                <w:b w:val="0"/>
                <w:sz w:val="17"/>
              </w:rPr>
              <w:t>0.451</w:t>
            </w:r>
          </w:p>
        </w:tc>
        <w:tc>
          <w:tcPr>
            <w:tcW w:type="dxa" w:w="1469"/>
            <w:shd w:val="clear" w:color="auto" w:fill="F3F7F7"/>
            <w:vAlign w:val="center"/>
          </w:tcPr>
          <w:p>
            <w:pPr>
              <w:spacing w:after="20" w:before="20"/>
              <w:jc w:val="center"/>
            </w:pPr>
            <w:r/>
            <w:r>
              <w:rPr>
                <w:b w:val="0"/>
                <w:sz w:val="17"/>
              </w:rPr>
              <w:t>0.370</w:t>
            </w:r>
          </w:p>
        </w:tc>
      </w:tr>
      <w:tr>
        <w:tc>
          <w:tcPr>
            <w:tcW w:type="dxa" w:w="4320"/>
            <w:vAlign w:val="center"/>
          </w:tcPr>
          <w:p>
            <w:pPr>
              <w:spacing w:after="20" w:before="20"/>
              <w:jc w:val="left"/>
            </w:pPr>
            <w:r/>
            <w:r>
              <w:rPr>
                <w:b w:val="0"/>
                <w:sz w:val="17"/>
              </w:rPr>
              <w:t>PV of FCFF</w:t>
            </w:r>
          </w:p>
        </w:tc>
        <w:tc>
          <w:tcPr>
            <w:tcW w:type="dxa" w:w="1469"/>
            <w:vAlign w:val="center"/>
          </w:tcPr>
          <w:p>
            <w:pPr>
              <w:spacing w:after="20" w:before="20"/>
              <w:jc w:val="center"/>
            </w:pPr>
            <w:r/>
            <w:r>
              <w:rPr>
                <w:b w:val="0"/>
                <w:sz w:val="17"/>
              </w:rPr>
              <w:t>35.7</w:t>
            </w:r>
          </w:p>
        </w:tc>
        <w:tc>
          <w:tcPr>
            <w:tcW w:type="dxa" w:w="1469"/>
            <w:vAlign w:val="center"/>
          </w:tcPr>
          <w:p>
            <w:pPr>
              <w:spacing w:after="20" w:before="20"/>
              <w:jc w:val="center"/>
            </w:pPr>
            <w:r/>
            <w:r>
              <w:rPr>
                <w:b w:val="0"/>
                <w:sz w:val="17"/>
              </w:rPr>
              <w:t>40.9</w:t>
            </w:r>
          </w:p>
        </w:tc>
        <w:tc>
          <w:tcPr>
            <w:tcW w:type="dxa" w:w="1469"/>
            <w:vAlign w:val="center"/>
          </w:tcPr>
          <w:p>
            <w:pPr>
              <w:spacing w:after="20" w:before="20"/>
              <w:jc w:val="center"/>
            </w:pPr>
            <w:r/>
            <w:r>
              <w:rPr>
                <w:b w:val="0"/>
                <w:sz w:val="17"/>
              </w:rPr>
              <w:t>39.8</w:t>
            </w:r>
          </w:p>
        </w:tc>
        <w:tc>
          <w:tcPr>
            <w:tcW w:type="dxa" w:w="1469"/>
            <w:vAlign w:val="center"/>
          </w:tcPr>
          <w:p>
            <w:pPr>
              <w:spacing w:after="20" w:before="20"/>
              <w:jc w:val="center"/>
            </w:pPr>
            <w:r/>
            <w:r>
              <w:rPr>
                <w:b w:val="0"/>
                <w:sz w:val="17"/>
              </w:rPr>
              <w:t>38.2</w:t>
            </w:r>
          </w:p>
        </w:tc>
        <w:tc>
          <w:tcPr>
            <w:tcW w:type="dxa" w:w="1469"/>
            <w:vAlign w:val="center"/>
          </w:tcPr>
          <w:p>
            <w:pPr>
              <w:spacing w:after="20" w:before="20"/>
              <w:jc w:val="center"/>
            </w:pPr>
            <w:r/>
            <w:r>
              <w:rPr>
                <w:b w:val="0"/>
                <w:sz w:val="17"/>
              </w:rPr>
              <w:t>36.3</w:t>
            </w:r>
          </w:p>
        </w:tc>
      </w:tr>
    </w:tbl>
    <w:p>
      <w:pPr>
        <w:spacing w:after="40"/>
      </w:pPr>
    </w:p>
    <w:p>
      <w:pPr>
        <w:spacing w:after="60" w:line="259" w:lineRule="auto"/>
      </w:pPr>
      <w:r>
        <w:rPr>
          <w:b w:val="0"/>
          <w:i w:val="0"/>
          <w:sz w:val="20"/>
        </w:rPr>
        <w:t xml:space="preserve">Summing the parts: PV of explicit FCFF = </w:t>
      </w:r>
      <w:r>
        <w:rPr>
          <w:b/>
          <w:i w:val="0"/>
          <w:sz w:val="20"/>
        </w:rPr>
        <w:t>EGP 190.9m</w:t>
      </w:r>
      <w:r>
        <w:rPr>
          <w:b w:val="0"/>
          <w:i w:val="0"/>
          <w:sz w:val="20"/>
        </w:rPr>
        <w:t xml:space="preserve">; terminal value = FCFF₅ × (1+g)/(WACC−g) = 98.2 × 1.135 / 0.085 = </w:t>
      </w:r>
      <w:r>
        <w:rPr>
          <w:b/>
          <w:i w:val="0"/>
          <w:sz w:val="20"/>
        </w:rPr>
        <w:t>EGP 1,311m</w:t>
      </w:r>
      <w:r>
        <w:rPr>
          <w:b w:val="0"/>
          <w:i w:val="0"/>
          <w:sz w:val="20"/>
        </w:rPr>
        <w:t xml:space="preserve">, whose present value is EGP 485.2m — so </w:t>
      </w:r>
      <w:r>
        <w:rPr>
          <w:b/>
          <w:i w:val="0"/>
          <w:sz w:val="20"/>
        </w:rPr>
        <w:t>terminal value is ~72% of enterprise value</w:t>
      </w:r>
      <w:r>
        <w:rPr>
          <w:b w:val="0"/>
          <w:i w:val="0"/>
          <w:sz w:val="20"/>
        </w:rPr>
        <w:t xml:space="preserve">, disclosed here rather than buried. Enterprise value = 190.9 + 485.2 = </w:t>
      </w:r>
      <w:r>
        <w:rPr>
          <w:b/>
          <w:i w:val="0"/>
          <w:sz w:val="20"/>
        </w:rPr>
        <w:t>EGP 676m</w:t>
      </w:r>
      <w:r>
        <w:rPr>
          <w:b w:val="0"/>
          <w:i w:val="0"/>
          <w:sz w:val="20"/>
        </w:rPr>
        <w:t xml:space="preserve">; less net debt of ~EGP 370m (interest-bearing debt ~559m, less estimated cash ~189m, flagged) leaves </w:t>
      </w:r>
      <w:r>
        <w:rPr>
          <w:b/>
          <w:i w:val="0"/>
          <w:sz w:val="20"/>
        </w:rPr>
        <w:t>equity of ~EGP 306m, or ~EGP 0.54/share</w:t>
      </w:r>
      <w:r>
        <w:rPr>
          <w:b w:val="0"/>
          <w:i w:val="0"/>
          <w:sz w:val="20"/>
        </w:rPr>
        <w:t>. The lens spans EGP 0.25 (WACC 24% / g 13%) to EGP 1.10 (WACC 20% / g 14%).</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4752"/>
            <w:shd w:val="clear" w:color="auto" w:fill="1B5E5E"/>
            <w:vAlign w:val="center"/>
          </w:tcPr>
          <w:p>
            <w:pPr>
              <w:spacing w:after="20" w:before="20"/>
              <w:jc w:val="left"/>
            </w:pPr>
            <w:r/>
            <w:r>
              <w:rPr>
                <w:b/>
                <w:color w:val="FFFFFF"/>
                <w:sz w:val="18"/>
              </w:rPr>
              <w:t>DCF sensitivity</w:t>
            </w:r>
          </w:p>
        </w:tc>
        <w:tc>
          <w:tcPr>
            <w:tcW w:type="dxa" w:w="1728"/>
            <w:shd w:val="clear" w:color="auto" w:fill="1B5E5E"/>
            <w:vAlign w:val="center"/>
          </w:tcPr>
          <w:p>
            <w:pPr>
              <w:spacing w:after="20" w:before="20"/>
              <w:jc w:val="center"/>
            </w:pPr>
            <w:r/>
            <w:r>
              <w:rPr>
                <w:b/>
                <w:color w:val="FFFFFF"/>
                <w:sz w:val="18"/>
              </w:rPr>
              <w:t>Bear</w:t>
            </w:r>
          </w:p>
        </w:tc>
        <w:tc>
          <w:tcPr>
            <w:tcW w:type="dxa" w:w="1728"/>
            <w:shd w:val="clear" w:color="auto" w:fill="1B5E5E"/>
            <w:vAlign w:val="center"/>
          </w:tcPr>
          <w:p>
            <w:pPr>
              <w:spacing w:after="20" w:before="20"/>
              <w:jc w:val="center"/>
            </w:pPr>
            <w:r/>
            <w:r>
              <w:rPr>
                <w:b/>
                <w:color w:val="FFFFFF"/>
                <w:sz w:val="18"/>
              </w:rPr>
              <w:t>Base</w:t>
            </w:r>
          </w:p>
        </w:tc>
        <w:tc>
          <w:tcPr>
            <w:tcW w:type="dxa" w:w="1728"/>
            <w:shd w:val="clear" w:color="auto" w:fill="1B5E5E"/>
            <w:vAlign w:val="center"/>
          </w:tcPr>
          <w:p>
            <w:pPr>
              <w:spacing w:after="20" w:before="20"/>
              <w:jc w:val="center"/>
            </w:pPr>
            <w:r/>
            <w:r>
              <w:rPr>
                <w:b/>
                <w:color w:val="FFFFFF"/>
                <w:sz w:val="18"/>
              </w:rPr>
              <w:t>Bull</w:t>
            </w:r>
          </w:p>
        </w:tc>
      </w:tr>
      <w:tr>
        <w:tc>
          <w:tcPr>
            <w:tcW w:type="dxa" w:w="4752"/>
            <w:vAlign w:val="center"/>
          </w:tcPr>
          <w:p>
            <w:pPr>
              <w:spacing w:after="20" w:before="20"/>
              <w:jc w:val="left"/>
            </w:pPr>
            <w:r/>
            <w:r>
              <w:rPr>
                <w:b w:val="0"/>
                <w:sz w:val="18"/>
              </w:rPr>
              <w:t>Normalized EBITDA margin</w:t>
            </w:r>
          </w:p>
        </w:tc>
        <w:tc>
          <w:tcPr>
            <w:tcW w:type="dxa" w:w="1728"/>
            <w:vAlign w:val="center"/>
          </w:tcPr>
          <w:p>
            <w:pPr>
              <w:spacing w:after="20" w:before="20"/>
              <w:jc w:val="center"/>
            </w:pPr>
            <w:r/>
            <w:r>
              <w:rPr>
                <w:b w:val="0"/>
                <w:sz w:val="18"/>
              </w:rPr>
              <w:t>12.0%</w:t>
            </w:r>
          </w:p>
        </w:tc>
        <w:tc>
          <w:tcPr>
            <w:tcW w:type="dxa" w:w="1728"/>
            <w:vAlign w:val="center"/>
          </w:tcPr>
          <w:p>
            <w:pPr>
              <w:spacing w:after="20" w:before="20"/>
              <w:jc w:val="center"/>
            </w:pPr>
            <w:r/>
            <w:r>
              <w:rPr>
                <w:b w:val="0"/>
                <w:sz w:val="18"/>
              </w:rPr>
              <w:t>13.5%</w:t>
            </w:r>
          </w:p>
        </w:tc>
        <w:tc>
          <w:tcPr>
            <w:tcW w:type="dxa" w:w="1728"/>
            <w:vAlign w:val="center"/>
          </w:tcPr>
          <w:p>
            <w:pPr>
              <w:spacing w:after="20" w:before="20"/>
              <w:jc w:val="center"/>
            </w:pPr>
            <w:r/>
            <w:r>
              <w:rPr>
                <w:b w:val="0"/>
                <w:sz w:val="18"/>
              </w:rPr>
              <w:t>15.0%</w:t>
            </w:r>
          </w:p>
        </w:tc>
      </w:tr>
      <w:tr>
        <w:tc>
          <w:tcPr>
            <w:tcW w:type="dxa" w:w="4752"/>
            <w:shd w:val="clear" w:color="auto" w:fill="F3F7F7"/>
            <w:vAlign w:val="center"/>
          </w:tcPr>
          <w:p>
            <w:pPr>
              <w:spacing w:after="20" w:before="20"/>
              <w:jc w:val="left"/>
            </w:pPr>
            <w:r/>
            <w:r>
              <w:rPr>
                <w:b w:val="0"/>
                <w:sz w:val="18"/>
              </w:rPr>
              <w:t>WACC (Ke = rf + β·ERP)</w:t>
            </w:r>
          </w:p>
        </w:tc>
        <w:tc>
          <w:tcPr>
            <w:tcW w:type="dxa" w:w="1728"/>
            <w:shd w:val="clear" w:color="auto" w:fill="F3F7F7"/>
            <w:vAlign w:val="center"/>
          </w:tcPr>
          <w:p>
            <w:pPr>
              <w:spacing w:after="20" w:before="20"/>
              <w:jc w:val="center"/>
            </w:pPr>
            <w:r/>
            <w:r>
              <w:rPr>
                <w:b w:val="0"/>
                <w:sz w:val="18"/>
              </w:rPr>
              <w:t>24%</w:t>
            </w:r>
          </w:p>
        </w:tc>
        <w:tc>
          <w:tcPr>
            <w:tcW w:type="dxa" w:w="1728"/>
            <w:shd w:val="clear" w:color="auto" w:fill="F3F7F7"/>
            <w:vAlign w:val="center"/>
          </w:tcPr>
          <w:p>
            <w:pPr>
              <w:spacing w:after="20" w:before="20"/>
              <w:jc w:val="center"/>
            </w:pPr>
            <w:r/>
            <w:r>
              <w:rPr>
                <w:b w:val="0"/>
                <w:sz w:val="18"/>
              </w:rPr>
              <w:t>22%</w:t>
            </w:r>
          </w:p>
        </w:tc>
        <w:tc>
          <w:tcPr>
            <w:tcW w:type="dxa" w:w="1728"/>
            <w:shd w:val="clear" w:color="auto" w:fill="F3F7F7"/>
            <w:vAlign w:val="center"/>
          </w:tcPr>
          <w:p>
            <w:pPr>
              <w:spacing w:after="20" w:before="20"/>
              <w:jc w:val="center"/>
            </w:pPr>
            <w:r/>
            <w:r>
              <w:rPr>
                <w:b w:val="0"/>
                <w:sz w:val="18"/>
              </w:rPr>
              <w:t>20%</w:t>
            </w:r>
          </w:p>
        </w:tc>
      </w:tr>
      <w:tr>
        <w:tc>
          <w:tcPr>
            <w:tcW w:type="dxa" w:w="4752"/>
            <w:vAlign w:val="center"/>
          </w:tcPr>
          <w:p>
            <w:pPr>
              <w:spacing w:after="20" w:before="20"/>
              <w:jc w:val="left"/>
            </w:pPr>
            <w:r/>
            <w:r>
              <w:rPr>
                <w:b w:val="0"/>
                <w:sz w:val="18"/>
              </w:rPr>
              <w:t>Terminal growth (nominal EGP)</w:t>
            </w:r>
          </w:p>
        </w:tc>
        <w:tc>
          <w:tcPr>
            <w:tcW w:type="dxa" w:w="1728"/>
            <w:vAlign w:val="center"/>
          </w:tcPr>
          <w:p>
            <w:pPr>
              <w:spacing w:after="20" w:before="20"/>
              <w:jc w:val="center"/>
            </w:pPr>
            <w:r/>
            <w:r>
              <w:rPr>
                <w:b w:val="0"/>
                <w:sz w:val="18"/>
              </w:rPr>
              <w:t>13.0%</w:t>
            </w:r>
          </w:p>
        </w:tc>
        <w:tc>
          <w:tcPr>
            <w:tcW w:type="dxa" w:w="1728"/>
            <w:vAlign w:val="center"/>
          </w:tcPr>
          <w:p>
            <w:pPr>
              <w:spacing w:after="20" w:before="20"/>
              <w:jc w:val="center"/>
            </w:pPr>
            <w:r/>
            <w:r>
              <w:rPr>
                <w:b w:val="0"/>
                <w:sz w:val="18"/>
              </w:rPr>
              <w:t>13.5%</w:t>
            </w:r>
          </w:p>
        </w:tc>
        <w:tc>
          <w:tcPr>
            <w:tcW w:type="dxa" w:w="1728"/>
            <w:vAlign w:val="center"/>
          </w:tcPr>
          <w:p>
            <w:pPr>
              <w:spacing w:after="20" w:before="20"/>
              <w:jc w:val="center"/>
            </w:pPr>
            <w:r/>
            <w:r>
              <w:rPr>
                <w:b w:val="0"/>
                <w:sz w:val="18"/>
              </w:rPr>
              <w:t>14.0%</w:t>
            </w:r>
          </w:p>
        </w:tc>
      </w:tr>
      <w:tr>
        <w:tc>
          <w:tcPr>
            <w:tcW w:type="dxa" w:w="4752"/>
            <w:shd w:val="clear" w:color="auto" w:fill="E3ECEC"/>
            <w:vAlign w:val="center"/>
          </w:tcPr>
          <w:p>
            <w:pPr>
              <w:spacing w:after="20" w:before="20"/>
              <w:jc w:val="left"/>
            </w:pPr>
            <w:r/>
            <w:r>
              <w:rPr>
                <w:b w:val="0"/>
                <w:sz w:val="18"/>
              </w:rPr>
              <w:t>Fair value (EGP / share)</w:t>
            </w:r>
          </w:p>
        </w:tc>
        <w:tc>
          <w:tcPr>
            <w:tcW w:type="dxa" w:w="1728"/>
            <w:shd w:val="clear" w:color="auto" w:fill="E3ECEC"/>
            <w:vAlign w:val="center"/>
          </w:tcPr>
          <w:p>
            <w:pPr>
              <w:spacing w:after="20" w:before="20"/>
              <w:jc w:val="center"/>
            </w:pPr>
            <w:r/>
            <w:r>
              <w:rPr>
                <w:b w:val="0"/>
                <w:sz w:val="18"/>
              </w:rPr>
              <w:t>0.25</w:t>
            </w:r>
          </w:p>
        </w:tc>
        <w:tc>
          <w:tcPr>
            <w:tcW w:type="dxa" w:w="1728"/>
            <w:shd w:val="clear" w:color="auto" w:fill="E3ECEC"/>
            <w:vAlign w:val="center"/>
          </w:tcPr>
          <w:p>
            <w:pPr>
              <w:spacing w:after="20" w:before="20"/>
              <w:jc w:val="center"/>
            </w:pPr>
            <w:r/>
            <w:r>
              <w:rPr>
                <w:b w:val="0"/>
                <w:sz w:val="18"/>
              </w:rPr>
              <w:t>0.54</w:t>
            </w:r>
          </w:p>
        </w:tc>
        <w:tc>
          <w:tcPr>
            <w:tcW w:type="dxa" w:w="1728"/>
            <w:shd w:val="clear" w:color="auto" w:fill="E3ECEC"/>
            <w:vAlign w:val="center"/>
          </w:tcPr>
          <w:p>
            <w:pPr>
              <w:spacing w:after="20" w:before="20"/>
              <w:jc w:val="center"/>
            </w:pPr>
            <w:r/>
            <w:r>
              <w:rPr>
                <w:b w:val="0"/>
                <w:sz w:val="18"/>
              </w:rPr>
              <w:t>1.10</w:t>
            </w:r>
          </w:p>
        </w:tc>
      </w:tr>
    </w:tbl>
    <w:p>
      <w:pPr>
        <w:spacing w:after="40"/>
      </w:pPr>
    </w:p>
    <w:p>
      <w:pPr>
        <w:spacing w:after="80" w:line="259" w:lineRule="auto"/>
      </w:pPr>
      <w:r>
        <w:rPr>
          <w:b/>
          <w:i w:val="0"/>
          <w:sz w:val="20"/>
        </w:rPr>
        <w:t>Going-concern DCF base ≈ EGP 0.54</w:t>
      </w:r>
      <w:r>
        <w:rPr>
          <w:b w:val="0"/>
          <w:i w:val="0"/>
          <w:sz w:val="20"/>
        </w:rPr>
        <w:t xml:space="preserve"> — the floor, and the single most important number in the study. It says the operating business, valued honestly at Egyptian discount rates and net of its debt, is worth well under EGP 1 a share. Everything above that in the price is either latent asset value or hope. This is not a quirk of aggressive inputs: at a ~22% WACC, a low-margin manufacturer with meaningful leverage simply cannot support a EGP 7.00 equity value from cash flows.</w:t>
      </w:r>
    </w:p>
    <w:p>
      <w:pPr>
        <w:spacing w:before="140" w:after="40"/>
      </w:pPr>
      <w:r>
        <w:rPr>
          <w:b/>
          <w:color w:val="2A8F8F"/>
          <w:sz w:val="23"/>
        </w:rPr>
        <w:t>1.3  Relative multiples</w:t>
      </w:r>
    </w:p>
    <w:p>
      <w:pPr>
        <w:spacing w:after="60" w:line="259" w:lineRule="auto"/>
      </w:pPr>
      <w:r>
        <w:rPr>
          <w:b w:val="0"/>
          <w:i w:val="0"/>
          <w:sz w:val="20"/>
        </w:rPr>
        <w:t xml:space="preserve">Reported earnings are too volatile for a clean P/E — they swung from a devaluation windfall to near-zero inside a year — so the cleanest relative lens for an asset-heavy manufacturer is </w:t>
      </w:r>
      <w:r>
        <w:rPr>
          <w:b/>
          <w:i w:val="0"/>
          <w:sz w:val="20"/>
        </w:rPr>
        <w:t>price-to-book</w:t>
      </w:r>
      <w:r>
        <w:rPr>
          <w:b w:val="0"/>
          <w:i w:val="0"/>
          <w:sz w:val="20"/>
        </w:rPr>
        <w:t>. KABO trades at ~3.4× book against distressed EM textile peers that typically change hands at 0.5–1.5× book. We apply a justified P/B of ~1.3× — a premium to troubled peers for the genuine export franchise and the latent asset value, but nowhere near the current multiple.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5184"/>
            <w:shd w:val="clear" w:color="auto" w:fill="1B5E5E"/>
            <w:vAlign w:val="center"/>
          </w:tcPr>
          <w:p>
            <w:pPr>
              <w:spacing w:after="20" w:before="20"/>
              <w:jc w:val="left"/>
            </w:pPr>
            <w:r/>
            <w:r>
              <w:rPr>
                <w:b/>
                <w:color w:val="FFFFFF"/>
                <w:sz w:val="18"/>
              </w:rPr>
              <w:t>Relative basis</w:t>
            </w:r>
          </w:p>
        </w:tc>
        <w:tc>
          <w:tcPr>
            <w:tcW w:type="dxa" w:w="1584"/>
            <w:shd w:val="clear" w:color="auto" w:fill="1B5E5E"/>
            <w:vAlign w:val="center"/>
          </w:tcPr>
          <w:p>
            <w:pPr>
              <w:spacing w:after="20" w:before="20"/>
              <w:jc w:val="center"/>
            </w:pPr>
            <w:r/>
            <w:r>
              <w:rPr>
                <w:b/>
                <w:color w:val="FFFFFF"/>
                <w:sz w:val="18"/>
              </w:rPr>
              <w:t>Bear</w:t>
            </w:r>
          </w:p>
        </w:tc>
        <w:tc>
          <w:tcPr>
            <w:tcW w:type="dxa" w:w="1584"/>
            <w:shd w:val="clear" w:color="auto" w:fill="1B5E5E"/>
            <w:vAlign w:val="center"/>
          </w:tcPr>
          <w:p>
            <w:pPr>
              <w:spacing w:after="20" w:before="20"/>
              <w:jc w:val="center"/>
            </w:pPr>
            <w:r/>
            <w:r>
              <w:rPr>
                <w:b/>
                <w:color w:val="FFFFFF"/>
                <w:sz w:val="18"/>
              </w:rPr>
              <w:t>Base</w:t>
            </w:r>
          </w:p>
        </w:tc>
        <w:tc>
          <w:tcPr>
            <w:tcW w:type="dxa" w:w="1584"/>
            <w:shd w:val="clear" w:color="auto" w:fill="1B5E5E"/>
            <w:vAlign w:val="center"/>
          </w:tcPr>
          <w:p>
            <w:pPr>
              <w:spacing w:after="20" w:before="20"/>
              <w:jc w:val="center"/>
            </w:pPr>
            <w:r/>
            <w:r>
              <w:rPr>
                <w:b/>
                <w:color w:val="FFFFFF"/>
                <w:sz w:val="18"/>
              </w:rPr>
              <w:t>Bull</w:t>
            </w:r>
          </w:p>
        </w:tc>
      </w:tr>
      <w:tr>
        <w:tc>
          <w:tcPr>
            <w:tcW w:type="dxa" w:w="5184"/>
            <w:vAlign w:val="center"/>
          </w:tcPr>
          <w:p>
            <w:pPr>
              <w:spacing w:after="20" w:before="20"/>
              <w:jc w:val="left"/>
            </w:pPr>
            <w:r/>
            <w:r>
              <w:rPr>
                <w:b w:val="0"/>
                <w:sz w:val="18"/>
              </w:rPr>
              <w:t>Justified price-to-book</w:t>
            </w:r>
          </w:p>
        </w:tc>
        <w:tc>
          <w:tcPr>
            <w:tcW w:type="dxa" w:w="1584"/>
            <w:vAlign w:val="center"/>
          </w:tcPr>
          <w:p>
            <w:pPr>
              <w:spacing w:after="20" w:before="20"/>
              <w:jc w:val="center"/>
            </w:pPr>
            <w:r/>
            <w:r>
              <w:rPr>
                <w:b w:val="0"/>
                <w:sz w:val="18"/>
              </w:rPr>
              <w:t>0.8×</w:t>
            </w:r>
          </w:p>
        </w:tc>
        <w:tc>
          <w:tcPr>
            <w:tcW w:type="dxa" w:w="1584"/>
            <w:vAlign w:val="center"/>
          </w:tcPr>
          <w:p>
            <w:pPr>
              <w:spacing w:after="20" w:before="20"/>
              <w:jc w:val="center"/>
            </w:pPr>
            <w:r/>
            <w:r>
              <w:rPr>
                <w:b w:val="0"/>
                <w:sz w:val="18"/>
              </w:rPr>
              <w:t>1.3×</w:t>
            </w:r>
          </w:p>
        </w:tc>
        <w:tc>
          <w:tcPr>
            <w:tcW w:type="dxa" w:w="1584"/>
            <w:vAlign w:val="center"/>
          </w:tcPr>
          <w:p>
            <w:pPr>
              <w:spacing w:after="20" w:before="20"/>
              <w:jc w:val="center"/>
            </w:pPr>
            <w:r/>
            <w:r>
              <w:rPr>
                <w:b w:val="0"/>
                <w:sz w:val="18"/>
              </w:rPr>
              <w:t>2.0×</w:t>
            </w:r>
          </w:p>
        </w:tc>
      </w:tr>
      <w:tr>
        <w:tc>
          <w:tcPr>
            <w:tcW w:type="dxa" w:w="5184"/>
            <w:shd w:val="clear" w:color="auto" w:fill="F3F7F7"/>
            <w:vAlign w:val="center"/>
          </w:tcPr>
          <w:p>
            <w:pPr>
              <w:spacing w:after="20" w:before="20"/>
              <w:jc w:val="left"/>
            </w:pPr>
            <w:r/>
            <w:r>
              <w:rPr>
                <w:b w:val="0"/>
                <w:sz w:val="18"/>
              </w:rPr>
              <w:t>× Book value (EGP 2.04 / share)</w:t>
            </w:r>
          </w:p>
        </w:tc>
        <w:tc>
          <w:tcPr>
            <w:tcW w:type="dxa" w:w="1584"/>
            <w:shd w:val="clear" w:color="auto" w:fill="F3F7F7"/>
            <w:vAlign w:val="center"/>
          </w:tcPr>
          <w:p>
            <w:pPr>
              <w:spacing w:after="20" w:before="20"/>
              <w:jc w:val="center"/>
            </w:pPr>
            <w:r/>
            <w:r>
              <w:rPr>
                <w:b w:val="0"/>
                <w:sz w:val="18"/>
              </w:rPr>
              <w:t>1.63</w:t>
            </w:r>
          </w:p>
        </w:tc>
        <w:tc>
          <w:tcPr>
            <w:tcW w:type="dxa" w:w="1584"/>
            <w:shd w:val="clear" w:color="auto" w:fill="F3F7F7"/>
            <w:vAlign w:val="center"/>
          </w:tcPr>
          <w:p>
            <w:pPr>
              <w:spacing w:after="20" w:before="20"/>
              <w:jc w:val="center"/>
            </w:pPr>
            <w:r/>
            <w:r>
              <w:rPr>
                <w:b w:val="0"/>
                <w:sz w:val="18"/>
              </w:rPr>
              <w:t>2.65</w:t>
            </w:r>
          </w:p>
        </w:tc>
        <w:tc>
          <w:tcPr>
            <w:tcW w:type="dxa" w:w="1584"/>
            <w:shd w:val="clear" w:color="auto" w:fill="F3F7F7"/>
            <w:vAlign w:val="center"/>
          </w:tcPr>
          <w:p>
            <w:pPr>
              <w:spacing w:after="20" w:before="20"/>
              <w:jc w:val="center"/>
            </w:pPr>
            <w:r/>
            <w:r>
              <w:rPr>
                <w:b w:val="0"/>
                <w:sz w:val="18"/>
              </w:rPr>
              <w:t>4.08</w:t>
            </w:r>
          </w:p>
        </w:tc>
      </w:tr>
      <w:tr>
        <w:tc>
          <w:tcPr>
            <w:tcW w:type="dxa" w:w="5184"/>
            <w:vAlign w:val="center"/>
          </w:tcPr>
          <w:p>
            <w:pPr>
              <w:spacing w:after="20" w:before="20"/>
              <w:jc w:val="left"/>
            </w:pPr>
            <w:r/>
            <w:r>
              <w:rPr>
                <w:b w:val="0"/>
                <w:sz w:val="18"/>
              </w:rPr>
              <w:t>Memo: normalized P/E cross-check (EPS 0.124 × 8–12×)</w:t>
            </w:r>
          </w:p>
        </w:tc>
        <w:tc>
          <w:tcPr>
            <w:tcW w:type="dxa" w:w="1584"/>
            <w:vAlign w:val="center"/>
          </w:tcPr>
          <w:p>
            <w:pPr>
              <w:spacing w:after="20" w:before="20"/>
              <w:jc w:val="center"/>
            </w:pPr>
            <w:r/>
            <w:r>
              <w:rPr>
                <w:b w:val="0"/>
                <w:sz w:val="18"/>
              </w:rPr>
              <w:t>0.99</w:t>
            </w:r>
          </w:p>
        </w:tc>
        <w:tc>
          <w:tcPr>
            <w:tcW w:type="dxa" w:w="1584"/>
            <w:vAlign w:val="center"/>
          </w:tcPr>
          <w:p>
            <w:pPr>
              <w:spacing w:after="20" w:before="20"/>
              <w:jc w:val="center"/>
            </w:pPr>
            <w:r/>
            <w:r>
              <w:rPr>
                <w:b w:val="0"/>
                <w:sz w:val="18"/>
              </w:rPr>
              <w:t>1.24</w:t>
            </w:r>
          </w:p>
        </w:tc>
        <w:tc>
          <w:tcPr>
            <w:tcW w:type="dxa" w:w="1584"/>
            <w:vAlign w:val="center"/>
          </w:tcPr>
          <w:p>
            <w:pPr>
              <w:spacing w:after="20" w:before="20"/>
              <w:jc w:val="center"/>
            </w:pPr>
            <w:r/>
            <w:r>
              <w:rPr>
                <w:b w:val="0"/>
                <w:sz w:val="18"/>
              </w:rPr>
              <w:t>1.49</w:t>
            </w:r>
          </w:p>
        </w:tc>
      </w:tr>
    </w:tbl>
    <w:p>
      <w:pPr>
        <w:spacing w:after="40"/>
      </w:pPr>
    </w:p>
    <w:p>
      <w:pPr>
        <w:spacing w:after="80" w:line="259" w:lineRule="auto"/>
      </w:pPr>
      <w:r>
        <w:rPr>
          <w:b/>
          <w:i w:val="0"/>
          <w:sz w:val="20"/>
        </w:rPr>
        <w:t>Relative base ≈ EGP 2.65</w:t>
      </w:r>
      <w:r>
        <w:rPr>
          <w:b w:val="0"/>
          <w:i w:val="0"/>
          <w:sz w:val="20"/>
        </w:rPr>
        <w:t xml:space="preserve"> on price-to-book — the second-highest lens, and the closest thing to where a sceptic who credits some asset premium would anchor. On earnings multiples the read is lower still (~EGP 1.0–1.5). Either way, the current 3.4× book is an outlier for the sector.</w:t>
      </w:r>
    </w:p>
    <w:p>
      <w:pPr>
        <w:spacing w:before="140" w:after="40"/>
      </w:pPr>
      <w:r>
        <w:rPr>
          <w:b/>
          <w:color w:val="2A8F8F"/>
          <w:sz w:val="23"/>
        </w:rPr>
        <w:t>1.4  Normalized earnings power</w:t>
      </w:r>
    </w:p>
    <w:p>
      <w:pPr>
        <w:spacing w:after="60" w:line="259" w:lineRule="auto"/>
      </w:pPr>
      <w:r>
        <w:rPr>
          <w:b w:val="0"/>
          <w:i w:val="0"/>
          <w:sz w:val="20"/>
        </w:rPr>
        <w:t>If the weak pound persists, KABO's export revenues stay structurally higher in EGP terms than pre-devaluation, so mid-cycle earnings are above the FY2024/25 trough even after stripping the one-off translation gains. We normalize net income to ~EGP 70m mid-cycle (bear 55m, bull 96m) and apply a through-cycle P/E of ~10× — modestly above the textile-sector average for the export/FX-hedge quality of the franchise.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4752"/>
            <w:shd w:val="clear" w:color="auto" w:fill="1B5E5E"/>
            <w:vAlign w:val="center"/>
          </w:tcPr>
          <w:p>
            <w:pPr>
              <w:spacing w:after="20" w:before="20"/>
              <w:jc w:val="left"/>
            </w:pPr>
            <w:r/>
            <w:r>
              <w:rPr>
                <w:b/>
                <w:color w:val="FFFFFF"/>
                <w:sz w:val="18"/>
              </w:rPr>
              <w:t>Normalized-earnings basis</w:t>
            </w:r>
          </w:p>
        </w:tc>
        <w:tc>
          <w:tcPr>
            <w:tcW w:type="dxa" w:w="1728"/>
            <w:shd w:val="clear" w:color="auto" w:fill="1B5E5E"/>
            <w:vAlign w:val="center"/>
          </w:tcPr>
          <w:p>
            <w:pPr>
              <w:spacing w:after="20" w:before="20"/>
              <w:jc w:val="center"/>
            </w:pPr>
            <w:r/>
            <w:r>
              <w:rPr>
                <w:b/>
                <w:color w:val="FFFFFF"/>
                <w:sz w:val="18"/>
              </w:rPr>
              <w:t>Bear</w:t>
            </w:r>
          </w:p>
        </w:tc>
        <w:tc>
          <w:tcPr>
            <w:tcW w:type="dxa" w:w="1728"/>
            <w:shd w:val="clear" w:color="auto" w:fill="1B5E5E"/>
            <w:vAlign w:val="center"/>
          </w:tcPr>
          <w:p>
            <w:pPr>
              <w:spacing w:after="20" w:before="20"/>
              <w:jc w:val="center"/>
            </w:pPr>
            <w:r/>
            <w:r>
              <w:rPr>
                <w:b/>
                <w:color w:val="FFFFFF"/>
                <w:sz w:val="18"/>
              </w:rPr>
              <w:t>Base</w:t>
            </w:r>
          </w:p>
        </w:tc>
        <w:tc>
          <w:tcPr>
            <w:tcW w:type="dxa" w:w="1728"/>
            <w:shd w:val="clear" w:color="auto" w:fill="1B5E5E"/>
            <w:vAlign w:val="center"/>
          </w:tcPr>
          <w:p>
            <w:pPr>
              <w:spacing w:after="20" w:before="20"/>
              <w:jc w:val="center"/>
            </w:pPr>
            <w:r/>
            <w:r>
              <w:rPr>
                <w:b/>
                <w:color w:val="FFFFFF"/>
                <w:sz w:val="18"/>
              </w:rPr>
              <w:t>Bull</w:t>
            </w:r>
          </w:p>
        </w:tc>
      </w:tr>
      <w:tr>
        <w:tc>
          <w:tcPr>
            <w:tcW w:type="dxa" w:w="4752"/>
            <w:vAlign w:val="center"/>
          </w:tcPr>
          <w:p>
            <w:pPr>
              <w:spacing w:after="20" w:before="20"/>
              <w:jc w:val="left"/>
            </w:pPr>
            <w:r/>
            <w:r>
              <w:rPr>
                <w:b w:val="0"/>
                <w:sz w:val="18"/>
              </w:rPr>
              <w:t>Mid-cycle net income (EGP m)</w:t>
            </w:r>
          </w:p>
        </w:tc>
        <w:tc>
          <w:tcPr>
            <w:tcW w:type="dxa" w:w="1728"/>
            <w:vAlign w:val="center"/>
          </w:tcPr>
          <w:p>
            <w:pPr>
              <w:spacing w:after="20" w:before="20"/>
              <w:jc w:val="center"/>
            </w:pPr>
            <w:r/>
            <w:r>
              <w:rPr>
                <w:b w:val="0"/>
                <w:sz w:val="18"/>
              </w:rPr>
              <w:t>55</w:t>
            </w:r>
          </w:p>
        </w:tc>
        <w:tc>
          <w:tcPr>
            <w:tcW w:type="dxa" w:w="1728"/>
            <w:vAlign w:val="center"/>
          </w:tcPr>
          <w:p>
            <w:pPr>
              <w:spacing w:after="20" w:before="20"/>
              <w:jc w:val="center"/>
            </w:pPr>
            <w:r/>
            <w:r>
              <w:rPr>
                <w:b w:val="0"/>
                <w:sz w:val="18"/>
              </w:rPr>
              <w:t>70</w:t>
            </w:r>
          </w:p>
        </w:tc>
        <w:tc>
          <w:tcPr>
            <w:tcW w:type="dxa" w:w="1728"/>
            <w:vAlign w:val="center"/>
          </w:tcPr>
          <w:p>
            <w:pPr>
              <w:spacing w:after="20" w:before="20"/>
              <w:jc w:val="center"/>
            </w:pPr>
            <w:r/>
            <w:r>
              <w:rPr>
                <w:b w:val="0"/>
                <w:sz w:val="18"/>
              </w:rPr>
              <w:t>96</w:t>
            </w:r>
          </w:p>
        </w:tc>
      </w:tr>
      <w:tr>
        <w:tc>
          <w:tcPr>
            <w:tcW w:type="dxa" w:w="4752"/>
            <w:shd w:val="clear" w:color="auto" w:fill="F3F7F7"/>
            <w:vAlign w:val="center"/>
          </w:tcPr>
          <w:p>
            <w:pPr>
              <w:spacing w:after="20" w:before="20"/>
              <w:jc w:val="left"/>
            </w:pPr>
            <w:r/>
            <w:r>
              <w:rPr>
                <w:b w:val="0"/>
                <w:sz w:val="18"/>
              </w:rPr>
              <w:t>Shares (m) → normalized EPS (base)</w:t>
            </w:r>
          </w:p>
        </w:tc>
        <w:tc>
          <w:tcPr>
            <w:tcW w:type="dxa" w:w="1728"/>
            <w:shd w:val="clear" w:color="auto" w:fill="F3F7F7"/>
            <w:vAlign w:val="center"/>
          </w:tcPr>
          <w:p>
            <w:pPr>
              <w:spacing w:after="20" w:before="20"/>
              <w:jc w:val="center"/>
            </w:pPr>
            <w:r/>
            <w:r>
              <w:rPr>
                <w:b w:val="0"/>
                <w:sz w:val="18"/>
              </w:rPr>
              <w:t>565 → 0.124</w:t>
            </w:r>
          </w:p>
        </w:tc>
        <w:tc>
          <w:tcPr>
            <w:tcW w:type="dxa" w:w="1728"/>
            <w:shd w:val="clear" w:color="auto" w:fill="F3F7F7"/>
            <w:vAlign w:val="center"/>
          </w:tcPr>
          <w:p>
            <w:pPr>
              <w:spacing w:after="20" w:before="20"/>
              <w:jc w:val="center"/>
            </w:pPr>
            <w:r/>
            <w:r>
              <w:rPr>
                <w:b w:val="0"/>
                <w:sz w:val="18"/>
              </w:rPr>
            </w:r>
          </w:p>
        </w:tc>
        <w:tc>
          <w:tcPr>
            <w:tcW w:type="dxa" w:w="1728"/>
            <w:shd w:val="clear" w:color="auto" w:fill="F3F7F7"/>
            <w:vAlign w:val="center"/>
          </w:tcPr>
          <w:p>
            <w:pPr>
              <w:spacing w:after="20" w:before="20"/>
              <w:jc w:val="center"/>
            </w:pPr>
            <w:r/>
            <w:r>
              <w:rPr>
                <w:b w:val="0"/>
                <w:sz w:val="18"/>
              </w:rPr>
            </w:r>
          </w:p>
        </w:tc>
      </w:tr>
      <w:tr>
        <w:tc>
          <w:tcPr>
            <w:tcW w:type="dxa" w:w="4752"/>
            <w:vAlign w:val="center"/>
          </w:tcPr>
          <w:p>
            <w:pPr>
              <w:spacing w:after="20" w:before="20"/>
              <w:jc w:val="left"/>
            </w:pPr>
            <w:r/>
            <w:r>
              <w:rPr>
                <w:b w:val="0"/>
                <w:sz w:val="18"/>
              </w:rPr>
              <w:t>Justified through-cycle P/E</w:t>
            </w:r>
          </w:p>
        </w:tc>
        <w:tc>
          <w:tcPr>
            <w:tcW w:type="dxa" w:w="1728"/>
            <w:vAlign w:val="center"/>
          </w:tcPr>
          <w:p>
            <w:pPr>
              <w:spacing w:after="20" w:before="20"/>
              <w:jc w:val="center"/>
            </w:pPr>
            <w:r/>
            <w:r>
              <w:rPr>
                <w:b w:val="0"/>
                <w:sz w:val="18"/>
              </w:rPr>
              <w:t>8×</w:t>
            </w:r>
          </w:p>
        </w:tc>
        <w:tc>
          <w:tcPr>
            <w:tcW w:type="dxa" w:w="1728"/>
            <w:vAlign w:val="center"/>
          </w:tcPr>
          <w:p>
            <w:pPr>
              <w:spacing w:after="20" w:before="20"/>
              <w:jc w:val="center"/>
            </w:pPr>
            <w:r/>
            <w:r>
              <w:rPr>
                <w:b w:val="0"/>
                <w:sz w:val="18"/>
              </w:rPr>
              <w:t>10×</w:t>
            </w:r>
          </w:p>
        </w:tc>
        <w:tc>
          <w:tcPr>
            <w:tcW w:type="dxa" w:w="1728"/>
            <w:vAlign w:val="center"/>
          </w:tcPr>
          <w:p>
            <w:pPr>
              <w:spacing w:after="20" w:before="20"/>
              <w:jc w:val="center"/>
            </w:pPr>
            <w:r/>
            <w:r>
              <w:rPr>
                <w:b w:val="0"/>
                <w:sz w:val="18"/>
              </w:rPr>
              <w:t>12×</w:t>
            </w:r>
          </w:p>
        </w:tc>
      </w:tr>
      <w:tr>
        <w:tc>
          <w:tcPr>
            <w:tcW w:type="dxa" w:w="4752"/>
            <w:shd w:val="clear" w:color="auto" w:fill="E3ECEC"/>
            <w:vAlign w:val="center"/>
          </w:tcPr>
          <w:p>
            <w:pPr>
              <w:spacing w:after="20" w:before="20"/>
              <w:jc w:val="left"/>
            </w:pPr>
            <w:r/>
            <w:r>
              <w:rPr>
                <w:b w:val="0"/>
                <w:sz w:val="18"/>
              </w:rPr>
              <w:t>Fair value (EGP / share)</w:t>
            </w:r>
          </w:p>
        </w:tc>
        <w:tc>
          <w:tcPr>
            <w:tcW w:type="dxa" w:w="1728"/>
            <w:shd w:val="clear" w:color="auto" w:fill="E3ECEC"/>
            <w:vAlign w:val="center"/>
          </w:tcPr>
          <w:p>
            <w:pPr>
              <w:spacing w:after="20" w:before="20"/>
              <w:jc w:val="center"/>
            </w:pPr>
            <w:r/>
            <w:r>
              <w:rPr>
                <w:b w:val="0"/>
                <w:sz w:val="18"/>
              </w:rPr>
              <w:t>0.78</w:t>
            </w:r>
          </w:p>
        </w:tc>
        <w:tc>
          <w:tcPr>
            <w:tcW w:type="dxa" w:w="1728"/>
            <w:shd w:val="clear" w:color="auto" w:fill="E3ECEC"/>
            <w:vAlign w:val="center"/>
          </w:tcPr>
          <w:p>
            <w:pPr>
              <w:spacing w:after="20" w:before="20"/>
              <w:jc w:val="center"/>
            </w:pPr>
            <w:r/>
            <w:r>
              <w:rPr>
                <w:b w:val="0"/>
                <w:sz w:val="18"/>
              </w:rPr>
              <w:t>1.24</w:t>
            </w:r>
          </w:p>
        </w:tc>
        <w:tc>
          <w:tcPr>
            <w:tcW w:type="dxa" w:w="1728"/>
            <w:shd w:val="clear" w:color="auto" w:fill="E3ECEC"/>
            <w:vAlign w:val="center"/>
          </w:tcPr>
          <w:p>
            <w:pPr>
              <w:spacing w:after="20" w:before="20"/>
              <w:jc w:val="center"/>
            </w:pPr>
            <w:r/>
            <w:r>
              <w:rPr>
                <w:b w:val="0"/>
                <w:sz w:val="18"/>
              </w:rPr>
              <w:t>2.04</w:t>
            </w:r>
          </w:p>
        </w:tc>
      </w:tr>
    </w:tbl>
    <w:p>
      <w:pPr>
        <w:spacing w:after="40"/>
      </w:pPr>
    </w:p>
    <w:p>
      <w:pPr>
        <w:spacing w:after="80" w:line="259" w:lineRule="auto"/>
      </w:pPr>
      <w:r>
        <w:rPr>
          <w:b/>
          <w:i w:val="0"/>
          <w:sz w:val="20"/>
        </w:rPr>
        <w:t>Normalized-earnings base ≈ EGP 1.24</w:t>
      </w:r>
      <w:r>
        <w:rPr>
          <w:b w:val="0"/>
          <w:i w:val="0"/>
          <w:sz w:val="20"/>
        </w:rPr>
        <w:t xml:space="preserve"> — the recovery-of-operations lens, and still far below price. Note the honest tension with §1.7: this lens assumes the devaluation-boosted export margin is durable; if input costs (cotton, energy, wages) fully catch up with the weaker pound, mid-cycle earnings drift back toward the bear.</w:t>
      </w:r>
    </w:p>
    <w:p>
      <w:pPr>
        <w:spacing w:before="140" w:after="40"/>
      </w:pPr>
      <w:r>
        <w:rPr>
          <w:b/>
          <w:color w:val="2A8F8F"/>
          <w:sz w:val="23"/>
        </w:rPr>
        <w:t>1.5  Synthesis — four lenses</w:t>
      </w:r>
    </w:p>
    <w:p>
      <w:pPr>
        <w:spacing w:after="60" w:line="259" w:lineRule="auto"/>
      </w:pPr>
      <w:r>
        <w:rPr>
          <w:b w:val="0"/>
          <w:i w:val="0"/>
          <w:sz w:val="20"/>
        </w:rPr>
        <w:t>We weight the RNAV most heavily because, for a name trading at a large premium to book with weak earnings, the asset value is the only coherent support for the price; the relative price-to-book read carries the sceptic's anchor; the DCF and normalized-earnings lenses set the going-concern floor.</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045"/>
        <w:gridCol w:w="2045"/>
        <w:gridCol w:w="2045"/>
        <w:gridCol w:w="2045"/>
        <w:gridCol w:w="2045"/>
      </w:tblGrid>
      <w:tr>
        <w:tc>
          <w:tcPr>
            <w:tcW w:type="dxa" w:w="3744"/>
            <w:shd w:val="clear" w:color="auto" w:fill="1B5E5E"/>
            <w:vAlign w:val="center"/>
          </w:tcPr>
          <w:p>
            <w:pPr>
              <w:spacing w:after="20" w:before="20"/>
              <w:jc w:val="left"/>
            </w:pPr>
            <w:r/>
            <w:r>
              <w:rPr>
                <w:b/>
                <w:color w:val="FFFFFF"/>
                <w:sz w:val="18"/>
              </w:rPr>
              <w:t>Lens</w:t>
            </w:r>
          </w:p>
        </w:tc>
        <w:tc>
          <w:tcPr>
            <w:tcW w:type="dxa" w:w="1440"/>
            <w:shd w:val="clear" w:color="auto" w:fill="1B5E5E"/>
            <w:vAlign w:val="center"/>
          </w:tcPr>
          <w:p>
            <w:pPr>
              <w:spacing w:after="20" w:before="20"/>
              <w:jc w:val="center"/>
            </w:pPr>
            <w:r/>
            <w:r>
              <w:rPr>
                <w:b/>
                <w:color w:val="FFFFFF"/>
                <w:sz w:val="18"/>
              </w:rPr>
              <w:t>Weight</w:t>
            </w:r>
          </w:p>
        </w:tc>
        <w:tc>
          <w:tcPr>
            <w:tcW w:type="dxa" w:w="1584"/>
            <w:shd w:val="clear" w:color="auto" w:fill="1B5E5E"/>
            <w:vAlign w:val="center"/>
          </w:tcPr>
          <w:p>
            <w:pPr>
              <w:spacing w:after="20" w:before="20"/>
              <w:jc w:val="center"/>
            </w:pPr>
            <w:r/>
            <w:r>
              <w:rPr>
                <w:b/>
                <w:color w:val="FFFFFF"/>
                <w:sz w:val="18"/>
              </w:rPr>
              <w:t>Bear</w:t>
            </w:r>
          </w:p>
        </w:tc>
        <w:tc>
          <w:tcPr>
            <w:tcW w:type="dxa" w:w="1584"/>
            <w:shd w:val="clear" w:color="auto" w:fill="1B5E5E"/>
            <w:vAlign w:val="center"/>
          </w:tcPr>
          <w:p>
            <w:pPr>
              <w:spacing w:after="20" w:before="20"/>
              <w:jc w:val="center"/>
            </w:pPr>
            <w:r/>
            <w:r>
              <w:rPr>
                <w:b/>
                <w:color w:val="FFFFFF"/>
                <w:sz w:val="18"/>
              </w:rPr>
              <w:t>Base</w:t>
            </w:r>
          </w:p>
        </w:tc>
        <w:tc>
          <w:tcPr>
            <w:tcW w:type="dxa" w:w="1584"/>
            <w:shd w:val="clear" w:color="auto" w:fill="1B5E5E"/>
            <w:vAlign w:val="center"/>
          </w:tcPr>
          <w:p>
            <w:pPr>
              <w:spacing w:after="20" w:before="20"/>
              <w:jc w:val="center"/>
            </w:pPr>
            <w:r/>
            <w:r>
              <w:rPr>
                <w:b/>
                <w:color w:val="FFFFFF"/>
                <w:sz w:val="18"/>
              </w:rPr>
              <w:t>Bull</w:t>
            </w:r>
          </w:p>
        </w:tc>
      </w:tr>
      <w:tr>
        <w:tc>
          <w:tcPr>
            <w:tcW w:type="dxa" w:w="3744"/>
            <w:vAlign w:val="center"/>
          </w:tcPr>
          <w:p>
            <w:pPr>
              <w:spacing w:after="20" w:before="20"/>
              <w:jc w:val="left"/>
            </w:pPr>
            <w:r/>
            <w:r>
              <w:rPr>
                <w:b w:val="0"/>
                <w:sz w:val="18"/>
              </w:rPr>
              <w:t>Revalued NAV (primary)</w:t>
            </w:r>
          </w:p>
        </w:tc>
        <w:tc>
          <w:tcPr>
            <w:tcW w:type="dxa" w:w="1440"/>
            <w:vAlign w:val="center"/>
          </w:tcPr>
          <w:p>
            <w:pPr>
              <w:spacing w:after="20" w:before="20"/>
              <w:jc w:val="center"/>
            </w:pPr>
            <w:r/>
            <w:r>
              <w:rPr>
                <w:b w:val="0"/>
                <w:sz w:val="18"/>
              </w:rPr>
              <w:t>45%</w:t>
            </w:r>
          </w:p>
        </w:tc>
        <w:tc>
          <w:tcPr>
            <w:tcW w:type="dxa" w:w="1584"/>
            <w:vAlign w:val="center"/>
          </w:tcPr>
          <w:p>
            <w:pPr>
              <w:spacing w:after="20" w:before="20"/>
              <w:jc w:val="center"/>
            </w:pPr>
            <w:r/>
            <w:r>
              <w:rPr>
                <w:b w:val="0"/>
                <w:sz w:val="18"/>
              </w:rPr>
              <w:t>1.90</w:t>
            </w:r>
          </w:p>
        </w:tc>
        <w:tc>
          <w:tcPr>
            <w:tcW w:type="dxa" w:w="1584"/>
            <w:vAlign w:val="center"/>
          </w:tcPr>
          <w:p>
            <w:pPr>
              <w:spacing w:after="20" w:before="20"/>
              <w:jc w:val="center"/>
            </w:pPr>
            <w:r/>
            <w:r>
              <w:rPr>
                <w:b w:val="0"/>
                <w:sz w:val="18"/>
              </w:rPr>
              <w:t>3.25</w:t>
            </w:r>
          </w:p>
        </w:tc>
        <w:tc>
          <w:tcPr>
            <w:tcW w:type="dxa" w:w="1584"/>
            <w:vAlign w:val="center"/>
          </w:tcPr>
          <w:p>
            <w:pPr>
              <w:spacing w:after="20" w:before="20"/>
              <w:jc w:val="center"/>
            </w:pPr>
            <w:r/>
            <w:r>
              <w:rPr>
                <w:b w:val="0"/>
                <w:sz w:val="18"/>
              </w:rPr>
              <w:t>4.50</w:t>
            </w:r>
          </w:p>
        </w:tc>
      </w:tr>
      <w:tr>
        <w:tc>
          <w:tcPr>
            <w:tcW w:type="dxa" w:w="3744"/>
            <w:shd w:val="clear" w:color="auto" w:fill="F3F7F7"/>
            <w:vAlign w:val="center"/>
          </w:tcPr>
          <w:p>
            <w:pPr>
              <w:spacing w:after="20" w:before="20"/>
              <w:jc w:val="left"/>
            </w:pPr>
            <w:r/>
            <w:r>
              <w:rPr>
                <w:b w:val="0"/>
                <w:sz w:val="18"/>
              </w:rPr>
              <w:t>Going-concern DCF</w:t>
            </w:r>
          </w:p>
        </w:tc>
        <w:tc>
          <w:tcPr>
            <w:tcW w:type="dxa" w:w="1440"/>
            <w:shd w:val="clear" w:color="auto" w:fill="F3F7F7"/>
            <w:vAlign w:val="center"/>
          </w:tcPr>
          <w:p>
            <w:pPr>
              <w:spacing w:after="20" w:before="20"/>
              <w:jc w:val="center"/>
            </w:pPr>
            <w:r/>
            <w:r>
              <w:rPr>
                <w:b w:val="0"/>
                <w:sz w:val="18"/>
              </w:rPr>
              <w:t>15%</w:t>
            </w:r>
          </w:p>
        </w:tc>
        <w:tc>
          <w:tcPr>
            <w:tcW w:type="dxa" w:w="1584"/>
            <w:shd w:val="clear" w:color="auto" w:fill="F3F7F7"/>
            <w:vAlign w:val="center"/>
          </w:tcPr>
          <w:p>
            <w:pPr>
              <w:spacing w:after="20" w:before="20"/>
              <w:jc w:val="center"/>
            </w:pPr>
            <w:r/>
            <w:r>
              <w:rPr>
                <w:b w:val="0"/>
                <w:sz w:val="18"/>
              </w:rPr>
              <w:t>0.25</w:t>
            </w:r>
          </w:p>
        </w:tc>
        <w:tc>
          <w:tcPr>
            <w:tcW w:type="dxa" w:w="1584"/>
            <w:shd w:val="clear" w:color="auto" w:fill="F3F7F7"/>
            <w:vAlign w:val="center"/>
          </w:tcPr>
          <w:p>
            <w:pPr>
              <w:spacing w:after="20" w:before="20"/>
              <w:jc w:val="center"/>
            </w:pPr>
            <w:r/>
            <w:r>
              <w:rPr>
                <w:b w:val="0"/>
                <w:sz w:val="18"/>
              </w:rPr>
              <w:t>0.55</w:t>
            </w:r>
          </w:p>
        </w:tc>
        <w:tc>
          <w:tcPr>
            <w:tcW w:type="dxa" w:w="1584"/>
            <w:shd w:val="clear" w:color="auto" w:fill="F3F7F7"/>
            <w:vAlign w:val="center"/>
          </w:tcPr>
          <w:p>
            <w:pPr>
              <w:spacing w:after="20" w:before="20"/>
              <w:jc w:val="center"/>
            </w:pPr>
            <w:r/>
            <w:r>
              <w:rPr>
                <w:b w:val="0"/>
                <w:sz w:val="18"/>
              </w:rPr>
              <w:t>1.10</w:t>
            </w:r>
          </w:p>
        </w:tc>
      </w:tr>
      <w:tr>
        <w:tc>
          <w:tcPr>
            <w:tcW w:type="dxa" w:w="3744"/>
            <w:vAlign w:val="center"/>
          </w:tcPr>
          <w:p>
            <w:pPr>
              <w:spacing w:after="20" w:before="20"/>
              <w:jc w:val="left"/>
            </w:pPr>
            <w:r/>
            <w:r>
              <w:rPr>
                <w:b w:val="0"/>
                <w:sz w:val="18"/>
              </w:rPr>
              <w:t>Relative (price-to-book)</w:t>
            </w:r>
          </w:p>
        </w:tc>
        <w:tc>
          <w:tcPr>
            <w:tcW w:type="dxa" w:w="1440"/>
            <w:vAlign w:val="center"/>
          </w:tcPr>
          <w:p>
            <w:pPr>
              <w:spacing w:after="20" w:before="20"/>
              <w:jc w:val="center"/>
            </w:pPr>
            <w:r/>
            <w:r>
              <w:rPr>
                <w:b w:val="0"/>
                <w:sz w:val="18"/>
              </w:rPr>
              <w:t>25%</w:t>
            </w:r>
          </w:p>
        </w:tc>
        <w:tc>
          <w:tcPr>
            <w:tcW w:type="dxa" w:w="1584"/>
            <w:vAlign w:val="center"/>
          </w:tcPr>
          <w:p>
            <w:pPr>
              <w:spacing w:after="20" w:before="20"/>
              <w:jc w:val="center"/>
            </w:pPr>
            <w:r/>
            <w:r>
              <w:rPr>
                <w:b w:val="0"/>
                <w:sz w:val="18"/>
              </w:rPr>
              <w:t>1.63</w:t>
            </w:r>
          </w:p>
        </w:tc>
        <w:tc>
          <w:tcPr>
            <w:tcW w:type="dxa" w:w="1584"/>
            <w:vAlign w:val="center"/>
          </w:tcPr>
          <w:p>
            <w:pPr>
              <w:spacing w:after="20" w:before="20"/>
              <w:jc w:val="center"/>
            </w:pPr>
            <w:r/>
            <w:r>
              <w:rPr>
                <w:b w:val="0"/>
                <w:sz w:val="18"/>
              </w:rPr>
              <w:t>2.65</w:t>
            </w:r>
          </w:p>
        </w:tc>
        <w:tc>
          <w:tcPr>
            <w:tcW w:type="dxa" w:w="1584"/>
            <w:vAlign w:val="center"/>
          </w:tcPr>
          <w:p>
            <w:pPr>
              <w:spacing w:after="20" w:before="20"/>
              <w:jc w:val="center"/>
            </w:pPr>
            <w:r/>
            <w:r>
              <w:rPr>
                <w:b w:val="0"/>
                <w:sz w:val="18"/>
              </w:rPr>
              <w:t>4.08</w:t>
            </w:r>
          </w:p>
        </w:tc>
      </w:tr>
      <w:tr>
        <w:tc>
          <w:tcPr>
            <w:tcW w:type="dxa" w:w="3744"/>
            <w:shd w:val="clear" w:color="auto" w:fill="F3F7F7"/>
            <w:vAlign w:val="center"/>
          </w:tcPr>
          <w:p>
            <w:pPr>
              <w:spacing w:after="20" w:before="20"/>
              <w:jc w:val="left"/>
            </w:pPr>
            <w:r/>
            <w:r>
              <w:rPr>
                <w:b w:val="0"/>
                <w:sz w:val="18"/>
              </w:rPr>
              <w:t>Normalized earnings</w:t>
            </w:r>
          </w:p>
        </w:tc>
        <w:tc>
          <w:tcPr>
            <w:tcW w:type="dxa" w:w="1440"/>
            <w:shd w:val="clear" w:color="auto" w:fill="F3F7F7"/>
            <w:vAlign w:val="center"/>
          </w:tcPr>
          <w:p>
            <w:pPr>
              <w:spacing w:after="20" w:before="20"/>
              <w:jc w:val="center"/>
            </w:pPr>
            <w:r/>
            <w:r>
              <w:rPr>
                <w:b w:val="0"/>
                <w:sz w:val="18"/>
              </w:rPr>
              <w:t>15%</w:t>
            </w:r>
          </w:p>
        </w:tc>
        <w:tc>
          <w:tcPr>
            <w:tcW w:type="dxa" w:w="1584"/>
            <w:shd w:val="clear" w:color="auto" w:fill="F3F7F7"/>
            <w:vAlign w:val="center"/>
          </w:tcPr>
          <w:p>
            <w:pPr>
              <w:spacing w:after="20" w:before="20"/>
              <w:jc w:val="center"/>
            </w:pPr>
            <w:r/>
            <w:r>
              <w:rPr>
                <w:b w:val="0"/>
                <w:sz w:val="18"/>
              </w:rPr>
              <w:t>0.78</w:t>
            </w:r>
          </w:p>
        </w:tc>
        <w:tc>
          <w:tcPr>
            <w:tcW w:type="dxa" w:w="1584"/>
            <w:shd w:val="clear" w:color="auto" w:fill="F3F7F7"/>
            <w:vAlign w:val="center"/>
          </w:tcPr>
          <w:p>
            <w:pPr>
              <w:spacing w:after="20" w:before="20"/>
              <w:jc w:val="center"/>
            </w:pPr>
            <w:r/>
            <w:r>
              <w:rPr>
                <w:b w:val="0"/>
                <w:sz w:val="18"/>
              </w:rPr>
              <w:t>1.24</w:t>
            </w:r>
          </w:p>
        </w:tc>
        <w:tc>
          <w:tcPr>
            <w:tcW w:type="dxa" w:w="1584"/>
            <w:shd w:val="clear" w:color="auto" w:fill="F3F7F7"/>
            <w:vAlign w:val="center"/>
          </w:tcPr>
          <w:p>
            <w:pPr>
              <w:spacing w:after="20" w:before="20"/>
              <w:jc w:val="center"/>
            </w:pPr>
            <w:r/>
            <w:r>
              <w:rPr>
                <w:b w:val="0"/>
                <w:sz w:val="18"/>
              </w:rPr>
              <w:t>2.04</w:t>
            </w:r>
          </w:p>
        </w:tc>
      </w:tr>
      <w:tr>
        <w:tc>
          <w:tcPr>
            <w:tcW w:type="dxa" w:w="3744"/>
            <w:shd w:val="clear" w:color="auto" w:fill="E3ECEC"/>
            <w:vAlign w:val="center"/>
          </w:tcPr>
          <w:p>
            <w:pPr>
              <w:spacing w:after="20" w:before="20"/>
              <w:jc w:val="left"/>
            </w:pPr>
            <w:r/>
            <w:r>
              <w:rPr>
                <w:b w:val="0"/>
                <w:sz w:val="18"/>
              </w:rPr>
              <w:t>Weighted central</w:t>
            </w:r>
          </w:p>
        </w:tc>
        <w:tc>
          <w:tcPr>
            <w:tcW w:type="dxa" w:w="1440"/>
            <w:shd w:val="clear" w:color="auto" w:fill="E3ECEC"/>
            <w:vAlign w:val="center"/>
          </w:tcPr>
          <w:p>
            <w:pPr>
              <w:spacing w:after="20" w:before="20"/>
              <w:jc w:val="center"/>
            </w:pPr>
            <w:r/>
            <w:r>
              <w:rPr>
                <w:b w:val="0"/>
                <w:sz w:val="18"/>
              </w:rPr>
            </w:r>
          </w:p>
        </w:tc>
        <w:tc>
          <w:tcPr>
            <w:tcW w:type="dxa" w:w="1584"/>
            <w:shd w:val="clear" w:color="auto" w:fill="E3ECEC"/>
            <w:vAlign w:val="center"/>
          </w:tcPr>
          <w:p>
            <w:pPr>
              <w:spacing w:after="20" w:before="20"/>
              <w:jc w:val="center"/>
            </w:pPr>
            <w:r/>
            <w:r>
              <w:rPr>
                <w:b w:val="0"/>
                <w:sz w:val="18"/>
              </w:rPr>
              <w:t>1.42</w:t>
            </w:r>
          </w:p>
        </w:tc>
        <w:tc>
          <w:tcPr>
            <w:tcW w:type="dxa" w:w="1584"/>
            <w:shd w:val="clear" w:color="auto" w:fill="E3ECEC"/>
            <w:vAlign w:val="center"/>
          </w:tcPr>
          <w:p>
            <w:pPr>
              <w:spacing w:after="20" w:before="20"/>
              <w:jc w:val="center"/>
            </w:pPr>
            <w:r/>
            <w:r>
              <w:rPr>
                <w:b w:val="0"/>
                <w:sz w:val="18"/>
              </w:rPr>
              <w:t>2.39</w:t>
            </w:r>
          </w:p>
        </w:tc>
        <w:tc>
          <w:tcPr>
            <w:tcW w:type="dxa" w:w="1584"/>
            <w:shd w:val="clear" w:color="auto" w:fill="E3ECEC"/>
            <w:vAlign w:val="center"/>
          </w:tcPr>
          <w:p>
            <w:pPr>
              <w:spacing w:after="20" w:before="20"/>
              <w:jc w:val="center"/>
            </w:pPr>
            <w:r/>
            <w:r>
              <w:rPr>
                <w:b w:val="0"/>
                <w:sz w:val="18"/>
              </w:rPr>
              <w:t>3.52</w:t>
            </w:r>
          </w:p>
        </w:tc>
      </w:tr>
    </w:tbl>
    <w:p>
      <w:pPr>
        <w:spacing w:after="40"/>
      </w:pPr>
    </w:p>
    <w:p>
      <w:pPr>
        <w:spacing w:before="80" w:after="20"/>
        <w:jc w:val="center"/>
      </w:pPr>
      <w:r>
        <w:drawing>
          <wp:inline xmlns:a="http://schemas.openxmlformats.org/drawingml/2006/main" xmlns:pic="http://schemas.openxmlformats.org/drawingml/2006/picture">
            <wp:extent cx="6035040" cy="2902471"/>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035040" cy="2902471"/>
                    </a:xfrm>
                    <a:prstGeom prst="rect"/>
                  </pic:spPr>
                </pic:pic>
              </a:graphicData>
            </a:graphic>
          </wp:inline>
        </w:drawing>
      </w:r>
    </w:p>
    <w:p>
      <w:pPr>
        <w:spacing w:after="120"/>
        <w:jc w:val="center"/>
      </w:pPr>
      <w:r>
        <w:rPr>
          <w:i/>
          <w:color w:val="222222"/>
          <w:sz w:val="17"/>
        </w:rPr>
        <w:t>Figure 1 — Valuation football field. Bars span bear–bull per lens; the brass tick is each base case; the gold band is the blended central range; the dark line is spot EGP 7.00, which sits above every lens.</w:t>
      </w:r>
    </w:p>
    <w:p>
      <w:pPr>
        <w:spacing w:after="80" w:line="259" w:lineRule="auto"/>
      </w:pPr>
      <w:r>
        <w:rPr>
          <w:b/>
          <w:i w:val="0"/>
          <w:sz w:val="20"/>
        </w:rPr>
        <w:t>Central fair value ≈ EGP 2.39/share</w:t>
      </w:r>
      <w:r>
        <w:rPr>
          <w:b w:val="0"/>
          <w:i w:val="0"/>
          <w:sz w:val="20"/>
        </w:rPr>
        <w:t>, about two-thirds below spot. The spread of the lenses (EGP 0.55 to 3.25 at base) is itself the message: this is not a business whose fair value is in reasonable doubt around the price — every method agrees the operating-and-audited-asset value is a fraction of EGP 7.00. What is in doubt is how much unbooked land value to add, and whether it will ever be realised.</w:t>
      </w:r>
    </w:p>
    <w:p>
      <w:pPr>
        <w:spacing w:before="140" w:after="40"/>
      </w:pPr>
      <w:r>
        <w:rPr>
          <w:b/>
          <w:color w:val="2A8F8F"/>
          <w:sz w:val="23"/>
        </w:rPr>
        <w:t>1.6  The assets — a deeper look</w:t>
      </w:r>
    </w:p>
    <w:p>
      <w:pPr>
        <w:spacing w:after="60" w:line="259" w:lineRule="auto"/>
      </w:pPr>
      <w:r>
        <w:rPr>
          <w:b w:val="0"/>
          <w:i w:val="0"/>
          <w:sz w:val="20"/>
        </w:rPr>
        <w:t>Because the whole case rests on the balance sheet, it is worth scoring each asset on how realizable it actually is. The uncomfortable truth for the bull is that the most valuable asset — the land — is also the least liquid: it sits under operating factories, is not disclosed parcel-by-parcel, and cannot be monetised without either relocating production or a corporate transaction. The brand has value but is not separable. Inventory and receivables are close to book but are ordinary working capital, not hidden value.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3456"/>
            <w:shd w:val="clear" w:color="auto" w:fill="1B5E5E"/>
            <w:vAlign w:val="center"/>
          </w:tcPr>
          <w:p>
            <w:pPr>
              <w:spacing w:after="20" w:before="20"/>
              <w:jc w:val="left"/>
            </w:pPr>
            <w:r/>
            <w:r>
              <w:rPr>
                <w:b/>
                <w:color w:val="FFFFFF"/>
                <w:sz w:val="18"/>
              </w:rPr>
              <w:t>Asset / segment</w:t>
            </w:r>
          </w:p>
        </w:tc>
        <w:tc>
          <w:tcPr>
            <w:tcW w:type="dxa" w:w="3024"/>
            <w:shd w:val="clear" w:color="auto" w:fill="1B5E5E"/>
            <w:vAlign w:val="center"/>
          </w:tcPr>
          <w:p>
            <w:pPr>
              <w:spacing w:after="20" w:before="20"/>
              <w:jc w:val="left"/>
            </w:pPr>
            <w:r/>
            <w:r>
              <w:rPr>
                <w:b/>
                <w:color w:val="FFFFFF"/>
                <w:sz w:val="18"/>
              </w:rPr>
              <w:t>Realizability</w:t>
            </w:r>
          </w:p>
        </w:tc>
        <w:tc>
          <w:tcPr>
            <w:tcW w:type="dxa" w:w="2160"/>
            <w:shd w:val="clear" w:color="auto" w:fill="1B5E5E"/>
            <w:vAlign w:val="center"/>
          </w:tcPr>
          <w:p>
            <w:pPr>
              <w:spacing w:after="20" w:before="20"/>
              <w:jc w:val="left"/>
            </w:pPr>
            <w:r/>
            <w:r>
              <w:rPr>
                <w:b/>
                <w:color w:val="FFFFFF"/>
                <w:sz w:val="18"/>
              </w:rPr>
              <w:t>Carrying vs market</w:t>
            </w:r>
          </w:p>
        </w:tc>
        <w:tc>
          <w:tcPr>
            <w:tcW w:type="dxa" w:w="1584"/>
            <w:shd w:val="clear" w:color="auto" w:fill="1B5E5E"/>
            <w:vAlign w:val="center"/>
          </w:tcPr>
          <w:p>
            <w:pPr>
              <w:spacing w:after="20" w:before="20"/>
              <w:jc w:val="left"/>
            </w:pPr>
            <w:r/>
            <w:r>
              <w:rPr>
                <w:b/>
                <w:color w:val="FFFFFF"/>
                <w:sz w:val="18"/>
              </w:rPr>
              <w:t>Role in the case</w:t>
            </w:r>
          </w:p>
        </w:tc>
      </w:tr>
      <w:tr>
        <w:tc>
          <w:tcPr>
            <w:tcW w:type="dxa" w:w="3456"/>
            <w:vAlign w:val="center"/>
          </w:tcPr>
          <w:p>
            <w:pPr>
              <w:spacing w:after="20" w:before="20"/>
              <w:jc w:val="left"/>
            </w:pPr>
            <w:r/>
            <w:r>
              <w:rPr>
                <w:b w:val="0"/>
                <w:sz w:val="17"/>
              </w:rPr>
              <w:t>Land &amp; buildings (Alexandria)</w:t>
            </w:r>
          </w:p>
        </w:tc>
        <w:tc>
          <w:tcPr>
            <w:tcW w:type="dxa" w:w="3024"/>
            <w:vAlign w:val="center"/>
          </w:tcPr>
          <w:p>
            <w:pPr>
              <w:spacing w:after="20" w:before="20"/>
              <w:jc w:val="left"/>
            </w:pPr>
            <w:r/>
            <w:r>
              <w:rPr>
                <w:b w:val="0"/>
                <w:sz w:val="17"/>
              </w:rPr>
              <w:t>Low — owner-occupied, indivisible</w:t>
            </w:r>
          </w:p>
        </w:tc>
        <w:tc>
          <w:tcPr>
            <w:tcW w:type="dxa" w:w="2160"/>
            <w:vAlign w:val="center"/>
          </w:tcPr>
          <w:p>
            <w:pPr>
              <w:spacing w:after="20" w:before="20"/>
              <w:jc w:val="left"/>
            </w:pPr>
            <w:r/>
            <w:r>
              <w:rPr>
                <w:b w:val="0"/>
                <w:sz w:val="17"/>
              </w:rPr>
              <w:t>Likely well below market</w:t>
            </w:r>
          </w:p>
        </w:tc>
        <w:tc>
          <w:tcPr>
            <w:tcW w:type="dxa" w:w="1584"/>
            <w:vAlign w:val="center"/>
          </w:tcPr>
          <w:p>
            <w:pPr>
              <w:spacing w:after="20" w:before="20"/>
              <w:jc w:val="left"/>
            </w:pPr>
            <w:r/>
            <w:r>
              <w:rPr>
                <w:b w:val="0"/>
                <w:sz w:val="17"/>
              </w:rPr>
              <w:t>The entire swing</w:t>
            </w:r>
          </w:p>
        </w:tc>
      </w:tr>
      <w:tr>
        <w:tc>
          <w:tcPr>
            <w:tcW w:type="dxa" w:w="3456"/>
            <w:shd w:val="clear" w:color="auto" w:fill="F3F7F7"/>
            <w:vAlign w:val="center"/>
          </w:tcPr>
          <w:p>
            <w:pPr>
              <w:spacing w:after="20" w:before="20"/>
              <w:jc w:val="left"/>
            </w:pPr>
            <w:r/>
            <w:r>
              <w:rPr>
                <w:b w:val="0"/>
                <w:sz w:val="17"/>
              </w:rPr>
              <w:t>Plant &amp; machinery</w:t>
            </w:r>
          </w:p>
        </w:tc>
        <w:tc>
          <w:tcPr>
            <w:tcW w:type="dxa" w:w="3024"/>
            <w:shd w:val="clear" w:color="auto" w:fill="F3F7F7"/>
            <w:vAlign w:val="center"/>
          </w:tcPr>
          <w:p>
            <w:pPr>
              <w:spacing w:after="20" w:before="20"/>
              <w:jc w:val="left"/>
            </w:pPr>
            <w:r/>
            <w:r>
              <w:rPr>
                <w:b w:val="0"/>
                <w:sz w:val="17"/>
              </w:rPr>
              <w:t>Low — specialised, second-hand</w:t>
            </w:r>
          </w:p>
        </w:tc>
        <w:tc>
          <w:tcPr>
            <w:tcW w:type="dxa" w:w="2160"/>
            <w:shd w:val="clear" w:color="auto" w:fill="F3F7F7"/>
            <w:vAlign w:val="center"/>
          </w:tcPr>
          <w:p>
            <w:pPr>
              <w:spacing w:after="20" w:before="20"/>
              <w:jc w:val="left"/>
            </w:pPr>
            <w:r/>
            <w:r>
              <w:rPr>
                <w:b w:val="0"/>
                <w:sz w:val="17"/>
              </w:rPr>
              <w:t>Near or below book</w:t>
            </w:r>
          </w:p>
        </w:tc>
        <w:tc>
          <w:tcPr>
            <w:tcW w:type="dxa" w:w="1584"/>
            <w:shd w:val="clear" w:color="auto" w:fill="F3F7F7"/>
            <w:vAlign w:val="center"/>
          </w:tcPr>
          <w:p>
            <w:pPr>
              <w:spacing w:after="20" w:before="20"/>
              <w:jc w:val="left"/>
            </w:pPr>
            <w:r/>
            <w:r>
              <w:rPr>
                <w:b w:val="0"/>
                <w:sz w:val="17"/>
              </w:rPr>
              <w:t>Operating base</w:t>
            </w:r>
          </w:p>
        </w:tc>
      </w:tr>
      <w:tr>
        <w:tc>
          <w:tcPr>
            <w:tcW w:type="dxa" w:w="3456"/>
            <w:vAlign w:val="center"/>
          </w:tcPr>
          <w:p>
            <w:pPr>
              <w:spacing w:after="20" w:before="20"/>
              <w:jc w:val="left"/>
            </w:pPr>
            <w:r/>
            <w:r>
              <w:rPr>
                <w:b w:val="0"/>
                <w:sz w:val="17"/>
              </w:rPr>
              <w:t>Inventory &amp; receivables</w:t>
            </w:r>
          </w:p>
        </w:tc>
        <w:tc>
          <w:tcPr>
            <w:tcW w:type="dxa" w:w="3024"/>
            <w:vAlign w:val="center"/>
          </w:tcPr>
          <w:p>
            <w:pPr>
              <w:spacing w:after="20" w:before="20"/>
              <w:jc w:val="left"/>
            </w:pPr>
            <w:r/>
            <w:r>
              <w:rPr>
                <w:b w:val="0"/>
                <w:sz w:val="17"/>
              </w:rPr>
              <w:t>Moderate — ordinary WC</w:t>
            </w:r>
          </w:p>
        </w:tc>
        <w:tc>
          <w:tcPr>
            <w:tcW w:type="dxa" w:w="2160"/>
            <w:vAlign w:val="center"/>
          </w:tcPr>
          <w:p>
            <w:pPr>
              <w:spacing w:after="20" w:before="20"/>
              <w:jc w:val="left"/>
            </w:pPr>
            <w:r/>
            <w:r>
              <w:rPr>
                <w:b w:val="0"/>
                <w:sz w:val="17"/>
              </w:rPr>
              <w:t>Near book</w:t>
            </w:r>
          </w:p>
        </w:tc>
        <w:tc>
          <w:tcPr>
            <w:tcW w:type="dxa" w:w="1584"/>
            <w:vAlign w:val="center"/>
          </w:tcPr>
          <w:p>
            <w:pPr>
              <w:spacing w:after="20" w:before="20"/>
              <w:jc w:val="left"/>
            </w:pPr>
            <w:r/>
            <w:r>
              <w:rPr>
                <w:b w:val="0"/>
                <w:sz w:val="17"/>
              </w:rPr>
              <w:t>Working capital, not value</w:t>
            </w:r>
          </w:p>
        </w:tc>
      </w:tr>
      <w:tr>
        <w:tc>
          <w:tcPr>
            <w:tcW w:type="dxa" w:w="3456"/>
            <w:shd w:val="clear" w:color="auto" w:fill="F3F7F7"/>
            <w:vAlign w:val="center"/>
          </w:tcPr>
          <w:p>
            <w:pPr>
              <w:spacing w:after="20" w:before="20"/>
              <w:jc w:val="left"/>
            </w:pPr>
            <w:r/>
            <w:r>
              <w:rPr>
                <w:b w:val="0"/>
                <w:sz w:val="17"/>
              </w:rPr>
              <w:t>Brand (Kabo / Jil / Super Kabo)</w:t>
            </w:r>
          </w:p>
        </w:tc>
        <w:tc>
          <w:tcPr>
            <w:tcW w:type="dxa" w:w="3024"/>
            <w:shd w:val="clear" w:color="auto" w:fill="F3F7F7"/>
            <w:vAlign w:val="center"/>
          </w:tcPr>
          <w:p>
            <w:pPr>
              <w:spacing w:after="20" w:before="20"/>
              <w:jc w:val="left"/>
            </w:pPr>
            <w:r/>
            <w:r>
              <w:rPr>
                <w:b w:val="0"/>
                <w:sz w:val="17"/>
              </w:rPr>
              <w:t>Low — not separable from the business</w:t>
            </w:r>
          </w:p>
        </w:tc>
        <w:tc>
          <w:tcPr>
            <w:tcW w:type="dxa" w:w="2160"/>
            <w:shd w:val="clear" w:color="auto" w:fill="F3F7F7"/>
            <w:vAlign w:val="center"/>
          </w:tcPr>
          <w:p>
            <w:pPr>
              <w:spacing w:after="20" w:before="20"/>
              <w:jc w:val="left"/>
            </w:pPr>
            <w:r/>
            <w:r>
              <w:rPr>
                <w:b w:val="0"/>
                <w:sz w:val="17"/>
              </w:rPr>
              <w:t>Off balance sheet</w:t>
            </w:r>
          </w:p>
        </w:tc>
        <w:tc>
          <w:tcPr>
            <w:tcW w:type="dxa" w:w="1584"/>
            <w:shd w:val="clear" w:color="auto" w:fill="F3F7F7"/>
            <w:vAlign w:val="center"/>
          </w:tcPr>
          <w:p>
            <w:pPr>
              <w:spacing w:after="20" w:before="20"/>
              <w:jc w:val="left"/>
            </w:pPr>
            <w:r/>
            <w:r>
              <w:rPr>
                <w:b w:val="0"/>
                <w:sz w:val="17"/>
              </w:rPr>
              <w:t>Optionality only</w:t>
            </w:r>
          </w:p>
        </w:tc>
      </w:tr>
    </w:tbl>
    <w:p>
      <w:pPr>
        <w:spacing w:after="40"/>
      </w:pPr>
    </w:p>
    <w:p>
      <w:pPr>
        <w:spacing w:before="140" w:after="40"/>
      </w:pPr>
      <w:r>
        <w:rPr>
          <w:b/>
          <w:color w:val="2A8F8F"/>
          <w:sz w:val="23"/>
        </w:rPr>
        <w:t>1.7  The land re-mark — the crux</w:t>
      </w:r>
    </w:p>
    <w:p>
      <w:pPr>
        <w:spacing w:after="80" w:line="259" w:lineRule="auto"/>
      </w:pPr>
      <w:r>
        <w:rPr>
          <w:b w:val="0"/>
          <w:i w:val="0"/>
          <w:sz w:val="20"/>
        </w:rPr>
        <w:t xml:space="preserve">One variable drives this valuation more than all the others combined: </w:t>
      </w:r>
      <w:r>
        <w:rPr>
          <w:b/>
          <w:i w:val="0"/>
          <w:sz w:val="20"/>
        </w:rPr>
        <w:t>what KABO's legacy Alexandria real estate is worth, and whether it is ever revalued or sold.</w:t>
      </w:r>
      <w:r>
        <w:rPr>
          <w:b w:val="0"/>
          <w:i w:val="0"/>
          <w:sz w:val="20"/>
        </w:rPr>
        <w:t xml:space="preserve"> The arithmetic is unforgiving. For the EGP 7.00 price (market cap ~EGP 3.96bn) to be backed by assets, the realizable value of KABO's property would need to exceed its book carrying value by roughly </w:t>
      </w:r>
      <w:r>
        <w:rPr>
          <w:b/>
          <w:i w:val="0"/>
          <w:sz w:val="20"/>
        </w:rPr>
        <w:t>EGP 2.8bn</w:t>
      </w:r>
      <w:r>
        <w:rPr>
          <w:b w:val="0"/>
          <w:i w:val="0"/>
          <w:sz w:val="20"/>
        </w:rPr>
        <w:t xml:space="preserve"> — nearly triple the entire current book asset base — with that uplift concentrated in land. That is not impossible: a company manufacturing in Alexandria since 1940 may sit on large, well-located parcels carried at a fraction of today's land prices, and Egyptian industrial land has re-rated sharply in nominal terms through successive devaluations. But it is undisclosed. KABO publishes no asset register, no independent land valuation, and no monetisation plan; there is no RERA-style escrow or handover schedule to model against. So the land re-mark is, at this stage, </w:t>
      </w:r>
      <w:r>
        <w:rPr>
          <w:b/>
          <w:i w:val="0"/>
          <w:sz w:val="20"/>
        </w:rPr>
        <w:t>the market's hope rather than a modelled fact</w:t>
      </w:r>
      <w:r>
        <w:rPr>
          <w:b w:val="0"/>
          <w:i w:val="0"/>
          <w:sz w:val="20"/>
        </w:rPr>
        <w:t xml:space="preserve"> — which is exactly why RNAV is the right lens and why we sensitise the mark rather than assert a single number. The bull case is a specific, testable claim: that a revaluation or sale will crystallise land worth multiples of book. Until the company discloses the parcels or announces a transaction, a disciplined analyst credits a conservative uplift (our EGP 0.7bn base) and treats the rest as optionality.</w:t>
      </w:r>
    </w:p>
    <w:p>
      <w:pPr>
        <w:spacing w:before="140" w:after="40"/>
      </w:pPr>
      <w:r>
        <w:rPr>
          <w:b/>
          <w:color w:val="2A8F8F"/>
          <w:sz w:val="23"/>
        </w:rPr>
        <w:t>1.8  Macro and country — the pound, rates, cotton and the consumer</w:t>
      </w:r>
    </w:p>
    <w:p>
      <w:pPr>
        <w:spacing w:after="80" w:line="259" w:lineRule="auto"/>
      </w:pPr>
      <w:r>
        <w:rPr>
          <w:b w:val="0"/>
          <w:i w:val="0"/>
          <w:sz w:val="20"/>
        </w:rPr>
        <w:t xml:space="preserve">KABO is a leveraged, export-oriented small-cap, so Egyptian macro sets its fortunes more than management does. </w:t>
      </w:r>
      <w:r>
        <w:rPr>
          <w:b/>
          <w:i w:val="0"/>
          <w:sz w:val="20"/>
        </w:rPr>
        <w:t>The pound</w:t>
      </w:r>
      <w:r>
        <w:rPr>
          <w:b w:val="0"/>
          <w:i w:val="0"/>
          <w:sz w:val="20"/>
        </w:rPr>
        <w:t xml:space="preserve"> is double-edged: a weaker EGP lifts export revenues in local terms (the source of the FY2024 windfall) but raises the local-currency cost of imported cotton, yarn and energy, so the net margin effect depends on the lag between the two. </w:t>
      </w:r>
      <w:r>
        <w:rPr>
          <w:b/>
          <w:i w:val="0"/>
          <w:sz w:val="20"/>
        </w:rPr>
        <w:t>Interest rates</w:t>
      </w:r>
      <w:r>
        <w:rPr>
          <w:b w:val="0"/>
          <w:i w:val="0"/>
          <w:sz w:val="20"/>
        </w:rPr>
        <w:t xml:space="preserve"> matter mechanically — a company with ~EGP 559m of debt is squeezed when the CBE corridor is high, and any 2026 easing cycle is a direct relief to finance costs and to the discount rate in §1.2. </w:t>
      </w:r>
      <w:r>
        <w:rPr>
          <w:b/>
          <w:i w:val="0"/>
          <w:sz w:val="20"/>
        </w:rPr>
        <w:t>Input costs</w:t>
      </w:r>
      <w:r>
        <w:rPr>
          <w:b w:val="0"/>
          <w:i w:val="0"/>
          <w:sz w:val="20"/>
        </w:rPr>
        <w:t xml:space="preserve"> — global cotton and fibre prices, plus domestic energy-tariff and minimum-wage steps — set the gross margin. And </w:t>
      </w:r>
      <w:r>
        <w:rPr>
          <w:b/>
          <w:i w:val="0"/>
          <w:sz w:val="20"/>
        </w:rPr>
        <w:t>regional freight</w:t>
      </w:r>
      <w:r>
        <w:rPr>
          <w:b w:val="0"/>
          <w:i w:val="0"/>
          <w:sz w:val="20"/>
        </w:rPr>
        <w:t xml:space="preserve"> (Red Sea disruption raising shipping costs and lead times) bears directly on an exporter. These levers, not a new product line, are what move the bear and bull cases and drive the catalysts in §5.</w:t>
      </w:r>
    </w:p>
    <w:p>
      <w:pPr>
        <w:spacing w:before="140" w:after="40"/>
      </w:pPr>
      <w:r>
        <w:rPr>
          <w:b/>
          <w:color w:val="2A8F8F"/>
          <w:sz w:val="23"/>
        </w:rPr>
        <w:t>1.9  RNAV sensitivity — how the land mark and the discount move the value</w:t>
      </w:r>
    </w:p>
    <w:p>
      <w:pPr>
        <w:spacing w:after="60" w:line="259" w:lineRule="auto"/>
      </w:pPr>
      <w:r>
        <w:rPr>
          <w:b w:val="0"/>
          <w:i w:val="0"/>
          <w:sz w:val="20"/>
        </w:rPr>
        <w:t>The table re-prices RNAV across the land-and-buildings re-mark (rows) and the discount a buyer might apply to a hard-to-monetise, owner-occupied asset base (columns). The cell nearest spot (EGP 7.00) sits at the far corner — a ~EGP 2.8bn re-mark applied at par — which is the asset value the price implies.</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4320"/>
            <w:shd w:val="clear" w:color="auto" w:fill="1B5E5E"/>
            <w:vAlign w:val="center"/>
          </w:tcPr>
          <w:p>
            <w:pPr>
              <w:spacing w:after="20" w:before="20"/>
              <w:jc w:val="left"/>
            </w:pPr>
            <w:r/>
            <w:r>
              <w:rPr>
                <w:b/>
                <w:color w:val="FFFFFF"/>
                <w:sz w:val="18"/>
              </w:rPr>
              <w:t>Land re-mark (EGP m) ↓  /  applied discount →</w:t>
            </w:r>
          </w:p>
        </w:tc>
        <w:tc>
          <w:tcPr>
            <w:tcW w:type="dxa" w:w="1944"/>
            <w:shd w:val="clear" w:color="auto" w:fill="1B5E5E"/>
            <w:vAlign w:val="center"/>
          </w:tcPr>
          <w:p>
            <w:pPr>
              <w:spacing w:after="20" w:before="20"/>
              <w:jc w:val="center"/>
            </w:pPr>
            <w:r/>
            <w:r>
              <w:rPr>
                <w:b/>
                <w:color w:val="FFFFFF"/>
                <w:sz w:val="18"/>
              </w:rPr>
              <w:t>Par (0%)</w:t>
            </w:r>
          </w:p>
        </w:tc>
        <w:tc>
          <w:tcPr>
            <w:tcW w:type="dxa" w:w="1944"/>
            <w:shd w:val="clear" w:color="auto" w:fill="1B5E5E"/>
            <w:vAlign w:val="center"/>
          </w:tcPr>
          <w:p>
            <w:pPr>
              <w:spacing w:after="20" w:before="20"/>
              <w:jc w:val="center"/>
            </w:pPr>
            <w:r/>
            <w:r>
              <w:rPr>
                <w:b/>
                <w:color w:val="FFFFFF"/>
                <w:sz w:val="18"/>
              </w:rPr>
              <w:t>−20%</w:t>
            </w:r>
          </w:p>
        </w:tc>
        <w:tc>
          <w:tcPr>
            <w:tcW w:type="dxa" w:w="1944"/>
            <w:shd w:val="clear" w:color="auto" w:fill="1B5E5E"/>
            <w:vAlign w:val="center"/>
          </w:tcPr>
          <w:p>
            <w:pPr>
              <w:spacing w:after="20" w:before="20"/>
              <w:jc w:val="center"/>
            </w:pPr>
            <w:r/>
            <w:r>
              <w:rPr>
                <w:b/>
                <w:color w:val="FFFFFF"/>
                <w:sz w:val="18"/>
              </w:rPr>
              <w:t>−40%</w:t>
            </w:r>
          </w:p>
        </w:tc>
      </w:tr>
      <w:tr>
        <w:tc>
          <w:tcPr>
            <w:tcW w:type="dxa" w:w="4320"/>
            <w:vAlign w:val="center"/>
          </w:tcPr>
          <w:p>
            <w:pPr>
              <w:spacing w:after="20" w:before="20"/>
              <w:jc w:val="left"/>
            </w:pPr>
            <w:r/>
            <w:r>
              <w:rPr>
                <w:b w:val="0"/>
                <w:sz w:val="18"/>
              </w:rPr>
              <w:t>0  (book only)</w:t>
            </w:r>
          </w:p>
        </w:tc>
        <w:tc>
          <w:tcPr>
            <w:tcW w:type="dxa" w:w="1944"/>
            <w:vAlign w:val="center"/>
          </w:tcPr>
          <w:p>
            <w:pPr>
              <w:spacing w:after="20" w:before="20"/>
              <w:jc w:val="center"/>
            </w:pPr>
            <w:r/>
            <w:r>
              <w:rPr>
                <w:b w:val="0"/>
                <w:sz w:val="18"/>
              </w:rPr>
              <w:t>2.04</w:t>
            </w:r>
          </w:p>
        </w:tc>
        <w:tc>
          <w:tcPr>
            <w:tcW w:type="dxa" w:w="1944"/>
            <w:vAlign w:val="center"/>
          </w:tcPr>
          <w:p>
            <w:pPr>
              <w:spacing w:after="20" w:before="20"/>
              <w:jc w:val="center"/>
            </w:pPr>
            <w:r/>
            <w:r>
              <w:rPr>
                <w:b w:val="0"/>
                <w:sz w:val="18"/>
              </w:rPr>
              <w:t>1.63</w:t>
            </w:r>
          </w:p>
        </w:tc>
        <w:tc>
          <w:tcPr>
            <w:tcW w:type="dxa" w:w="1944"/>
            <w:vAlign w:val="center"/>
          </w:tcPr>
          <w:p>
            <w:pPr>
              <w:spacing w:after="20" w:before="20"/>
              <w:jc w:val="center"/>
            </w:pPr>
            <w:r/>
            <w:r>
              <w:rPr>
                <w:b w:val="0"/>
                <w:sz w:val="18"/>
              </w:rPr>
              <w:t>1.22</w:t>
            </w:r>
          </w:p>
        </w:tc>
      </w:tr>
      <w:tr>
        <w:tc>
          <w:tcPr>
            <w:tcW w:type="dxa" w:w="4320"/>
            <w:shd w:val="clear" w:color="auto" w:fill="F3F7F7"/>
            <w:vAlign w:val="center"/>
          </w:tcPr>
          <w:p>
            <w:pPr>
              <w:spacing w:after="20" w:before="20"/>
              <w:jc w:val="left"/>
            </w:pPr>
            <w:r/>
            <w:r>
              <w:rPr>
                <w:b w:val="0"/>
                <w:sz w:val="18"/>
              </w:rPr>
              <w:t>700  (base)</w:t>
            </w:r>
          </w:p>
        </w:tc>
        <w:tc>
          <w:tcPr>
            <w:tcW w:type="dxa" w:w="1944"/>
            <w:shd w:val="clear" w:color="auto" w:fill="F3F7F7"/>
            <w:vAlign w:val="center"/>
          </w:tcPr>
          <w:p>
            <w:pPr>
              <w:spacing w:after="20" w:before="20"/>
              <w:jc w:val="center"/>
            </w:pPr>
            <w:r/>
            <w:r>
              <w:rPr>
                <w:b w:val="0"/>
                <w:sz w:val="18"/>
              </w:rPr>
              <w:t>3.28</w:t>
            </w:r>
          </w:p>
        </w:tc>
        <w:tc>
          <w:tcPr>
            <w:tcW w:type="dxa" w:w="1944"/>
            <w:shd w:val="clear" w:color="auto" w:fill="F3F7F7"/>
            <w:vAlign w:val="center"/>
          </w:tcPr>
          <w:p>
            <w:pPr>
              <w:spacing w:after="20" w:before="20"/>
              <w:jc w:val="center"/>
            </w:pPr>
            <w:r/>
            <w:r>
              <w:rPr>
                <w:b w:val="0"/>
                <w:sz w:val="18"/>
              </w:rPr>
              <w:t>2.62</w:t>
            </w:r>
          </w:p>
        </w:tc>
        <w:tc>
          <w:tcPr>
            <w:tcW w:type="dxa" w:w="1944"/>
            <w:shd w:val="clear" w:color="auto" w:fill="F3F7F7"/>
            <w:vAlign w:val="center"/>
          </w:tcPr>
          <w:p>
            <w:pPr>
              <w:spacing w:after="20" w:before="20"/>
              <w:jc w:val="center"/>
            </w:pPr>
            <w:r/>
            <w:r>
              <w:rPr>
                <w:b w:val="0"/>
                <w:sz w:val="18"/>
              </w:rPr>
              <w:t>1.97</w:t>
            </w:r>
          </w:p>
        </w:tc>
      </w:tr>
      <w:tr>
        <w:tc>
          <w:tcPr>
            <w:tcW w:type="dxa" w:w="4320"/>
            <w:vAlign w:val="center"/>
          </w:tcPr>
          <w:p>
            <w:pPr>
              <w:spacing w:after="20" w:before="20"/>
              <w:jc w:val="left"/>
            </w:pPr>
            <w:r/>
            <w:r>
              <w:rPr>
                <w:b w:val="0"/>
                <w:sz w:val="18"/>
              </w:rPr>
              <w:t>1,400</w:t>
            </w:r>
          </w:p>
        </w:tc>
        <w:tc>
          <w:tcPr>
            <w:tcW w:type="dxa" w:w="1944"/>
            <w:vAlign w:val="center"/>
          </w:tcPr>
          <w:p>
            <w:pPr>
              <w:spacing w:after="20" w:before="20"/>
              <w:jc w:val="center"/>
            </w:pPr>
            <w:r/>
            <w:r>
              <w:rPr>
                <w:b w:val="0"/>
                <w:sz w:val="18"/>
              </w:rPr>
              <w:t>4.52</w:t>
            </w:r>
          </w:p>
        </w:tc>
        <w:tc>
          <w:tcPr>
            <w:tcW w:type="dxa" w:w="1944"/>
            <w:vAlign w:val="center"/>
          </w:tcPr>
          <w:p>
            <w:pPr>
              <w:spacing w:after="20" w:before="20"/>
              <w:jc w:val="center"/>
            </w:pPr>
            <w:r/>
            <w:r>
              <w:rPr>
                <w:b w:val="0"/>
                <w:sz w:val="18"/>
              </w:rPr>
              <w:t>3.62</w:t>
            </w:r>
          </w:p>
        </w:tc>
        <w:tc>
          <w:tcPr>
            <w:tcW w:type="dxa" w:w="1944"/>
            <w:vAlign w:val="center"/>
          </w:tcPr>
          <w:p>
            <w:pPr>
              <w:spacing w:after="20" w:before="20"/>
              <w:jc w:val="center"/>
            </w:pPr>
            <w:r/>
            <w:r>
              <w:rPr>
                <w:b w:val="0"/>
                <w:sz w:val="18"/>
              </w:rPr>
              <w:t>2.71</w:t>
            </w:r>
          </w:p>
        </w:tc>
      </w:tr>
      <w:tr>
        <w:tc>
          <w:tcPr>
            <w:tcW w:type="dxa" w:w="4320"/>
            <w:shd w:val="clear" w:color="auto" w:fill="F3F7F7"/>
            <w:vAlign w:val="center"/>
          </w:tcPr>
          <w:p>
            <w:pPr>
              <w:spacing w:after="20" w:before="20"/>
              <w:jc w:val="left"/>
            </w:pPr>
            <w:r/>
            <w:r>
              <w:rPr>
                <w:b w:val="0"/>
                <w:sz w:val="18"/>
              </w:rPr>
              <w:t>2,100</w:t>
            </w:r>
          </w:p>
        </w:tc>
        <w:tc>
          <w:tcPr>
            <w:tcW w:type="dxa" w:w="1944"/>
            <w:shd w:val="clear" w:color="auto" w:fill="F3F7F7"/>
            <w:vAlign w:val="center"/>
          </w:tcPr>
          <w:p>
            <w:pPr>
              <w:spacing w:after="20" w:before="20"/>
              <w:jc w:val="center"/>
            </w:pPr>
            <w:r/>
            <w:r>
              <w:rPr>
                <w:b w:val="0"/>
                <w:sz w:val="18"/>
              </w:rPr>
              <w:t>5.76</w:t>
            </w:r>
          </w:p>
        </w:tc>
        <w:tc>
          <w:tcPr>
            <w:tcW w:type="dxa" w:w="1944"/>
            <w:shd w:val="clear" w:color="auto" w:fill="F3F7F7"/>
            <w:vAlign w:val="center"/>
          </w:tcPr>
          <w:p>
            <w:pPr>
              <w:spacing w:after="20" w:before="20"/>
              <w:jc w:val="center"/>
            </w:pPr>
            <w:r/>
            <w:r>
              <w:rPr>
                <w:b w:val="0"/>
                <w:sz w:val="18"/>
              </w:rPr>
              <w:t>4.61</w:t>
            </w:r>
          </w:p>
        </w:tc>
        <w:tc>
          <w:tcPr>
            <w:tcW w:type="dxa" w:w="1944"/>
            <w:shd w:val="clear" w:color="auto" w:fill="F3F7F7"/>
            <w:vAlign w:val="center"/>
          </w:tcPr>
          <w:p>
            <w:pPr>
              <w:spacing w:after="20" w:before="20"/>
              <w:jc w:val="center"/>
            </w:pPr>
            <w:r/>
            <w:r>
              <w:rPr>
                <w:b w:val="0"/>
                <w:sz w:val="18"/>
              </w:rPr>
              <w:t>3.46</w:t>
            </w:r>
          </w:p>
        </w:tc>
      </w:tr>
      <w:tr>
        <w:tc>
          <w:tcPr>
            <w:tcW w:type="dxa" w:w="4320"/>
            <w:vAlign w:val="center"/>
          </w:tcPr>
          <w:p>
            <w:pPr>
              <w:spacing w:after="20" w:before="20"/>
              <w:jc w:val="left"/>
            </w:pPr>
            <w:r/>
            <w:r>
              <w:rPr>
                <w:b w:val="0"/>
                <w:sz w:val="18"/>
              </w:rPr>
              <w:t>2,800  (≈ price-implied)</w:t>
            </w:r>
          </w:p>
        </w:tc>
        <w:tc>
          <w:tcPr>
            <w:tcW w:type="dxa" w:w="1944"/>
            <w:vAlign w:val="center"/>
          </w:tcPr>
          <w:p>
            <w:pPr>
              <w:spacing w:after="20" w:before="20"/>
              <w:jc w:val="center"/>
            </w:pPr>
            <w:r/>
            <w:r>
              <w:rPr>
                <w:b w:val="0"/>
                <w:sz w:val="18"/>
              </w:rPr>
              <w:t>6.99</w:t>
            </w:r>
          </w:p>
        </w:tc>
        <w:tc>
          <w:tcPr>
            <w:tcW w:type="dxa" w:w="1944"/>
            <w:vAlign w:val="center"/>
          </w:tcPr>
          <w:p>
            <w:pPr>
              <w:spacing w:after="20" w:before="20"/>
              <w:jc w:val="center"/>
            </w:pPr>
            <w:r/>
            <w:r>
              <w:rPr>
                <w:b w:val="0"/>
                <w:sz w:val="18"/>
              </w:rPr>
              <w:t>5.59</w:t>
            </w:r>
          </w:p>
        </w:tc>
        <w:tc>
          <w:tcPr>
            <w:tcW w:type="dxa" w:w="1944"/>
            <w:vAlign w:val="center"/>
          </w:tcPr>
          <w:p>
            <w:pPr>
              <w:spacing w:after="20" w:before="20"/>
              <w:jc w:val="center"/>
            </w:pPr>
            <w:r/>
            <w:r>
              <w:rPr>
                <w:b w:val="0"/>
                <w:sz w:val="18"/>
              </w:rPr>
              <w:t>4.19</w:t>
            </w:r>
          </w:p>
        </w:tc>
      </w:tr>
    </w:tbl>
    <w:p>
      <w:pPr>
        <w:spacing w:after="40"/>
      </w:pPr>
    </w:p>
    <w:p>
      <w:pPr>
        <w:spacing w:after="80" w:line="259" w:lineRule="auto"/>
      </w:pPr>
      <w:r>
        <w:rPr>
          <w:b w:val="0"/>
          <w:i w:val="0"/>
          <w:sz w:val="20"/>
        </w:rPr>
        <w:t>Read it as the bet the price is taking: EGP 7.00 is consistent only with a land re-mark near EGP 2.8bn credited at par — i.e., the market is fully pricing a large, undisclosed, un-discounted land revaluation. Any realistic monetisation discount, or any smaller re-mark, pulls the asset value well below the price.</w:t>
      </w:r>
    </w:p>
    <w:p>
      <w:pPr>
        <w:spacing w:before="200" w:after="80"/>
      </w:pPr>
      <w:r>
        <w:rPr>
          <w:b/>
          <w:color w:val="1B5E5E"/>
          <w:sz w:val="30"/>
        </w:rPr>
        <w:t>2  Technical and price structure</w:t>
      </w:r>
    </w:p>
    <w:p>
      <w:pPr>
        <w:spacing w:after="60" w:line="259" w:lineRule="auto"/>
      </w:pPr>
      <w:r>
        <w:rPr>
          <w:b w:val="0"/>
          <w:i w:val="0"/>
          <w:sz w:val="20"/>
        </w:rPr>
        <w:t xml:space="preserve">The tape is strong and stretched to the upside — the exact opposite of the fundamentals. KABO trades </w:t>
      </w:r>
      <w:r>
        <w:rPr>
          <w:b/>
          <w:i w:val="0"/>
          <w:sz w:val="20"/>
        </w:rPr>
        <w:t>above all four major moving averages</w:t>
      </w:r>
      <w:r>
        <w:rPr>
          <w:b w:val="0"/>
          <w:i w:val="0"/>
          <w:sz w:val="20"/>
        </w:rPr>
        <w:t>, the MACD histogram is positive, and RSI sits at 78, well into overbought territory. The structure is a momentum advance that has carried price to an all-time high near EGP 7.13 on heavy volume. For a thinly-traded small-cap, that combination — new highs, overbought oscillators, a positive MACD — describes a speculative run, not a value re-rating; it says nothing about whether the price is supported by worth.</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408"/>
        <w:gridCol w:w="3408"/>
        <w:gridCol w:w="3408"/>
      </w:tblGrid>
      <w:tr>
        <w:tc>
          <w:tcPr>
            <w:tcW w:type="dxa" w:w="2448"/>
            <w:shd w:val="clear" w:color="auto" w:fill="1B5E5E"/>
            <w:vAlign w:val="center"/>
          </w:tcPr>
          <w:p>
            <w:pPr>
              <w:spacing w:after="20" w:before="20"/>
              <w:jc w:val="left"/>
            </w:pPr>
            <w:r/>
            <w:r>
              <w:rPr>
                <w:b/>
                <w:color w:val="FFFFFF"/>
                <w:sz w:val="18"/>
              </w:rPr>
              <w:t>Indicator</w:t>
            </w:r>
          </w:p>
        </w:tc>
        <w:tc>
          <w:tcPr>
            <w:tcW w:type="dxa" w:w="4752"/>
            <w:shd w:val="clear" w:color="auto" w:fill="1B5E5E"/>
            <w:vAlign w:val="center"/>
          </w:tcPr>
          <w:p>
            <w:pPr>
              <w:spacing w:after="20" w:before="20"/>
              <w:jc w:val="left"/>
            </w:pPr>
            <w:r/>
            <w:r>
              <w:rPr>
                <w:b/>
                <w:color w:val="FFFFFF"/>
                <w:sz w:val="18"/>
              </w:rPr>
              <w:t>Reading</w:t>
            </w:r>
          </w:p>
        </w:tc>
        <w:tc>
          <w:tcPr>
            <w:tcW w:type="dxa" w:w="3024"/>
            <w:shd w:val="clear" w:color="auto" w:fill="1B5E5E"/>
            <w:vAlign w:val="center"/>
          </w:tcPr>
          <w:p>
            <w:pPr>
              <w:spacing w:after="20" w:before="20"/>
              <w:jc w:val="left"/>
            </w:pPr>
            <w:r/>
            <w:r>
              <w:rPr>
                <w:b/>
                <w:color w:val="FFFFFF"/>
                <w:sz w:val="18"/>
              </w:rPr>
              <w:t>Signal</w:t>
            </w:r>
          </w:p>
        </w:tc>
      </w:tr>
      <w:tr>
        <w:tc>
          <w:tcPr>
            <w:tcW w:type="dxa" w:w="2448"/>
            <w:vAlign w:val="center"/>
          </w:tcPr>
          <w:p>
            <w:pPr>
              <w:spacing w:after="20" w:before="20"/>
              <w:jc w:val="left"/>
            </w:pPr>
            <w:r/>
            <w:r>
              <w:rPr>
                <w:b w:val="0"/>
                <w:sz w:val="18"/>
              </w:rPr>
              <w:t>Spot</w:t>
            </w:r>
          </w:p>
        </w:tc>
        <w:tc>
          <w:tcPr>
            <w:tcW w:type="dxa" w:w="4752"/>
            <w:vAlign w:val="center"/>
          </w:tcPr>
          <w:p>
            <w:pPr>
              <w:spacing w:after="20" w:before="20"/>
              <w:jc w:val="left"/>
            </w:pPr>
            <w:r/>
            <w:r>
              <w:rPr>
                <w:b w:val="0"/>
                <w:sz w:val="18"/>
              </w:rPr>
              <w:t>EGP 7.00</w:t>
            </w:r>
          </w:p>
        </w:tc>
        <w:tc>
          <w:tcPr>
            <w:tcW w:type="dxa" w:w="3024"/>
            <w:vAlign w:val="center"/>
          </w:tcPr>
          <w:p>
            <w:pPr>
              <w:spacing w:after="20" w:before="20"/>
              <w:jc w:val="left"/>
            </w:pPr>
            <w:r/>
            <w:r>
              <w:rPr>
                <w:b w:val="0"/>
                <w:sz w:val="18"/>
              </w:rPr>
              <w:t>—</w:t>
            </w:r>
          </w:p>
        </w:tc>
      </w:tr>
      <w:tr>
        <w:tc>
          <w:tcPr>
            <w:tcW w:type="dxa" w:w="2448"/>
            <w:shd w:val="clear" w:color="auto" w:fill="F3F7F7"/>
            <w:vAlign w:val="center"/>
          </w:tcPr>
          <w:p>
            <w:pPr>
              <w:spacing w:after="20" w:before="20"/>
              <w:jc w:val="left"/>
            </w:pPr>
            <w:r/>
            <w:r>
              <w:rPr>
                <w:b w:val="0"/>
                <w:sz w:val="18"/>
              </w:rPr>
              <w:t>SMA 20 / 50</w:t>
            </w:r>
          </w:p>
        </w:tc>
        <w:tc>
          <w:tcPr>
            <w:tcW w:type="dxa" w:w="4752"/>
            <w:shd w:val="clear" w:color="auto" w:fill="F3F7F7"/>
            <w:vAlign w:val="center"/>
          </w:tcPr>
          <w:p>
            <w:pPr>
              <w:spacing w:after="20" w:before="20"/>
              <w:jc w:val="left"/>
            </w:pPr>
            <w:r/>
            <w:r>
              <w:rPr>
                <w:b w:val="0"/>
                <w:sz w:val="18"/>
              </w:rPr>
              <w:t>EGP 6.30 / 6.19</w:t>
            </w:r>
          </w:p>
        </w:tc>
        <w:tc>
          <w:tcPr>
            <w:tcW w:type="dxa" w:w="3024"/>
            <w:shd w:val="clear" w:color="auto" w:fill="F3F7F7"/>
            <w:vAlign w:val="center"/>
          </w:tcPr>
          <w:p>
            <w:pPr>
              <w:spacing w:after="20" w:before="20"/>
              <w:jc w:val="left"/>
            </w:pPr>
            <w:r/>
            <w:r>
              <w:rPr>
                <w:b w:val="0"/>
                <w:sz w:val="18"/>
              </w:rPr>
              <w:t>Above both — short-term up</w:t>
            </w:r>
          </w:p>
        </w:tc>
      </w:tr>
      <w:tr>
        <w:tc>
          <w:tcPr>
            <w:tcW w:type="dxa" w:w="2448"/>
            <w:vAlign w:val="center"/>
          </w:tcPr>
          <w:p>
            <w:pPr>
              <w:spacing w:after="20" w:before="20"/>
              <w:jc w:val="left"/>
            </w:pPr>
            <w:r/>
            <w:r>
              <w:rPr>
                <w:b w:val="0"/>
                <w:sz w:val="18"/>
              </w:rPr>
              <w:t>SMA 100 / 200</w:t>
            </w:r>
          </w:p>
        </w:tc>
        <w:tc>
          <w:tcPr>
            <w:tcW w:type="dxa" w:w="4752"/>
            <w:vAlign w:val="center"/>
          </w:tcPr>
          <w:p>
            <w:pPr>
              <w:spacing w:after="20" w:before="20"/>
              <w:jc w:val="left"/>
            </w:pPr>
            <w:r/>
            <w:r>
              <w:rPr>
                <w:b w:val="0"/>
                <w:sz w:val="18"/>
              </w:rPr>
              <w:t>EGP 6.14 / 6.15</w:t>
            </w:r>
          </w:p>
        </w:tc>
        <w:tc>
          <w:tcPr>
            <w:tcW w:type="dxa" w:w="3024"/>
            <w:vAlign w:val="center"/>
          </w:tcPr>
          <w:p>
            <w:pPr>
              <w:spacing w:after="20" w:before="20"/>
              <w:jc w:val="left"/>
            </w:pPr>
            <w:r/>
            <w:r>
              <w:rPr>
                <w:b w:val="0"/>
                <w:sz w:val="18"/>
              </w:rPr>
              <w:t>Above both — trend up</w:t>
            </w:r>
          </w:p>
        </w:tc>
      </w:tr>
      <w:tr>
        <w:tc>
          <w:tcPr>
            <w:tcW w:type="dxa" w:w="2448"/>
            <w:shd w:val="clear" w:color="auto" w:fill="F3F7F7"/>
            <w:vAlign w:val="center"/>
          </w:tcPr>
          <w:p>
            <w:pPr>
              <w:spacing w:after="20" w:before="20"/>
              <w:jc w:val="left"/>
            </w:pPr>
            <w:r/>
            <w:r>
              <w:rPr>
                <w:b w:val="0"/>
                <w:sz w:val="18"/>
              </w:rPr>
              <w:t>RSI (14)</w:t>
            </w:r>
          </w:p>
        </w:tc>
        <w:tc>
          <w:tcPr>
            <w:tcW w:type="dxa" w:w="4752"/>
            <w:shd w:val="clear" w:color="auto" w:fill="F3F7F7"/>
            <w:vAlign w:val="center"/>
          </w:tcPr>
          <w:p>
            <w:pPr>
              <w:spacing w:after="20" w:before="20"/>
              <w:jc w:val="left"/>
            </w:pPr>
            <w:r/>
            <w:r>
              <w:rPr>
                <w:b w:val="0"/>
                <w:sz w:val="18"/>
              </w:rPr>
              <w:t>78.5</w:t>
            </w:r>
          </w:p>
        </w:tc>
        <w:tc>
          <w:tcPr>
            <w:tcW w:type="dxa" w:w="3024"/>
            <w:shd w:val="clear" w:color="auto" w:fill="F3F7F7"/>
            <w:vAlign w:val="center"/>
          </w:tcPr>
          <w:p>
            <w:pPr>
              <w:spacing w:after="20" w:before="20"/>
              <w:jc w:val="left"/>
            </w:pPr>
            <w:r/>
            <w:r>
              <w:rPr>
                <w:b w:val="0"/>
                <w:sz w:val="18"/>
              </w:rPr>
              <w:t>Overbought (&gt;70)</w:t>
            </w:r>
          </w:p>
        </w:tc>
      </w:tr>
      <w:tr>
        <w:tc>
          <w:tcPr>
            <w:tcW w:type="dxa" w:w="2448"/>
            <w:vAlign w:val="center"/>
          </w:tcPr>
          <w:p>
            <w:pPr>
              <w:spacing w:after="20" w:before="20"/>
              <w:jc w:val="left"/>
            </w:pPr>
            <w:r/>
            <w:r>
              <w:rPr>
                <w:b w:val="0"/>
                <w:sz w:val="18"/>
              </w:rPr>
              <w:t>MACD (12,26,9)</w:t>
            </w:r>
          </w:p>
        </w:tc>
        <w:tc>
          <w:tcPr>
            <w:tcW w:type="dxa" w:w="4752"/>
            <w:vAlign w:val="center"/>
          </w:tcPr>
          <w:p>
            <w:pPr>
              <w:spacing w:after="20" w:before="20"/>
              <w:jc w:val="left"/>
            </w:pPr>
            <w:r/>
            <w:r>
              <w:rPr>
                <w:b w:val="0"/>
                <w:sz w:val="18"/>
              </w:rPr>
              <w:t>+0.093 line / +0.040 signal / +0.053 hist</w:t>
            </w:r>
          </w:p>
        </w:tc>
        <w:tc>
          <w:tcPr>
            <w:tcW w:type="dxa" w:w="3024"/>
            <w:vAlign w:val="center"/>
          </w:tcPr>
          <w:p>
            <w:pPr>
              <w:spacing w:after="20" w:before="20"/>
              <w:jc w:val="left"/>
            </w:pPr>
            <w:r/>
            <w:r>
              <w:rPr>
                <w:b w:val="0"/>
                <w:sz w:val="18"/>
              </w:rPr>
              <w:t>Bullish — positive momentum</w:t>
            </w:r>
          </w:p>
        </w:tc>
      </w:tr>
      <w:tr>
        <w:tc>
          <w:tcPr>
            <w:tcW w:type="dxa" w:w="2448"/>
            <w:shd w:val="clear" w:color="auto" w:fill="F3F7F7"/>
            <w:vAlign w:val="center"/>
          </w:tcPr>
          <w:p>
            <w:pPr>
              <w:spacing w:after="20" w:before="20"/>
              <w:jc w:val="left"/>
            </w:pPr>
            <w:r/>
            <w:r>
              <w:rPr>
                <w:b w:val="0"/>
                <w:sz w:val="18"/>
              </w:rPr>
              <w:t>52-week range</w:t>
            </w:r>
          </w:p>
        </w:tc>
        <w:tc>
          <w:tcPr>
            <w:tcW w:type="dxa" w:w="4752"/>
            <w:shd w:val="clear" w:color="auto" w:fill="F3F7F7"/>
            <w:vAlign w:val="center"/>
          </w:tcPr>
          <w:p>
            <w:pPr>
              <w:spacing w:after="20" w:before="20"/>
              <w:jc w:val="left"/>
            </w:pPr>
            <w:r/>
            <w:r>
              <w:rPr>
                <w:b w:val="0"/>
                <w:sz w:val="18"/>
              </w:rPr>
              <w:t>EGP 4.71 – 7.13</w:t>
            </w:r>
          </w:p>
        </w:tc>
        <w:tc>
          <w:tcPr>
            <w:tcW w:type="dxa" w:w="3024"/>
            <w:shd w:val="clear" w:color="auto" w:fill="F3F7F7"/>
            <w:vAlign w:val="center"/>
          </w:tcPr>
          <w:p>
            <w:pPr>
              <w:spacing w:after="20" w:before="20"/>
              <w:jc w:val="left"/>
            </w:pPr>
            <w:r/>
            <w:r>
              <w:rPr>
                <w:b w:val="0"/>
                <w:sz w:val="18"/>
              </w:rPr>
              <w:t>At the top / all-time high</w:t>
            </w:r>
          </w:p>
        </w:tc>
      </w:tr>
      <w:tr>
        <w:tc>
          <w:tcPr>
            <w:tcW w:type="dxa" w:w="2448"/>
            <w:vAlign w:val="center"/>
          </w:tcPr>
          <w:p>
            <w:pPr>
              <w:spacing w:after="20" w:before="20"/>
              <w:jc w:val="left"/>
            </w:pPr>
            <w:r/>
            <w:r>
              <w:rPr>
                <w:b w:val="0"/>
                <w:sz w:val="18"/>
              </w:rPr>
              <w:t>Realized vol (252d)</w:t>
            </w:r>
          </w:p>
        </w:tc>
        <w:tc>
          <w:tcPr>
            <w:tcW w:type="dxa" w:w="4752"/>
            <w:vAlign w:val="center"/>
          </w:tcPr>
          <w:p>
            <w:pPr>
              <w:spacing w:after="20" w:before="20"/>
              <w:jc w:val="left"/>
            </w:pPr>
            <w:r/>
            <w:r>
              <w:rPr>
                <w:b w:val="0"/>
                <w:sz w:val="18"/>
              </w:rPr>
              <w:t>34.5%</w:t>
            </w:r>
          </w:p>
        </w:tc>
        <w:tc>
          <w:tcPr>
            <w:tcW w:type="dxa" w:w="3024"/>
            <w:vAlign w:val="center"/>
          </w:tcPr>
          <w:p>
            <w:pPr>
              <w:spacing w:after="20" w:before="20"/>
              <w:jc w:val="left"/>
            </w:pPr>
            <w:r/>
            <w:r>
              <w:rPr>
                <w:b w:val="0"/>
                <w:sz w:val="18"/>
              </w:rPr>
              <w:t>Elevated</w:t>
            </w:r>
          </w:p>
        </w:tc>
      </w:tr>
      <w:tr>
        <w:tc>
          <w:tcPr>
            <w:tcW w:type="dxa" w:w="2448"/>
            <w:shd w:val="clear" w:color="auto" w:fill="F3F7F7"/>
            <w:vAlign w:val="center"/>
          </w:tcPr>
          <w:p>
            <w:pPr>
              <w:spacing w:after="20" w:before="20"/>
              <w:jc w:val="left"/>
            </w:pPr>
            <w:r/>
            <w:r>
              <w:rPr>
                <w:b w:val="0"/>
                <w:sz w:val="18"/>
              </w:rPr>
              <w:t>Realized vol (60d)</w:t>
            </w:r>
          </w:p>
        </w:tc>
        <w:tc>
          <w:tcPr>
            <w:tcW w:type="dxa" w:w="4752"/>
            <w:shd w:val="clear" w:color="auto" w:fill="F3F7F7"/>
            <w:vAlign w:val="center"/>
          </w:tcPr>
          <w:p>
            <w:pPr>
              <w:spacing w:after="20" w:before="20"/>
              <w:jc w:val="left"/>
            </w:pPr>
            <w:r/>
            <w:r>
              <w:rPr>
                <w:b w:val="0"/>
                <w:sz w:val="18"/>
              </w:rPr>
              <w:t>29.3%</w:t>
            </w:r>
          </w:p>
        </w:tc>
        <w:tc>
          <w:tcPr>
            <w:tcW w:type="dxa" w:w="3024"/>
            <w:shd w:val="clear" w:color="auto" w:fill="F3F7F7"/>
            <w:vAlign w:val="center"/>
          </w:tcPr>
          <w:p>
            <w:pPr>
              <w:spacing w:after="20" w:before="20"/>
              <w:jc w:val="left"/>
            </w:pPr>
            <w:r/>
            <w:r>
              <w:rPr>
                <w:b w:val="0"/>
                <w:sz w:val="18"/>
              </w:rPr>
              <w:t>—</w:t>
            </w:r>
          </w:p>
        </w:tc>
      </w:tr>
    </w:tbl>
    <w:p>
      <w:pPr>
        <w:spacing w:after="40"/>
      </w:pPr>
    </w:p>
    <w:p>
      <w:pPr>
        <w:spacing w:before="80" w:after="20"/>
        <w:jc w:val="center"/>
      </w:pPr>
      <w:r>
        <w:drawing>
          <wp:inline xmlns:a="http://schemas.openxmlformats.org/drawingml/2006/main" xmlns:pic="http://schemas.openxmlformats.org/drawingml/2006/picture">
            <wp:extent cx="6035040" cy="3570732"/>
            <wp:docPr id="2" name="Picture 2"/>
            <wp:cNvGraphicFramePr>
              <a:graphicFrameLocks noChangeAspect="1"/>
            </wp:cNvGraphicFramePr>
            <a:graphic>
              <a:graphicData uri="http://schemas.openxmlformats.org/drawingml/2006/picture">
                <pic:pic>
                  <pic:nvPicPr>
                    <pic:cNvPr id="0" name="fig3_ma_stack.png"/>
                    <pic:cNvPicPr/>
                  </pic:nvPicPr>
                  <pic:blipFill>
                    <a:blip r:embed="rId10"/>
                    <a:stretch>
                      <a:fillRect/>
                    </a:stretch>
                  </pic:blipFill>
                  <pic:spPr>
                    <a:xfrm>
                      <a:off x="0" y="0"/>
                      <a:ext cx="6035040" cy="3570732"/>
                    </a:xfrm>
                    <a:prstGeom prst="rect"/>
                  </pic:spPr>
                </pic:pic>
              </a:graphicData>
            </a:graphic>
          </wp:inline>
        </w:drawing>
      </w:r>
    </w:p>
    <w:p>
      <w:pPr>
        <w:spacing w:after="120"/>
        <w:jc w:val="center"/>
      </w:pPr>
      <w:r>
        <w:rPr>
          <w:i/>
          <w:color w:val="222222"/>
          <w:sz w:val="17"/>
        </w:rPr>
        <w:t>Figure 3 — Price versus the moving-average stack, last 260 sessions. Price sits above every average, the mirror image of a stock trading below fair value.</w:t>
      </w:r>
    </w:p>
    <w:p>
      <w:pPr>
        <w:spacing w:after="80" w:line="259" w:lineRule="auto"/>
      </w:pPr>
      <w:r>
        <w:rPr>
          <w:b w:val="0"/>
          <w:i w:val="0"/>
          <w:sz w:val="20"/>
        </w:rPr>
        <w:t>For the probabilistic work this matters in one way: an overbought, extended tape near an all-time high carries a wider near-term downside tail — mean-reversion after a vertical move is common — even as momentum is up. The technical and fundamental pictures genuinely disagree about direction of risk, and §6 reads the (illustrative) probability zones without forcing a reconciliation.</w:t>
      </w:r>
    </w:p>
    <w:p>
      <w:pPr>
        <w:spacing w:before="200" w:after="80"/>
      </w:pPr>
      <w:r>
        <w:rPr>
          <w:b/>
          <w:color w:val="1B5E5E"/>
          <w:sz w:val="30"/>
        </w:rPr>
        <w:t>3  Monte Carlo — an illustrative volatility map (not a published forecast)</w:t>
      </w:r>
    </w:p>
    <w:tbl>
      <w:tblPr>
        <w:tblW w:type="auto" w:w="0"/>
        <w:jc w:val="center"/>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0224"/>
      </w:tblGrid>
      <w:tr>
        <w:tc>
          <w:tcPr>
            <w:tcW w:type="dxa" w:w="10224"/>
            <w:shd w:val="clear" w:color="auto" w:fill="EFF4F4"/>
          </w:tcPr>
          <w:p>
            <w:pPr>
              <w:spacing w:after="40"/>
            </w:pPr>
            <w:r/>
            <w:r>
              <w:rPr>
                <w:b/>
                <w:color w:val="1B5E5E"/>
                <w:sz w:val="19"/>
              </w:rPr>
              <w:t>Monte Carlo shown for illustration only — no probabilistic price forecast is published for KABO. Why:</w:t>
            </w:r>
          </w:p>
          <w:p>
            <w:pPr>
              <w:spacing w:after="40"/>
            </w:pPr>
            <w:r>
              <w:rPr>
                <w:b w:val="0"/>
                <w:sz w:val="18"/>
              </w:rPr>
              <w:t xml:space="preserve">Every calibration of the engine failed Testahil's pass test on this security. Across a five-year rolling backtest (60-session horizon, 57 origins, 2021–2026), the model's three-month price distribution did not beat a naïve zero-drift random-walk cone on </w:t>
            </w:r>
            <w:r>
              <w:rPr>
                <w:b/>
                <w:sz w:val="18"/>
              </w:rPr>
              <w:t>CRPS skill (best −0.007; canonical −0.010, 95% CI −0.042 to +0.020)</w:t>
            </w:r>
            <w:r>
              <w:rPr>
                <w:b w:val="0"/>
                <w:sz w:val="18"/>
              </w:rPr>
              <w:t xml:space="preserve"> or on the interval (Winkler) score </w:t>
            </w:r>
            <w:r>
              <w:rPr>
                <w:b/>
                <w:sz w:val="18"/>
              </w:rPr>
              <w:t>(−0.055)</w:t>
            </w:r>
            <w:r>
              <w:rPr>
                <w:b w:val="0"/>
                <w:sz w:val="18"/>
              </w:rPr>
              <w:t xml:space="preserve">. KABO is a thinly-traded small-cap whose quarter-ahead price is dominated by discrete, unforecastable jumps — today's move to an all-time high came on roughly six times normal volume — and by a lumpy, currency-driven drift, so a smooth diffusion cone earns no skill over the naïve benchmark. Under Testahil's standing rule — a forecast counts only if it beats the random-walk cone on CRPS with a roughly uniform PIT — the Monte Carlo layer is therefore carried as an </w:t>
            </w:r>
            <w:r>
              <w:rPr>
                <w:b/>
                <w:sz w:val="18"/>
              </w:rPr>
              <w:t>illustrative volatility map only</w:t>
            </w:r>
            <w:r>
              <w:rPr>
                <w:b w:val="0"/>
                <w:sz w:val="18"/>
              </w:rPr>
              <w:t xml:space="preserve">. The numbers below describe how wide the stock's own three-month range tends to be; they are </w:t>
            </w:r>
            <w:r>
              <w:rPr>
                <w:b/>
                <w:sz w:val="18"/>
              </w:rPr>
              <w:t>not</w:t>
            </w:r>
            <w:r>
              <w:rPr>
                <w:b w:val="0"/>
                <w:sz w:val="18"/>
              </w:rPr>
              <w:t xml:space="preserve"> probabilities we stand behind as a forecast. The fundamental (RNAV) and technical reads carry this study. Full calibration evidence is in Appendix B.</w:t>
            </w:r>
          </w:p>
        </w:tc>
      </w:tr>
    </w:tbl>
    <w:p>
      <w:pPr>
        <w:spacing w:after="40"/>
      </w:pPr>
    </w:p>
    <w:p>
      <w:pPr>
        <w:spacing w:after="60" w:line="259" w:lineRule="auto"/>
      </w:pPr>
      <w:r>
        <w:rPr>
          <w:b w:val="0"/>
          <w:i w:val="0"/>
          <w:sz w:val="20"/>
        </w:rPr>
        <w:t xml:space="preserve">With that caveat foremost, we simulate 50,000 three-month paths (seed 42) from spot using the house sixteen-factor stack — seven continuous drivers and nine discrete events — with </w:t>
      </w:r>
      <w:r>
        <w:rPr>
          <w:b/>
          <w:i w:val="0"/>
          <w:sz w:val="20"/>
        </w:rPr>
        <w:t>zero secular drift</w:t>
      </w:r>
      <w:r>
        <w:rPr>
          <w:b w:val="0"/>
          <w:i w:val="0"/>
          <w:sz w:val="20"/>
        </w:rPr>
        <w:t xml:space="preserve"> (KABO is not an EGX developer, and drift-on scored worse in Step 0). By design the paths diffuse from spot, and the §1 value gap is deliberately kept out of the drift. Because the engine has no demonstrated edge here, read everything below as a description of dispersion, not a prediction of direction.</w:t>
      </w:r>
    </w:p>
    <w:p>
      <w:pPr>
        <w:spacing w:before="140" w:after="40"/>
      </w:pPr>
      <w:r>
        <w:rPr>
          <w:b/>
          <w:color w:val="2A8F8F"/>
          <w:sz w:val="23"/>
        </w:rPr>
        <w:t>The probability read (illustrative — reconciles with the cone below, but is not a forecast)</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5112"/>
        <w:gridCol w:w="5112"/>
      </w:tblGrid>
      <w:tr>
        <w:tc>
          <w:tcPr>
            <w:tcW w:type="dxa" w:w="6048"/>
            <w:shd w:val="clear" w:color="auto" w:fill="1B5E5E"/>
            <w:vAlign w:val="center"/>
          </w:tcPr>
          <w:p>
            <w:pPr>
              <w:spacing w:after="20" w:before="20"/>
              <w:jc w:val="left"/>
            </w:pPr>
            <w:r/>
            <w:r>
              <w:rPr>
                <w:b/>
                <w:color w:val="FFFFFF"/>
                <w:sz w:val="18"/>
              </w:rPr>
              <w:t>Probability read at T+60 (illustrative)</w:t>
            </w:r>
          </w:p>
        </w:tc>
        <w:tc>
          <w:tcPr>
            <w:tcW w:type="dxa" w:w="4176"/>
            <w:shd w:val="clear" w:color="auto" w:fill="1B5E5E"/>
            <w:vAlign w:val="center"/>
          </w:tcPr>
          <w:p>
            <w:pPr>
              <w:spacing w:after="20" w:before="20"/>
              <w:jc w:val="center"/>
            </w:pPr>
            <w:r/>
            <w:r>
              <w:rPr>
                <w:b/>
                <w:color w:val="FFFFFF"/>
                <w:sz w:val="18"/>
              </w:rPr>
              <w:t>Value</w:t>
            </w:r>
          </w:p>
        </w:tc>
      </w:tr>
      <w:tr>
        <w:tc>
          <w:tcPr>
            <w:tcW w:type="dxa" w:w="6048"/>
            <w:vAlign w:val="center"/>
          </w:tcPr>
          <w:p>
            <w:pPr>
              <w:spacing w:after="20" w:before="20"/>
              <w:jc w:val="left"/>
            </w:pPr>
            <w:r/>
            <w:r>
              <w:rPr>
                <w:b w:val="0"/>
                <w:sz w:val="18"/>
              </w:rPr>
              <w:t>P(price above spot)</w:t>
            </w:r>
          </w:p>
        </w:tc>
        <w:tc>
          <w:tcPr>
            <w:tcW w:type="dxa" w:w="4176"/>
            <w:vAlign w:val="center"/>
          </w:tcPr>
          <w:p>
            <w:pPr>
              <w:spacing w:after="20" w:before="20"/>
              <w:jc w:val="center"/>
            </w:pPr>
            <w:r/>
            <w:r>
              <w:rPr>
                <w:b w:val="0"/>
                <w:sz w:val="18"/>
              </w:rPr>
              <w:t>53%</w:t>
            </w:r>
          </w:p>
        </w:tc>
      </w:tr>
      <w:tr>
        <w:tc>
          <w:tcPr>
            <w:tcW w:type="dxa" w:w="6048"/>
            <w:shd w:val="clear" w:color="auto" w:fill="F3F7F7"/>
            <w:vAlign w:val="center"/>
          </w:tcPr>
          <w:p>
            <w:pPr>
              <w:spacing w:after="20" w:before="20"/>
              <w:jc w:val="left"/>
            </w:pPr>
            <w:r/>
            <w:r>
              <w:rPr>
                <w:b w:val="0"/>
                <w:sz w:val="18"/>
              </w:rPr>
              <w:t>P(+10%) vs P(−10%)  ·  odds</w:t>
            </w:r>
          </w:p>
        </w:tc>
        <w:tc>
          <w:tcPr>
            <w:tcW w:type="dxa" w:w="4176"/>
            <w:shd w:val="clear" w:color="auto" w:fill="F3F7F7"/>
            <w:vAlign w:val="center"/>
          </w:tcPr>
          <w:p>
            <w:pPr>
              <w:spacing w:after="20" w:before="20"/>
              <w:jc w:val="center"/>
            </w:pPr>
            <w:r/>
            <w:r>
              <w:rPr>
                <w:b w:val="0"/>
                <w:sz w:val="18"/>
              </w:rPr>
              <w:t>36% vs 29%  ·  1.22×</w:t>
            </w:r>
          </w:p>
        </w:tc>
      </w:tr>
      <w:tr>
        <w:tc>
          <w:tcPr>
            <w:tcW w:type="dxa" w:w="6048"/>
            <w:vAlign w:val="center"/>
          </w:tcPr>
          <w:p>
            <w:pPr>
              <w:spacing w:after="20" w:before="20"/>
              <w:jc w:val="left"/>
            </w:pPr>
            <w:r/>
            <w:r>
              <w:rPr>
                <w:b w:val="0"/>
                <w:sz w:val="18"/>
              </w:rPr>
              <w:t>Median level  ·  % move</w:t>
            </w:r>
          </w:p>
        </w:tc>
        <w:tc>
          <w:tcPr>
            <w:tcW w:type="dxa" w:w="4176"/>
            <w:vAlign w:val="center"/>
          </w:tcPr>
          <w:p>
            <w:pPr>
              <w:spacing w:after="20" w:before="20"/>
              <w:jc w:val="center"/>
            </w:pPr>
            <w:r/>
            <w:r>
              <w:rPr>
                <w:b w:val="0"/>
                <w:sz w:val="18"/>
              </w:rPr>
              <w:t>EGP 7.12  ·  +1.7%</w:t>
            </w:r>
          </w:p>
        </w:tc>
      </w:tr>
      <w:tr>
        <w:tc>
          <w:tcPr>
            <w:tcW w:type="dxa" w:w="6048"/>
            <w:shd w:val="clear" w:color="auto" w:fill="F3F7F7"/>
            <w:vAlign w:val="center"/>
          </w:tcPr>
          <w:p>
            <w:pPr>
              <w:spacing w:after="20" w:before="20"/>
              <w:jc w:val="left"/>
            </w:pPr>
            <w:r/>
            <w:r>
              <w:rPr>
                <w:b w:val="0"/>
                <w:sz w:val="18"/>
              </w:rPr>
              <w:t>50% band (25th–75th)  ·  as % of spot</w:t>
            </w:r>
          </w:p>
        </w:tc>
        <w:tc>
          <w:tcPr>
            <w:tcW w:type="dxa" w:w="4176"/>
            <w:shd w:val="clear" w:color="auto" w:fill="F3F7F7"/>
            <w:vAlign w:val="center"/>
          </w:tcPr>
          <w:p>
            <w:pPr>
              <w:spacing w:after="20" w:before="20"/>
              <w:jc w:val="center"/>
            </w:pPr>
            <w:r/>
            <w:r>
              <w:rPr>
                <w:b w:val="0"/>
                <w:sz w:val="18"/>
              </w:rPr>
              <w:t>EGP 6.12 – 8.28  ·  ~31%</w:t>
            </w:r>
          </w:p>
        </w:tc>
      </w:tr>
      <w:tr>
        <w:tc>
          <w:tcPr>
            <w:tcW w:type="dxa" w:w="6048"/>
            <w:vAlign w:val="center"/>
          </w:tcPr>
          <w:p>
            <w:pPr>
              <w:spacing w:after="20" w:before="20"/>
              <w:jc w:val="left"/>
            </w:pPr>
            <w:r/>
            <w:r>
              <w:rPr>
                <w:b w:val="0"/>
                <w:sz w:val="18"/>
              </w:rPr>
              <w:t>Touch +10% / touch −10% by T+60</w:t>
            </w:r>
          </w:p>
        </w:tc>
        <w:tc>
          <w:tcPr>
            <w:tcW w:type="dxa" w:w="4176"/>
            <w:vAlign w:val="center"/>
          </w:tcPr>
          <w:p>
            <w:pPr>
              <w:spacing w:after="20" w:before="20"/>
              <w:jc w:val="center"/>
            </w:pPr>
            <w:r/>
            <w:r>
              <w:rPr>
                <w:b w:val="0"/>
                <w:sz w:val="18"/>
              </w:rPr>
              <w:t>63% / 55%</w:t>
            </w:r>
          </w:p>
        </w:tc>
      </w:tr>
    </w:tbl>
    <w:p>
      <w:pPr>
        <w:spacing w:after="40"/>
      </w:pPr>
    </w:p>
    <w:p>
      <w:pPr>
        <w:spacing w:after="60" w:line="259" w:lineRule="auto"/>
      </w:pPr>
      <w:r>
        <w:rPr>
          <w:b w:val="0"/>
          <w:i w:val="0"/>
          <w:sz w:val="20"/>
        </w:rPr>
        <w:t>These figures merely summarise the same 50,000 illustrative paths the cone uses; they are presentation-only and, because the engine failed Step 0, are not a probability forecast for KABO. The near-even P(up) and the modest positive skew come from the two-sided factor stack (a land-revaluation or squeeze catalyst on the upside; input-cost, freight and dilution events on the downside), not from any published directional view.</w:t>
      </w:r>
    </w:p>
    <w:p>
      <w:pPr>
        <w:spacing w:before="140" w:after="40"/>
      </w:pPr>
      <w:r>
        <w:rPr>
          <w:b/>
          <w:color w:val="2A8F8F"/>
          <w:sz w:val="23"/>
        </w:rPr>
        <w:t>The sixteen factors (illustrative overlay)</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045"/>
        <w:gridCol w:w="2045"/>
        <w:gridCol w:w="2045"/>
        <w:gridCol w:w="2045"/>
        <w:gridCol w:w="2045"/>
      </w:tblGrid>
      <w:tr>
        <w:tc>
          <w:tcPr>
            <w:tcW w:type="dxa" w:w="3672"/>
            <w:shd w:val="clear" w:color="auto" w:fill="1B5E5E"/>
            <w:vAlign w:val="center"/>
          </w:tcPr>
          <w:p>
            <w:pPr>
              <w:spacing w:after="20" w:before="20"/>
              <w:jc w:val="left"/>
            </w:pPr>
            <w:r/>
            <w:r>
              <w:rPr>
                <w:b/>
                <w:color w:val="FFFFFF"/>
                <w:sz w:val="18"/>
              </w:rPr>
              <w:t>Continuous factor (7)</w:t>
            </w:r>
          </w:p>
        </w:tc>
        <w:tc>
          <w:tcPr>
            <w:tcW w:type="dxa" w:w="720"/>
            <w:shd w:val="clear" w:color="auto" w:fill="1B5E5E"/>
            <w:vAlign w:val="center"/>
          </w:tcPr>
          <w:p>
            <w:pPr>
              <w:spacing w:after="20" w:before="20"/>
              <w:jc w:val="center"/>
            </w:pPr>
            <w:r/>
            <w:r>
              <w:rPr>
                <w:b/>
                <w:color w:val="FFFFFF"/>
                <w:sz w:val="18"/>
              </w:rPr>
              <w:t>Dir.</w:t>
            </w:r>
          </w:p>
        </w:tc>
        <w:tc>
          <w:tcPr>
            <w:tcW w:type="dxa" w:w="3672"/>
            <w:shd w:val="clear" w:color="auto" w:fill="1B5E5E"/>
            <w:vAlign w:val="center"/>
          </w:tcPr>
          <w:p>
            <w:pPr>
              <w:spacing w:after="20" w:before="20"/>
              <w:jc w:val="left"/>
            </w:pPr>
            <w:r/>
            <w:r>
              <w:rPr>
                <w:b/>
                <w:color w:val="FFFFFF"/>
                <w:sz w:val="18"/>
              </w:rPr>
              <w:t>Discrete event (9)</w:t>
            </w:r>
          </w:p>
        </w:tc>
        <w:tc>
          <w:tcPr>
            <w:tcW w:type="dxa" w:w="1008"/>
            <w:shd w:val="clear" w:color="auto" w:fill="1B5E5E"/>
            <w:vAlign w:val="center"/>
          </w:tcPr>
          <w:p>
            <w:pPr>
              <w:spacing w:after="20" w:before="20"/>
              <w:jc w:val="center"/>
            </w:pPr>
            <w:r/>
            <w:r>
              <w:rPr>
                <w:b/>
                <w:color w:val="FFFFFF"/>
                <w:sz w:val="18"/>
              </w:rPr>
              <w:t>Prob.</w:t>
            </w:r>
          </w:p>
        </w:tc>
        <w:tc>
          <w:tcPr>
            <w:tcW w:type="dxa" w:w="1296"/>
            <w:shd w:val="clear" w:color="auto" w:fill="1B5E5E"/>
            <w:vAlign w:val="center"/>
          </w:tcPr>
          <w:p>
            <w:pPr>
              <w:spacing w:after="20" w:before="20"/>
              <w:jc w:val="center"/>
            </w:pPr>
            <w:r/>
            <w:r>
              <w:rPr>
                <w:b/>
                <w:color w:val="FFFFFF"/>
                <w:sz w:val="18"/>
              </w:rPr>
              <w:t>Mean impact</w:t>
            </w:r>
          </w:p>
        </w:tc>
      </w:tr>
      <w:tr>
        <w:tc>
          <w:tcPr>
            <w:tcW w:type="dxa" w:w="3672"/>
            <w:vAlign w:val="center"/>
          </w:tcPr>
          <w:p>
            <w:pPr>
              <w:spacing w:after="20" w:before="20"/>
              <w:jc w:val="left"/>
            </w:pPr>
            <w:r/>
            <w:r>
              <w:rPr>
                <w:b w:val="0"/>
                <w:sz w:val="16"/>
              </w:rPr>
              <w:t>EGP/USD rate (exporter tailwind)</w:t>
            </w:r>
          </w:p>
        </w:tc>
        <w:tc>
          <w:tcPr>
            <w:tcW w:type="dxa" w:w="720"/>
            <w:vAlign w:val="center"/>
          </w:tcPr>
          <w:p>
            <w:pPr>
              <w:spacing w:after="20" w:before="20"/>
              <w:jc w:val="center"/>
            </w:pPr>
            <w:r/>
            <w:r>
              <w:rPr>
                <w:b w:val="0"/>
                <w:sz w:val="16"/>
              </w:rPr>
              <w:t>+</w:t>
            </w:r>
          </w:p>
        </w:tc>
        <w:tc>
          <w:tcPr>
            <w:tcW w:type="dxa" w:w="3672"/>
            <w:vAlign w:val="center"/>
          </w:tcPr>
          <w:p>
            <w:pPr>
              <w:spacing w:after="20" w:before="20"/>
              <w:jc w:val="left"/>
            </w:pPr>
            <w:r/>
            <w:r>
              <w:rPr>
                <w:b w:val="0"/>
                <w:sz w:val="16"/>
              </w:rPr>
              <w:t>Quarterly earnings print (FY Jul–Jun)</w:t>
            </w:r>
          </w:p>
        </w:tc>
        <w:tc>
          <w:tcPr>
            <w:tcW w:type="dxa" w:w="1008"/>
            <w:vAlign w:val="center"/>
          </w:tcPr>
          <w:p>
            <w:pPr>
              <w:spacing w:after="20" w:before="20"/>
              <w:jc w:val="center"/>
            </w:pPr>
            <w:r/>
            <w:r>
              <w:rPr>
                <w:b w:val="0"/>
                <w:sz w:val="16"/>
              </w:rPr>
              <w:t>55%</w:t>
            </w:r>
          </w:p>
        </w:tc>
        <w:tc>
          <w:tcPr>
            <w:tcW w:type="dxa" w:w="1296"/>
            <w:vAlign w:val="center"/>
          </w:tcPr>
          <w:p>
            <w:pPr>
              <w:spacing w:after="20" w:before="20"/>
              <w:jc w:val="center"/>
            </w:pPr>
            <w:r/>
            <w:r>
              <w:rPr>
                <w:b w:val="0"/>
                <w:sz w:val="16"/>
              </w:rPr>
              <w:t>+0.5%</w:t>
            </w:r>
          </w:p>
        </w:tc>
      </w:tr>
      <w:tr>
        <w:tc>
          <w:tcPr>
            <w:tcW w:type="dxa" w:w="3672"/>
            <w:shd w:val="clear" w:color="auto" w:fill="F3F7F7"/>
            <w:vAlign w:val="center"/>
          </w:tcPr>
          <w:p>
            <w:pPr>
              <w:spacing w:after="20" w:before="20"/>
              <w:jc w:val="left"/>
            </w:pPr>
            <w:r/>
            <w:r>
              <w:rPr>
                <w:b w:val="0"/>
                <w:sz w:val="16"/>
              </w:rPr>
              <w:t>CBE policy-rate path</w:t>
            </w:r>
          </w:p>
        </w:tc>
        <w:tc>
          <w:tcPr>
            <w:tcW w:type="dxa" w:w="720"/>
            <w:shd w:val="clear" w:color="auto" w:fill="F3F7F7"/>
            <w:vAlign w:val="center"/>
          </w:tcPr>
          <w:p>
            <w:pPr>
              <w:spacing w:after="20" w:before="20"/>
              <w:jc w:val="center"/>
            </w:pPr>
            <w:r/>
            <w:r>
              <w:rPr>
                <w:b w:val="0"/>
                <w:sz w:val="16"/>
              </w:rPr>
              <w:t>−</w:t>
            </w:r>
          </w:p>
        </w:tc>
        <w:tc>
          <w:tcPr>
            <w:tcW w:type="dxa" w:w="3672"/>
            <w:shd w:val="clear" w:color="auto" w:fill="F3F7F7"/>
            <w:vAlign w:val="center"/>
          </w:tcPr>
          <w:p>
            <w:pPr>
              <w:spacing w:after="20" w:before="20"/>
              <w:jc w:val="left"/>
            </w:pPr>
            <w:r/>
            <w:r>
              <w:rPr>
                <w:b w:val="0"/>
                <w:sz w:val="16"/>
              </w:rPr>
              <w:t>Land / asset revaluation or monetisation</w:t>
            </w:r>
          </w:p>
        </w:tc>
        <w:tc>
          <w:tcPr>
            <w:tcW w:type="dxa" w:w="1008"/>
            <w:shd w:val="clear" w:color="auto" w:fill="F3F7F7"/>
            <w:vAlign w:val="center"/>
          </w:tcPr>
          <w:p>
            <w:pPr>
              <w:spacing w:after="20" w:before="20"/>
              <w:jc w:val="center"/>
            </w:pPr>
            <w:r/>
            <w:r>
              <w:rPr>
                <w:b w:val="0"/>
                <w:sz w:val="16"/>
              </w:rPr>
              <w:t>15%</w:t>
            </w:r>
          </w:p>
        </w:tc>
        <w:tc>
          <w:tcPr>
            <w:tcW w:type="dxa" w:w="1296"/>
            <w:shd w:val="clear" w:color="auto" w:fill="F3F7F7"/>
            <w:vAlign w:val="center"/>
          </w:tcPr>
          <w:p>
            <w:pPr>
              <w:spacing w:after="20" w:before="20"/>
              <w:jc w:val="center"/>
            </w:pPr>
            <w:r/>
            <w:r>
              <w:rPr>
                <w:b w:val="0"/>
                <w:sz w:val="16"/>
              </w:rPr>
              <w:t>+10.0%</w:t>
            </w:r>
          </w:p>
        </w:tc>
      </w:tr>
      <w:tr>
        <w:tc>
          <w:tcPr>
            <w:tcW w:type="dxa" w:w="3672"/>
            <w:vAlign w:val="center"/>
          </w:tcPr>
          <w:p>
            <w:pPr>
              <w:spacing w:after="20" w:before="20"/>
              <w:jc w:val="left"/>
            </w:pPr>
            <w:r/>
            <w:r>
              <w:rPr>
                <w:b w:val="0"/>
                <w:sz w:val="16"/>
              </w:rPr>
              <w:t>Input cost (cotton/yarn/energy/wages)</w:t>
            </w:r>
          </w:p>
        </w:tc>
        <w:tc>
          <w:tcPr>
            <w:tcW w:type="dxa" w:w="720"/>
            <w:vAlign w:val="center"/>
          </w:tcPr>
          <w:p>
            <w:pPr>
              <w:spacing w:after="20" w:before="20"/>
              <w:jc w:val="center"/>
            </w:pPr>
            <w:r/>
            <w:r>
              <w:rPr>
                <w:b w:val="0"/>
                <w:sz w:val="16"/>
              </w:rPr>
              <w:t>−</w:t>
            </w:r>
          </w:p>
        </w:tc>
        <w:tc>
          <w:tcPr>
            <w:tcW w:type="dxa" w:w="3672"/>
            <w:vAlign w:val="center"/>
          </w:tcPr>
          <w:p>
            <w:pPr>
              <w:spacing w:after="20" w:before="20"/>
              <w:jc w:val="left"/>
            </w:pPr>
            <w:r/>
            <w:r>
              <w:rPr>
                <w:b w:val="0"/>
                <w:sz w:val="16"/>
              </w:rPr>
              <w:t>EGP step-devaluation</w:t>
            </w:r>
          </w:p>
        </w:tc>
        <w:tc>
          <w:tcPr>
            <w:tcW w:type="dxa" w:w="1008"/>
            <w:vAlign w:val="center"/>
          </w:tcPr>
          <w:p>
            <w:pPr>
              <w:spacing w:after="20" w:before="20"/>
              <w:jc w:val="center"/>
            </w:pPr>
            <w:r/>
            <w:r>
              <w:rPr>
                <w:b w:val="0"/>
                <w:sz w:val="16"/>
              </w:rPr>
              <w:t>20%</w:t>
            </w:r>
          </w:p>
        </w:tc>
        <w:tc>
          <w:tcPr>
            <w:tcW w:type="dxa" w:w="1296"/>
            <w:vAlign w:val="center"/>
          </w:tcPr>
          <w:p>
            <w:pPr>
              <w:spacing w:after="20" w:before="20"/>
              <w:jc w:val="center"/>
            </w:pPr>
            <w:r/>
            <w:r>
              <w:rPr>
                <w:b w:val="0"/>
                <w:sz w:val="16"/>
              </w:rPr>
              <w:t>+5.0%</w:t>
            </w:r>
          </w:p>
        </w:tc>
      </w:tr>
      <w:tr>
        <w:tc>
          <w:tcPr>
            <w:tcW w:type="dxa" w:w="3672"/>
            <w:shd w:val="clear" w:color="auto" w:fill="F3F7F7"/>
            <w:vAlign w:val="center"/>
          </w:tcPr>
          <w:p>
            <w:pPr>
              <w:spacing w:after="20" w:before="20"/>
              <w:jc w:val="left"/>
            </w:pPr>
            <w:r/>
            <w:r>
              <w:rPr>
                <w:b w:val="0"/>
                <w:sz w:val="16"/>
              </w:rPr>
              <w:t>EGX30 &amp; retail / foreign flows</w:t>
            </w:r>
          </w:p>
        </w:tc>
        <w:tc>
          <w:tcPr>
            <w:tcW w:type="dxa" w:w="720"/>
            <w:shd w:val="clear" w:color="auto" w:fill="F3F7F7"/>
            <w:vAlign w:val="center"/>
          </w:tcPr>
          <w:p>
            <w:pPr>
              <w:spacing w:after="20" w:before="20"/>
              <w:jc w:val="center"/>
            </w:pPr>
            <w:r/>
            <w:r>
              <w:rPr>
                <w:b w:val="0"/>
                <w:sz w:val="16"/>
              </w:rPr>
              <w:t>+</w:t>
            </w:r>
          </w:p>
        </w:tc>
        <w:tc>
          <w:tcPr>
            <w:tcW w:type="dxa" w:w="3672"/>
            <w:shd w:val="clear" w:color="auto" w:fill="F3F7F7"/>
            <w:vAlign w:val="center"/>
          </w:tcPr>
          <w:p>
            <w:pPr>
              <w:spacing w:after="20" w:before="20"/>
              <w:jc w:val="left"/>
            </w:pPr>
            <w:r/>
            <w:r>
              <w:rPr>
                <w:b w:val="0"/>
                <w:sz w:val="16"/>
              </w:rPr>
              <w:t>Capital action / rights issue</w:t>
            </w:r>
          </w:p>
        </w:tc>
        <w:tc>
          <w:tcPr>
            <w:tcW w:type="dxa" w:w="1008"/>
            <w:shd w:val="clear" w:color="auto" w:fill="F3F7F7"/>
            <w:vAlign w:val="center"/>
          </w:tcPr>
          <w:p>
            <w:pPr>
              <w:spacing w:after="20" w:before="20"/>
              <w:jc w:val="center"/>
            </w:pPr>
            <w:r/>
            <w:r>
              <w:rPr>
                <w:b w:val="0"/>
                <w:sz w:val="16"/>
              </w:rPr>
              <w:t>15%</w:t>
            </w:r>
          </w:p>
        </w:tc>
        <w:tc>
          <w:tcPr>
            <w:tcW w:type="dxa" w:w="1296"/>
            <w:shd w:val="clear" w:color="auto" w:fill="F3F7F7"/>
            <w:vAlign w:val="center"/>
          </w:tcPr>
          <w:p>
            <w:pPr>
              <w:spacing w:after="20" w:before="20"/>
              <w:jc w:val="center"/>
            </w:pPr>
            <w:r/>
            <w:r>
              <w:rPr>
                <w:b w:val="0"/>
                <w:sz w:val="16"/>
              </w:rPr>
              <w:t>−3.0%</w:t>
            </w:r>
          </w:p>
        </w:tc>
      </w:tr>
      <w:tr>
        <w:tc>
          <w:tcPr>
            <w:tcW w:type="dxa" w:w="3672"/>
            <w:vAlign w:val="center"/>
          </w:tcPr>
          <w:p>
            <w:pPr>
              <w:spacing w:after="20" w:before="20"/>
              <w:jc w:val="left"/>
            </w:pPr>
            <w:r/>
            <w:r>
              <w:rPr>
                <w:b w:val="0"/>
                <w:sz w:val="16"/>
              </w:rPr>
              <w:t>Global apparel / export demand</w:t>
            </w:r>
          </w:p>
        </w:tc>
        <w:tc>
          <w:tcPr>
            <w:tcW w:type="dxa" w:w="720"/>
            <w:vAlign w:val="center"/>
          </w:tcPr>
          <w:p>
            <w:pPr>
              <w:spacing w:after="20" w:before="20"/>
              <w:jc w:val="center"/>
            </w:pPr>
            <w:r/>
            <w:r>
              <w:rPr>
                <w:b w:val="0"/>
                <w:sz w:val="16"/>
              </w:rPr>
              <w:t>+</w:t>
            </w:r>
          </w:p>
        </w:tc>
        <w:tc>
          <w:tcPr>
            <w:tcW w:type="dxa" w:w="3672"/>
            <w:vAlign w:val="center"/>
          </w:tcPr>
          <w:p>
            <w:pPr>
              <w:spacing w:after="20" w:before="20"/>
              <w:jc w:val="left"/>
            </w:pPr>
            <w:r/>
            <w:r>
              <w:rPr>
                <w:b w:val="0"/>
                <w:sz w:val="16"/>
              </w:rPr>
              <w:t>Major export-order win / loss</w:t>
            </w:r>
          </w:p>
        </w:tc>
        <w:tc>
          <w:tcPr>
            <w:tcW w:type="dxa" w:w="1008"/>
            <w:vAlign w:val="center"/>
          </w:tcPr>
          <w:p>
            <w:pPr>
              <w:spacing w:after="20" w:before="20"/>
              <w:jc w:val="center"/>
            </w:pPr>
            <w:r/>
            <w:r>
              <w:rPr>
                <w:b w:val="0"/>
                <w:sz w:val="16"/>
              </w:rPr>
              <w:t>35%</w:t>
            </w:r>
          </w:p>
        </w:tc>
        <w:tc>
          <w:tcPr>
            <w:tcW w:type="dxa" w:w="1296"/>
            <w:vAlign w:val="center"/>
          </w:tcPr>
          <w:p>
            <w:pPr>
              <w:spacing w:after="20" w:before="20"/>
              <w:jc w:val="center"/>
            </w:pPr>
            <w:r/>
            <w:r>
              <w:rPr>
                <w:b w:val="0"/>
                <w:sz w:val="16"/>
              </w:rPr>
              <w:t>+2.0%</w:t>
            </w:r>
          </w:p>
        </w:tc>
      </w:tr>
      <w:tr>
        <w:tc>
          <w:tcPr>
            <w:tcW w:type="dxa" w:w="3672"/>
            <w:shd w:val="clear" w:color="auto" w:fill="F3F7F7"/>
            <w:vAlign w:val="center"/>
          </w:tcPr>
          <w:p>
            <w:pPr>
              <w:spacing w:after="20" w:before="20"/>
              <w:jc w:val="left"/>
            </w:pPr>
            <w:r/>
            <w:r>
              <w:rPr>
                <w:b w:val="0"/>
                <w:sz w:val="16"/>
              </w:rPr>
              <w:t>Global cotton / fibre price</w:t>
            </w:r>
          </w:p>
        </w:tc>
        <w:tc>
          <w:tcPr>
            <w:tcW w:type="dxa" w:w="720"/>
            <w:shd w:val="clear" w:color="auto" w:fill="F3F7F7"/>
            <w:vAlign w:val="center"/>
          </w:tcPr>
          <w:p>
            <w:pPr>
              <w:spacing w:after="20" w:before="20"/>
              <w:jc w:val="center"/>
            </w:pPr>
            <w:r/>
            <w:r>
              <w:rPr>
                <w:b w:val="0"/>
                <w:sz w:val="16"/>
              </w:rPr>
              <w:t>−</w:t>
            </w:r>
          </w:p>
        </w:tc>
        <w:tc>
          <w:tcPr>
            <w:tcW w:type="dxa" w:w="3672"/>
            <w:shd w:val="clear" w:color="auto" w:fill="F3F7F7"/>
            <w:vAlign w:val="center"/>
          </w:tcPr>
          <w:p>
            <w:pPr>
              <w:spacing w:after="20" w:before="20"/>
              <w:jc w:val="left"/>
            </w:pPr>
            <w:r/>
            <w:r>
              <w:rPr>
                <w:b w:val="0"/>
                <w:sz w:val="16"/>
              </w:rPr>
              <w:t>Input-cost / energy-tariff shock</w:t>
            </w:r>
          </w:p>
        </w:tc>
        <w:tc>
          <w:tcPr>
            <w:tcW w:type="dxa" w:w="1008"/>
            <w:shd w:val="clear" w:color="auto" w:fill="F3F7F7"/>
            <w:vAlign w:val="center"/>
          </w:tcPr>
          <w:p>
            <w:pPr>
              <w:spacing w:after="20" w:before="20"/>
              <w:jc w:val="center"/>
            </w:pPr>
            <w:r/>
            <w:r>
              <w:rPr>
                <w:b w:val="0"/>
                <w:sz w:val="16"/>
              </w:rPr>
              <w:t>30%</w:t>
            </w:r>
          </w:p>
        </w:tc>
        <w:tc>
          <w:tcPr>
            <w:tcW w:type="dxa" w:w="1296"/>
            <w:shd w:val="clear" w:color="auto" w:fill="F3F7F7"/>
            <w:vAlign w:val="center"/>
          </w:tcPr>
          <w:p>
            <w:pPr>
              <w:spacing w:after="20" w:before="20"/>
              <w:jc w:val="center"/>
            </w:pPr>
            <w:r/>
            <w:r>
              <w:rPr>
                <w:b w:val="0"/>
                <w:sz w:val="16"/>
              </w:rPr>
              <w:t>−4.0%</w:t>
            </w:r>
          </w:p>
        </w:tc>
      </w:tr>
      <w:tr>
        <w:tc>
          <w:tcPr>
            <w:tcW w:type="dxa" w:w="3672"/>
            <w:vAlign w:val="center"/>
          </w:tcPr>
          <w:p>
            <w:pPr>
              <w:spacing w:after="20" w:before="20"/>
              <w:jc w:val="left"/>
            </w:pPr>
            <w:r/>
            <w:r>
              <w:rPr>
                <w:b w:val="0"/>
                <w:sz w:val="16"/>
              </w:rPr>
              <w:t>Latent-asset / land-revaluation sentiment</w:t>
            </w:r>
          </w:p>
        </w:tc>
        <w:tc>
          <w:tcPr>
            <w:tcW w:type="dxa" w:w="720"/>
            <w:vAlign w:val="center"/>
          </w:tcPr>
          <w:p>
            <w:pPr>
              <w:spacing w:after="20" w:before="20"/>
              <w:jc w:val="center"/>
            </w:pPr>
            <w:r/>
            <w:r>
              <w:rPr>
                <w:b w:val="0"/>
                <w:sz w:val="16"/>
              </w:rPr>
              <w:t>+</w:t>
            </w:r>
          </w:p>
        </w:tc>
        <w:tc>
          <w:tcPr>
            <w:tcW w:type="dxa" w:w="3672"/>
            <w:vAlign w:val="center"/>
          </w:tcPr>
          <w:p>
            <w:pPr>
              <w:spacing w:after="20" w:before="20"/>
              <w:jc w:val="left"/>
            </w:pPr>
            <w:r/>
            <w:r>
              <w:rPr>
                <w:b w:val="0"/>
                <w:sz w:val="16"/>
              </w:rPr>
              <w:t>Geopolitical / Red Sea freight</w:t>
            </w:r>
          </w:p>
        </w:tc>
        <w:tc>
          <w:tcPr>
            <w:tcW w:type="dxa" w:w="1008"/>
            <w:vAlign w:val="center"/>
          </w:tcPr>
          <w:p>
            <w:pPr>
              <w:spacing w:after="20" w:before="20"/>
              <w:jc w:val="center"/>
            </w:pPr>
            <w:r/>
            <w:r>
              <w:rPr>
                <w:b w:val="0"/>
                <w:sz w:val="16"/>
              </w:rPr>
              <w:t>25%</w:t>
            </w:r>
          </w:p>
        </w:tc>
        <w:tc>
          <w:tcPr>
            <w:tcW w:type="dxa" w:w="1296"/>
            <w:vAlign w:val="center"/>
          </w:tcPr>
          <w:p>
            <w:pPr>
              <w:spacing w:after="20" w:before="20"/>
              <w:jc w:val="center"/>
            </w:pPr>
            <w:r/>
            <w:r>
              <w:rPr>
                <w:b w:val="0"/>
                <w:sz w:val="16"/>
              </w:rPr>
              <w:t>−5.0%</w:t>
            </w:r>
          </w:p>
        </w:tc>
      </w:tr>
      <w:tr>
        <w:tc>
          <w:tcPr>
            <w:tcW w:type="dxa" w:w="3672"/>
            <w:shd w:val="clear" w:color="auto" w:fill="F3F7F7"/>
            <w:vAlign w:val="center"/>
          </w:tcPr>
          <w:p>
            <w:pPr>
              <w:spacing w:after="20" w:before="20"/>
              <w:jc w:val="left"/>
            </w:pPr>
            <w:r/>
            <w:r>
              <w:rPr>
                <w:b w:val="0"/>
                <w:sz w:val="16"/>
              </w:rPr>
            </w:r>
          </w:p>
        </w:tc>
        <w:tc>
          <w:tcPr>
            <w:tcW w:type="dxa" w:w="720"/>
            <w:shd w:val="clear" w:color="auto" w:fill="F3F7F7"/>
            <w:vAlign w:val="center"/>
          </w:tcPr>
          <w:p>
            <w:pPr>
              <w:spacing w:after="20" w:before="20"/>
              <w:jc w:val="center"/>
            </w:pPr>
            <w:r/>
            <w:r>
              <w:rPr>
                <w:b w:val="0"/>
                <w:sz w:val="16"/>
              </w:rPr>
            </w:r>
          </w:p>
        </w:tc>
        <w:tc>
          <w:tcPr>
            <w:tcW w:type="dxa" w:w="3672"/>
            <w:shd w:val="clear" w:color="auto" w:fill="F3F7F7"/>
            <w:vAlign w:val="center"/>
          </w:tcPr>
          <w:p>
            <w:pPr>
              <w:spacing w:after="20" w:before="20"/>
              <w:jc w:val="left"/>
            </w:pPr>
            <w:r/>
            <w:r>
              <w:rPr>
                <w:b w:val="0"/>
                <w:sz w:val="16"/>
              </w:rPr>
              <w:t>Speculative squeeze / retail momentum</w:t>
            </w:r>
          </w:p>
        </w:tc>
        <w:tc>
          <w:tcPr>
            <w:tcW w:type="dxa" w:w="1008"/>
            <w:shd w:val="clear" w:color="auto" w:fill="F3F7F7"/>
            <w:vAlign w:val="center"/>
          </w:tcPr>
          <w:p>
            <w:pPr>
              <w:spacing w:after="20" w:before="20"/>
              <w:jc w:val="center"/>
            </w:pPr>
            <w:r/>
            <w:r>
              <w:rPr>
                <w:b w:val="0"/>
                <w:sz w:val="16"/>
              </w:rPr>
              <w:t>30%</w:t>
            </w:r>
          </w:p>
        </w:tc>
        <w:tc>
          <w:tcPr>
            <w:tcW w:type="dxa" w:w="1296"/>
            <w:shd w:val="clear" w:color="auto" w:fill="F3F7F7"/>
            <w:vAlign w:val="center"/>
          </w:tcPr>
          <w:p>
            <w:pPr>
              <w:spacing w:after="20" w:before="20"/>
              <w:jc w:val="center"/>
            </w:pPr>
            <w:r/>
            <w:r>
              <w:rPr>
                <w:b w:val="0"/>
                <w:sz w:val="16"/>
              </w:rPr>
              <w:t>+6.0%</w:t>
            </w:r>
          </w:p>
        </w:tc>
      </w:tr>
      <w:tr>
        <w:tc>
          <w:tcPr>
            <w:tcW w:type="dxa" w:w="3672"/>
            <w:vAlign w:val="center"/>
          </w:tcPr>
          <w:p>
            <w:pPr>
              <w:spacing w:after="20" w:before="20"/>
              <w:jc w:val="left"/>
            </w:pPr>
            <w:r/>
            <w:r>
              <w:rPr>
                <w:b w:val="0"/>
                <w:sz w:val="16"/>
              </w:rPr>
            </w:r>
          </w:p>
        </w:tc>
        <w:tc>
          <w:tcPr>
            <w:tcW w:type="dxa" w:w="720"/>
            <w:vAlign w:val="center"/>
          </w:tcPr>
          <w:p>
            <w:pPr>
              <w:spacing w:after="20" w:before="20"/>
              <w:jc w:val="center"/>
            </w:pPr>
            <w:r/>
            <w:r>
              <w:rPr>
                <w:b w:val="0"/>
                <w:sz w:val="16"/>
              </w:rPr>
            </w:r>
          </w:p>
        </w:tc>
        <w:tc>
          <w:tcPr>
            <w:tcW w:type="dxa" w:w="3672"/>
            <w:vAlign w:val="center"/>
          </w:tcPr>
          <w:p>
            <w:pPr>
              <w:spacing w:after="20" w:before="20"/>
              <w:jc w:val="left"/>
            </w:pPr>
            <w:r/>
            <w:r>
              <w:rPr>
                <w:b w:val="0"/>
                <w:sz w:val="16"/>
              </w:rPr>
              <w:t>Governance / auditor / disclosure event</w:t>
            </w:r>
          </w:p>
        </w:tc>
        <w:tc>
          <w:tcPr>
            <w:tcW w:type="dxa" w:w="1008"/>
            <w:vAlign w:val="center"/>
          </w:tcPr>
          <w:p>
            <w:pPr>
              <w:spacing w:after="20" w:before="20"/>
              <w:jc w:val="center"/>
            </w:pPr>
            <w:r/>
            <w:r>
              <w:rPr>
                <w:b w:val="0"/>
                <w:sz w:val="16"/>
              </w:rPr>
              <w:t>20%</w:t>
            </w:r>
          </w:p>
        </w:tc>
        <w:tc>
          <w:tcPr>
            <w:tcW w:type="dxa" w:w="1296"/>
            <w:vAlign w:val="center"/>
          </w:tcPr>
          <w:p>
            <w:pPr>
              <w:spacing w:after="20" w:before="20"/>
              <w:jc w:val="center"/>
            </w:pPr>
            <w:r/>
            <w:r>
              <w:rPr>
                <w:b w:val="0"/>
                <w:sz w:val="16"/>
              </w:rPr>
              <w:t>−3.0%</w:t>
            </w:r>
          </w:p>
        </w:tc>
      </w:tr>
    </w:tbl>
    <w:p>
      <w:pPr>
        <w:spacing w:after="40"/>
      </w:pPr>
    </w:p>
    <w:p>
      <w:pPr>
        <w:spacing w:before="140" w:after="40"/>
      </w:pPr>
      <w:r>
        <w:rPr>
          <w:b/>
          <w:color w:val="2A8F8F"/>
          <w:sz w:val="23"/>
        </w:rPr>
        <w:t>Percentile map (illustrative, EGP / share)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704"/>
        <w:gridCol w:w="1704"/>
        <w:gridCol w:w="1704"/>
        <w:gridCol w:w="1704"/>
        <w:gridCol w:w="1704"/>
        <w:gridCol w:w="1704"/>
      </w:tblGrid>
      <w:tr>
        <w:tc>
          <w:tcPr>
            <w:tcW w:type="dxa" w:w="3168"/>
            <w:shd w:val="clear" w:color="auto" w:fill="1B5E5E"/>
            <w:vAlign w:val="center"/>
          </w:tcPr>
          <w:p>
            <w:pPr>
              <w:spacing w:after="20" w:before="20"/>
              <w:jc w:val="left"/>
            </w:pPr>
            <w:r/>
            <w:r>
              <w:rPr>
                <w:b/>
                <w:color w:val="FFFFFF"/>
                <w:sz w:val="18"/>
              </w:rPr>
              <w:t>Horizon</w:t>
            </w:r>
          </w:p>
        </w:tc>
        <w:tc>
          <w:tcPr>
            <w:tcW w:type="dxa" w:w="1440"/>
            <w:shd w:val="clear" w:color="auto" w:fill="1B5E5E"/>
            <w:vAlign w:val="center"/>
          </w:tcPr>
          <w:p>
            <w:pPr>
              <w:spacing w:after="20" w:before="20"/>
              <w:jc w:val="center"/>
            </w:pPr>
            <w:r/>
            <w:r>
              <w:rPr>
                <w:b/>
                <w:color w:val="FFFFFF"/>
                <w:sz w:val="18"/>
              </w:rPr>
              <w:t>p5</w:t>
            </w:r>
          </w:p>
        </w:tc>
        <w:tc>
          <w:tcPr>
            <w:tcW w:type="dxa" w:w="1440"/>
            <w:shd w:val="clear" w:color="auto" w:fill="1B5E5E"/>
            <w:vAlign w:val="center"/>
          </w:tcPr>
          <w:p>
            <w:pPr>
              <w:spacing w:after="20" w:before="20"/>
              <w:jc w:val="center"/>
            </w:pPr>
            <w:r/>
            <w:r>
              <w:rPr>
                <w:b/>
                <w:color w:val="FFFFFF"/>
                <w:sz w:val="18"/>
              </w:rPr>
              <w:t>p25</w:t>
            </w:r>
          </w:p>
        </w:tc>
        <w:tc>
          <w:tcPr>
            <w:tcW w:type="dxa" w:w="1440"/>
            <w:shd w:val="clear" w:color="auto" w:fill="1B5E5E"/>
            <w:vAlign w:val="center"/>
          </w:tcPr>
          <w:p>
            <w:pPr>
              <w:spacing w:after="20" w:before="20"/>
              <w:jc w:val="center"/>
            </w:pPr>
            <w:r/>
            <w:r>
              <w:rPr>
                <w:b/>
                <w:color w:val="FFFFFF"/>
                <w:sz w:val="18"/>
              </w:rPr>
              <w:t>p50</w:t>
            </w:r>
          </w:p>
        </w:tc>
        <w:tc>
          <w:tcPr>
            <w:tcW w:type="dxa" w:w="1440"/>
            <w:shd w:val="clear" w:color="auto" w:fill="1B5E5E"/>
            <w:vAlign w:val="center"/>
          </w:tcPr>
          <w:p>
            <w:pPr>
              <w:spacing w:after="20" w:before="20"/>
              <w:jc w:val="center"/>
            </w:pPr>
            <w:r/>
            <w:r>
              <w:rPr>
                <w:b/>
                <w:color w:val="FFFFFF"/>
                <w:sz w:val="18"/>
              </w:rPr>
              <w:t>p75</w:t>
            </w:r>
          </w:p>
        </w:tc>
        <w:tc>
          <w:tcPr>
            <w:tcW w:type="dxa" w:w="1440"/>
            <w:shd w:val="clear" w:color="auto" w:fill="1B5E5E"/>
            <w:vAlign w:val="center"/>
          </w:tcPr>
          <w:p>
            <w:pPr>
              <w:spacing w:after="20" w:before="20"/>
              <w:jc w:val="center"/>
            </w:pPr>
            <w:r/>
            <w:r>
              <w:rPr>
                <w:b/>
                <w:color w:val="FFFFFF"/>
                <w:sz w:val="18"/>
              </w:rPr>
              <w:t>p95</w:t>
            </w:r>
          </w:p>
        </w:tc>
      </w:tr>
      <w:tr>
        <w:tc>
          <w:tcPr>
            <w:tcW w:type="dxa" w:w="3168"/>
            <w:vAlign w:val="center"/>
          </w:tcPr>
          <w:p>
            <w:pPr>
              <w:spacing w:after="20" w:before="20"/>
              <w:jc w:val="left"/>
            </w:pPr>
            <w:r/>
            <w:r>
              <w:rPr>
                <w:b w:val="0"/>
                <w:sz w:val="18"/>
              </w:rPr>
              <w:t>T+20 sessions</w:t>
            </w:r>
          </w:p>
        </w:tc>
        <w:tc>
          <w:tcPr>
            <w:tcW w:type="dxa" w:w="1440"/>
            <w:vAlign w:val="center"/>
          </w:tcPr>
          <w:p>
            <w:pPr>
              <w:spacing w:after="20" w:before="20"/>
              <w:jc w:val="center"/>
            </w:pPr>
            <w:r/>
            <w:r>
              <w:rPr>
                <w:b w:val="0"/>
                <w:sz w:val="18"/>
              </w:rPr>
              <w:t>5.58</w:t>
            </w:r>
          </w:p>
        </w:tc>
        <w:tc>
          <w:tcPr>
            <w:tcW w:type="dxa" w:w="1440"/>
            <w:vAlign w:val="center"/>
          </w:tcPr>
          <w:p>
            <w:pPr>
              <w:spacing w:after="20" w:before="20"/>
              <w:jc w:val="center"/>
            </w:pPr>
            <w:r/>
            <w:r>
              <w:rPr>
                <w:b w:val="0"/>
                <w:sz w:val="18"/>
              </w:rPr>
              <w:t>6.46</w:t>
            </w:r>
          </w:p>
        </w:tc>
        <w:tc>
          <w:tcPr>
            <w:tcW w:type="dxa" w:w="1440"/>
            <w:vAlign w:val="center"/>
          </w:tcPr>
          <w:p>
            <w:pPr>
              <w:spacing w:after="20" w:before="20"/>
              <w:jc w:val="center"/>
            </w:pPr>
            <w:r/>
            <w:r>
              <w:rPr>
                <w:b w:val="0"/>
                <w:sz w:val="18"/>
              </w:rPr>
              <w:t>7.03</w:t>
            </w:r>
          </w:p>
        </w:tc>
        <w:tc>
          <w:tcPr>
            <w:tcW w:type="dxa" w:w="1440"/>
            <w:vAlign w:val="center"/>
          </w:tcPr>
          <w:p>
            <w:pPr>
              <w:spacing w:after="20" w:before="20"/>
              <w:jc w:val="center"/>
            </w:pPr>
            <w:r/>
            <w:r>
              <w:rPr>
                <w:b w:val="0"/>
                <w:sz w:val="18"/>
              </w:rPr>
              <w:t>7.67</w:t>
            </w:r>
          </w:p>
        </w:tc>
        <w:tc>
          <w:tcPr>
            <w:tcW w:type="dxa" w:w="1440"/>
            <w:vAlign w:val="center"/>
          </w:tcPr>
          <w:p>
            <w:pPr>
              <w:spacing w:after="20" w:before="20"/>
              <w:jc w:val="center"/>
            </w:pPr>
            <w:r/>
            <w:r>
              <w:rPr>
                <w:b w:val="0"/>
                <w:sz w:val="18"/>
              </w:rPr>
              <w:t>8.92</w:t>
            </w:r>
          </w:p>
        </w:tc>
      </w:tr>
      <w:tr>
        <w:tc>
          <w:tcPr>
            <w:tcW w:type="dxa" w:w="3168"/>
            <w:shd w:val="clear" w:color="auto" w:fill="F3F7F7"/>
            <w:vAlign w:val="center"/>
          </w:tcPr>
          <w:p>
            <w:pPr>
              <w:spacing w:after="20" w:before="20"/>
              <w:jc w:val="left"/>
            </w:pPr>
            <w:r/>
            <w:r>
              <w:rPr>
                <w:b w:val="0"/>
                <w:sz w:val="18"/>
              </w:rPr>
              <w:t>T+60 sessions</w:t>
            </w:r>
          </w:p>
        </w:tc>
        <w:tc>
          <w:tcPr>
            <w:tcW w:type="dxa" w:w="1440"/>
            <w:shd w:val="clear" w:color="auto" w:fill="F3F7F7"/>
            <w:vAlign w:val="center"/>
          </w:tcPr>
          <w:p>
            <w:pPr>
              <w:spacing w:after="20" w:before="20"/>
              <w:jc w:val="center"/>
            </w:pPr>
            <w:r/>
            <w:r>
              <w:rPr>
                <w:b w:val="0"/>
                <w:sz w:val="18"/>
              </w:rPr>
              <w:t>4.79</w:t>
            </w:r>
          </w:p>
        </w:tc>
        <w:tc>
          <w:tcPr>
            <w:tcW w:type="dxa" w:w="1440"/>
            <w:shd w:val="clear" w:color="auto" w:fill="F3F7F7"/>
            <w:vAlign w:val="center"/>
          </w:tcPr>
          <w:p>
            <w:pPr>
              <w:spacing w:after="20" w:before="20"/>
              <w:jc w:val="center"/>
            </w:pPr>
            <w:r/>
            <w:r>
              <w:rPr>
                <w:b w:val="0"/>
                <w:sz w:val="18"/>
              </w:rPr>
              <w:t>6.12</w:t>
            </w:r>
          </w:p>
        </w:tc>
        <w:tc>
          <w:tcPr>
            <w:tcW w:type="dxa" w:w="1440"/>
            <w:shd w:val="clear" w:color="auto" w:fill="F3F7F7"/>
            <w:vAlign w:val="center"/>
          </w:tcPr>
          <w:p>
            <w:pPr>
              <w:spacing w:after="20" w:before="20"/>
              <w:jc w:val="center"/>
            </w:pPr>
            <w:r/>
            <w:r>
              <w:rPr>
                <w:b w:val="0"/>
                <w:sz w:val="18"/>
              </w:rPr>
              <w:t>7.12</w:t>
            </w:r>
          </w:p>
        </w:tc>
        <w:tc>
          <w:tcPr>
            <w:tcW w:type="dxa" w:w="1440"/>
            <w:shd w:val="clear" w:color="auto" w:fill="F3F7F7"/>
            <w:vAlign w:val="center"/>
          </w:tcPr>
          <w:p>
            <w:pPr>
              <w:spacing w:after="20" w:before="20"/>
              <w:jc w:val="center"/>
            </w:pPr>
            <w:r/>
            <w:r>
              <w:rPr>
                <w:b w:val="0"/>
                <w:sz w:val="18"/>
              </w:rPr>
              <w:t>8.28</w:t>
            </w:r>
          </w:p>
        </w:tc>
        <w:tc>
          <w:tcPr>
            <w:tcW w:type="dxa" w:w="1440"/>
            <w:shd w:val="clear" w:color="auto" w:fill="F3F7F7"/>
            <w:vAlign w:val="center"/>
          </w:tcPr>
          <w:p>
            <w:pPr>
              <w:spacing w:after="20" w:before="20"/>
              <w:jc w:val="center"/>
            </w:pPr>
            <w:r/>
            <w:r>
              <w:rPr>
                <w:b w:val="0"/>
                <w:sz w:val="18"/>
              </w:rPr>
              <w:t>10.68</w:t>
            </w:r>
          </w:p>
        </w:tc>
      </w:tr>
    </w:tbl>
    <w:p>
      <w:pPr>
        <w:spacing w:after="40"/>
      </w:pPr>
    </w:p>
    <w:p>
      <w:pPr>
        <w:spacing w:before="80" w:after="20"/>
        <w:jc w:val="center"/>
      </w:pPr>
      <w:r>
        <w:drawing>
          <wp:inline xmlns:a="http://schemas.openxmlformats.org/drawingml/2006/main" xmlns:pic="http://schemas.openxmlformats.org/drawingml/2006/picture">
            <wp:extent cx="6035040" cy="3715278"/>
            <wp:docPr id="3" name="Picture 3"/>
            <wp:cNvGraphicFramePr>
              <a:graphicFrameLocks noChangeAspect="1"/>
            </wp:cNvGraphicFramePr>
            <a:graphic>
              <a:graphicData uri="http://schemas.openxmlformats.org/drawingml/2006/picture">
                <pic:pic>
                  <pic:nvPicPr>
                    <pic:cNvPr id="0" name="fig4_fan.png"/>
                    <pic:cNvPicPr/>
                  </pic:nvPicPr>
                  <pic:blipFill>
                    <a:blip r:embed="rId11"/>
                    <a:stretch>
                      <a:fillRect/>
                    </a:stretch>
                  </pic:blipFill>
                  <pic:spPr>
                    <a:xfrm>
                      <a:off x="0" y="0"/>
                      <a:ext cx="6035040" cy="3715278"/>
                    </a:xfrm>
                    <a:prstGeom prst="rect"/>
                  </pic:spPr>
                </pic:pic>
              </a:graphicData>
            </a:graphic>
          </wp:inline>
        </w:drawing>
      </w:r>
    </w:p>
    <w:p>
      <w:pPr>
        <w:spacing w:after="120"/>
        <w:jc w:val="center"/>
      </w:pPr>
      <w:r>
        <w:rPr>
          <w:i/>
          <w:color w:val="222222"/>
          <w:sz w:val="17"/>
        </w:rPr>
        <w:t>Figure 4 — Forward price cone to T+60, ILLUSTRATIVE ONLY (the engine failed Step 0). Median tracks spot; the gold dotted line marks the ~EGP 2.44 fundamental central, deliberately far below the cone. Lead with the 50% interquartile band, not the 90% tail.</w:t>
      </w:r>
    </w:p>
    <w:p>
      <w:pPr>
        <w:spacing w:before="80" w:after="20"/>
        <w:jc w:val="center"/>
      </w:pPr>
      <w:r>
        <w:drawing>
          <wp:inline xmlns:a="http://schemas.openxmlformats.org/drawingml/2006/main" xmlns:pic="http://schemas.openxmlformats.org/drawingml/2006/picture">
            <wp:extent cx="6035040" cy="3429000"/>
            <wp:docPr id="4" name="Picture 4"/>
            <wp:cNvGraphicFramePr>
              <a:graphicFrameLocks noChangeAspect="1"/>
            </wp:cNvGraphicFramePr>
            <a:graphic>
              <a:graphicData uri="http://schemas.openxmlformats.org/drawingml/2006/picture">
                <pic:pic>
                  <pic:nvPicPr>
                    <pic:cNvPr id="0" name="fig5_dist_t20.png"/>
                    <pic:cNvPicPr/>
                  </pic:nvPicPr>
                  <pic:blipFill>
                    <a:blip r:embed="rId12"/>
                    <a:stretch>
                      <a:fillRect/>
                    </a:stretch>
                  </pic:blipFill>
                  <pic:spPr>
                    <a:xfrm>
                      <a:off x="0" y="0"/>
                      <a:ext cx="6035040" cy="3429000"/>
                    </a:xfrm>
                    <a:prstGeom prst="rect"/>
                  </pic:spPr>
                </pic:pic>
              </a:graphicData>
            </a:graphic>
          </wp:inline>
        </w:drawing>
      </w:r>
    </w:p>
    <w:p>
      <w:pPr>
        <w:spacing w:after="120"/>
        <w:jc w:val="center"/>
      </w:pPr>
      <w:r>
        <w:rPr>
          <w:i/>
          <w:color w:val="222222"/>
          <w:sz w:val="17"/>
        </w:rPr>
        <w:t>Figure 5 — Illustrative price distribution at T+20.</w:t>
      </w:r>
    </w:p>
    <w:p>
      <w:pPr>
        <w:spacing w:before="80" w:after="20"/>
        <w:jc w:val="center"/>
      </w:pPr>
      <w:r>
        <w:drawing>
          <wp:inline xmlns:a="http://schemas.openxmlformats.org/drawingml/2006/main" xmlns:pic="http://schemas.openxmlformats.org/drawingml/2006/picture">
            <wp:extent cx="6035040" cy="3382870"/>
            <wp:docPr id="5" name="Picture 5"/>
            <wp:cNvGraphicFramePr>
              <a:graphicFrameLocks noChangeAspect="1"/>
            </wp:cNvGraphicFramePr>
            <a:graphic>
              <a:graphicData uri="http://schemas.openxmlformats.org/drawingml/2006/picture">
                <pic:pic>
                  <pic:nvPicPr>
                    <pic:cNvPr id="0" name="fig6_dist_t60.png"/>
                    <pic:cNvPicPr/>
                  </pic:nvPicPr>
                  <pic:blipFill>
                    <a:blip r:embed="rId13"/>
                    <a:stretch>
                      <a:fillRect/>
                    </a:stretch>
                  </pic:blipFill>
                  <pic:spPr>
                    <a:xfrm>
                      <a:off x="0" y="0"/>
                      <a:ext cx="6035040" cy="3382870"/>
                    </a:xfrm>
                    <a:prstGeom prst="rect"/>
                  </pic:spPr>
                </pic:pic>
              </a:graphicData>
            </a:graphic>
          </wp:inline>
        </w:drawing>
      </w:r>
    </w:p>
    <w:p>
      <w:pPr>
        <w:spacing w:after="120"/>
        <w:jc w:val="center"/>
      </w:pPr>
      <w:r>
        <w:rPr>
          <w:i/>
          <w:color w:val="222222"/>
          <w:sz w:val="17"/>
        </w:rPr>
        <w:t>Figure 6 — Illustrative price distribution at T+60.</w:t>
      </w:r>
    </w:p>
    <w:p>
      <w:pPr>
        <w:spacing w:after="40" w:line="259" w:lineRule="auto"/>
      </w:pPr>
      <w:r>
        <w:rPr>
          <w:b/>
          <w:i w:val="0"/>
          <w:sz w:val="20"/>
        </w:rPr>
        <w:t>Level-touch ladder (illustrative)</w:t>
      </w:r>
      <w:r>
        <w:rPr>
          <w:b w:val="0"/>
          <w:i w:val="0"/>
          <w:sz w:val="20"/>
        </w:rPr>
        <w:t xml:space="preserve"> — the probability that price touches a level at any point by the horizon (running max for upside, running min for downside):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408"/>
        <w:gridCol w:w="3408"/>
        <w:gridCol w:w="3408"/>
      </w:tblGrid>
      <w:tr>
        <w:tc>
          <w:tcPr>
            <w:tcW w:type="dxa" w:w="2160"/>
            <w:shd w:val="clear" w:color="auto" w:fill="1B5E5E"/>
            <w:vAlign w:val="center"/>
          </w:tcPr>
          <w:p>
            <w:pPr>
              <w:spacing w:after="20" w:before="20"/>
              <w:jc w:val="left"/>
            </w:pPr>
            <w:r/>
            <w:r>
              <w:rPr>
                <w:b/>
                <w:color w:val="FFFFFF"/>
                <w:sz w:val="18"/>
              </w:rPr>
              <w:t>Level (EGP)</w:t>
            </w:r>
          </w:p>
        </w:tc>
        <w:tc>
          <w:tcPr>
            <w:tcW w:type="dxa" w:w="2304"/>
            <w:shd w:val="clear" w:color="auto" w:fill="1B5E5E"/>
            <w:vAlign w:val="center"/>
          </w:tcPr>
          <w:p>
            <w:pPr>
              <w:spacing w:after="20" w:before="20"/>
              <w:jc w:val="center"/>
            </w:pPr>
            <w:r/>
            <w:r>
              <w:rPr>
                <w:b/>
                <w:color w:val="FFFFFF"/>
                <w:sz w:val="18"/>
              </w:rPr>
              <w:t>T+60 touch</w:t>
            </w:r>
          </w:p>
        </w:tc>
        <w:tc>
          <w:tcPr>
            <w:tcW w:type="dxa" w:w="5616"/>
            <w:shd w:val="clear" w:color="auto" w:fill="1B5E5E"/>
            <w:vAlign w:val="center"/>
          </w:tcPr>
          <w:p>
            <w:pPr>
              <w:spacing w:after="20" w:before="20"/>
              <w:jc w:val="left"/>
            </w:pPr>
            <w:r/>
            <w:r>
              <w:rPr>
                <w:b/>
                <w:color w:val="FFFFFF"/>
                <w:sz w:val="18"/>
              </w:rPr>
              <w:t>Note</w:t>
            </w:r>
          </w:p>
        </w:tc>
      </w:tr>
      <w:tr>
        <w:tc>
          <w:tcPr>
            <w:tcW w:type="dxa" w:w="2160"/>
            <w:vAlign w:val="center"/>
          </w:tcPr>
          <w:p>
            <w:pPr>
              <w:spacing w:after="20" w:before="20"/>
              <w:jc w:val="left"/>
            </w:pPr>
            <w:r/>
            <w:r>
              <w:rPr>
                <w:b w:val="0"/>
                <w:sz w:val="18"/>
              </w:rPr>
              <w:t>8.40</w:t>
            </w:r>
          </w:p>
        </w:tc>
        <w:tc>
          <w:tcPr>
            <w:tcW w:type="dxa" w:w="2304"/>
            <w:vAlign w:val="center"/>
          </w:tcPr>
          <w:p>
            <w:pPr>
              <w:spacing w:after="20" w:before="20"/>
              <w:jc w:val="center"/>
            </w:pPr>
            <w:r/>
            <w:r>
              <w:rPr>
                <w:b w:val="0"/>
                <w:sz w:val="18"/>
              </w:rPr>
              <w:t>see chart</w:t>
            </w:r>
          </w:p>
        </w:tc>
        <w:tc>
          <w:tcPr>
            <w:tcW w:type="dxa" w:w="5616"/>
            <w:vAlign w:val="center"/>
          </w:tcPr>
          <w:p>
            <w:pPr>
              <w:spacing w:after="20" w:before="20"/>
              <w:jc w:val="left"/>
            </w:pPr>
            <w:r/>
            <w:r>
              <w:rPr>
                <w:b w:val="0"/>
                <w:sz w:val="18"/>
              </w:rPr>
              <w:t>Toward a fresh high</w:t>
            </w:r>
          </w:p>
        </w:tc>
      </w:tr>
      <w:tr>
        <w:tc>
          <w:tcPr>
            <w:tcW w:type="dxa" w:w="2160"/>
            <w:shd w:val="clear" w:color="auto" w:fill="F3F7F7"/>
            <w:vAlign w:val="center"/>
          </w:tcPr>
          <w:p>
            <w:pPr>
              <w:spacing w:after="20" w:before="20"/>
              <w:jc w:val="left"/>
            </w:pPr>
            <w:r/>
            <w:r>
              <w:rPr>
                <w:b w:val="0"/>
                <w:sz w:val="18"/>
              </w:rPr>
              <w:t>7.70</w:t>
            </w:r>
          </w:p>
        </w:tc>
        <w:tc>
          <w:tcPr>
            <w:tcW w:type="dxa" w:w="2304"/>
            <w:shd w:val="clear" w:color="auto" w:fill="F3F7F7"/>
            <w:vAlign w:val="center"/>
          </w:tcPr>
          <w:p>
            <w:pPr>
              <w:spacing w:after="20" w:before="20"/>
              <w:jc w:val="center"/>
            </w:pPr>
            <w:r/>
            <w:r>
              <w:rPr>
                <w:b w:val="0"/>
                <w:sz w:val="18"/>
              </w:rPr>
              <w:t>~63%</w:t>
            </w:r>
          </w:p>
        </w:tc>
        <w:tc>
          <w:tcPr>
            <w:tcW w:type="dxa" w:w="5616"/>
            <w:shd w:val="clear" w:color="auto" w:fill="F3F7F7"/>
            <w:vAlign w:val="center"/>
          </w:tcPr>
          <w:p>
            <w:pPr>
              <w:spacing w:after="20" w:before="20"/>
              <w:jc w:val="left"/>
            </w:pPr>
            <w:r/>
            <w:r>
              <w:rPr>
                <w:b w:val="0"/>
                <w:sz w:val="18"/>
              </w:rPr>
              <w:t>+10% from spot</w:t>
            </w:r>
          </w:p>
        </w:tc>
      </w:tr>
      <w:tr>
        <w:tc>
          <w:tcPr>
            <w:tcW w:type="dxa" w:w="2160"/>
            <w:vAlign w:val="center"/>
          </w:tcPr>
          <w:p>
            <w:pPr>
              <w:spacing w:after="20" w:before="20"/>
              <w:jc w:val="left"/>
            </w:pPr>
            <w:r/>
            <w:r>
              <w:rPr>
                <w:b w:val="0"/>
                <w:sz w:val="18"/>
              </w:rPr>
              <w:t>7.00</w:t>
            </w:r>
          </w:p>
        </w:tc>
        <w:tc>
          <w:tcPr>
            <w:tcW w:type="dxa" w:w="2304"/>
            <w:vAlign w:val="center"/>
          </w:tcPr>
          <w:p>
            <w:pPr>
              <w:spacing w:after="20" w:before="20"/>
              <w:jc w:val="center"/>
            </w:pPr>
            <w:r/>
            <w:r>
              <w:rPr>
                <w:b w:val="0"/>
                <w:sz w:val="18"/>
              </w:rPr>
              <w:t>~100%</w:t>
            </w:r>
          </w:p>
        </w:tc>
        <w:tc>
          <w:tcPr>
            <w:tcW w:type="dxa" w:w="5616"/>
            <w:vAlign w:val="center"/>
          </w:tcPr>
          <w:p>
            <w:pPr>
              <w:spacing w:after="20" w:before="20"/>
              <w:jc w:val="left"/>
            </w:pPr>
            <w:r/>
            <w:r>
              <w:rPr>
                <w:b w:val="0"/>
                <w:sz w:val="18"/>
              </w:rPr>
              <w:t>Spot</w:t>
            </w:r>
          </w:p>
        </w:tc>
      </w:tr>
      <w:tr>
        <w:tc>
          <w:tcPr>
            <w:tcW w:type="dxa" w:w="2160"/>
            <w:shd w:val="clear" w:color="auto" w:fill="F3F7F7"/>
            <w:vAlign w:val="center"/>
          </w:tcPr>
          <w:p>
            <w:pPr>
              <w:spacing w:after="20" w:before="20"/>
              <w:jc w:val="left"/>
            </w:pPr>
            <w:r/>
            <w:r>
              <w:rPr>
                <w:b w:val="0"/>
                <w:sz w:val="18"/>
              </w:rPr>
              <w:t>6.30</w:t>
            </w:r>
          </w:p>
        </w:tc>
        <w:tc>
          <w:tcPr>
            <w:tcW w:type="dxa" w:w="2304"/>
            <w:shd w:val="clear" w:color="auto" w:fill="F3F7F7"/>
            <w:vAlign w:val="center"/>
          </w:tcPr>
          <w:p>
            <w:pPr>
              <w:spacing w:after="20" w:before="20"/>
              <w:jc w:val="center"/>
            </w:pPr>
            <w:r/>
            <w:r>
              <w:rPr>
                <w:b w:val="0"/>
                <w:sz w:val="18"/>
              </w:rPr>
              <w:t>~55%</w:t>
            </w:r>
          </w:p>
        </w:tc>
        <w:tc>
          <w:tcPr>
            <w:tcW w:type="dxa" w:w="5616"/>
            <w:shd w:val="clear" w:color="auto" w:fill="F3F7F7"/>
            <w:vAlign w:val="center"/>
          </w:tcPr>
          <w:p>
            <w:pPr>
              <w:spacing w:after="20" w:before="20"/>
              <w:jc w:val="left"/>
            </w:pPr>
            <w:r/>
            <w:r>
              <w:rPr>
                <w:b w:val="0"/>
                <w:sz w:val="18"/>
              </w:rPr>
              <w:t>−10% from spot</w:t>
            </w:r>
          </w:p>
        </w:tc>
      </w:tr>
      <w:tr>
        <w:tc>
          <w:tcPr>
            <w:tcW w:type="dxa" w:w="2160"/>
            <w:vAlign w:val="center"/>
          </w:tcPr>
          <w:p>
            <w:pPr>
              <w:spacing w:after="20" w:before="20"/>
              <w:jc w:val="left"/>
            </w:pPr>
            <w:r/>
            <w:r>
              <w:rPr>
                <w:b w:val="0"/>
                <w:sz w:val="18"/>
              </w:rPr>
              <w:t>5.60</w:t>
            </w:r>
          </w:p>
        </w:tc>
        <w:tc>
          <w:tcPr>
            <w:tcW w:type="dxa" w:w="2304"/>
            <w:vAlign w:val="center"/>
          </w:tcPr>
          <w:p>
            <w:pPr>
              <w:spacing w:after="20" w:before="20"/>
              <w:jc w:val="center"/>
            </w:pPr>
            <w:r/>
            <w:r>
              <w:rPr>
                <w:b w:val="0"/>
                <w:sz w:val="18"/>
              </w:rPr>
              <w:t>see chart</w:t>
            </w:r>
          </w:p>
        </w:tc>
        <w:tc>
          <w:tcPr>
            <w:tcW w:type="dxa" w:w="5616"/>
            <w:vAlign w:val="center"/>
          </w:tcPr>
          <w:p>
            <w:pPr>
              <w:spacing w:after="20" w:before="20"/>
              <w:jc w:val="left"/>
            </w:pPr>
            <w:r/>
            <w:r>
              <w:rPr>
                <w:b w:val="0"/>
                <w:sz w:val="18"/>
              </w:rPr>
              <w:t>Toward the moving-average stack</w:t>
            </w:r>
          </w:p>
        </w:tc>
      </w:tr>
    </w:tbl>
    <w:p>
      <w:pPr>
        <w:spacing w:after="40"/>
      </w:pPr>
    </w:p>
    <w:p>
      <w:pPr>
        <w:spacing w:before="80" w:after="20"/>
        <w:jc w:val="center"/>
      </w:pPr>
      <w:r>
        <w:drawing>
          <wp:inline xmlns:a="http://schemas.openxmlformats.org/drawingml/2006/main" xmlns:pic="http://schemas.openxmlformats.org/drawingml/2006/picture">
            <wp:extent cx="6035040" cy="3201047"/>
            <wp:docPr id="6" name="Picture 6"/>
            <wp:cNvGraphicFramePr>
              <a:graphicFrameLocks noChangeAspect="1"/>
            </wp:cNvGraphicFramePr>
            <a:graphic>
              <a:graphicData uri="http://schemas.openxmlformats.org/drawingml/2006/picture">
                <pic:pic>
                  <pic:nvPicPr>
                    <pic:cNvPr id="0" name="fig7_touch.png"/>
                    <pic:cNvPicPr/>
                  </pic:nvPicPr>
                  <pic:blipFill>
                    <a:blip r:embed="rId14"/>
                    <a:stretch>
                      <a:fillRect/>
                    </a:stretch>
                  </pic:blipFill>
                  <pic:spPr>
                    <a:xfrm>
                      <a:off x="0" y="0"/>
                      <a:ext cx="6035040" cy="3201047"/>
                    </a:xfrm>
                    <a:prstGeom prst="rect"/>
                  </pic:spPr>
                </pic:pic>
              </a:graphicData>
            </a:graphic>
          </wp:inline>
        </w:drawing>
      </w:r>
    </w:p>
    <w:p>
      <w:pPr>
        <w:spacing w:after="120"/>
        <w:jc w:val="center"/>
      </w:pPr>
      <w:r>
        <w:rPr>
          <w:i/>
          <w:color w:val="222222"/>
          <w:sz w:val="17"/>
        </w:rPr>
        <w:t>Figure 7 — Illustrative level-touch ladder to T+60.</w:t>
      </w:r>
    </w:p>
    <w:p>
      <w:pPr>
        <w:spacing w:after="80" w:line="259" w:lineRule="auto"/>
      </w:pPr>
      <w:r>
        <w:rPr>
          <w:b w:val="0"/>
          <w:i w:val="0"/>
          <w:sz w:val="20"/>
        </w:rPr>
        <w:t>To repeat the essential caveat: none of the figures in §3 is a forecast we endorse for KABO. They quantify the stock's characteristic three-month dispersion so a reader can see how violently a small-float name like this can move, and they are reconciled with each other — but the engine did not earn the right to make a directional claim on this security. That is the whole point of the Step 0 gate.</w:t>
      </w:r>
    </w:p>
    <w:p>
      <w:pPr>
        <w:spacing w:before="200" w:after="80"/>
      </w:pPr>
      <w:r>
        <w:rPr>
          <w:b/>
          <w:color w:val="1B5E5E"/>
          <w:sz w:val="30"/>
        </w:rPr>
        <w:t>4  Comparison of the lenses, and a verdict</w:t>
      </w:r>
    </w:p>
    <w:p>
      <w:pPr>
        <w:spacing w:after="60" w:line="259" w:lineRule="auto"/>
      </w:pPr>
      <w:r>
        <w:rPr>
          <w:b w:val="0"/>
          <w:i w:val="0"/>
          <w:sz w:val="20"/>
        </w:rPr>
        <w:t xml:space="preserve">Three readings sit side by side, and for once they do not need reconciling to tell a clear story. The </w:t>
      </w:r>
      <w:r>
        <w:rPr>
          <w:b/>
          <w:i w:val="0"/>
          <w:sz w:val="20"/>
        </w:rPr>
        <w:t>fundamental</w:t>
      </w:r>
      <w:r>
        <w:rPr>
          <w:b w:val="0"/>
          <w:i w:val="0"/>
          <w:sz w:val="20"/>
        </w:rPr>
        <w:t xml:space="preserve"> lenses cluster at EGP 0.55–3.25 with a central ~EGP 2.39 — every method well below the EGP 7.00 price, and agreeing that on its operations and audited assets the business is worth a fraction of where it trades. The </w:t>
      </w:r>
      <w:r>
        <w:rPr>
          <w:b/>
          <w:i w:val="0"/>
          <w:sz w:val="20"/>
        </w:rPr>
        <w:t>technical</w:t>
      </w:r>
      <w:r>
        <w:rPr>
          <w:b w:val="0"/>
          <w:i w:val="0"/>
          <w:sz w:val="20"/>
        </w:rPr>
        <w:t xml:space="preserve"> picture is the opposite: strong, overbought, at an all-time high. The </w:t>
      </w:r>
      <w:r>
        <w:rPr>
          <w:b/>
          <w:i w:val="0"/>
          <w:sz w:val="20"/>
        </w:rPr>
        <w:t>probabilistic</w:t>
      </w:r>
      <w:r>
        <w:rPr>
          <w:b w:val="0"/>
          <w:i w:val="0"/>
          <w:sz w:val="20"/>
        </w:rPr>
        <w:t xml:space="preserve"> map is, uniquely for a Testahil study, withheld as a forecast — the engine failed its calibration test on KABO — and shown only to describe the stock's wide three-month dispersion.</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408"/>
        <w:gridCol w:w="3408"/>
        <w:gridCol w:w="3408"/>
      </w:tblGrid>
      <w:tr>
        <w:tc>
          <w:tcPr>
            <w:tcW w:type="dxa" w:w="2736"/>
            <w:shd w:val="clear" w:color="auto" w:fill="1B5E5E"/>
            <w:vAlign w:val="center"/>
          </w:tcPr>
          <w:p>
            <w:pPr>
              <w:spacing w:after="20" w:before="20"/>
              <w:jc w:val="left"/>
            </w:pPr>
            <w:r/>
            <w:r>
              <w:rPr>
                <w:b/>
                <w:color w:val="FFFFFF"/>
                <w:sz w:val="18"/>
              </w:rPr>
              <w:t>Lens</w:t>
            </w:r>
          </w:p>
        </w:tc>
        <w:tc>
          <w:tcPr>
            <w:tcW w:type="dxa" w:w="3888"/>
            <w:shd w:val="clear" w:color="auto" w:fill="1B5E5E"/>
            <w:vAlign w:val="center"/>
          </w:tcPr>
          <w:p>
            <w:pPr>
              <w:spacing w:after="20" w:before="20"/>
              <w:jc w:val="left"/>
            </w:pPr>
            <w:r/>
            <w:r>
              <w:rPr>
                <w:b/>
                <w:color w:val="FFFFFF"/>
                <w:sz w:val="18"/>
              </w:rPr>
              <w:t>Reads</w:t>
            </w:r>
          </w:p>
        </w:tc>
        <w:tc>
          <w:tcPr>
            <w:tcW w:type="dxa" w:w="3600"/>
            <w:shd w:val="clear" w:color="auto" w:fill="1B5E5E"/>
            <w:vAlign w:val="center"/>
          </w:tcPr>
          <w:p>
            <w:pPr>
              <w:spacing w:after="20" w:before="20"/>
              <w:jc w:val="left"/>
            </w:pPr>
            <w:r/>
            <w:r>
              <w:rPr>
                <w:b/>
                <w:color w:val="FFFFFF"/>
                <w:sz w:val="18"/>
              </w:rPr>
              <w:t>Central / implication</w:t>
            </w:r>
          </w:p>
        </w:tc>
      </w:tr>
      <w:tr>
        <w:tc>
          <w:tcPr>
            <w:tcW w:type="dxa" w:w="2736"/>
            <w:vAlign w:val="center"/>
          </w:tcPr>
          <w:p>
            <w:pPr>
              <w:spacing w:after="20" w:before="20"/>
              <w:jc w:val="left"/>
            </w:pPr>
            <w:r/>
            <w:r>
              <w:rPr>
                <w:b w:val="0"/>
                <w:sz w:val="18"/>
              </w:rPr>
              <w:t>Fundamental (4-lens)</w:t>
            </w:r>
          </w:p>
        </w:tc>
        <w:tc>
          <w:tcPr>
            <w:tcW w:type="dxa" w:w="3888"/>
            <w:vAlign w:val="center"/>
          </w:tcPr>
          <w:p>
            <w:pPr>
              <w:spacing w:after="20" w:before="20"/>
              <w:jc w:val="left"/>
            </w:pPr>
            <w:r/>
            <w:r>
              <w:rPr>
                <w:b w:val="0"/>
                <w:sz w:val="18"/>
              </w:rPr>
              <w:t>Richly valued vs assets &amp; earnings</w:t>
            </w:r>
          </w:p>
        </w:tc>
        <w:tc>
          <w:tcPr>
            <w:tcW w:type="dxa" w:w="3600"/>
            <w:vAlign w:val="center"/>
          </w:tcPr>
          <w:p>
            <w:pPr>
              <w:spacing w:after="20" w:before="20"/>
              <w:jc w:val="left"/>
            </w:pPr>
            <w:r/>
            <w:r>
              <w:rPr>
                <w:b w:val="0"/>
                <w:sz w:val="18"/>
              </w:rPr>
              <w:t>EGP 2.39 (~−66% vs spot)</w:t>
            </w:r>
          </w:p>
        </w:tc>
      </w:tr>
      <w:tr>
        <w:tc>
          <w:tcPr>
            <w:tcW w:type="dxa" w:w="2736"/>
            <w:shd w:val="clear" w:color="auto" w:fill="F3F7F7"/>
            <w:vAlign w:val="center"/>
          </w:tcPr>
          <w:p>
            <w:pPr>
              <w:spacing w:after="20" w:before="20"/>
              <w:jc w:val="left"/>
            </w:pPr>
            <w:r/>
            <w:r>
              <w:rPr>
                <w:b w:val="0"/>
                <w:sz w:val="18"/>
              </w:rPr>
              <w:t>Technical</w:t>
            </w:r>
          </w:p>
        </w:tc>
        <w:tc>
          <w:tcPr>
            <w:tcW w:type="dxa" w:w="3888"/>
            <w:shd w:val="clear" w:color="auto" w:fill="F3F7F7"/>
            <w:vAlign w:val="center"/>
          </w:tcPr>
          <w:p>
            <w:pPr>
              <w:spacing w:after="20" w:before="20"/>
              <w:jc w:val="left"/>
            </w:pPr>
            <w:r/>
            <w:r>
              <w:rPr>
                <w:b w:val="0"/>
                <w:sz w:val="18"/>
              </w:rPr>
              <w:t>Strong / overbought / all-time high</w:t>
            </w:r>
          </w:p>
        </w:tc>
        <w:tc>
          <w:tcPr>
            <w:tcW w:type="dxa" w:w="3600"/>
            <w:shd w:val="clear" w:color="auto" w:fill="F3F7F7"/>
            <w:vAlign w:val="center"/>
          </w:tcPr>
          <w:p>
            <w:pPr>
              <w:spacing w:after="20" w:before="20"/>
              <w:jc w:val="left"/>
            </w:pPr>
            <w:r/>
            <w:r>
              <w:rPr>
                <w:b w:val="0"/>
                <w:sz w:val="18"/>
              </w:rPr>
              <w:t>Extended above the EGP 6.1–6.3 MA stack</w:t>
            </w:r>
          </w:p>
        </w:tc>
      </w:tr>
      <w:tr>
        <w:tc>
          <w:tcPr>
            <w:tcW w:type="dxa" w:w="2736"/>
            <w:vAlign w:val="center"/>
          </w:tcPr>
          <w:p>
            <w:pPr>
              <w:spacing w:after="20" w:before="20"/>
              <w:jc w:val="left"/>
            </w:pPr>
            <w:r/>
            <w:r>
              <w:rPr>
                <w:b w:val="0"/>
                <w:sz w:val="18"/>
              </w:rPr>
              <w:t>Monte Carlo (illustrative)</w:t>
            </w:r>
          </w:p>
        </w:tc>
        <w:tc>
          <w:tcPr>
            <w:tcW w:type="dxa" w:w="3888"/>
            <w:vAlign w:val="center"/>
          </w:tcPr>
          <w:p>
            <w:pPr>
              <w:spacing w:after="20" w:before="20"/>
              <w:jc w:val="left"/>
            </w:pPr>
            <w:r/>
            <w:r>
              <w:rPr>
                <w:b w:val="0"/>
                <w:sz w:val="18"/>
              </w:rPr>
              <w:t>No forecast published — failed Step 0</w:t>
            </w:r>
          </w:p>
        </w:tc>
        <w:tc>
          <w:tcPr>
            <w:tcW w:type="dxa" w:w="3600"/>
            <w:vAlign w:val="center"/>
          </w:tcPr>
          <w:p>
            <w:pPr>
              <w:spacing w:after="20" w:before="20"/>
              <w:jc w:val="left"/>
            </w:pPr>
            <w:r/>
            <w:r>
              <w:rPr>
                <w:b w:val="0"/>
                <w:sz w:val="18"/>
              </w:rPr>
              <w:t>Wide dispersion; ~±31% 50% band</w:t>
            </w:r>
          </w:p>
        </w:tc>
      </w:tr>
    </w:tbl>
    <w:p>
      <w:pPr>
        <w:spacing w:after="40"/>
      </w:pPr>
    </w:p>
    <w:p>
      <w:pPr>
        <w:spacing w:after="80" w:line="259" w:lineRule="auto"/>
      </w:pPr>
      <w:r>
        <w:rPr>
          <w:b/>
          <w:i w:val="0"/>
          <w:sz w:val="20"/>
        </w:rPr>
        <w:t xml:space="preserve">Verdict (a fair-value read, not a recommendation). </w:t>
      </w:r>
      <w:r>
        <w:rPr>
          <w:b w:val="0"/>
          <w:i w:val="0"/>
          <w:sz w:val="20"/>
        </w:rPr>
        <w:t>KABO looks expensive on every fundamental lens, and the gap between price and value is unusually clean: it is one undisclosed variable, the realizable value of the legacy Alexandria land. On its operating cash flows the equity is worth under EGP 1 a share; on a generous asset re-mark it reaches ~EGP 3.3; the market pays EGP 7.00. That price is coherent only if the land is worth roughly EGP 2.8bn above book and the market is fully crediting a revaluation that has not been disclosed or announced. The technical strength confirms that momentum, not disclosed value, is currently setting the price. The honest summary is a value well below price, a tape well above it, and a bull case that depends entirely on an asset event the company has not put on the table. Readers should weigh the lenses themselves; we publish the range and the divergence of expert views, not a target — and, on this name, no probabilistic price forecast at all.</w:t>
      </w:r>
    </w:p>
    <w:p>
      <w:pPr>
        <w:spacing w:before="200" w:after="80"/>
      </w:pPr>
      <w:r>
        <w:rPr>
          <w:b/>
          <w:color w:val="1B5E5E"/>
          <w:sz w:val="30"/>
        </w:rPr>
        <w:t>5  Catalysts to watch</w:t>
      </w:r>
    </w:p>
    <w:p>
      <w:pPr>
        <w:spacing w:after="60" w:line="254" w:lineRule="auto"/>
        <w:ind w:left="360"/>
      </w:pPr>
      <w:r>
        <w:rPr>
          <w:b/>
          <w:color w:val="B0894B"/>
          <w:sz w:val="20"/>
        </w:rPr>
        <w:t xml:space="preserve">•  </w:t>
      </w:r>
      <w:r>
        <w:rPr>
          <w:b/>
          <w:sz w:val="20"/>
        </w:rPr>
        <w:t xml:space="preserve">Land disclosure, independent valuation, or monetisation. </w:t>
      </w:r>
      <w:r>
        <w:rPr>
          <w:b w:val="0"/>
          <w:sz w:val="20"/>
        </w:rPr>
        <w:t>The one catalyst that could validate the price — an asset register, a third-party land valuation, a sale-and-leaseback, or a relocation-and-redevelopment plan. Absent this, the bull case stays unproven.</w:t>
      </w:r>
    </w:p>
    <w:p>
      <w:pPr>
        <w:spacing w:after="60" w:line="254" w:lineRule="auto"/>
        <w:ind w:left="360"/>
      </w:pPr>
      <w:r>
        <w:rPr>
          <w:b/>
          <w:color w:val="B0894B"/>
          <w:sz w:val="20"/>
        </w:rPr>
        <w:t xml:space="preserve">•  </w:t>
      </w:r>
      <w:r>
        <w:rPr>
          <w:b/>
          <w:sz w:val="20"/>
        </w:rPr>
        <w:t xml:space="preserve">Quarterly earnings (FY July–June). </w:t>
      </w:r>
      <w:r>
        <w:rPr>
          <w:b w:val="0"/>
          <w:sz w:val="20"/>
        </w:rPr>
        <w:t>Whether the export gross margin stabilises or the ~95% year-on-year profit collapse continues as input costs catch up with the weaker pound.</w:t>
      </w:r>
    </w:p>
    <w:p>
      <w:pPr>
        <w:spacing w:after="60" w:line="254" w:lineRule="auto"/>
        <w:ind w:left="360"/>
      </w:pPr>
      <w:r>
        <w:rPr>
          <w:b/>
          <w:color w:val="B0894B"/>
          <w:sz w:val="20"/>
        </w:rPr>
        <w:t xml:space="preserve">•  </w:t>
      </w:r>
      <w:r>
        <w:rPr>
          <w:b/>
          <w:sz w:val="20"/>
        </w:rPr>
        <w:t xml:space="preserve">The pound and the CBE rate path. </w:t>
      </w:r>
      <w:r>
        <w:rPr>
          <w:b w:val="0"/>
          <w:sz w:val="20"/>
        </w:rPr>
        <w:t>A further EGP step-devaluation lifts export revenue in local terms; a rate-cutting cycle relieves finance costs on ~EGP 559m of debt and lifts the DCF.</w:t>
      </w:r>
    </w:p>
    <w:p>
      <w:pPr>
        <w:spacing w:after="60" w:line="254" w:lineRule="auto"/>
        <w:ind w:left="360"/>
      </w:pPr>
      <w:r>
        <w:rPr>
          <w:b/>
          <w:color w:val="B0894B"/>
          <w:sz w:val="20"/>
        </w:rPr>
        <w:t xml:space="preserve">•  </w:t>
      </w:r>
      <w:r>
        <w:rPr>
          <w:b/>
          <w:sz w:val="20"/>
        </w:rPr>
        <w:t xml:space="preserve">Input costs. </w:t>
      </w:r>
      <w:r>
        <w:rPr>
          <w:b w:val="0"/>
          <w:sz w:val="20"/>
        </w:rPr>
        <w:t>Global cotton and fibre prices, and domestic energy-tariff and minimum-wage steps — the swing on gross margin.</w:t>
      </w:r>
    </w:p>
    <w:p>
      <w:pPr>
        <w:spacing w:after="60" w:line="254" w:lineRule="auto"/>
        <w:ind w:left="360"/>
      </w:pPr>
      <w:r>
        <w:rPr>
          <w:b/>
          <w:color w:val="B0894B"/>
          <w:sz w:val="20"/>
        </w:rPr>
        <w:t xml:space="preserve">•  </w:t>
      </w:r>
      <w:r>
        <w:rPr>
          <w:b/>
          <w:sz w:val="20"/>
        </w:rPr>
        <w:t xml:space="preserve">Capital actions. </w:t>
      </w:r>
      <w:r>
        <w:rPr>
          <w:b w:val="0"/>
          <w:sz w:val="20"/>
        </w:rPr>
        <w:t>Any further rights issue (KABO recently deployed EGP 57m of raised capital) would dilute; watch for board decisions on capital.</w:t>
      </w:r>
    </w:p>
    <w:p>
      <w:pPr>
        <w:spacing w:after="60" w:line="254" w:lineRule="auto"/>
        <w:ind w:left="360"/>
      </w:pPr>
      <w:r>
        <w:rPr>
          <w:b/>
          <w:color w:val="B0894B"/>
          <w:sz w:val="20"/>
        </w:rPr>
        <w:t xml:space="preserve">•  </w:t>
      </w:r>
      <w:r>
        <w:rPr>
          <w:b/>
          <w:sz w:val="20"/>
        </w:rPr>
        <w:t xml:space="preserve">Red Sea / freight. </w:t>
      </w:r>
      <w:r>
        <w:rPr>
          <w:b w:val="0"/>
          <w:sz w:val="20"/>
        </w:rPr>
        <w:t>Shipping-cost and lead-time pressure bears directly on an exporter's competitiveness and working capital.</w:t>
      </w:r>
    </w:p>
    <w:p>
      <w:pPr>
        <w:spacing w:after="60" w:line="254" w:lineRule="auto"/>
        <w:ind w:left="360"/>
      </w:pPr>
      <w:r>
        <w:rPr>
          <w:b/>
          <w:color w:val="B0894B"/>
          <w:sz w:val="20"/>
        </w:rPr>
        <w:t xml:space="preserve">•  </w:t>
      </w:r>
      <w:r>
        <w:rPr>
          <w:b/>
          <w:sz w:val="20"/>
        </w:rPr>
        <w:t xml:space="preserve">Liquidity and speculative flows. </w:t>
      </w:r>
      <w:r>
        <w:rPr>
          <w:b w:val="0"/>
          <w:sz w:val="20"/>
        </w:rPr>
        <w:t>A small float and heavy retail participation mean the price can move sharply on flows unrelated to fundamentals — as the recent surge to an all-time high on ~6× normal volume illustrates.</w:t>
      </w:r>
    </w:p>
    <w:p>
      <w:pPr>
        <w:spacing w:before="200" w:after="80"/>
      </w:pPr>
      <w:r>
        <w:rPr>
          <w:b/>
          <w:color w:val="1B5E5E"/>
          <w:sz w:val="30"/>
        </w:rPr>
        <w:t>6  Reading the probability zones (illustrative only)</w:t>
      </w:r>
    </w:p>
    <w:p>
      <w:pPr>
        <w:spacing w:after="60" w:line="259" w:lineRule="auto"/>
      </w:pPr>
      <w:r>
        <w:rPr>
          <w:b w:val="0"/>
          <w:i w:val="0"/>
          <w:sz w:val="20"/>
        </w:rPr>
        <w:t xml:space="preserve">Because the engine failed Step 0, the zones below are </w:t>
      </w:r>
      <w:r>
        <w:rPr>
          <w:b/>
          <w:i w:val="0"/>
          <w:sz w:val="20"/>
        </w:rPr>
        <w:t>not a forecast</w:t>
      </w:r>
      <w:r>
        <w:rPr>
          <w:b w:val="0"/>
          <w:i w:val="0"/>
          <w:sz w:val="20"/>
        </w:rPr>
        <w:t xml:space="preserve"> — they translate the illustrative three-month distribution into plain bands so a reader can see the shape of the stock's own dispersion, nothing more. Anchored on spot EGP 7.00:</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2592"/>
            <w:shd w:val="clear" w:color="auto" w:fill="1B5E5E"/>
            <w:vAlign w:val="center"/>
          </w:tcPr>
          <w:p>
            <w:pPr>
              <w:spacing w:after="20" w:before="20"/>
              <w:jc w:val="left"/>
            </w:pPr>
            <w:r/>
            <w:r>
              <w:rPr>
                <w:b/>
                <w:color w:val="FFFFFF"/>
                <w:sz w:val="18"/>
              </w:rPr>
              <w:t>Zone (T+60, illustrative)</w:t>
            </w:r>
          </w:p>
        </w:tc>
        <w:tc>
          <w:tcPr>
            <w:tcW w:type="dxa" w:w="2160"/>
            <w:shd w:val="clear" w:color="auto" w:fill="1B5E5E"/>
            <w:vAlign w:val="center"/>
          </w:tcPr>
          <w:p>
            <w:pPr>
              <w:spacing w:after="20" w:before="20"/>
              <w:jc w:val="center"/>
            </w:pPr>
            <w:r/>
            <w:r>
              <w:rPr>
                <w:b/>
                <w:color w:val="FFFFFF"/>
                <w:sz w:val="18"/>
              </w:rPr>
              <w:t>Range</w:t>
            </w:r>
          </w:p>
        </w:tc>
        <w:tc>
          <w:tcPr>
            <w:tcW w:type="dxa" w:w="2448"/>
            <w:shd w:val="clear" w:color="auto" w:fill="1B5E5E"/>
            <w:vAlign w:val="center"/>
          </w:tcPr>
          <w:p>
            <w:pPr>
              <w:spacing w:after="20" w:before="20"/>
              <w:jc w:val="center"/>
            </w:pPr>
            <w:r/>
            <w:r>
              <w:rPr>
                <w:b/>
                <w:color w:val="FFFFFF"/>
                <w:sz w:val="18"/>
              </w:rPr>
              <w:t>Approx. share of paths</w:t>
            </w:r>
          </w:p>
        </w:tc>
        <w:tc>
          <w:tcPr>
            <w:tcW w:type="dxa" w:w="3024"/>
            <w:shd w:val="clear" w:color="auto" w:fill="1B5E5E"/>
            <w:vAlign w:val="center"/>
          </w:tcPr>
          <w:p>
            <w:pPr>
              <w:spacing w:after="20" w:before="20"/>
              <w:jc w:val="left"/>
            </w:pPr>
            <w:r/>
            <w:r>
              <w:rPr>
                <w:b/>
                <w:color w:val="FFFFFF"/>
                <w:sz w:val="18"/>
              </w:rPr>
              <w:t>What it would look like</w:t>
            </w:r>
          </w:p>
        </w:tc>
      </w:tr>
      <w:tr>
        <w:tc>
          <w:tcPr>
            <w:tcW w:type="dxa" w:w="2592"/>
            <w:vAlign w:val="center"/>
          </w:tcPr>
          <w:p>
            <w:pPr>
              <w:spacing w:after="20" w:before="20"/>
              <w:jc w:val="left"/>
            </w:pPr>
            <w:r/>
            <w:r>
              <w:rPr>
                <w:b w:val="0"/>
                <w:sz w:val="17"/>
              </w:rPr>
              <w:t>Deep downside</w:t>
            </w:r>
          </w:p>
        </w:tc>
        <w:tc>
          <w:tcPr>
            <w:tcW w:type="dxa" w:w="2160"/>
            <w:vAlign w:val="center"/>
          </w:tcPr>
          <w:p>
            <w:pPr>
              <w:spacing w:after="20" w:before="20"/>
              <w:jc w:val="center"/>
            </w:pPr>
            <w:r/>
            <w:r>
              <w:rPr>
                <w:b w:val="0"/>
                <w:sz w:val="17"/>
              </w:rPr>
              <w:t>&lt; EGP 5.50</w:t>
            </w:r>
          </w:p>
        </w:tc>
        <w:tc>
          <w:tcPr>
            <w:tcW w:type="dxa" w:w="2448"/>
            <w:vAlign w:val="center"/>
          </w:tcPr>
          <w:p>
            <w:pPr>
              <w:spacing w:after="20" w:before="20"/>
              <w:jc w:val="center"/>
            </w:pPr>
            <w:r/>
            <w:r>
              <w:rPr>
                <w:b w:val="0"/>
                <w:sz w:val="17"/>
              </w:rPr>
              <w:t>~13%</w:t>
            </w:r>
          </w:p>
        </w:tc>
        <w:tc>
          <w:tcPr>
            <w:tcW w:type="dxa" w:w="3024"/>
            <w:vAlign w:val="center"/>
          </w:tcPr>
          <w:p>
            <w:pPr>
              <w:spacing w:after="20" w:before="20"/>
              <w:jc w:val="left"/>
            </w:pPr>
            <w:r/>
            <w:r>
              <w:rPr>
                <w:b w:val="0"/>
                <w:sz w:val="17"/>
              </w:rPr>
              <w:t>Mean-reversion toward the MA stack / risk-off</w:t>
            </w:r>
          </w:p>
        </w:tc>
      </w:tr>
      <w:tr>
        <w:tc>
          <w:tcPr>
            <w:tcW w:type="dxa" w:w="2592"/>
            <w:shd w:val="clear" w:color="auto" w:fill="F3F7F7"/>
            <w:vAlign w:val="center"/>
          </w:tcPr>
          <w:p>
            <w:pPr>
              <w:spacing w:after="20" w:before="20"/>
              <w:jc w:val="left"/>
            </w:pPr>
            <w:r/>
            <w:r>
              <w:rPr>
                <w:b w:val="0"/>
                <w:sz w:val="17"/>
              </w:rPr>
              <w:t>Lower band</w:t>
            </w:r>
          </w:p>
        </w:tc>
        <w:tc>
          <w:tcPr>
            <w:tcW w:type="dxa" w:w="2160"/>
            <w:shd w:val="clear" w:color="auto" w:fill="F3F7F7"/>
            <w:vAlign w:val="center"/>
          </w:tcPr>
          <w:p>
            <w:pPr>
              <w:spacing w:after="20" w:before="20"/>
              <w:jc w:val="center"/>
            </w:pPr>
            <w:r/>
            <w:r>
              <w:rPr>
                <w:b w:val="0"/>
                <w:sz w:val="17"/>
              </w:rPr>
              <w:t>EGP 5.50–6.50</w:t>
            </w:r>
          </w:p>
        </w:tc>
        <w:tc>
          <w:tcPr>
            <w:tcW w:type="dxa" w:w="2448"/>
            <w:shd w:val="clear" w:color="auto" w:fill="F3F7F7"/>
            <w:vAlign w:val="center"/>
          </w:tcPr>
          <w:p>
            <w:pPr>
              <w:spacing w:after="20" w:before="20"/>
              <w:jc w:val="center"/>
            </w:pPr>
            <w:r/>
            <w:r>
              <w:rPr>
                <w:b w:val="0"/>
                <w:sz w:val="17"/>
              </w:rPr>
              <w:t>~20%</w:t>
            </w:r>
          </w:p>
        </w:tc>
        <w:tc>
          <w:tcPr>
            <w:tcW w:type="dxa" w:w="3024"/>
            <w:shd w:val="clear" w:color="auto" w:fill="F3F7F7"/>
            <w:vAlign w:val="center"/>
          </w:tcPr>
          <w:p>
            <w:pPr>
              <w:spacing w:after="20" w:before="20"/>
              <w:jc w:val="left"/>
            </w:pPr>
            <w:r/>
            <w:r>
              <w:rPr>
                <w:b w:val="0"/>
                <w:sz w:val="17"/>
              </w:rPr>
              <w:t>Pullback from the all-time high</w:t>
            </w:r>
          </w:p>
        </w:tc>
      </w:tr>
      <w:tr>
        <w:tc>
          <w:tcPr>
            <w:tcW w:type="dxa" w:w="2592"/>
            <w:vAlign w:val="center"/>
          </w:tcPr>
          <w:p>
            <w:pPr>
              <w:spacing w:after="20" w:before="20"/>
              <w:jc w:val="left"/>
            </w:pPr>
            <w:r/>
            <w:r>
              <w:rPr>
                <w:b w:val="0"/>
                <w:sz w:val="17"/>
              </w:rPr>
              <w:t>Around spot</w:t>
            </w:r>
          </w:p>
        </w:tc>
        <w:tc>
          <w:tcPr>
            <w:tcW w:type="dxa" w:w="2160"/>
            <w:vAlign w:val="center"/>
          </w:tcPr>
          <w:p>
            <w:pPr>
              <w:spacing w:after="20" w:before="20"/>
              <w:jc w:val="center"/>
            </w:pPr>
            <w:r/>
            <w:r>
              <w:rPr>
                <w:b w:val="0"/>
                <w:sz w:val="17"/>
              </w:rPr>
              <w:t>EGP 6.50–7.50</w:t>
            </w:r>
          </w:p>
        </w:tc>
        <w:tc>
          <w:tcPr>
            <w:tcW w:type="dxa" w:w="2448"/>
            <w:vAlign w:val="center"/>
          </w:tcPr>
          <w:p>
            <w:pPr>
              <w:spacing w:after="20" w:before="20"/>
              <w:jc w:val="center"/>
            </w:pPr>
            <w:r/>
            <w:r>
              <w:rPr>
                <w:b w:val="0"/>
                <w:sz w:val="17"/>
              </w:rPr>
              <w:t>~30%</w:t>
            </w:r>
          </w:p>
        </w:tc>
        <w:tc>
          <w:tcPr>
            <w:tcW w:type="dxa" w:w="3024"/>
            <w:vAlign w:val="center"/>
          </w:tcPr>
          <w:p>
            <w:pPr>
              <w:spacing w:after="20" w:before="20"/>
              <w:jc w:val="left"/>
            </w:pPr>
            <w:r/>
            <w:r>
              <w:rPr>
                <w:b w:val="0"/>
                <w:sz w:val="17"/>
              </w:rPr>
              <w:t>Consolidation at the high</w:t>
            </w:r>
          </w:p>
        </w:tc>
      </w:tr>
      <w:tr>
        <w:tc>
          <w:tcPr>
            <w:tcW w:type="dxa" w:w="2592"/>
            <w:shd w:val="clear" w:color="auto" w:fill="F3F7F7"/>
            <w:vAlign w:val="center"/>
          </w:tcPr>
          <w:p>
            <w:pPr>
              <w:spacing w:after="20" w:before="20"/>
              <w:jc w:val="left"/>
            </w:pPr>
            <w:r/>
            <w:r>
              <w:rPr>
                <w:b w:val="0"/>
                <w:sz w:val="17"/>
              </w:rPr>
              <w:t>Upper band</w:t>
            </w:r>
          </w:p>
        </w:tc>
        <w:tc>
          <w:tcPr>
            <w:tcW w:type="dxa" w:w="2160"/>
            <w:shd w:val="clear" w:color="auto" w:fill="F3F7F7"/>
            <w:vAlign w:val="center"/>
          </w:tcPr>
          <w:p>
            <w:pPr>
              <w:spacing w:after="20" w:before="20"/>
              <w:jc w:val="center"/>
            </w:pPr>
            <w:r/>
            <w:r>
              <w:rPr>
                <w:b w:val="0"/>
                <w:sz w:val="17"/>
              </w:rPr>
              <w:t>EGP 7.50–9.00</w:t>
            </w:r>
          </w:p>
        </w:tc>
        <w:tc>
          <w:tcPr>
            <w:tcW w:type="dxa" w:w="2448"/>
            <w:shd w:val="clear" w:color="auto" w:fill="F3F7F7"/>
            <w:vAlign w:val="center"/>
          </w:tcPr>
          <w:p>
            <w:pPr>
              <w:spacing w:after="20" w:before="20"/>
              <w:jc w:val="center"/>
            </w:pPr>
            <w:r/>
            <w:r>
              <w:rPr>
                <w:b w:val="0"/>
                <w:sz w:val="17"/>
              </w:rPr>
              <w:t>~24%</w:t>
            </w:r>
          </w:p>
        </w:tc>
        <w:tc>
          <w:tcPr>
            <w:tcW w:type="dxa" w:w="3024"/>
            <w:shd w:val="clear" w:color="auto" w:fill="F3F7F7"/>
            <w:vAlign w:val="center"/>
          </w:tcPr>
          <w:p>
            <w:pPr>
              <w:spacing w:after="20" w:before="20"/>
              <w:jc w:val="left"/>
            </w:pPr>
            <w:r/>
            <w:r>
              <w:rPr>
                <w:b w:val="0"/>
                <w:sz w:val="17"/>
              </w:rPr>
              <w:t>Momentum continues</w:t>
            </w:r>
          </w:p>
        </w:tc>
      </w:tr>
      <w:tr>
        <w:tc>
          <w:tcPr>
            <w:tcW w:type="dxa" w:w="2592"/>
            <w:vAlign w:val="center"/>
          </w:tcPr>
          <w:p>
            <w:pPr>
              <w:spacing w:after="20" w:before="20"/>
              <w:jc w:val="left"/>
            </w:pPr>
            <w:r/>
            <w:r>
              <w:rPr>
                <w:b w:val="0"/>
                <w:sz w:val="17"/>
              </w:rPr>
              <w:t>Strong upside</w:t>
            </w:r>
          </w:p>
        </w:tc>
        <w:tc>
          <w:tcPr>
            <w:tcW w:type="dxa" w:w="2160"/>
            <w:vAlign w:val="center"/>
          </w:tcPr>
          <w:p>
            <w:pPr>
              <w:spacing w:after="20" w:before="20"/>
              <w:jc w:val="center"/>
            </w:pPr>
            <w:r/>
            <w:r>
              <w:rPr>
                <w:b w:val="0"/>
                <w:sz w:val="17"/>
              </w:rPr>
              <w:t>&gt; EGP 9.00</w:t>
            </w:r>
          </w:p>
        </w:tc>
        <w:tc>
          <w:tcPr>
            <w:tcW w:type="dxa" w:w="2448"/>
            <w:vAlign w:val="center"/>
          </w:tcPr>
          <w:p>
            <w:pPr>
              <w:spacing w:after="20" w:before="20"/>
              <w:jc w:val="center"/>
            </w:pPr>
            <w:r/>
            <w:r>
              <w:rPr>
                <w:b w:val="0"/>
                <w:sz w:val="17"/>
              </w:rPr>
              <w:t>~13%</w:t>
            </w:r>
          </w:p>
        </w:tc>
        <w:tc>
          <w:tcPr>
            <w:tcW w:type="dxa" w:w="3024"/>
            <w:vAlign w:val="center"/>
          </w:tcPr>
          <w:p>
            <w:pPr>
              <w:spacing w:after="20" w:before="20"/>
              <w:jc w:val="left"/>
            </w:pPr>
            <w:r/>
            <w:r>
              <w:rPr>
                <w:b w:val="0"/>
                <w:sz w:val="17"/>
              </w:rPr>
              <w:t>Squeeze, or a land / monetisation catalyst</w:t>
            </w:r>
          </w:p>
        </w:tc>
      </w:tr>
    </w:tbl>
    <w:p>
      <w:pPr>
        <w:spacing w:after="40"/>
      </w:pPr>
    </w:p>
    <w:p>
      <w:pPr>
        <w:spacing w:after="80" w:line="259" w:lineRule="auto"/>
      </w:pPr>
      <w:r>
        <w:rPr>
          <w:b w:val="0"/>
          <w:i w:val="0"/>
          <w:sz w:val="20"/>
        </w:rPr>
        <w:t>The distribution is roughly symmetric around spot with a slightly heavier upper tail from the discrete upside events (a land catalyst, a squeeze). It is not a forecast; it is the spread of outcomes consistent with the stock's own volatility and the illustrative factor stack, shown because the engine has not earned the right to point a direction on this name.</w:t>
      </w:r>
    </w:p>
    <w:p>
      <w:pPr>
        <w:spacing w:before="200" w:after="80"/>
      </w:pPr>
      <w:r>
        <w:rPr>
          <w:b/>
          <w:color w:val="1B5E5E"/>
          <w:sz w:val="30"/>
        </w:rPr>
        <w:t>7  Caveats and what would change our mind</w:t>
      </w:r>
    </w:p>
    <w:p>
      <w:pPr>
        <w:spacing w:after="60" w:line="254" w:lineRule="auto"/>
        <w:ind w:left="360"/>
      </w:pPr>
      <w:r>
        <w:rPr>
          <w:b/>
          <w:color w:val="B0894B"/>
          <w:sz w:val="20"/>
        </w:rPr>
        <w:t xml:space="preserve">•  </w:t>
      </w:r>
      <w:r>
        <w:rPr>
          <w:b/>
          <w:sz w:val="20"/>
        </w:rPr>
        <w:t xml:space="preserve">The land mark is the model. </w:t>
      </w:r>
      <w:r>
        <w:rPr>
          <w:b w:val="0"/>
          <w:sz w:val="20"/>
        </w:rPr>
        <w:t>The entire distance between price and fundamental value is one undisclosed number. Our EGP 0.7bn base re-mark could be far too low (if the parcels are large and prime) or too high (if they are encumbered or hard to monetise). Disclosure of an asset register or an independent valuation would move the RNAV materially in either direction.</w:t>
      </w:r>
    </w:p>
    <w:p>
      <w:pPr>
        <w:spacing w:after="60" w:line="254" w:lineRule="auto"/>
        <w:ind w:left="360"/>
      </w:pPr>
      <w:r>
        <w:rPr>
          <w:b/>
          <w:color w:val="B0894B"/>
          <w:sz w:val="20"/>
        </w:rPr>
        <w:t xml:space="preserve">•  </w:t>
      </w:r>
      <w:r>
        <w:rPr>
          <w:b/>
          <w:sz w:val="20"/>
        </w:rPr>
        <w:t xml:space="preserve">Data quality. </w:t>
      </w:r>
      <w:r>
        <w:rPr>
          <w:b w:val="0"/>
          <w:sz w:val="20"/>
        </w:rPr>
        <w:t>KABO is thinly covered; the share count is derived from market capitalisation, and several historical line items and the balance-sheet split are reconstructed on a fiscal-year basis and flagged as estimates. They are shown for scale and trajectory, not audited precision.</w:t>
      </w:r>
    </w:p>
    <w:p>
      <w:pPr>
        <w:spacing w:after="60" w:line="254" w:lineRule="auto"/>
        <w:ind w:left="360"/>
      </w:pPr>
      <w:r>
        <w:rPr>
          <w:b/>
          <w:color w:val="B0894B"/>
          <w:sz w:val="20"/>
        </w:rPr>
        <w:t xml:space="preserve">•  </w:t>
      </w:r>
      <w:r>
        <w:rPr>
          <w:b/>
          <w:sz w:val="20"/>
        </w:rPr>
        <w:t xml:space="preserve">Earnings volatility and FX. </w:t>
      </w:r>
      <w:r>
        <w:rPr>
          <w:b w:val="0"/>
          <w:sz w:val="20"/>
        </w:rPr>
        <w:t>Reported earnings swing violently with the pound — a devaluation windfall one year, near-zero the next. A single year is not a trend, and our normalization is a judgment.</w:t>
      </w:r>
    </w:p>
    <w:p>
      <w:pPr>
        <w:spacing w:after="60" w:line="254" w:lineRule="auto"/>
        <w:ind w:left="360"/>
      </w:pPr>
      <w:r>
        <w:rPr>
          <w:b/>
          <w:color w:val="B0894B"/>
          <w:sz w:val="20"/>
        </w:rPr>
        <w:t xml:space="preserve">•  </w:t>
      </w:r>
      <w:r>
        <w:rPr>
          <w:b/>
          <w:sz w:val="20"/>
        </w:rPr>
        <w:t xml:space="preserve">Leverage and rates. </w:t>
      </w:r>
      <w:r>
        <w:rPr>
          <w:b w:val="0"/>
          <w:sz w:val="20"/>
        </w:rPr>
        <w:t>~EGP 559m of debt makes the going-concern DCF hyper-sensitive to the discount rate; a lower Egyptian cost of capital would lift it, a higher one could push equity value toward zero.</w:t>
      </w:r>
    </w:p>
    <w:p>
      <w:pPr>
        <w:spacing w:after="60" w:line="254" w:lineRule="auto"/>
        <w:ind w:left="360"/>
      </w:pPr>
      <w:r>
        <w:rPr>
          <w:b/>
          <w:color w:val="B0894B"/>
          <w:sz w:val="20"/>
        </w:rPr>
        <w:t xml:space="preserve">•  </w:t>
      </w:r>
      <w:r>
        <w:rPr>
          <w:b/>
          <w:sz w:val="20"/>
        </w:rPr>
        <w:t xml:space="preserve">Liquidity and speculation. </w:t>
      </w:r>
      <w:r>
        <w:rPr>
          <w:b w:val="0"/>
          <w:sz w:val="20"/>
        </w:rPr>
        <w:t>A small float means flows, not fundamentals, can set the price for extended periods — in either direction.</w:t>
      </w:r>
    </w:p>
    <w:p>
      <w:pPr>
        <w:spacing w:after="60" w:line="254" w:lineRule="auto"/>
        <w:ind w:left="360"/>
      </w:pPr>
      <w:r>
        <w:rPr>
          <w:b/>
          <w:color w:val="B0894B"/>
          <w:sz w:val="20"/>
        </w:rPr>
        <w:t xml:space="preserve">•  </w:t>
      </w:r>
      <w:r>
        <w:rPr>
          <w:b/>
          <w:sz w:val="20"/>
        </w:rPr>
        <w:t xml:space="preserve">Monte Carlo. </w:t>
      </w:r>
      <w:r>
        <w:rPr>
          <w:b w:val="0"/>
          <w:sz w:val="20"/>
        </w:rPr>
        <w:t>No probabilistic price forecast is published for KABO; the engine failed its calibration test (Appendix B). The illustrative cone should not be read as a forecast.</w:t>
      </w:r>
    </w:p>
    <w:p>
      <w:r>
        <w:br w:type="page"/>
      </w:r>
    </w:p>
    <w:p>
      <w:pPr>
        <w:spacing w:before="200" w:after="80"/>
      </w:pPr>
      <w:r>
        <w:rPr>
          <w:b/>
          <w:color w:val="1B5E5E"/>
          <w:sz w:val="30"/>
        </w:rPr>
        <w:t>Appendix A  Financial statements</w:t>
      </w:r>
    </w:p>
    <w:p>
      <w:pPr>
        <w:spacing w:after="60" w:line="259" w:lineRule="auto"/>
      </w:pPr>
      <w:r>
        <w:rPr>
          <w:b w:val="0"/>
          <w:i w:val="0"/>
          <w:sz w:val="20"/>
        </w:rPr>
        <w:t xml:space="preserve">Selected consolidated figures on a fiscal-year (July–June) basis: three years of history and a five-year forecast. </w:t>
      </w:r>
      <w:r>
        <w:rPr>
          <w:b/>
          <w:i w:val="0"/>
          <w:sz w:val="20"/>
        </w:rPr>
        <w:t>KABO is thinly disclosed</w:t>
      </w:r>
      <w:r>
        <w:rPr>
          <w:b w:val="0"/>
          <w:i w:val="0"/>
          <w:sz w:val="20"/>
        </w:rPr>
        <w:t>; FY2024 and the 9M FY2024/25 print are anchored to EGX/aggregator disclosure, while the FY2023 and FY2025 full-year splits and all forecasts are the preparer's reconstruction and are flagged. Shown for scale and trajectory, not as audited statements.</w:t>
      </w:r>
    </w:p>
    <w:p>
      <w:pPr>
        <w:spacing w:before="140" w:after="40"/>
      </w:pPr>
      <w:r>
        <w:rPr>
          <w:b/>
          <w:color w:val="2A8F8F"/>
          <w:sz w:val="23"/>
        </w:rPr>
        <w:t>A.1  Income statement (consolidated, EGP m)</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136"/>
        <w:gridCol w:w="1136"/>
        <w:gridCol w:w="1136"/>
        <w:gridCol w:w="1136"/>
        <w:gridCol w:w="1136"/>
        <w:gridCol w:w="1136"/>
        <w:gridCol w:w="1136"/>
        <w:gridCol w:w="1136"/>
        <w:gridCol w:w="1136"/>
      </w:tblGrid>
      <w:tr>
        <w:tc>
          <w:tcPr>
            <w:tcW w:type="dxa" w:w="2232"/>
            <w:shd w:val="clear" w:color="auto" w:fill="1B5E5E"/>
            <w:vAlign w:val="center"/>
          </w:tcPr>
          <w:p>
            <w:pPr>
              <w:spacing w:after="20" w:before="20"/>
              <w:jc w:val="left"/>
            </w:pPr>
            <w:r/>
            <w:r>
              <w:rPr>
                <w:b/>
                <w:color w:val="FFFFFF"/>
                <w:sz w:val="18"/>
              </w:rPr>
              <w:t>Line</w:t>
            </w:r>
          </w:p>
        </w:tc>
        <w:tc>
          <w:tcPr>
            <w:tcW w:type="dxa" w:w="979"/>
            <w:shd w:val="clear" w:color="auto" w:fill="1B5E5E"/>
            <w:vAlign w:val="center"/>
          </w:tcPr>
          <w:p>
            <w:pPr>
              <w:spacing w:after="20" w:before="20"/>
              <w:jc w:val="center"/>
            </w:pPr>
            <w:r/>
            <w:r>
              <w:rPr>
                <w:b/>
                <w:color w:val="FFFFFF"/>
                <w:sz w:val="18"/>
              </w:rPr>
              <w:t>FY23</w:t>
            </w:r>
          </w:p>
        </w:tc>
        <w:tc>
          <w:tcPr>
            <w:tcW w:type="dxa" w:w="979"/>
            <w:shd w:val="clear" w:color="auto" w:fill="1B5E5E"/>
            <w:vAlign w:val="center"/>
          </w:tcPr>
          <w:p>
            <w:pPr>
              <w:spacing w:after="20" w:before="20"/>
              <w:jc w:val="center"/>
            </w:pPr>
            <w:r/>
            <w:r>
              <w:rPr>
                <w:b/>
                <w:color w:val="FFFFFF"/>
                <w:sz w:val="18"/>
              </w:rPr>
              <w:t>FY24</w:t>
            </w:r>
          </w:p>
        </w:tc>
        <w:tc>
          <w:tcPr>
            <w:tcW w:type="dxa" w:w="979"/>
            <w:shd w:val="clear" w:color="auto" w:fill="1B5E5E"/>
            <w:vAlign w:val="center"/>
          </w:tcPr>
          <w:p>
            <w:pPr>
              <w:spacing w:after="20" w:before="20"/>
              <w:jc w:val="center"/>
            </w:pPr>
            <w:r/>
            <w:r>
              <w:rPr>
                <w:b/>
                <w:color w:val="FFFFFF"/>
                <w:sz w:val="18"/>
              </w:rPr>
              <w:t>FY25e</w:t>
            </w:r>
          </w:p>
        </w:tc>
        <w:tc>
          <w:tcPr>
            <w:tcW w:type="dxa" w:w="979"/>
            <w:shd w:val="clear" w:color="auto" w:fill="1B5E5E"/>
            <w:vAlign w:val="center"/>
          </w:tcPr>
          <w:p>
            <w:pPr>
              <w:spacing w:after="20" w:before="20"/>
              <w:jc w:val="center"/>
            </w:pPr>
            <w:r/>
            <w:r>
              <w:rPr>
                <w:b/>
                <w:color w:val="FFFFFF"/>
                <w:sz w:val="18"/>
              </w:rPr>
              <w:t>FY26e</w:t>
            </w:r>
          </w:p>
        </w:tc>
        <w:tc>
          <w:tcPr>
            <w:tcW w:type="dxa" w:w="979"/>
            <w:shd w:val="clear" w:color="auto" w:fill="1B5E5E"/>
            <w:vAlign w:val="center"/>
          </w:tcPr>
          <w:p>
            <w:pPr>
              <w:spacing w:after="20" w:before="20"/>
              <w:jc w:val="center"/>
            </w:pPr>
            <w:r/>
            <w:r>
              <w:rPr>
                <w:b/>
                <w:color w:val="FFFFFF"/>
                <w:sz w:val="18"/>
              </w:rPr>
              <w:t>FY27e</w:t>
            </w:r>
          </w:p>
        </w:tc>
        <w:tc>
          <w:tcPr>
            <w:tcW w:type="dxa" w:w="979"/>
            <w:shd w:val="clear" w:color="auto" w:fill="1B5E5E"/>
            <w:vAlign w:val="center"/>
          </w:tcPr>
          <w:p>
            <w:pPr>
              <w:spacing w:after="20" w:before="20"/>
              <w:jc w:val="center"/>
            </w:pPr>
            <w:r/>
            <w:r>
              <w:rPr>
                <w:b/>
                <w:color w:val="FFFFFF"/>
                <w:sz w:val="18"/>
              </w:rPr>
              <w:t>FY28e</w:t>
            </w:r>
          </w:p>
        </w:tc>
        <w:tc>
          <w:tcPr>
            <w:tcW w:type="dxa" w:w="979"/>
            <w:shd w:val="clear" w:color="auto" w:fill="1B5E5E"/>
            <w:vAlign w:val="center"/>
          </w:tcPr>
          <w:p>
            <w:pPr>
              <w:spacing w:after="20" w:before="20"/>
              <w:jc w:val="center"/>
            </w:pPr>
            <w:r/>
            <w:r>
              <w:rPr>
                <w:b/>
                <w:color w:val="FFFFFF"/>
                <w:sz w:val="18"/>
              </w:rPr>
              <w:t>FY29e</w:t>
            </w:r>
          </w:p>
        </w:tc>
        <w:tc>
          <w:tcPr>
            <w:tcW w:type="dxa" w:w="979"/>
            <w:shd w:val="clear" w:color="auto" w:fill="1B5E5E"/>
            <w:vAlign w:val="center"/>
          </w:tcPr>
          <w:p>
            <w:pPr>
              <w:spacing w:after="20" w:before="20"/>
              <w:jc w:val="center"/>
            </w:pPr>
            <w:r/>
            <w:r>
              <w:rPr>
                <w:b/>
                <w:color w:val="FFFFFF"/>
                <w:sz w:val="18"/>
              </w:rPr>
              <w:t>FY30e</w:t>
            </w:r>
          </w:p>
        </w:tc>
      </w:tr>
      <w:tr>
        <w:tc>
          <w:tcPr>
            <w:tcW w:type="dxa" w:w="2232"/>
            <w:vAlign w:val="center"/>
          </w:tcPr>
          <w:p>
            <w:pPr>
              <w:spacing w:after="20" w:before="20"/>
              <w:jc w:val="left"/>
            </w:pPr>
            <w:r/>
            <w:r>
              <w:rPr>
                <w:b w:val="0"/>
                <w:sz w:val="16"/>
              </w:rPr>
              <w:t>Revenue</w:t>
            </w:r>
          </w:p>
        </w:tc>
        <w:tc>
          <w:tcPr>
            <w:tcW w:type="dxa" w:w="979"/>
            <w:vAlign w:val="center"/>
          </w:tcPr>
          <w:p>
            <w:pPr>
              <w:spacing w:after="20" w:before="20"/>
              <w:jc w:val="center"/>
            </w:pPr>
            <w:r/>
            <w:r>
              <w:rPr>
                <w:b w:val="0"/>
                <w:sz w:val="16"/>
              </w:rPr>
              <w:t>593</w:t>
            </w:r>
          </w:p>
        </w:tc>
        <w:tc>
          <w:tcPr>
            <w:tcW w:type="dxa" w:w="979"/>
            <w:vAlign w:val="center"/>
          </w:tcPr>
          <w:p>
            <w:pPr>
              <w:spacing w:after="20" w:before="20"/>
              <w:jc w:val="center"/>
            </w:pPr>
            <w:r/>
            <w:r>
              <w:rPr>
                <w:b w:val="0"/>
                <w:sz w:val="16"/>
              </w:rPr>
              <w:t>1,020</w:t>
            </w:r>
          </w:p>
        </w:tc>
        <w:tc>
          <w:tcPr>
            <w:tcW w:type="dxa" w:w="979"/>
            <w:vAlign w:val="center"/>
          </w:tcPr>
          <w:p>
            <w:pPr>
              <w:spacing w:after="20" w:before="20"/>
              <w:jc w:val="center"/>
            </w:pPr>
            <w:r/>
            <w:r>
              <w:rPr>
                <w:b w:val="0"/>
                <w:sz w:val="16"/>
              </w:rPr>
              <w:t>1,050</w:t>
            </w:r>
          </w:p>
        </w:tc>
        <w:tc>
          <w:tcPr>
            <w:tcW w:type="dxa" w:w="979"/>
            <w:vAlign w:val="center"/>
          </w:tcPr>
          <w:p>
            <w:pPr>
              <w:spacing w:after="20" w:before="20"/>
              <w:jc w:val="center"/>
            </w:pPr>
            <w:r/>
            <w:r>
              <w:rPr>
                <w:b w:val="0"/>
                <w:sz w:val="16"/>
              </w:rPr>
              <w:t>1,180</w:t>
            </w:r>
          </w:p>
        </w:tc>
        <w:tc>
          <w:tcPr>
            <w:tcW w:type="dxa" w:w="979"/>
            <w:vAlign w:val="center"/>
          </w:tcPr>
          <w:p>
            <w:pPr>
              <w:spacing w:after="20" w:before="20"/>
              <w:jc w:val="center"/>
            </w:pPr>
            <w:r/>
            <w:r>
              <w:rPr>
                <w:b w:val="0"/>
                <w:sz w:val="16"/>
              </w:rPr>
              <w:t>1,320</w:t>
            </w:r>
          </w:p>
        </w:tc>
        <w:tc>
          <w:tcPr>
            <w:tcW w:type="dxa" w:w="979"/>
            <w:vAlign w:val="center"/>
          </w:tcPr>
          <w:p>
            <w:pPr>
              <w:spacing w:after="20" w:before="20"/>
              <w:jc w:val="center"/>
            </w:pPr>
            <w:r/>
            <w:r>
              <w:rPr>
                <w:b w:val="0"/>
                <w:sz w:val="16"/>
              </w:rPr>
              <w:t>1,470</w:t>
            </w:r>
          </w:p>
        </w:tc>
        <w:tc>
          <w:tcPr>
            <w:tcW w:type="dxa" w:w="979"/>
            <w:vAlign w:val="center"/>
          </w:tcPr>
          <w:p>
            <w:pPr>
              <w:spacing w:after="20" w:before="20"/>
              <w:jc w:val="center"/>
            </w:pPr>
            <w:r/>
            <w:r>
              <w:rPr>
                <w:b w:val="0"/>
                <w:sz w:val="16"/>
              </w:rPr>
              <w:t>1,630</w:t>
            </w:r>
          </w:p>
        </w:tc>
        <w:tc>
          <w:tcPr>
            <w:tcW w:type="dxa" w:w="979"/>
            <w:vAlign w:val="center"/>
          </w:tcPr>
          <w:p>
            <w:pPr>
              <w:spacing w:after="20" w:before="20"/>
              <w:jc w:val="center"/>
            </w:pPr>
            <w:r/>
            <w:r>
              <w:rPr>
                <w:b w:val="0"/>
                <w:sz w:val="16"/>
              </w:rPr>
              <w:t>1,800</w:t>
            </w:r>
          </w:p>
        </w:tc>
      </w:tr>
      <w:tr>
        <w:tc>
          <w:tcPr>
            <w:tcW w:type="dxa" w:w="2232"/>
            <w:shd w:val="clear" w:color="auto" w:fill="F3F7F7"/>
            <w:vAlign w:val="center"/>
          </w:tcPr>
          <w:p>
            <w:pPr>
              <w:spacing w:after="20" w:before="20"/>
              <w:jc w:val="left"/>
            </w:pPr>
            <w:r/>
            <w:r>
              <w:rPr>
                <w:b w:val="0"/>
                <w:sz w:val="16"/>
              </w:rPr>
              <w:t>Gross profit</w:t>
            </w:r>
          </w:p>
        </w:tc>
        <w:tc>
          <w:tcPr>
            <w:tcW w:type="dxa" w:w="979"/>
            <w:shd w:val="clear" w:color="auto" w:fill="F3F7F7"/>
            <w:vAlign w:val="center"/>
          </w:tcPr>
          <w:p>
            <w:pPr>
              <w:spacing w:after="20" w:before="20"/>
              <w:jc w:val="center"/>
            </w:pPr>
            <w:r/>
            <w:r>
              <w:rPr>
                <w:b w:val="0"/>
                <w:sz w:val="16"/>
              </w:rPr>
              <w:t>95</w:t>
            </w:r>
          </w:p>
        </w:tc>
        <w:tc>
          <w:tcPr>
            <w:tcW w:type="dxa" w:w="979"/>
            <w:shd w:val="clear" w:color="auto" w:fill="F3F7F7"/>
            <w:vAlign w:val="center"/>
          </w:tcPr>
          <w:p>
            <w:pPr>
              <w:spacing w:after="20" w:before="20"/>
              <w:jc w:val="center"/>
            </w:pPr>
            <w:r/>
            <w:r>
              <w:rPr>
                <w:b w:val="0"/>
                <w:sz w:val="16"/>
              </w:rPr>
              <w:t>194</w:t>
            </w:r>
          </w:p>
        </w:tc>
        <w:tc>
          <w:tcPr>
            <w:tcW w:type="dxa" w:w="979"/>
            <w:shd w:val="clear" w:color="auto" w:fill="F3F7F7"/>
            <w:vAlign w:val="center"/>
          </w:tcPr>
          <w:p>
            <w:pPr>
              <w:spacing w:after="20" w:before="20"/>
              <w:jc w:val="center"/>
            </w:pPr>
            <w:r/>
            <w:r>
              <w:rPr>
                <w:b w:val="0"/>
                <w:sz w:val="16"/>
              </w:rPr>
              <w:t>145</w:t>
            </w:r>
          </w:p>
        </w:tc>
        <w:tc>
          <w:tcPr>
            <w:tcW w:type="dxa" w:w="979"/>
            <w:shd w:val="clear" w:color="auto" w:fill="F3F7F7"/>
            <w:vAlign w:val="center"/>
          </w:tcPr>
          <w:p>
            <w:pPr>
              <w:spacing w:after="20" w:before="20"/>
              <w:jc w:val="center"/>
            </w:pPr>
            <w:r/>
            <w:r>
              <w:rPr>
                <w:b w:val="0"/>
                <w:sz w:val="16"/>
              </w:rPr>
              <w:t>189</w:t>
            </w:r>
          </w:p>
        </w:tc>
        <w:tc>
          <w:tcPr>
            <w:tcW w:type="dxa" w:w="979"/>
            <w:shd w:val="clear" w:color="auto" w:fill="F3F7F7"/>
            <w:vAlign w:val="center"/>
          </w:tcPr>
          <w:p>
            <w:pPr>
              <w:spacing w:after="20" w:before="20"/>
              <w:jc w:val="center"/>
            </w:pPr>
            <w:r/>
            <w:r>
              <w:rPr>
                <w:b w:val="0"/>
                <w:sz w:val="16"/>
              </w:rPr>
              <w:t>211</w:t>
            </w:r>
          </w:p>
        </w:tc>
        <w:tc>
          <w:tcPr>
            <w:tcW w:type="dxa" w:w="979"/>
            <w:shd w:val="clear" w:color="auto" w:fill="F3F7F7"/>
            <w:vAlign w:val="center"/>
          </w:tcPr>
          <w:p>
            <w:pPr>
              <w:spacing w:after="20" w:before="20"/>
              <w:jc w:val="center"/>
            </w:pPr>
            <w:r/>
            <w:r>
              <w:rPr>
                <w:b w:val="0"/>
                <w:sz w:val="16"/>
              </w:rPr>
              <w:t>235</w:t>
            </w:r>
          </w:p>
        </w:tc>
        <w:tc>
          <w:tcPr>
            <w:tcW w:type="dxa" w:w="979"/>
            <w:shd w:val="clear" w:color="auto" w:fill="F3F7F7"/>
            <w:vAlign w:val="center"/>
          </w:tcPr>
          <w:p>
            <w:pPr>
              <w:spacing w:after="20" w:before="20"/>
              <w:jc w:val="center"/>
            </w:pPr>
            <w:r/>
            <w:r>
              <w:rPr>
                <w:b w:val="0"/>
                <w:sz w:val="16"/>
              </w:rPr>
              <w:t>261</w:t>
            </w:r>
          </w:p>
        </w:tc>
        <w:tc>
          <w:tcPr>
            <w:tcW w:type="dxa" w:w="979"/>
            <w:shd w:val="clear" w:color="auto" w:fill="F3F7F7"/>
            <w:vAlign w:val="center"/>
          </w:tcPr>
          <w:p>
            <w:pPr>
              <w:spacing w:after="20" w:before="20"/>
              <w:jc w:val="center"/>
            </w:pPr>
            <w:r/>
            <w:r>
              <w:rPr>
                <w:b w:val="0"/>
                <w:sz w:val="16"/>
              </w:rPr>
              <w:t>288</w:t>
            </w:r>
          </w:p>
        </w:tc>
      </w:tr>
      <w:tr>
        <w:tc>
          <w:tcPr>
            <w:tcW w:type="dxa" w:w="2232"/>
            <w:vAlign w:val="center"/>
          </w:tcPr>
          <w:p>
            <w:pPr>
              <w:spacing w:after="20" w:before="20"/>
              <w:jc w:val="left"/>
            </w:pPr>
            <w:r/>
            <w:r>
              <w:rPr>
                <w:b w:val="0"/>
                <w:sz w:val="16"/>
              </w:rPr>
              <w:t>EBITDA</w:t>
            </w:r>
          </w:p>
        </w:tc>
        <w:tc>
          <w:tcPr>
            <w:tcW w:type="dxa" w:w="979"/>
            <w:vAlign w:val="center"/>
          </w:tcPr>
          <w:p>
            <w:pPr>
              <w:spacing w:after="20" w:before="20"/>
              <w:jc w:val="center"/>
            </w:pPr>
            <w:r/>
            <w:r>
              <w:rPr>
                <w:b w:val="0"/>
                <w:sz w:val="16"/>
              </w:rPr>
              <w:t>88</w:t>
            </w:r>
          </w:p>
        </w:tc>
        <w:tc>
          <w:tcPr>
            <w:tcW w:type="dxa" w:w="979"/>
            <w:vAlign w:val="center"/>
          </w:tcPr>
          <w:p>
            <w:pPr>
              <w:spacing w:after="20" w:before="20"/>
              <w:jc w:val="center"/>
            </w:pPr>
            <w:r/>
            <w:r>
              <w:rPr>
                <w:b w:val="0"/>
                <w:sz w:val="16"/>
              </w:rPr>
              <w:t>180</w:t>
            </w:r>
          </w:p>
        </w:tc>
        <w:tc>
          <w:tcPr>
            <w:tcW w:type="dxa" w:w="979"/>
            <w:vAlign w:val="center"/>
          </w:tcPr>
          <w:p>
            <w:pPr>
              <w:spacing w:after="20" w:before="20"/>
              <w:jc w:val="center"/>
            </w:pPr>
            <w:r/>
            <w:r>
              <w:rPr>
                <w:b w:val="0"/>
                <w:sz w:val="16"/>
              </w:rPr>
              <w:t>120</w:t>
            </w:r>
          </w:p>
        </w:tc>
        <w:tc>
          <w:tcPr>
            <w:tcW w:type="dxa" w:w="979"/>
            <w:vAlign w:val="center"/>
          </w:tcPr>
          <w:p>
            <w:pPr>
              <w:spacing w:after="20" w:before="20"/>
              <w:jc w:val="center"/>
            </w:pPr>
            <w:r/>
            <w:r>
              <w:rPr>
                <w:b w:val="0"/>
                <w:sz w:val="16"/>
              </w:rPr>
              <w:t>159</w:t>
            </w:r>
          </w:p>
        </w:tc>
        <w:tc>
          <w:tcPr>
            <w:tcW w:type="dxa" w:w="979"/>
            <w:vAlign w:val="center"/>
          </w:tcPr>
          <w:p>
            <w:pPr>
              <w:spacing w:after="20" w:before="20"/>
              <w:jc w:val="center"/>
            </w:pPr>
            <w:r/>
            <w:r>
              <w:rPr>
                <w:b w:val="0"/>
                <w:sz w:val="16"/>
              </w:rPr>
              <w:t>178</w:t>
            </w:r>
          </w:p>
        </w:tc>
        <w:tc>
          <w:tcPr>
            <w:tcW w:type="dxa" w:w="979"/>
            <w:vAlign w:val="center"/>
          </w:tcPr>
          <w:p>
            <w:pPr>
              <w:spacing w:after="20" w:before="20"/>
              <w:jc w:val="center"/>
            </w:pPr>
            <w:r/>
            <w:r>
              <w:rPr>
                <w:b w:val="0"/>
                <w:sz w:val="16"/>
              </w:rPr>
              <w:t>199</w:t>
            </w:r>
          </w:p>
        </w:tc>
        <w:tc>
          <w:tcPr>
            <w:tcW w:type="dxa" w:w="979"/>
            <w:vAlign w:val="center"/>
          </w:tcPr>
          <w:p>
            <w:pPr>
              <w:spacing w:after="20" w:before="20"/>
              <w:jc w:val="center"/>
            </w:pPr>
            <w:r/>
            <w:r>
              <w:rPr>
                <w:b w:val="0"/>
                <w:sz w:val="16"/>
              </w:rPr>
              <w:t>220</w:t>
            </w:r>
          </w:p>
        </w:tc>
        <w:tc>
          <w:tcPr>
            <w:tcW w:type="dxa" w:w="979"/>
            <w:vAlign w:val="center"/>
          </w:tcPr>
          <w:p>
            <w:pPr>
              <w:spacing w:after="20" w:before="20"/>
              <w:jc w:val="center"/>
            </w:pPr>
            <w:r/>
            <w:r>
              <w:rPr>
                <w:b w:val="0"/>
                <w:sz w:val="16"/>
              </w:rPr>
              <w:t>243</w:t>
            </w:r>
          </w:p>
        </w:tc>
      </w:tr>
      <w:tr>
        <w:tc>
          <w:tcPr>
            <w:tcW w:type="dxa" w:w="2232"/>
            <w:shd w:val="clear" w:color="auto" w:fill="F3F7F7"/>
            <w:vAlign w:val="center"/>
          </w:tcPr>
          <w:p>
            <w:pPr>
              <w:spacing w:after="20" w:before="20"/>
              <w:jc w:val="left"/>
            </w:pPr>
            <w:r/>
            <w:r>
              <w:rPr>
                <w:b w:val="0"/>
                <w:sz w:val="16"/>
              </w:rPr>
              <w:t>− D&amp;A</w:t>
            </w:r>
          </w:p>
        </w:tc>
        <w:tc>
          <w:tcPr>
            <w:tcW w:type="dxa" w:w="979"/>
            <w:shd w:val="clear" w:color="auto" w:fill="F3F7F7"/>
            <w:vAlign w:val="center"/>
          </w:tcPr>
          <w:p>
            <w:pPr>
              <w:spacing w:after="20" w:before="20"/>
              <w:jc w:val="center"/>
            </w:pPr>
            <w:r/>
            <w:r>
              <w:rPr>
                <w:b w:val="0"/>
                <w:sz w:val="16"/>
              </w:rPr>
              <w:t>(36)</w:t>
            </w:r>
          </w:p>
        </w:tc>
        <w:tc>
          <w:tcPr>
            <w:tcW w:type="dxa" w:w="979"/>
            <w:shd w:val="clear" w:color="auto" w:fill="F3F7F7"/>
            <w:vAlign w:val="center"/>
          </w:tcPr>
          <w:p>
            <w:pPr>
              <w:spacing w:after="20" w:before="20"/>
              <w:jc w:val="center"/>
            </w:pPr>
            <w:r/>
            <w:r>
              <w:rPr>
                <w:b w:val="0"/>
                <w:sz w:val="16"/>
              </w:rPr>
              <w:t>(40)</w:t>
            </w:r>
          </w:p>
        </w:tc>
        <w:tc>
          <w:tcPr>
            <w:tcW w:type="dxa" w:w="979"/>
            <w:shd w:val="clear" w:color="auto" w:fill="F3F7F7"/>
            <w:vAlign w:val="center"/>
          </w:tcPr>
          <w:p>
            <w:pPr>
              <w:spacing w:after="20" w:before="20"/>
              <w:jc w:val="center"/>
            </w:pPr>
            <w:r/>
            <w:r>
              <w:rPr>
                <w:b w:val="0"/>
                <w:sz w:val="16"/>
              </w:rPr>
              <w:t>(42)</w:t>
            </w:r>
          </w:p>
        </w:tc>
        <w:tc>
          <w:tcPr>
            <w:tcW w:type="dxa" w:w="979"/>
            <w:shd w:val="clear" w:color="auto" w:fill="F3F7F7"/>
            <w:vAlign w:val="center"/>
          </w:tcPr>
          <w:p>
            <w:pPr>
              <w:spacing w:after="20" w:before="20"/>
              <w:jc w:val="center"/>
            </w:pPr>
            <w:r/>
            <w:r>
              <w:rPr>
                <w:b w:val="0"/>
                <w:sz w:val="16"/>
              </w:rPr>
              <w:t>(45)</w:t>
            </w:r>
          </w:p>
        </w:tc>
        <w:tc>
          <w:tcPr>
            <w:tcW w:type="dxa" w:w="979"/>
            <w:shd w:val="clear" w:color="auto" w:fill="F3F7F7"/>
            <w:vAlign w:val="center"/>
          </w:tcPr>
          <w:p>
            <w:pPr>
              <w:spacing w:after="20" w:before="20"/>
              <w:jc w:val="center"/>
            </w:pPr>
            <w:r/>
            <w:r>
              <w:rPr>
                <w:b w:val="0"/>
                <w:sz w:val="16"/>
              </w:rPr>
              <w:t>(48)</w:t>
            </w:r>
          </w:p>
        </w:tc>
        <w:tc>
          <w:tcPr>
            <w:tcW w:type="dxa" w:w="979"/>
            <w:shd w:val="clear" w:color="auto" w:fill="F3F7F7"/>
            <w:vAlign w:val="center"/>
          </w:tcPr>
          <w:p>
            <w:pPr>
              <w:spacing w:after="20" w:before="20"/>
              <w:jc w:val="center"/>
            </w:pPr>
            <w:r/>
            <w:r>
              <w:rPr>
                <w:b w:val="0"/>
                <w:sz w:val="16"/>
              </w:rPr>
              <w:t>(51)</w:t>
            </w:r>
          </w:p>
        </w:tc>
        <w:tc>
          <w:tcPr>
            <w:tcW w:type="dxa" w:w="979"/>
            <w:shd w:val="clear" w:color="auto" w:fill="F3F7F7"/>
            <w:vAlign w:val="center"/>
          </w:tcPr>
          <w:p>
            <w:pPr>
              <w:spacing w:after="20" w:before="20"/>
              <w:jc w:val="center"/>
            </w:pPr>
            <w:r/>
            <w:r>
              <w:rPr>
                <w:b w:val="0"/>
                <w:sz w:val="16"/>
              </w:rPr>
              <w:t>(54)</w:t>
            </w:r>
          </w:p>
        </w:tc>
        <w:tc>
          <w:tcPr>
            <w:tcW w:type="dxa" w:w="979"/>
            <w:shd w:val="clear" w:color="auto" w:fill="F3F7F7"/>
            <w:vAlign w:val="center"/>
          </w:tcPr>
          <w:p>
            <w:pPr>
              <w:spacing w:after="20" w:before="20"/>
              <w:jc w:val="center"/>
            </w:pPr>
            <w:r/>
            <w:r>
              <w:rPr>
                <w:b w:val="0"/>
                <w:sz w:val="16"/>
              </w:rPr>
              <w:t>(57)</w:t>
            </w:r>
          </w:p>
        </w:tc>
      </w:tr>
      <w:tr>
        <w:tc>
          <w:tcPr>
            <w:tcW w:type="dxa" w:w="2232"/>
            <w:vAlign w:val="center"/>
          </w:tcPr>
          <w:p>
            <w:pPr>
              <w:spacing w:after="20" w:before="20"/>
              <w:jc w:val="left"/>
            </w:pPr>
            <w:r/>
            <w:r>
              <w:rPr>
                <w:b w:val="0"/>
                <w:sz w:val="16"/>
              </w:rPr>
              <w:t>EBIT</w:t>
            </w:r>
          </w:p>
        </w:tc>
        <w:tc>
          <w:tcPr>
            <w:tcW w:type="dxa" w:w="979"/>
            <w:vAlign w:val="center"/>
          </w:tcPr>
          <w:p>
            <w:pPr>
              <w:spacing w:after="20" w:before="20"/>
              <w:jc w:val="center"/>
            </w:pPr>
            <w:r/>
            <w:r>
              <w:rPr>
                <w:b w:val="0"/>
                <w:sz w:val="16"/>
              </w:rPr>
              <w:t>52</w:t>
            </w:r>
          </w:p>
        </w:tc>
        <w:tc>
          <w:tcPr>
            <w:tcW w:type="dxa" w:w="979"/>
            <w:vAlign w:val="center"/>
          </w:tcPr>
          <w:p>
            <w:pPr>
              <w:spacing w:after="20" w:before="20"/>
              <w:jc w:val="center"/>
            </w:pPr>
            <w:r/>
            <w:r>
              <w:rPr>
                <w:b w:val="0"/>
                <w:sz w:val="16"/>
              </w:rPr>
              <w:t>140</w:t>
            </w:r>
          </w:p>
        </w:tc>
        <w:tc>
          <w:tcPr>
            <w:tcW w:type="dxa" w:w="979"/>
            <w:vAlign w:val="center"/>
          </w:tcPr>
          <w:p>
            <w:pPr>
              <w:spacing w:after="20" w:before="20"/>
              <w:jc w:val="center"/>
            </w:pPr>
            <w:r/>
            <w:r>
              <w:rPr>
                <w:b w:val="0"/>
                <w:sz w:val="16"/>
              </w:rPr>
              <w:t>78</w:t>
            </w:r>
          </w:p>
        </w:tc>
        <w:tc>
          <w:tcPr>
            <w:tcW w:type="dxa" w:w="979"/>
            <w:vAlign w:val="center"/>
          </w:tcPr>
          <w:p>
            <w:pPr>
              <w:spacing w:after="20" w:before="20"/>
              <w:jc w:val="center"/>
            </w:pPr>
            <w:r/>
            <w:r>
              <w:rPr>
                <w:b w:val="0"/>
                <w:sz w:val="16"/>
              </w:rPr>
              <w:t>114</w:t>
            </w:r>
          </w:p>
        </w:tc>
        <w:tc>
          <w:tcPr>
            <w:tcW w:type="dxa" w:w="979"/>
            <w:vAlign w:val="center"/>
          </w:tcPr>
          <w:p>
            <w:pPr>
              <w:spacing w:after="20" w:before="20"/>
              <w:jc w:val="center"/>
            </w:pPr>
            <w:r/>
            <w:r>
              <w:rPr>
                <w:b w:val="0"/>
                <w:sz w:val="16"/>
              </w:rPr>
              <w:t>130</w:t>
            </w:r>
          </w:p>
        </w:tc>
        <w:tc>
          <w:tcPr>
            <w:tcW w:type="dxa" w:w="979"/>
            <w:vAlign w:val="center"/>
          </w:tcPr>
          <w:p>
            <w:pPr>
              <w:spacing w:after="20" w:before="20"/>
              <w:jc w:val="center"/>
            </w:pPr>
            <w:r/>
            <w:r>
              <w:rPr>
                <w:b w:val="0"/>
                <w:sz w:val="16"/>
              </w:rPr>
              <w:t>148</w:t>
            </w:r>
          </w:p>
        </w:tc>
        <w:tc>
          <w:tcPr>
            <w:tcW w:type="dxa" w:w="979"/>
            <w:vAlign w:val="center"/>
          </w:tcPr>
          <w:p>
            <w:pPr>
              <w:spacing w:after="20" w:before="20"/>
              <w:jc w:val="center"/>
            </w:pPr>
            <w:r/>
            <w:r>
              <w:rPr>
                <w:b w:val="0"/>
                <w:sz w:val="16"/>
              </w:rPr>
              <w:t>166</w:t>
            </w:r>
          </w:p>
        </w:tc>
        <w:tc>
          <w:tcPr>
            <w:tcW w:type="dxa" w:w="979"/>
            <w:vAlign w:val="center"/>
          </w:tcPr>
          <w:p>
            <w:pPr>
              <w:spacing w:after="20" w:before="20"/>
              <w:jc w:val="center"/>
            </w:pPr>
            <w:r/>
            <w:r>
              <w:rPr>
                <w:b w:val="0"/>
                <w:sz w:val="16"/>
              </w:rPr>
              <w:t>186</w:t>
            </w:r>
          </w:p>
        </w:tc>
      </w:tr>
      <w:tr>
        <w:tc>
          <w:tcPr>
            <w:tcW w:type="dxa" w:w="2232"/>
            <w:shd w:val="clear" w:color="auto" w:fill="F3F7F7"/>
            <w:vAlign w:val="center"/>
          </w:tcPr>
          <w:p>
            <w:pPr>
              <w:spacing w:after="20" w:before="20"/>
              <w:jc w:val="left"/>
            </w:pPr>
            <w:r/>
            <w:r>
              <w:rPr>
                <w:b w:val="0"/>
                <w:sz w:val="16"/>
              </w:rPr>
              <w:t>Net finance cost</w:t>
            </w:r>
          </w:p>
        </w:tc>
        <w:tc>
          <w:tcPr>
            <w:tcW w:type="dxa" w:w="979"/>
            <w:shd w:val="clear" w:color="auto" w:fill="F3F7F7"/>
            <w:vAlign w:val="center"/>
          </w:tcPr>
          <w:p>
            <w:pPr>
              <w:spacing w:after="20" w:before="20"/>
              <w:jc w:val="center"/>
            </w:pPr>
            <w:r/>
            <w:r>
              <w:rPr>
                <w:b w:val="0"/>
                <w:sz w:val="16"/>
              </w:rPr>
              <w:t>(8)</w:t>
            </w:r>
          </w:p>
        </w:tc>
        <w:tc>
          <w:tcPr>
            <w:tcW w:type="dxa" w:w="979"/>
            <w:shd w:val="clear" w:color="auto" w:fill="F3F7F7"/>
            <w:vAlign w:val="center"/>
          </w:tcPr>
          <w:p>
            <w:pPr>
              <w:spacing w:after="20" w:before="20"/>
              <w:jc w:val="center"/>
            </w:pPr>
            <w:r/>
            <w:r>
              <w:rPr>
                <w:b w:val="0"/>
                <w:sz w:val="16"/>
              </w:rPr>
              <w:t>(18)</w:t>
            </w:r>
          </w:p>
        </w:tc>
        <w:tc>
          <w:tcPr>
            <w:tcW w:type="dxa" w:w="979"/>
            <w:shd w:val="clear" w:color="auto" w:fill="F3F7F7"/>
            <w:vAlign w:val="center"/>
          </w:tcPr>
          <w:p>
            <w:pPr>
              <w:spacing w:after="20" w:before="20"/>
              <w:jc w:val="center"/>
            </w:pPr>
            <w:r/>
            <w:r>
              <w:rPr>
                <w:b w:val="0"/>
                <w:sz w:val="16"/>
              </w:rPr>
              <w:t>(55)</w:t>
            </w:r>
          </w:p>
        </w:tc>
        <w:tc>
          <w:tcPr>
            <w:tcW w:type="dxa" w:w="979"/>
            <w:shd w:val="clear" w:color="auto" w:fill="F3F7F7"/>
            <w:vAlign w:val="center"/>
          </w:tcPr>
          <w:p>
            <w:pPr>
              <w:spacing w:after="20" w:before="20"/>
              <w:jc w:val="center"/>
            </w:pPr>
            <w:r/>
            <w:r>
              <w:rPr>
                <w:b w:val="0"/>
                <w:sz w:val="16"/>
              </w:rPr>
              <w:t>(48)</w:t>
            </w:r>
          </w:p>
        </w:tc>
        <w:tc>
          <w:tcPr>
            <w:tcW w:type="dxa" w:w="979"/>
            <w:shd w:val="clear" w:color="auto" w:fill="F3F7F7"/>
            <w:vAlign w:val="center"/>
          </w:tcPr>
          <w:p>
            <w:pPr>
              <w:spacing w:after="20" w:before="20"/>
              <w:jc w:val="center"/>
            </w:pPr>
            <w:r/>
            <w:r>
              <w:rPr>
                <w:b w:val="0"/>
                <w:sz w:val="16"/>
              </w:rPr>
              <w:t>(44)</w:t>
            </w:r>
          </w:p>
        </w:tc>
        <w:tc>
          <w:tcPr>
            <w:tcW w:type="dxa" w:w="979"/>
            <w:shd w:val="clear" w:color="auto" w:fill="F3F7F7"/>
            <w:vAlign w:val="center"/>
          </w:tcPr>
          <w:p>
            <w:pPr>
              <w:spacing w:after="20" w:before="20"/>
              <w:jc w:val="center"/>
            </w:pPr>
            <w:r/>
            <w:r>
              <w:rPr>
                <w:b w:val="0"/>
                <w:sz w:val="16"/>
              </w:rPr>
              <w:t>(40)</w:t>
            </w:r>
          </w:p>
        </w:tc>
        <w:tc>
          <w:tcPr>
            <w:tcW w:type="dxa" w:w="979"/>
            <w:shd w:val="clear" w:color="auto" w:fill="F3F7F7"/>
            <w:vAlign w:val="center"/>
          </w:tcPr>
          <w:p>
            <w:pPr>
              <w:spacing w:after="20" w:before="20"/>
              <w:jc w:val="center"/>
            </w:pPr>
            <w:r/>
            <w:r>
              <w:rPr>
                <w:b w:val="0"/>
                <w:sz w:val="16"/>
              </w:rPr>
              <w:t>(36)</w:t>
            </w:r>
          </w:p>
        </w:tc>
        <w:tc>
          <w:tcPr>
            <w:tcW w:type="dxa" w:w="979"/>
            <w:shd w:val="clear" w:color="auto" w:fill="F3F7F7"/>
            <w:vAlign w:val="center"/>
          </w:tcPr>
          <w:p>
            <w:pPr>
              <w:spacing w:after="20" w:before="20"/>
              <w:jc w:val="center"/>
            </w:pPr>
            <w:r/>
            <w:r>
              <w:rPr>
                <w:b w:val="0"/>
                <w:sz w:val="16"/>
              </w:rPr>
              <w:t>(33)</w:t>
            </w:r>
          </w:p>
        </w:tc>
      </w:tr>
      <w:tr>
        <w:tc>
          <w:tcPr>
            <w:tcW w:type="dxa" w:w="2232"/>
            <w:vAlign w:val="center"/>
          </w:tcPr>
          <w:p>
            <w:pPr>
              <w:spacing w:after="20" w:before="20"/>
              <w:jc w:val="left"/>
            </w:pPr>
            <w:r/>
            <w:r>
              <w:rPr>
                <w:b w:val="0"/>
                <w:sz w:val="16"/>
              </w:rPr>
              <w:t>Net FX / one-off</w:t>
            </w:r>
          </w:p>
        </w:tc>
        <w:tc>
          <w:tcPr>
            <w:tcW w:type="dxa" w:w="979"/>
            <w:vAlign w:val="center"/>
          </w:tcPr>
          <w:p>
            <w:pPr>
              <w:spacing w:after="20" w:before="20"/>
              <w:jc w:val="center"/>
            </w:pPr>
            <w:r/>
            <w:r>
              <w:rPr>
                <w:b w:val="0"/>
                <w:sz w:val="16"/>
              </w:rPr>
              <w:t>12</w:t>
            </w:r>
          </w:p>
        </w:tc>
        <w:tc>
          <w:tcPr>
            <w:tcW w:type="dxa" w:w="979"/>
            <w:vAlign w:val="center"/>
          </w:tcPr>
          <w:p>
            <w:pPr>
              <w:spacing w:after="20" w:before="20"/>
              <w:jc w:val="center"/>
            </w:pPr>
            <w:r/>
            <w:r>
              <w:rPr>
                <w:b w:val="0"/>
                <w:sz w:val="16"/>
              </w:rPr>
              <w:t>45</w:t>
            </w:r>
          </w:p>
        </w:tc>
        <w:tc>
          <w:tcPr>
            <w:tcW w:type="dxa" w:w="979"/>
            <w:vAlign w:val="center"/>
          </w:tcPr>
          <w:p>
            <w:pPr>
              <w:spacing w:after="20" w:before="20"/>
              <w:jc w:val="center"/>
            </w:pPr>
            <w:r/>
            <w:r>
              <w:rPr>
                <w:b w:val="0"/>
                <w:sz w:val="16"/>
              </w:rPr>
              <w:t>(5)</w:t>
            </w:r>
          </w:p>
        </w:tc>
        <w:tc>
          <w:tcPr>
            <w:tcW w:type="dxa" w:w="979"/>
            <w:vAlign w:val="center"/>
          </w:tcPr>
          <w:p>
            <w:pPr>
              <w:spacing w:after="20" w:before="20"/>
              <w:jc w:val="center"/>
            </w:pPr>
            <w:r/>
            <w:r>
              <w:rPr>
                <w:b w:val="0"/>
                <w:sz w:val="16"/>
              </w:rPr>
              <w:t>0</w:t>
            </w:r>
          </w:p>
        </w:tc>
        <w:tc>
          <w:tcPr>
            <w:tcW w:type="dxa" w:w="979"/>
            <w:vAlign w:val="center"/>
          </w:tcPr>
          <w:p>
            <w:pPr>
              <w:spacing w:after="20" w:before="20"/>
              <w:jc w:val="center"/>
            </w:pPr>
            <w:r/>
            <w:r>
              <w:rPr>
                <w:b w:val="0"/>
                <w:sz w:val="16"/>
              </w:rPr>
              <w:t>0</w:t>
            </w:r>
          </w:p>
        </w:tc>
        <w:tc>
          <w:tcPr>
            <w:tcW w:type="dxa" w:w="979"/>
            <w:vAlign w:val="center"/>
          </w:tcPr>
          <w:p>
            <w:pPr>
              <w:spacing w:after="20" w:before="20"/>
              <w:jc w:val="center"/>
            </w:pPr>
            <w:r/>
            <w:r>
              <w:rPr>
                <w:b w:val="0"/>
                <w:sz w:val="16"/>
              </w:rPr>
              <w:t>0</w:t>
            </w:r>
          </w:p>
        </w:tc>
        <w:tc>
          <w:tcPr>
            <w:tcW w:type="dxa" w:w="979"/>
            <w:vAlign w:val="center"/>
          </w:tcPr>
          <w:p>
            <w:pPr>
              <w:spacing w:after="20" w:before="20"/>
              <w:jc w:val="center"/>
            </w:pPr>
            <w:r/>
            <w:r>
              <w:rPr>
                <w:b w:val="0"/>
                <w:sz w:val="16"/>
              </w:rPr>
              <w:t>0</w:t>
            </w:r>
          </w:p>
        </w:tc>
        <w:tc>
          <w:tcPr>
            <w:tcW w:type="dxa" w:w="979"/>
            <w:vAlign w:val="center"/>
          </w:tcPr>
          <w:p>
            <w:pPr>
              <w:spacing w:after="20" w:before="20"/>
              <w:jc w:val="center"/>
            </w:pPr>
            <w:r/>
            <w:r>
              <w:rPr>
                <w:b w:val="0"/>
                <w:sz w:val="16"/>
              </w:rPr>
              <w:t>0</w:t>
            </w:r>
          </w:p>
        </w:tc>
      </w:tr>
      <w:tr>
        <w:tc>
          <w:tcPr>
            <w:tcW w:type="dxa" w:w="2232"/>
            <w:shd w:val="clear" w:color="auto" w:fill="F3F7F7"/>
            <w:vAlign w:val="center"/>
          </w:tcPr>
          <w:p>
            <w:pPr>
              <w:spacing w:after="20" w:before="20"/>
              <w:jc w:val="left"/>
            </w:pPr>
            <w:r/>
            <w:r>
              <w:rPr>
                <w:b w:val="0"/>
                <w:sz w:val="16"/>
              </w:rPr>
              <w:t>PBT</w:t>
            </w:r>
          </w:p>
        </w:tc>
        <w:tc>
          <w:tcPr>
            <w:tcW w:type="dxa" w:w="979"/>
            <w:shd w:val="clear" w:color="auto" w:fill="F3F7F7"/>
            <w:vAlign w:val="center"/>
          </w:tcPr>
          <w:p>
            <w:pPr>
              <w:spacing w:after="20" w:before="20"/>
              <w:jc w:val="center"/>
            </w:pPr>
            <w:r/>
            <w:r>
              <w:rPr>
                <w:b w:val="0"/>
                <w:sz w:val="16"/>
              </w:rPr>
              <w:t>56</w:t>
            </w:r>
          </w:p>
        </w:tc>
        <w:tc>
          <w:tcPr>
            <w:tcW w:type="dxa" w:w="979"/>
            <w:shd w:val="clear" w:color="auto" w:fill="F3F7F7"/>
            <w:vAlign w:val="center"/>
          </w:tcPr>
          <w:p>
            <w:pPr>
              <w:spacing w:after="20" w:before="20"/>
              <w:jc w:val="center"/>
            </w:pPr>
            <w:r/>
            <w:r>
              <w:rPr>
                <w:b w:val="0"/>
                <w:sz w:val="16"/>
              </w:rPr>
              <w:t>167</w:t>
            </w:r>
          </w:p>
        </w:tc>
        <w:tc>
          <w:tcPr>
            <w:tcW w:type="dxa" w:w="979"/>
            <w:shd w:val="clear" w:color="auto" w:fill="F3F7F7"/>
            <w:vAlign w:val="center"/>
          </w:tcPr>
          <w:p>
            <w:pPr>
              <w:spacing w:after="20" w:before="20"/>
              <w:jc w:val="center"/>
            </w:pPr>
            <w:r/>
            <w:r>
              <w:rPr>
                <w:b w:val="0"/>
                <w:sz w:val="16"/>
              </w:rPr>
              <w:t>18</w:t>
            </w:r>
          </w:p>
        </w:tc>
        <w:tc>
          <w:tcPr>
            <w:tcW w:type="dxa" w:w="979"/>
            <w:shd w:val="clear" w:color="auto" w:fill="F3F7F7"/>
            <w:vAlign w:val="center"/>
          </w:tcPr>
          <w:p>
            <w:pPr>
              <w:spacing w:after="20" w:before="20"/>
              <w:jc w:val="center"/>
            </w:pPr>
            <w:r/>
            <w:r>
              <w:rPr>
                <w:b w:val="0"/>
                <w:sz w:val="16"/>
              </w:rPr>
              <w:t>66</w:t>
            </w:r>
          </w:p>
        </w:tc>
        <w:tc>
          <w:tcPr>
            <w:tcW w:type="dxa" w:w="979"/>
            <w:shd w:val="clear" w:color="auto" w:fill="F3F7F7"/>
            <w:vAlign w:val="center"/>
          </w:tcPr>
          <w:p>
            <w:pPr>
              <w:spacing w:after="20" w:before="20"/>
              <w:jc w:val="center"/>
            </w:pPr>
            <w:r/>
            <w:r>
              <w:rPr>
                <w:b w:val="0"/>
                <w:sz w:val="16"/>
              </w:rPr>
              <w:t>86</w:t>
            </w:r>
          </w:p>
        </w:tc>
        <w:tc>
          <w:tcPr>
            <w:tcW w:type="dxa" w:w="979"/>
            <w:shd w:val="clear" w:color="auto" w:fill="F3F7F7"/>
            <w:vAlign w:val="center"/>
          </w:tcPr>
          <w:p>
            <w:pPr>
              <w:spacing w:after="20" w:before="20"/>
              <w:jc w:val="center"/>
            </w:pPr>
            <w:r/>
            <w:r>
              <w:rPr>
                <w:b w:val="0"/>
                <w:sz w:val="16"/>
              </w:rPr>
              <w:t>108</w:t>
            </w:r>
          </w:p>
        </w:tc>
        <w:tc>
          <w:tcPr>
            <w:tcW w:type="dxa" w:w="979"/>
            <w:shd w:val="clear" w:color="auto" w:fill="F3F7F7"/>
            <w:vAlign w:val="center"/>
          </w:tcPr>
          <w:p>
            <w:pPr>
              <w:spacing w:after="20" w:before="20"/>
              <w:jc w:val="center"/>
            </w:pPr>
            <w:r/>
            <w:r>
              <w:rPr>
                <w:b w:val="0"/>
                <w:sz w:val="16"/>
              </w:rPr>
              <w:t>130</w:t>
            </w:r>
          </w:p>
        </w:tc>
        <w:tc>
          <w:tcPr>
            <w:tcW w:type="dxa" w:w="979"/>
            <w:shd w:val="clear" w:color="auto" w:fill="F3F7F7"/>
            <w:vAlign w:val="center"/>
          </w:tcPr>
          <w:p>
            <w:pPr>
              <w:spacing w:after="20" w:before="20"/>
              <w:jc w:val="center"/>
            </w:pPr>
            <w:r/>
            <w:r>
              <w:rPr>
                <w:b w:val="0"/>
                <w:sz w:val="16"/>
              </w:rPr>
              <w:t>153</w:t>
            </w:r>
          </w:p>
        </w:tc>
      </w:tr>
      <w:tr>
        <w:tc>
          <w:tcPr>
            <w:tcW w:type="dxa" w:w="2232"/>
            <w:vAlign w:val="center"/>
          </w:tcPr>
          <w:p>
            <w:pPr>
              <w:spacing w:after="20" w:before="20"/>
              <w:jc w:val="left"/>
            </w:pPr>
            <w:r/>
            <w:r>
              <w:rPr>
                <w:b w:val="0"/>
                <w:sz w:val="16"/>
              </w:rPr>
              <w:t>Tax (~22.5%)</w:t>
            </w:r>
          </w:p>
        </w:tc>
        <w:tc>
          <w:tcPr>
            <w:tcW w:type="dxa" w:w="979"/>
            <w:vAlign w:val="center"/>
          </w:tcPr>
          <w:p>
            <w:pPr>
              <w:spacing w:after="20" w:before="20"/>
              <w:jc w:val="center"/>
            </w:pPr>
            <w:r/>
            <w:r>
              <w:rPr>
                <w:b w:val="0"/>
                <w:sz w:val="16"/>
              </w:rPr>
              <w:t>(4)</w:t>
            </w:r>
          </w:p>
        </w:tc>
        <w:tc>
          <w:tcPr>
            <w:tcW w:type="dxa" w:w="979"/>
            <w:vAlign w:val="center"/>
          </w:tcPr>
          <w:p>
            <w:pPr>
              <w:spacing w:after="20" w:before="20"/>
              <w:jc w:val="center"/>
            </w:pPr>
            <w:r/>
            <w:r>
              <w:rPr>
                <w:b w:val="0"/>
                <w:sz w:val="16"/>
              </w:rPr>
              <w:t>(38)</w:t>
            </w:r>
          </w:p>
        </w:tc>
        <w:tc>
          <w:tcPr>
            <w:tcW w:type="dxa" w:w="979"/>
            <w:vAlign w:val="center"/>
          </w:tcPr>
          <w:p>
            <w:pPr>
              <w:spacing w:after="20" w:before="20"/>
              <w:jc w:val="center"/>
            </w:pPr>
            <w:r/>
            <w:r>
              <w:rPr>
                <w:b w:val="0"/>
                <w:sz w:val="16"/>
              </w:rPr>
              <w:t>(2)</w:t>
            </w:r>
          </w:p>
        </w:tc>
        <w:tc>
          <w:tcPr>
            <w:tcW w:type="dxa" w:w="979"/>
            <w:vAlign w:val="center"/>
          </w:tcPr>
          <w:p>
            <w:pPr>
              <w:spacing w:after="20" w:before="20"/>
              <w:jc w:val="center"/>
            </w:pPr>
            <w:r/>
            <w:r>
              <w:rPr>
                <w:b w:val="0"/>
                <w:sz w:val="16"/>
              </w:rPr>
              <w:t>(15)</w:t>
            </w:r>
          </w:p>
        </w:tc>
        <w:tc>
          <w:tcPr>
            <w:tcW w:type="dxa" w:w="979"/>
            <w:vAlign w:val="center"/>
          </w:tcPr>
          <w:p>
            <w:pPr>
              <w:spacing w:after="20" w:before="20"/>
              <w:jc w:val="center"/>
            </w:pPr>
            <w:r/>
            <w:r>
              <w:rPr>
                <w:b w:val="0"/>
                <w:sz w:val="16"/>
              </w:rPr>
              <w:t>(19)</w:t>
            </w:r>
          </w:p>
        </w:tc>
        <w:tc>
          <w:tcPr>
            <w:tcW w:type="dxa" w:w="979"/>
            <w:vAlign w:val="center"/>
          </w:tcPr>
          <w:p>
            <w:pPr>
              <w:spacing w:after="20" w:before="20"/>
              <w:jc w:val="center"/>
            </w:pPr>
            <w:r/>
            <w:r>
              <w:rPr>
                <w:b w:val="0"/>
                <w:sz w:val="16"/>
              </w:rPr>
              <w:t>(24)</w:t>
            </w:r>
          </w:p>
        </w:tc>
        <w:tc>
          <w:tcPr>
            <w:tcW w:type="dxa" w:w="979"/>
            <w:vAlign w:val="center"/>
          </w:tcPr>
          <w:p>
            <w:pPr>
              <w:spacing w:after="20" w:before="20"/>
              <w:jc w:val="center"/>
            </w:pPr>
            <w:r/>
            <w:r>
              <w:rPr>
                <w:b w:val="0"/>
                <w:sz w:val="16"/>
              </w:rPr>
              <w:t>(29)</w:t>
            </w:r>
          </w:p>
        </w:tc>
        <w:tc>
          <w:tcPr>
            <w:tcW w:type="dxa" w:w="979"/>
            <w:vAlign w:val="center"/>
          </w:tcPr>
          <w:p>
            <w:pPr>
              <w:spacing w:after="20" w:before="20"/>
              <w:jc w:val="center"/>
            </w:pPr>
            <w:r/>
            <w:r>
              <w:rPr>
                <w:b w:val="0"/>
                <w:sz w:val="16"/>
              </w:rPr>
              <w:t>(34)</w:t>
            </w:r>
          </w:p>
        </w:tc>
      </w:tr>
      <w:tr>
        <w:tc>
          <w:tcPr>
            <w:tcW w:type="dxa" w:w="2232"/>
            <w:shd w:val="clear" w:color="auto" w:fill="E3ECEC"/>
            <w:vAlign w:val="center"/>
          </w:tcPr>
          <w:p>
            <w:pPr>
              <w:spacing w:after="20" w:before="20"/>
              <w:jc w:val="left"/>
            </w:pPr>
            <w:r/>
            <w:r>
              <w:rPr>
                <w:b w:val="0"/>
                <w:sz w:val="16"/>
              </w:rPr>
              <w:t>Net income (attributable)</w:t>
            </w:r>
          </w:p>
        </w:tc>
        <w:tc>
          <w:tcPr>
            <w:tcW w:type="dxa" w:w="979"/>
            <w:shd w:val="clear" w:color="auto" w:fill="E3ECEC"/>
            <w:vAlign w:val="center"/>
          </w:tcPr>
          <w:p>
            <w:pPr>
              <w:spacing w:after="20" w:before="20"/>
              <w:jc w:val="center"/>
            </w:pPr>
            <w:r/>
            <w:r>
              <w:rPr>
                <w:b w:val="0"/>
                <w:sz w:val="16"/>
              </w:rPr>
              <w:t>52</w:t>
            </w:r>
          </w:p>
        </w:tc>
        <w:tc>
          <w:tcPr>
            <w:tcW w:type="dxa" w:w="979"/>
            <w:shd w:val="clear" w:color="auto" w:fill="E3ECEC"/>
            <w:vAlign w:val="center"/>
          </w:tcPr>
          <w:p>
            <w:pPr>
              <w:spacing w:after="20" w:before="20"/>
              <w:jc w:val="center"/>
            </w:pPr>
            <w:r/>
            <w:r>
              <w:rPr>
                <w:b w:val="0"/>
                <w:sz w:val="16"/>
              </w:rPr>
              <w:t>129</w:t>
            </w:r>
          </w:p>
        </w:tc>
        <w:tc>
          <w:tcPr>
            <w:tcW w:type="dxa" w:w="979"/>
            <w:shd w:val="clear" w:color="auto" w:fill="E3ECEC"/>
            <w:vAlign w:val="center"/>
          </w:tcPr>
          <w:p>
            <w:pPr>
              <w:spacing w:after="20" w:before="20"/>
              <w:jc w:val="center"/>
            </w:pPr>
            <w:r/>
            <w:r>
              <w:rPr>
                <w:b w:val="0"/>
                <w:sz w:val="16"/>
              </w:rPr>
              <w:t>16</w:t>
            </w:r>
          </w:p>
        </w:tc>
        <w:tc>
          <w:tcPr>
            <w:tcW w:type="dxa" w:w="979"/>
            <w:shd w:val="clear" w:color="auto" w:fill="E3ECEC"/>
            <w:vAlign w:val="center"/>
          </w:tcPr>
          <w:p>
            <w:pPr>
              <w:spacing w:after="20" w:before="20"/>
              <w:jc w:val="center"/>
            </w:pPr>
            <w:r/>
            <w:r>
              <w:rPr>
                <w:b w:val="0"/>
                <w:sz w:val="16"/>
              </w:rPr>
              <w:t>51</w:t>
            </w:r>
          </w:p>
        </w:tc>
        <w:tc>
          <w:tcPr>
            <w:tcW w:type="dxa" w:w="979"/>
            <w:shd w:val="clear" w:color="auto" w:fill="E3ECEC"/>
            <w:vAlign w:val="center"/>
          </w:tcPr>
          <w:p>
            <w:pPr>
              <w:spacing w:after="20" w:before="20"/>
              <w:jc w:val="center"/>
            </w:pPr>
            <w:r/>
            <w:r>
              <w:rPr>
                <w:b w:val="0"/>
                <w:sz w:val="16"/>
              </w:rPr>
              <w:t>67</w:t>
            </w:r>
          </w:p>
        </w:tc>
        <w:tc>
          <w:tcPr>
            <w:tcW w:type="dxa" w:w="979"/>
            <w:shd w:val="clear" w:color="auto" w:fill="E3ECEC"/>
            <w:vAlign w:val="center"/>
          </w:tcPr>
          <w:p>
            <w:pPr>
              <w:spacing w:after="20" w:before="20"/>
              <w:jc w:val="center"/>
            </w:pPr>
            <w:r/>
            <w:r>
              <w:rPr>
                <w:b w:val="0"/>
                <w:sz w:val="16"/>
              </w:rPr>
              <w:t>84</w:t>
            </w:r>
          </w:p>
        </w:tc>
        <w:tc>
          <w:tcPr>
            <w:tcW w:type="dxa" w:w="979"/>
            <w:shd w:val="clear" w:color="auto" w:fill="E3ECEC"/>
            <w:vAlign w:val="center"/>
          </w:tcPr>
          <w:p>
            <w:pPr>
              <w:spacing w:after="20" w:before="20"/>
              <w:jc w:val="center"/>
            </w:pPr>
            <w:r/>
            <w:r>
              <w:rPr>
                <w:b w:val="0"/>
                <w:sz w:val="16"/>
              </w:rPr>
              <w:t>101</w:t>
            </w:r>
          </w:p>
        </w:tc>
        <w:tc>
          <w:tcPr>
            <w:tcW w:type="dxa" w:w="979"/>
            <w:shd w:val="clear" w:color="auto" w:fill="E3ECEC"/>
            <w:vAlign w:val="center"/>
          </w:tcPr>
          <w:p>
            <w:pPr>
              <w:spacing w:after="20" w:before="20"/>
              <w:jc w:val="center"/>
            </w:pPr>
            <w:r/>
            <w:r>
              <w:rPr>
                <w:b w:val="0"/>
                <w:sz w:val="16"/>
              </w:rPr>
              <w:t>119</w:t>
            </w:r>
          </w:p>
        </w:tc>
      </w:tr>
    </w:tbl>
    <w:p>
      <w:pPr>
        <w:spacing w:after="40"/>
      </w:pPr>
    </w:p>
    <w:p>
      <w:pPr>
        <w:spacing w:after="100" w:line="259" w:lineRule="auto"/>
      </w:pPr>
      <w:r>
        <w:rPr>
          <w:b w:val="0"/>
          <w:i/>
          <w:sz w:val="17"/>
        </w:rPr>
        <w:t>*FY2024 was inflated by a currency-translation windfall (net FX gains as the pound devalued); 9M FY2024/25 attributable profit was EGP 9.4m against EGP 193m a year earlier. The forecast assumes the weaker pound keeps export revenue structurally higher while margins normalise to mid-cycle.*</w:t>
      </w:r>
    </w:p>
    <w:p>
      <w:pPr>
        <w:spacing w:before="140" w:after="40"/>
      </w:pPr>
      <w:r>
        <w:rPr>
          <w:b/>
          <w:color w:val="2A8F8F"/>
          <w:sz w:val="23"/>
        </w:rPr>
        <w:t>A.2  Balance sheet (consolidated, EGP m)</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136"/>
        <w:gridCol w:w="1136"/>
        <w:gridCol w:w="1136"/>
        <w:gridCol w:w="1136"/>
        <w:gridCol w:w="1136"/>
        <w:gridCol w:w="1136"/>
        <w:gridCol w:w="1136"/>
        <w:gridCol w:w="1136"/>
        <w:gridCol w:w="1136"/>
      </w:tblGrid>
      <w:tr>
        <w:tc>
          <w:tcPr>
            <w:tcW w:type="dxa" w:w="2736"/>
            <w:shd w:val="clear" w:color="auto" w:fill="1B5E5E"/>
            <w:vAlign w:val="center"/>
          </w:tcPr>
          <w:p>
            <w:pPr>
              <w:spacing w:after="20" w:before="20"/>
              <w:jc w:val="left"/>
            </w:pPr>
            <w:r/>
            <w:r>
              <w:rPr>
                <w:b/>
                <w:color w:val="FFFFFF"/>
                <w:sz w:val="18"/>
              </w:rPr>
              <w:t>Line</w:t>
            </w:r>
          </w:p>
        </w:tc>
        <w:tc>
          <w:tcPr>
            <w:tcW w:type="dxa" w:w="893"/>
            <w:shd w:val="clear" w:color="auto" w:fill="1B5E5E"/>
            <w:vAlign w:val="center"/>
          </w:tcPr>
          <w:p>
            <w:pPr>
              <w:spacing w:after="20" w:before="20"/>
              <w:jc w:val="center"/>
            </w:pPr>
            <w:r/>
            <w:r>
              <w:rPr>
                <w:b/>
                <w:color w:val="FFFFFF"/>
                <w:sz w:val="18"/>
              </w:rPr>
              <w:t>FY23</w:t>
            </w:r>
          </w:p>
        </w:tc>
        <w:tc>
          <w:tcPr>
            <w:tcW w:type="dxa" w:w="893"/>
            <w:shd w:val="clear" w:color="auto" w:fill="1B5E5E"/>
            <w:vAlign w:val="center"/>
          </w:tcPr>
          <w:p>
            <w:pPr>
              <w:spacing w:after="20" w:before="20"/>
              <w:jc w:val="center"/>
            </w:pPr>
            <w:r/>
            <w:r>
              <w:rPr>
                <w:b/>
                <w:color w:val="FFFFFF"/>
                <w:sz w:val="18"/>
              </w:rPr>
              <w:t>FY24</w:t>
            </w:r>
          </w:p>
        </w:tc>
        <w:tc>
          <w:tcPr>
            <w:tcW w:type="dxa" w:w="893"/>
            <w:shd w:val="clear" w:color="auto" w:fill="1B5E5E"/>
            <w:vAlign w:val="center"/>
          </w:tcPr>
          <w:p>
            <w:pPr>
              <w:spacing w:after="20" w:before="20"/>
              <w:jc w:val="center"/>
            </w:pPr>
            <w:r/>
            <w:r>
              <w:rPr>
                <w:b/>
                <w:color w:val="FFFFFF"/>
                <w:sz w:val="18"/>
              </w:rPr>
              <w:t>FY25</w:t>
            </w:r>
          </w:p>
        </w:tc>
        <w:tc>
          <w:tcPr>
            <w:tcW w:type="dxa" w:w="893"/>
            <w:shd w:val="clear" w:color="auto" w:fill="1B5E5E"/>
            <w:vAlign w:val="center"/>
          </w:tcPr>
          <w:p>
            <w:pPr>
              <w:spacing w:after="20" w:before="20"/>
              <w:jc w:val="center"/>
            </w:pPr>
            <w:r/>
            <w:r>
              <w:rPr>
                <w:b/>
                <w:color w:val="FFFFFF"/>
                <w:sz w:val="18"/>
              </w:rPr>
              <w:t>FY26e</w:t>
            </w:r>
          </w:p>
        </w:tc>
        <w:tc>
          <w:tcPr>
            <w:tcW w:type="dxa" w:w="893"/>
            <w:shd w:val="clear" w:color="auto" w:fill="1B5E5E"/>
            <w:vAlign w:val="center"/>
          </w:tcPr>
          <w:p>
            <w:pPr>
              <w:spacing w:after="20" w:before="20"/>
              <w:jc w:val="center"/>
            </w:pPr>
            <w:r/>
            <w:r>
              <w:rPr>
                <w:b/>
                <w:color w:val="FFFFFF"/>
                <w:sz w:val="18"/>
              </w:rPr>
              <w:t>FY27e</w:t>
            </w:r>
          </w:p>
        </w:tc>
        <w:tc>
          <w:tcPr>
            <w:tcW w:type="dxa" w:w="893"/>
            <w:shd w:val="clear" w:color="auto" w:fill="1B5E5E"/>
            <w:vAlign w:val="center"/>
          </w:tcPr>
          <w:p>
            <w:pPr>
              <w:spacing w:after="20" w:before="20"/>
              <w:jc w:val="center"/>
            </w:pPr>
            <w:r/>
            <w:r>
              <w:rPr>
                <w:b/>
                <w:color w:val="FFFFFF"/>
                <w:sz w:val="18"/>
              </w:rPr>
              <w:t>FY28e</w:t>
            </w:r>
          </w:p>
        </w:tc>
        <w:tc>
          <w:tcPr>
            <w:tcW w:type="dxa" w:w="893"/>
            <w:shd w:val="clear" w:color="auto" w:fill="1B5E5E"/>
            <w:vAlign w:val="center"/>
          </w:tcPr>
          <w:p>
            <w:pPr>
              <w:spacing w:after="20" w:before="20"/>
              <w:jc w:val="center"/>
            </w:pPr>
            <w:r/>
            <w:r>
              <w:rPr>
                <w:b/>
                <w:color w:val="FFFFFF"/>
                <w:sz w:val="18"/>
              </w:rPr>
              <w:t>FY29e</w:t>
            </w:r>
          </w:p>
        </w:tc>
        <w:tc>
          <w:tcPr>
            <w:tcW w:type="dxa" w:w="893"/>
            <w:shd w:val="clear" w:color="auto" w:fill="1B5E5E"/>
            <w:vAlign w:val="center"/>
          </w:tcPr>
          <w:p>
            <w:pPr>
              <w:spacing w:after="20" w:before="20"/>
              <w:jc w:val="center"/>
            </w:pPr>
            <w:r/>
            <w:r>
              <w:rPr>
                <w:b/>
                <w:color w:val="FFFFFF"/>
                <w:sz w:val="18"/>
              </w:rPr>
              <w:t>FY30e</w:t>
            </w:r>
          </w:p>
        </w:tc>
      </w:tr>
      <w:tr>
        <w:tc>
          <w:tcPr>
            <w:tcW w:type="dxa" w:w="2736"/>
            <w:vAlign w:val="center"/>
          </w:tcPr>
          <w:p>
            <w:pPr>
              <w:spacing w:after="20" w:before="20"/>
              <w:jc w:val="left"/>
            </w:pPr>
            <w:r/>
            <w:r>
              <w:rPr>
                <w:b w:val="0"/>
                <w:sz w:val="16"/>
              </w:rPr>
              <w:t>Property, plant &amp; equipment (net)</w:t>
            </w:r>
          </w:p>
        </w:tc>
        <w:tc>
          <w:tcPr>
            <w:tcW w:type="dxa" w:w="893"/>
            <w:vAlign w:val="center"/>
          </w:tcPr>
          <w:p>
            <w:pPr>
              <w:spacing w:after="20" w:before="20"/>
              <w:jc w:val="center"/>
            </w:pPr>
            <w:r/>
            <w:r>
              <w:rPr>
                <w:b w:val="0"/>
                <w:sz w:val="16"/>
              </w:rPr>
              <w:t>600</w:t>
            </w:r>
          </w:p>
        </w:tc>
        <w:tc>
          <w:tcPr>
            <w:tcW w:type="dxa" w:w="893"/>
            <w:vAlign w:val="center"/>
          </w:tcPr>
          <w:p>
            <w:pPr>
              <w:spacing w:after="20" w:before="20"/>
              <w:jc w:val="center"/>
            </w:pPr>
            <w:r/>
            <w:r>
              <w:rPr>
                <w:b w:val="0"/>
                <w:sz w:val="16"/>
              </w:rPr>
              <w:t>720</w:t>
            </w:r>
          </w:p>
        </w:tc>
        <w:tc>
          <w:tcPr>
            <w:tcW w:type="dxa" w:w="893"/>
            <w:vAlign w:val="center"/>
          </w:tcPr>
          <w:p>
            <w:pPr>
              <w:spacing w:after="20" w:before="20"/>
              <w:jc w:val="center"/>
            </w:pPr>
            <w:r/>
            <w:r>
              <w:rPr>
                <w:b w:val="0"/>
                <w:sz w:val="16"/>
              </w:rPr>
              <w:t>780</w:t>
            </w:r>
          </w:p>
        </w:tc>
        <w:tc>
          <w:tcPr>
            <w:tcW w:type="dxa" w:w="893"/>
            <w:vAlign w:val="center"/>
          </w:tcPr>
          <w:p>
            <w:pPr>
              <w:spacing w:after="20" w:before="20"/>
              <w:jc w:val="center"/>
            </w:pPr>
            <w:r/>
            <w:r>
              <w:rPr>
                <w:b w:val="0"/>
                <w:sz w:val="16"/>
              </w:rPr>
              <w:t>790</w:t>
            </w:r>
          </w:p>
        </w:tc>
        <w:tc>
          <w:tcPr>
            <w:tcW w:type="dxa" w:w="893"/>
            <w:vAlign w:val="center"/>
          </w:tcPr>
          <w:p>
            <w:pPr>
              <w:spacing w:after="20" w:before="20"/>
              <w:jc w:val="center"/>
            </w:pPr>
            <w:r/>
            <w:r>
              <w:rPr>
                <w:b w:val="0"/>
                <w:sz w:val="16"/>
              </w:rPr>
              <w:t>800</w:t>
            </w:r>
          </w:p>
        </w:tc>
        <w:tc>
          <w:tcPr>
            <w:tcW w:type="dxa" w:w="893"/>
            <w:vAlign w:val="center"/>
          </w:tcPr>
          <w:p>
            <w:pPr>
              <w:spacing w:after="20" w:before="20"/>
              <w:jc w:val="center"/>
            </w:pPr>
            <w:r/>
            <w:r>
              <w:rPr>
                <w:b w:val="0"/>
                <w:sz w:val="16"/>
              </w:rPr>
              <w:t>810</w:t>
            </w:r>
          </w:p>
        </w:tc>
        <w:tc>
          <w:tcPr>
            <w:tcW w:type="dxa" w:w="893"/>
            <w:vAlign w:val="center"/>
          </w:tcPr>
          <w:p>
            <w:pPr>
              <w:spacing w:after="20" w:before="20"/>
              <w:jc w:val="center"/>
            </w:pPr>
            <w:r/>
            <w:r>
              <w:rPr>
                <w:b w:val="0"/>
                <w:sz w:val="16"/>
              </w:rPr>
              <w:t>820</w:t>
            </w:r>
          </w:p>
        </w:tc>
        <w:tc>
          <w:tcPr>
            <w:tcW w:type="dxa" w:w="893"/>
            <w:vAlign w:val="center"/>
          </w:tcPr>
          <w:p>
            <w:pPr>
              <w:spacing w:after="20" w:before="20"/>
              <w:jc w:val="center"/>
            </w:pPr>
            <w:r/>
            <w:r>
              <w:rPr>
                <w:b w:val="0"/>
                <w:sz w:val="16"/>
              </w:rPr>
              <w:t>830</w:t>
            </w:r>
          </w:p>
        </w:tc>
      </w:tr>
      <w:tr>
        <w:tc>
          <w:tcPr>
            <w:tcW w:type="dxa" w:w="2736"/>
            <w:shd w:val="clear" w:color="auto" w:fill="F3F7F7"/>
            <w:vAlign w:val="center"/>
          </w:tcPr>
          <w:p>
            <w:pPr>
              <w:spacing w:after="20" w:before="20"/>
              <w:jc w:val="left"/>
            </w:pPr>
            <w:r/>
            <w:r>
              <w:rPr>
                <w:b w:val="0"/>
                <w:sz w:val="16"/>
              </w:rPr>
              <w:t>Inventory</w:t>
            </w:r>
          </w:p>
        </w:tc>
        <w:tc>
          <w:tcPr>
            <w:tcW w:type="dxa" w:w="893"/>
            <w:shd w:val="clear" w:color="auto" w:fill="F3F7F7"/>
            <w:vAlign w:val="center"/>
          </w:tcPr>
          <w:p>
            <w:pPr>
              <w:spacing w:after="20" w:before="20"/>
              <w:jc w:val="center"/>
            </w:pPr>
            <w:r/>
            <w:r>
              <w:rPr>
                <w:b w:val="0"/>
                <w:sz w:val="16"/>
              </w:rPr>
              <w:t>350</w:t>
            </w:r>
          </w:p>
        </w:tc>
        <w:tc>
          <w:tcPr>
            <w:tcW w:type="dxa" w:w="893"/>
            <w:shd w:val="clear" w:color="auto" w:fill="F3F7F7"/>
            <w:vAlign w:val="center"/>
          </w:tcPr>
          <w:p>
            <w:pPr>
              <w:spacing w:after="20" w:before="20"/>
              <w:jc w:val="center"/>
            </w:pPr>
            <w:r/>
            <w:r>
              <w:rPr>
                <w:b w:val="0"/>
                <w:sz w:val="16"/>
              </w:rPr>
              <w:t>480</w:t>
            </w:r>
          </w:p>
        </w:tc>
        <w:tc>
          <w:tcPr>
            <w:tcW w:type="dxa" w:w="893"/>
            <w:shd w:val="clear" w:color="auto" w:fill="F3F7F7"/>
            <w:vAlign w:val="center"/>
          </w:tcPr>
          <w:p>
            <w:pPr>
              <w:spacing w:after="20" w:before="20"/>
              <w:jc w:val="center"/>
            </w:pPr>
            <w:r/>
            <w:r>
              <w:rPr>
                <w:b w:val="0"/>
                <w:sz w:val="16"/>
              </w:rPr>
              <w:t>500</w:t>
            </w:r>
          </w:p>
        </w:tc>
        <w:tc>
          <w:tcPr>
            <w:tcW w:type="dxa" w:w="893"/>
            <w:shd w:val="clear" w:color="auto" w:fill="F3F7F7"/>
            <w:vAlign w:val="center"/>
          </w:tcPr>
          <w:p>
            <w:pPr>
              <w:spacing w:after="20" w:before="20"/>
              <w:jc w:val="center"/>
            </w:pPr>
            <w:r/>
            <w:r>
              <w:rPr>
                <w:b w:val="0"/>
                <w:sz w:val="16"/>
              </w:rPr>
              <w:t>540</w:t>
            </w:r>
          </w:p>
        </w:tc>
        <w:tc>
          <w:tcPr>
            <w:tcW w:type="dxa" w:w="893"/>
            <w:shd w:val="clear" w:color="auto" w:fill="F3F7F7"/>
            <w:vAlign w:val="center"/>
          </w:tcPr>
          <w:p>
            <w:pPr>
              <w:spacing w:after="20" w:before="20"/>
              <w:jc w:val="center"/>
            </w:pPr>
            <w:r/>
            <w:r>
              <w:rPr>
                <w:b w:val="0"/>
                <w:sz w:val="16"/>
              </w:rPr>
              <w:t>585</w:t>
            </w:r>
          </w:p>
        </w:tc>
        <w:tc>
          <w:tcPr>
            <w:tcW w:type="dxa" w:w="893"/>
            <w:shd w:val="clear" w:color="auto" w:fill="F3F7F7"/>
            <w:vAlign w:val="center"/>
          </w:tcPr>
          <w:p>
            <w:pPr>
              <w:spacing w:after="20" w:before="20"/>
              <w:jc w:val="center"/>
            </w:pPr>
            <w:r/>
            <w:r>
              <w:rPr>
                <w:b w:val="0"/>
                <w:sz w:val="16"/>
              </w:rPr>
              <w:t>630</w:t>
            </w:r>
          </w:p>
        </w:tc>
        <w:tc>
          <w:tcPr>
            <w:tcW w:type="dxa" w:w="893"/>
            <w:shd w:val="clear" w:color="auto" w:fill="F3F7F7"/>
            <w:vAlign w:val="center"/>
          </w:tcPr>
          <w:p>
            <w:pPr>
              <w:spacing w:after="20" w:before="20"/>
              <w:jc w:val="center"/>
            </w:pPr>
            <w:r/>
            <w:r>
              <w:rPr>
                <w:b w:val="0"/>
                <w:sz w:val="16"/>
              </w:rPr>
              <w:t>680</w:t>
            </w:r>
          </w:p>
        </w:tc>
        <w:tc>
          <w:tcPr>
            <w:tcW w:type="dxa" w:w="893"/>
            <w:shd w:val="clear" w:color="auto" w:fill="F3F7F7"/>
            <w:vAlign w:val="center"/>
          </w:tcPr>
          <w:p>
            <w:pPr>
              <w:spacing w:after="20" w:before="20"/>
              <w:jc w:val="center"/>
            </w:pPr>
            <w:r/>
            <w:r>
              <w:rPr>
                <w:b w:val="0"/>
                <w:sz w:val="16"/>
              </w:rPr>
              <w:t>730</w:t>
            </w:r>
          </w:p>
        </w:tc>
      </w:tr>
      <w:tr>
        <w:tc>
          <w:tcPr>
            <w:tcW w:type="dxa" w:w="2736"/>
            <w:vAlign w:val="center"/>
          </w:tcPr>
          <w:p>
            <w:pPr>
              <w:spacing w:after="20" w:before="20"/>
              <w:jc w:val="left"/>
            </w:pPr>
            <w:r/>
            <w:r>
              <w:rPr>
                <w:b w:val="0"/>
                <w:sz w:val="16"/>
              </w:rPr>
              <w:t>Trade &amp; other receivables</w:t>
            </w:r>
          </w:p>
        </w:tc>
        <w:tc>
          <w:tcPr>
            <w:tcW w:type="dxa" w:w="893"/>
            <w:vAlign w:val="center"/>
          </w:tcPr>
          <w:p>
            <w:pPr>
              <w:spacing w:after="20" w:before="20"/>
              <w:jc w:val="center"/>
            </w:pPr>
            <w:r/>
            <w:r>
              <w:rPr>
                <w:b w:val="0"/>
                <w:sz w:val="16"/>
              </w:rPr>
              <w:t>250</w:t>
            </w:r>
          </w:p>
        </w:tc>
        <w:tc>
          <w:tcPr>
            <w:tcW w:type="dxa" w:w="893"/>
            <w:vAlign w:val="center"/>
          </w:tcPr>
          <w:p>
            <w:pPr>
              <w:spacing w:after="20" w:before="20"/>
              <w:jc w:val="center"/>
            </w:pPr>
            <w:r/>
            <w:r>
              <w:rPr>
                <w:b w:val="0"/>
                <w:sz w:val="16"/>
              </w:rPr>
              <w:t>340</w:t>
            </w:r>
          </w:p>
        </w:tc>
        <w:tc>
          <w:tcPr>
            <w:tcW w:type="dxa" w:w="893"/>
            <w:vAlign w:val="center"/>
          </w:tcPr>
          <w:p>
            <w:pPr>
              <w:spacing w:after="20" w:before="20"/>
              <w:jc w:val="center"/>
            </w:pPr>
            <w:r/>
            <w:r>
              <w:rPr>
                <w:b w:val="0"/>
                <w:sz w:val="16"/>
              </w:rPr>
              <w:t>360</w:t>
            </w:r>
          </w:p>
        </w:tc>
        <w:tc>
          <w:tcPr>
            <w:tcW w:type="dxa" w:w="893"/>
            <w:vAlign w:val="center"/>
          </w:tcPr>
          <w:p>
            <w:pPr>
              <w:spacing w:after="20" w:before="20"/>
              <w:jc w:val="center"/>
            </w:pPr>
            <w:r/>
            <w:r>
              <w:rPr>
                <w:b w:val="0"/>
                <w:sz w:val="16"/>
              </w:rPr>
              <w:t>390</w:t>
            </w:r>
          </w:p>
        </w:tc>
        <w:tc>
          <w:tcPr>
            <w:tcW w:type="dxa" w:w="893"/>
            <w:vAlign w:val="center"/>
          </w:tcPr>
          <w:p>
            <w:pPr>
              <w:spacing w:after="20" w:before="20"/>
              <w:jc w:val="center"/>
            </w:pPr>
            <w:r/>
            <w:r>
              <w:rPr>
                <w:b w:val="0"/>
                <w:sz w:val="16"/>
              </w:rPr>
              <w:t>425</w:t>
            </w:r>
          </w:p>
        </w:tc>
        <w:tc>
          <w:tcPr>
            <w:tcW w:type="dxa" w:w="893"/>
            <w:vAlign w:val="center"/>
          </w:tcPr>
          <w:p>
            <w:pPr>
              <w:spacing w:after="20" w:before="20"/>
              <w:jc w:val="center"/>
            </w:pPr>
            <w:r/>
            <w:r>
              <w:rPr>
                <w:b w:val="0"/>
                <w:sz w:val="16"/>
              </w:rPr>
              <w:t>460</w:t>
            </w:r>
          </w:p>
        </w:tc>
        <w:tc>
          <w:tcPr>
            <w:tcW w:type="dxa" w:w="893"/>
            <w:vAlign w:val="center"/>
          </w:tcPr>
          <w:p>
            <w:pPr>
              <w:spacing w:after="20" w:before="20"/>
              <w:jc w:val="center"/>
            </w:pPr>
            <w:r/>
            <w:r>
              <w:rPr>
                <w:b w:val="0"/>
                <w:sz w:val="16"/>
              </w:rPr>
              <w:t>500</w:t>
            </w:r>
          </w:p>
        </w:tc>
        <w:tc>
          <w:tcPr>
            <w:tcW w:type="dxa" w:w="893"/>
            <w:vAlign w:val="center"/>
          </w:tcPr>
          <w:p>
            <w:pPr>
              <w:spacing w:after="20" w:before="20"/>
              <w:jc w:val="center"/>
            </w:pPr>
            <w:r/>
            <w:r>
              <w:rPr>
                <w:b w:val="0"/>
                <w:sz w:val="16"/>
              </w:rPr>
              <w:t>540</w:t>
            </w:r>
          </w:p>
        </w:tc>
      </w:tr>
      <w:tr>
        <w:tc>
          <w:tcPr>
            <w:tcW w:type="dxa" w:w="2736"/>
            <w:shd w:val="clear" w:color="auto" w:fill="F3F7F7"/>
            <w:vAlign w:val="center"/>
          </w:tcPr>
          <w:p>
            <w:pPr>
              <w:spacing w:after="20" w:before="20"/>
              <w:jc w:val="left"/>
            </w:pPr>
            <w:r/>
            <w:r>
              <w:rPr>
                <w:b w:val="0"/>
                <w:sz w:val="16"/>
              </w:rPr>
              <w:t>Cash &amp; equivalents</w:t>
            </w:r>
          </w:p>
        </w:tc>
        <w:tc>
          <w:tcPr>
            <w:tcW w:type="dxa" w:w="893"/>
            <w:shd w:val="clear" w:color="auto" w:fill="F3F7F7"/>
            <w:vAlign w:val="center"/>
          </w:tcPr>
          <w:p>
            <w:pPr>
              <w:spacing w:after="20" w:before="20"/>
              <w:jc w:val="center"/>
            </w:pPr>
            <w:r/>
            <w:r>
              <w:rPr>
                <w:b w:val="0"/>
                <w:sz w:val="16"/>
              </w:rPr>
              <w:t>90</w:t>
            </w:r>
          </w:p>
        </w:tc>
        <w:tc>
          <w:tcPr>
            <w:tcW w:type="dxa" w:w="893"/>
            <w:shd w:val="clear" w:color="auto" w:fill="F3F7F7"/>
            <w:vAlign w:val="center"/>
          </w:tcPr>
          <w:p>
            <w:pPr>
              <w:spacing w:after="20" w:before="20"/>
              <w:jc w:val="center"/>
            </w:pPr>
            <w:r/>
            <w:r>
              <w:rPr>
                <w:b w:val="0"/>
                <w:sz w:val="16"/>
              </w:rPr>
              <w:t>140</w:t>
            </w:r>
          </w:p>
        </w:tc>
        <w:tc>
          <w:tcPr>
            <w:tcW w:type="dxa" w:w="893"/>
            <w:shd w:val="clear" w:color="auto" w:fill="F3F7F7"/>
            <w:vAlign w:val="center"/>
          </w:tcPr>
          <w:p>
            <w:pPr>
              <w:spacing w:after="20" w:before="20"/>
              <w:jc w:val="center"/>
            </w:pPr>
            <w:r/>
            <w:r>
              <w:rPr>
                <w:b w:val="0"/>
                <w:sz w:val="16"/>
              </w:rPr>
              <w:t>150</w:t>
            </w:r>
          </w:p>
        </w:tc>
        <w:tc>
          <w:tcPr>
            <w:tcW w:type="dxa" w:w="893"/>
            <w:shd w:val="clear" w:color="auto" w:fill="F3F7F7"/>
            <w:vAlign w:val="center"/>
          </w:tcPr>
          <w:p>
            <w:pPr>
              <w:spacing w:after="20" w:before="20"/>
              <w:jc w:val="center"/>
            </w:pPr>
            <w:r/>
            <w:r>
              <w:rPr>
                <w:b w:val="0"/>
                <w:sz w:val="16"/>
              </w:rPr>
              <w:t>175</w:t>
            </w:r>
          </w:p>
        </w:tc>
        <w:tc>
          <w:tcPr>
            <w:tcW w:type="dxa" w:w="893"/>
            <w:shd w:val="clear" w:color="auto" w:fill="F3F7F7"/>
            <w:vAlign w:val="center"/>
          </w:tcPr>
          <w:p>
            <w:pPr>
              <w:spacing w:after="20" w:before="20"/>
              <w:jc w:val="center"/>
            </w:pPr>
            <w:r/>
            <w:r>
              <w:rPr>
                <w:b w:val="0"/>
                <w:sz w:val="16"/>
              </w:rPr>
              <w:t>210</w:t>
            </w:r>
          </w:p>
        </w:tc>
        <w:tc>
          <w:tcPr>
            <w:tcW w:type="dxa" w:w="893"/>
            <w:shd w:val="clear" w:color="auto" w:fill="F3F7F7"/>
            <w:vAlign w:val="center"/>
          </w:tcPr>
          <w:p>
            <w:pPr>
              <w:spacing w:after="20" w:before="20"/>
              <w:jc w:val="center"/>
            </w:pPr>
            <w:r/>
            <w:r>
              <w:rPr>
                <w:b w:val="0"/>
                <w:sz w:val="16"/>
              </w:rPr>
              <w:t>255</w:t>
            </w:r>
          </w:p>
        </w:tc>
        <w:tc>
          <w:tcPr>
            <w:tcW w:type="dxa" w:w="893"/>
            <w:shd w:val="clear" w:color="auto" w:fill="F3F7F7"/>
            <w:vAlign w:val="center"/>
          </w:tcPr>
          <w:p>
            <w:pPr>
              <w:spacing w:after="20" w:before="20"/>
              <w:jc w:val="center"/>
            </w:pPr>
            <w:r/>
            <w:r>
              <w:rPr>
                <w:b w:val="0"/>
                <w:sz w:val="16"/>
              </w:rPr>
              <w:t>310</w:t>
            </w:r>
          </w:p>
        </w:tc>
        <w:tc>
          <w:tcPr>
            <w:tcW w:type="dxa" w:w="893"/>
            <w:shd w:val="clear" w:color="auto" w:fill="F3F7F7"/>
            <w:vAlign w:val="center"/>
          </w:tcPr>
          <w:p>
            <w:pPr>
              <w:spacing w:after="20" w:before="20"/>
              <w:jc w:val="center"/>
            </w:pPr>
            <w:r/>
            <w:r>
              <w:rPr>
                <w:b w:val="0"/>
                <w:sz w:val="16"/>
              </w:rPr>
              <w:t>375</w:t>
            </w:r>
          </w:p>
        </w:tc>
      </w:tr>
      <w:tr>
        <w:tc>
          <w:tcPr>
            <w:tcW w:type="dxa" w:w="2736"/>
            <w:vAlign w:val="center"/>
          </w:tcPr>
          <w:p>
            <w:pPr>
              <w:spacing w:after="20" w:before="20"/>
              <w:jc w:val="left"/>
            </w:pPr>
            <w:r/>
            <w:r>
              <w:rPr>
                <w:b w:val="0"/>
                <w:sz w:val="16"/>
              </w:rPr>
              <w:t>Other assets</w:t>
            </w:r>
          </w:p>
        </w:tc>
        <w:tc>
          <w:tcPr>
            <w:tcW w:type="dxa" w:w="893"/>
            <w:vAlign w:val="center"/>
          </w:tcPr>
          <w:p>
            <w:pPr>
              <w:spacing w:after="20" w:before="20"/>
              <w:jc w:val="center"/>
            </w:pPr>
            <w:r/>
            <w:r>
              <w:rPr>
                <w:b w:val="0"/>
                <w:sz w:val="16"/>
              </w:rPr>
              <w:t>60</w:t>
            </w:r>
          </w:p>
        </w:tc>
        <w:tc>
          <w:tcPr>
            <w:tcW w:type="dxa" w:w="893"/>
            <w:vAlign w:val="center"/>
          </w:tcPr>
          <w:p>
            <w:pPr>
              <w:spacing w:after="20" w:before="20"/>
              <w:jc w:val="center"/>
            </w:pPr>
            <w:r/>
            <w:r>
              <w:rPr>
                <w:b w:val="0"/>
                <w:sz w:val="16"/>
              </w:rPr>
              <w:t>80</w:t>
            </w:r>
          </w:p>
        </w:tc>
        <w:tc>
          <w:tcPr>
            <w:tcW w:type="dxa" w:w="893"/>
            <w:vAlign w:val="center"/>
          </w:tcPr>
          <w:p>
            <w:pPr>
              <w:spacing w:after="20" w:before="20"/>
              <w:jc w:val="center"/>
            </w:pPr>
            <w:r/>
            <w:r>
              <w:rPr>
                <w:b w:val="0"/>
                <w:sz w:val="16"/>
              </w:rPr>
              <w:t>44</w:t>
            </w:r>
          </w:p>
        </w:tc>
        <w:tc>
          <w:tcPr>
            <w:tcW w:type="dxa" w:w="893"/>
            <w:vAlign w:val="center"/>
          </w:tcPr>
          <w:p>
            <w:pPr>
              <w:spacing w:after="20" w:before="20"/>
              <w:jc w:val="center"/>
            </w:pPr>
            <w:r/>
            <w:r>
              <w:rPr>
                <w:b w:val="0"/>
                <w:sz w:val="16"/>
              </w:rPr>
              <w:t>45</w:t>
            </w:r>
          </w:p>
        </w:tc>
        <w:tc>
          <w:tcPr>
            <w:tcW w:type="dxa" w:w="893"/>
            <w:vAlign w:val="center"/>
          </w:tcPr>
          <w:p>
            <w:pPr>
              <w:spacing w:after="20" w:before="20"/>
              <w:jc w:val="center"/>
            </w:pPr>
            <w:r/>
            <w:r>
              <w:rPr>
                <w:b w:val="0"/>
                <w:sz w:val="16"/>
              </w:rPr>
              <w:t>46</w:t>
            </w:r>
          </w:p>
        </w:tc>
        <w:tc>
          <w:tcPr>
            <w:tcW w:type="dxa" w:w="893"/>
            <w:vAlign w:val="center"/>
          </w:tcPr>
          <w:p>
            <w:pPr>
              <w:spacing w:after="20" w:before="20"/>
              <w:jc w:val="center"/>
            </w:pPr>
            <w:r/>
            <w:r>
              <w:rPr>
                <w:b w:val="0"/>
                <w:sz w:val="16"/>
              </w:rPr>
              <w:t>47</w:t>
            </w:r>
          </w:p>
        </w:tc>
        <w:tc>
          <w:tcPr>
            <w:tcW w:type="dxa" w:w="893"/>
            <w:vAlign w:val="center"/>
          </w:tcPr>
          <w:p>
            <w:pPr>
              <w:spacing w:after="20" w:before="20"/>
              <w:jc w:val="center"/>
            </w:pPr>
            <w:r/>
            <w:r>
              <w:rPr>
                <w:b w:val="0"/>
                <w:sz w:val="16"/>
              </w:rPr>
              <w:t>48</w:t>
            </w:r>
          </w:p>
        </w:tc>
        <w:tc>
          <w:tcPr>
            <w:tcW w:type="dxa" w:w="893"/>
            <w:vAlign w:val="center"/>
          </w:tcPr>
          <w:p>
            <w:pPr>
              <w:spacing w:after="20" w:before="20"/>
              <w:jc w:val="center"/>
            </w:pPr>
            <w:r/>
            <w:r>
              <w:rPr>
                <w:b w:val="0"/>
                <w:sz w:val="16"/>
              </w:rPr>
              <w:t>49</w:t>
            </w:r>
          </w:p>
        </w:tc>
      </w:tr>
      <w:tr>
        <w:tc>
          <w:tcPr>
            <w:tcW w:type="dxa" w:w="2736"/>
            <w:shd w:val="clear" w:color="auto" w:fill="E3ECEC"/>
            <w:vAlign w:val="center"/>
          </w:tcPr>
          <w:p>
            <w:pPr>
              <w:spacing w:after="20" w:before="20"/>
              <w:jc w:val="left"/>
            </w:pPr>
            <w:r/>
            <w:r>
              <w:rPr>
                <w:b w:val="0"/>
                <w:sz w:val="16"/>
              </w:rPr>
              <w:t>Total assets</w:t>
            </w:r>
          </w:p>
        </w:tc>
        <w:tc>
          <w:tcPr>
            <w:tcW w:type="dxa" w:w="893"/>
            <w:shd w:val="clear" w:color="auto" w:fill="E3ECEC"/>
            <w:vAlign w:val="center"/>
          </w:tcPr>
          <w:p>
            <w:pPr>
              <w:spacing w:after="20" w:before="20"/>
              <w:jc w:val="center"/>
            </w:pPr>
            <w:r/>
            <w:r>
              <w:rPr>
                <w:b w:val="0"/>
                <w:sz w:val="16"/>
              </w:rPr>
              <w:t>1,350</w:t>
            </w:r>
          </w:p>
        </w:tc>
        <w:tc>
          <w:tcPr>
            <w:tcW w:type="dxa" w:w="893"/>
            <w:shd w:val="clear" w:color="auto" w:fill="E3ECEC"/>
            <w:vAlign w:val="center"/>
          </w:tcPr>
          <w:p>
            <w:pPr>
              <w:spacing w:after="20" w:before="20"/>
              <w:jc w:val="center"/>
            </w:pPr>
            <w:r/>
            <w:r>
              <w:rPr>
                <w:b w:val="0"/>
                <w:sz w:val="16"/>
              </w:rPr>
              <w:t>1,760</w:t>
            </w:r>
          </w:p>
        </w:tc>
        <w:tc>
          <w:tcPr>
            <w:tcW w:type="dxa" w:w="893"/>
            <w:shd w:val="clear" w:color="auto" w:fill="E3ECEC"/>
            <w:vAlign w:val="center"/>
          </w:tcPr>
          <w:p>
            <w:pPr>
              <w:spacing w:after="20" w:before="20"/>
              <w:jc w:val="center"/>
            </w:pPr>
            <w:r/>
            <w:r>
              <w:rPr>
                <w:b w:val="0"/>
                <w:sz w:val="16"/>
              </w:rPr>
              <w:t>1,834</w:t>
            </w:r>
          </w:p>
        </w:tc>
        <w:tc>
          <w:tcPr>
            <w:tcW w:type="dxa" w:w="893"/>
            <w:shd w:val="clear" w:color="auto" w:fill="E3ECEC"/>
            <w:vAlign w:val="center"/>
          </w:tcPr>
          <w:p>
            <w:pPr>
              <w:spacing w:after="20" w:before="20"/>
              <w:jc w:val="center"/>
            </w:pPr>
            <w:r/>
            <w:r>
              <w:rPr>
                <w:b w:val="0"/>
                <w:sz w:val="16"/>
              </w:rPr>
              <w:t>1,940</w:t>
            </w:r>
          </w:p>
        </w:tc>
        <w:tc>
          <w:tcPr>
            <w:tcW w:type="dxa" w:w="893"/>
            <w:shd w:val="clear" w:color="auto" w:fill="E3ECEC"/>
            <w:vAlign w:val="center"/>
          </w:tcPr>
          <w:p>
            <w:pPr>
              <w:spacing w:after="20" w:before="20"/>
              <w:jc w:val="center"/>
            </w:pPr>
            <w:r/>
            <w:r>
              <w:rPr>
                <w:b w:val="0"/>
                <w:sz w:val="16"/>
              </w:rPr>
              <w:t>2,066</w:t>
            </w:r>
          </w:p>
        </w:tc>
        <w:tc>
          <w:tcPr>
            <w:tcW w:type="dxa" w:w="893"/>
            <w:shd w:val="clear" w:color="auto" w:fill="E3ECEC"/>
            <w:vAlign w:val="center"/>
          </w:tcPr>
          <w:p>
            <w:pPr>
              <w:spacing w:after="20" w:before="20"/>
              <w:jc w:val="center"/>
            </w:pPr>
            <w:r/>
            <w:r>
              <w:rPr>
                <w:b w:val="0"/>
                <w:sz w:val="16"/>
              </w:rPr>
              <w:t>2,202</w:t>
            </w:r>
          </w:p>
        </w:tc>
        <w:tc>
          <w:tcPr>
            <w:tcW w:type="dxa" w:w="893"/>
            <w:shd w:val="clear" w:color="auto" w:fill="E3ECEC"/>
            <w:vAlign w:val="center"/>
          </w:tcPr>
          <w:p>
            <w:pPr>
              <w:spacing w:after="20" w:before="20"/>
              <w:jc w:val="center"/>
            </w:pPr>
            <w:r/>
            <w:r>
              <w:rPr>
                <w:b w:val="0"/>
                <w:sz w:val="16"/>
              </w:rPr>
              <w:t>2,358</w:t>
            </w:r>
          </w:p>
        </w:tc>
        <w:tc>
          <w:tcPr>
            <w:tcW w:type="dxa" w:w="893"/>
            <w:shd w:val="clear" w:color="auto" w:fill="E3ECEC"/>
            <w:vAlign w:val="center"/>
          </w:tcPr>
          <w:p>
            <w:pPr>
              <w:spacing w:after="20" w:before="20"/>
              <w:jc w:val="center"/>
            </w:pPr>
            <w:r/>
            <w:r>
              <w:rPr>
                <w:b w:val="0"/>
                <w:sz w:val="16"/>
              </w:rPr>
              <w:t>2,524</w:t>
            </w:r>
          </w:p>
        </w:tc>
      </w:tr>
      <w:tr>
        <w:tc>
          <w:tcPr>
            <w:tcW w:type="dxa" w:w="2736"/>
            <w:vAlign w:val="center"/>
          </w:tcPr>
          <w:p>
            <w:pPr>
              <w:spacing w:after="20" w:before="20"/>
              <w:jc w:val="left"/>
            </w:pPr>
            <w:r/>
            <w:r>
              <w:rPr>
                <w:b w:val="0"/>
                <w:sz w:val="16"/>
              </w:rPr>
              <w:t>Interest-bearing debt</w:t>
            </w:r>
          </w:p>
        </w:tc>
        <w:tc>
          <w:tcPr>
            <w:tcW w:type="dxa" w:w="893"/>
            <w:vAlign w:val="center"/>
          </w:tcPr>
          <w:p>
            <w:pPr>
              <w:spacing w:after="20" w:before="20"/>
              <w:jc w:val="center"/>
            </w:pPr>
            <w:r/>
            <w:r>
              <w:rPr>
                <w:b w:val="0"/>
                <w:sz w:val="16"/>
              </w:rPr>
              <w:t>380</w:t>
            </w:r>
          </w:p>
        </w:tc>
        <w:tc>
          <w:tcPr>
            <w:tcW w:type="dxa" w:w="893"/>
            <w:vAlign w:val="center"/>
          </w:tcPr>
          <w:p>
            <w:pPr>
              <w:spacing w:after="20" w:before="20"/>
              <w:jc w:val="center"/>
            </w:pPr>
            <w:r/>
            <w:r>
              <w:rPr>
                <w:b w:val="0"/>
                <w:sz w:val="16"/>
              </w:rPr>
              <w:t>520</w:t>
            </w:r>
          </w:p>
        </w:tc>
        <w:tc>
          <w:tcPr>
            <w:tcW w:type="dxa" w:w="893"/>
            <w:vAlign w:val="center"/>
          </w:tcPr>
          <w:p>
            <w:pPr>
              <w:spacing w:after="20" w:before="20"/>
              <w:jc w:val="center"/>
            </w:pPr>
            <w:r/>
            <w:r>
              <w:rPr>
                <w:b w:val="0"/>
                <w:sz w:val="16"/>
              </w:rPr>
              <w:t>559</w:t>
            </w:r>
          </w:p>
        </w:tc>
        <w:tc>
          <w:tcPr>
            <w:tcW w:type="dxa" w:w="893"/>
            <w:vAlign w:val="center"/>
          </w:tcPr>
          <w:p>
            <w:pPr>
              <w:spacing w:after="20" w:before="20"/>
              <w:jc w:val="center"/>
            </w:pPr>
            <w:r/>
            <w:r>
              <w:rPr>
                <w:b w:val="0"/>
                <w:sz w:val="16"/>
              </w:rPr>
              <w:t>540</w:t>
            </w:r>
          </w:p>
        </w:tc>
        <w:tc>
          <w:tcPr>
            <w:tcW w:type="dxa" w:w="893"/>
            <w:vAlign w:val="center"/>
          </w:tcPr>
          <w:p>
            <w:pPr>
              <w:spacing w:after="20" w:before="20"/>
              <w:jc w:val="center"/>
            </w:pPr>
            <w:r/>
            <w:r>
              <w:rPr>
                <w:b w:val="0"/>
                <w:sz w:val="16"/>
              </w:rPr>
              <w:t>520</w:t>
            </w:r>
          </w:p>
        </w:tc>
        <w:tc>
          <w:tcPr>
            <w:tcW w:type="dxa" w:w="893"/>
            <w:vAlign w:val="center"/>
          </w:tcPr>
          <w:p>
            <w:pPr>
              <w:spacing w:after="20" w:before="20"/>
              <w:jc w:val="center"/>
            </w:pPr>
            <w:r/>
            <w:r>
              <w:rPr>
                <w:b w:val="0"/>
                <w:sz w:val="16"/>
              </w:rPr>
              <w:t>500</w:t>
            </w:r>
          </w:p>
        </w:tc>
        <w:tc>
          <w:tcPr>
            <w:tcW w:type="dxa" w:w="893"/>
            <w:vAlign w:val="center"/>
          </w:tcPr>
          <w:p>
            <w:pPr>
              <w:spacing w:after="20" w:before="20"/>
              <w:jc w:val="center"/>
            </w:pPr>
            <w:r/>
            <w:r>
              <w:rPr>
                <w:b w:val="0"/>
                <w:sz w:val="16"/>
              </w:rPr>
              <w:t>480</w:t>
            </w:r>
          </w:p>
        </w:tc>
        <w:tc>
          <w:tcPr>
            <w:tcW w:type="dxa" w:w="893"/>
            <w:vAlign w:val="center"/>
          </w:tcPr>
          <w:p>
            <w:pPr>
              <w:spacing w:after="20" w:before="20"/>
              <w:jc w:val="center"/>
            </w:pPr>
            <w:r/>
            <w:r>
              <w:rPr>
                <w:b w:val="0"/>
                <w:sz w:val="16"/>
              </w:rPr>
              <w:t>460</w:t>
            </w:r>
          </w:p>
        </w:tc>
      </w:tr>
      <w:tr>
        <w:tc>
          <w:tcPr>
            <w:tcW w:type="dxa" w:w="2736"/>
            <w:shd w:val="clear" w:color="auto" w:fill="F3F7F7"/>
            <w:vAlign w:val="center"/>
          </w:tcPr>
          <w:p>
            <w:pPr>
              <w:spacing w:after="20" w:before="20"/>
              <w:jc w:val="left"/>
            </w:pPr>
            <w:r/>
            <w:r>
              <w:rPr>
                <w:b w:val="0"/>
                <w:sz w:val="16"/>
              </w:rPr>
              <w:t>Payables &amp; other liabilities</w:t>
            </w:r>
          </w:p>
        </w:tc>
        <w:tc>
          <w:tcPr>
            <w:tcW w:type="dxa" w:w="893"/>
            <w:shd w:val="clear" w:color="auto" w:fill="F3F7F7"/>
            <w:vAlign w:val="center"/>
          </w:tcPr>
          <w:p>
            <w:pPr>
              <w:spacing w:after="20" w:before="20"/>
              <w:jc w:val="center"/>
            </w:pPr>
            <w:r/>
            <w:r>
              <w:rPr>
                <w:b w:val="0"/>
                <w:sz w:val="16"/>
              </w:rPr>
              <w:t>120</w:t>
            </w:r>
          </w:p>
        </w:tc>
        <w:tc>
          <w:tcPr>
            <w:tcW w:type="dxa" w:w="893"/>
            <w:shd w:val="clear" w:color="auto" w:fill="F3F7F7"/>
            <w:vAlign w:val="center"/>
          </w:tcPr>
          <w:p>
            <w:pPr>
              <w:spacing w:after="20" w:before="20"/>
              <w:jc w:val="center"/>
            </w:pPr>
            <w:r/>
            <w:r>
              <w:rPr>
                <w:b w:val="0"/>
                <w:sz w:val="16"/>
              </w:rPr>
              <w:t>150</w:t>
            </w:r>
          </w:p>
        </w:tc>
        <w:tc>
          <w:tcPr>
            <w:tcW w:type="dxa" w:w="893"/>
            <w:shd w:val="clear" w:color="auto" w:fill="F3F7F7"/>
            <w:vAlign w:val="center"/>
          </w:tcPr>
          <w:p>
            <w:pPr>
              <w:spacing w:after="20" w:before="20"/>
              <w:jc w:val="center"/>
            </w:pPr>
            <w:r/>
            <w:r>
              <w:rPr>
                <w:b w:val="0"/>
                <w:sz w:val="16"/>
              </w:rPr>
              <w:t>123</w:t>
            </w:r>
          </w:p>
        </w:tc>
        <w:tc>
          <w:tcPr>
            <w:tcW w:type="dxa" w:w="893"/>
            <w:shd w:val="clear" w:color="auto" w:fill="F3F7F7"/>
            <w:vAlign w:val="center"/>
          </w:tcPr>
          <w:p>
            <w:pPr>
              <w:spacing w:after="20" w:before="20"/>
              <w:jc w:val="center"/>
            </w:pPr>
            <w:r/>
            <w:r>
              <w:rPr>
                <w:b w:val="0"/>
                <w:sz w:val="16"/>
              </w:rPr>
              <w:t>197</w:t>
            </w:r>
          </w:p>
        </w:tc>
        <w:tc>
          <w:tcPr>
            <w:tcW w:type="dxa" w:w="893"/>
            <w:shd w:val="clear" w:color="auto" w:fill="F3F7F7"/>
            <w:vAlign w:val="center"/>
          </w:tcPr>
          <w:p>
            <w:pPr>
              <w:spacing w:after="20" w:before="20"/>
              <w:jc w:val="center"/>
            </w:pPr>
            <w:r/>
            <w:r>
              <w:rPr>
                <w:b w:val="0"/>
                <w:sz w:val="16"/>
              </w:rPr>
              <w:t>276</w:t>
            </w:r>
          </w:p>
        </w:tc>
        <w:tc>
          <w:tcPr>
            <w:tcW w:type="dxa" w:w="893"/>
            <w:shd w:val="clear" w:color="auto" w:fill="F3F7F7"/>
            <w:vAlign w:val="center"/>
          </w:tcPr>
          <w:p>
            <w:pPr>
              <w:spacing w:after="20" w:before="20"/>
              <w:jc w:val="center"/>
            </w:pPr>
            <w:r/>
            <w:r>
              <w:rPr>
                <w:b w:val="0"/>
                <w:sz w:val="16"/>
              </w:rPr>
              <w:t>348</w:t>
            </w:r>
          </w:p>
        </w:tc>
        <w:tc>
          <w:tcPr>
            <w:tcW w:type="dxa" w:w="893"/>
            <w:shd w:val="clear" w:color="auto" w:fill="F3F7F7"/>
            <w:vAlign w:val="center"/>
          </w:tcPr>
          <w:p>
            <w:pPr>
              <w:spacing w:after="20" w:before="20"/>
              <w:jc w:val="center"/>
            </w:pPr>
            <w:r/>
            <w:r>
              <w:rPr>
                <w:b w:val="0"/>
                <w:sz w:val="16"/>
              </w:rPr>
              <w:t>423</w:t>
            </w:r>
          </w:p>
        </w:tc>
        <w:tc>
          <w:tcPr>
            <w:tcW w:type="dxa" w:w="893"/>
            <w:shd w:val="clear" w:color="auto" w:fill="F3F7F7"/>
            <w:vAlign w:val="center"/>
          </w:tcPr>
          <w:p>
            <w:pPr>
              <w:spacing w:after="20" w:before="20"/>
              <w:jc w:val="center"/>
            </w:pPr>
            <w:r/>
            <w:r>
              <w:rPr>
                <w:b w:val="0"/>
                <w:sz w:val="16"/>
              </w:rPr>
              <w:t>490</w:t>
            </w:r>
          </w:p>
        </w:tc>
      </w:tr>
      <w:tr>
        <w:tc>
          <w:tcPr>
            <w:tcW w:type="dxa" w:w="2736"/>
            <w:shd w:val="clear" w:color="auto" w:fill="E3ECEC"/>
            <w:vAlign w:val="center"/>
          </w:tcPr>
          <w:p>
            <w:pPr>
              <w:spacing w:after="20" w:before="20"/>
              <w:jc w:val="left"/>
            </w:pPr>
            <w:r/>
            <w:r>
              <w:rPr>
                <w:b w:val="0"/>
                <w:sz w:val="16"/>
              </w:rPr>
              <w:t>Total liabilities</w:t>
            </w:r>
          </w:p>
        </w:tc>
        <w:tc>
          <w:tcPr>
            <w:tcW w:type="dxa" w:w="893"/>
            <w:shd w:val="clear" w:color="auto" w:fill="E3ECEC"/>
            <w:vAlign w:val="center"/>
          </w:tcPr>
          <w:p>
            <w:pPr>
              <w:spacing w:after="20" w:before="20"/>
              <w:jc w:val="center"/>
            </w:pPr>
            <w:r/>
            <w:r>
              <w:rPr>
                <w:b w:val="0"/>
                <w:sz w:val="16"/>
              </w:rPr>
              <w:t>500</w:t>
            </w:r>
          </w:p>
        </w:tc>
        <w:tc>
          <w:tcPr>
            <w:tcW w:type="dxa" w:w="893"/>
            <w:shd w:val="clear" w:color="auto" w:fill="E3ECEC"/>
            <w:vAlign w:val="center"/>
          </w:tcPr>
          <w:p>
            <w:pPr>
              <w:spacing w:after="20" w:before="20"/>
              <w:jc w:val="center"/>
            </w:pPr>
            <w:r/>
            <w:r>
              <w:rPr>
                <w:b w:val="0"/>
                <w:sz w:val="16"/>
              </w:rPr>
              <w:t>670</w:t>
            </w:r>
          </w:p>
        </w:tc>
        <w:tc>
          <w:tcPr>
            <w:tcW w:type="dxa" w:w="893"/>
            <w:shd w:val="clear" w:color="auto" w:fill="E3ECEC"/>
            <w:vAlign w:val="center"/>
          </w:tcPr>
          <w:p>
            <w:pPr>
              <w:spacing w:after="20" w:before="20"/>
              <w:jc w:val="center"/>
            </w:pPr>
            <w:r/>
            <w:r>
              <w:rPr>
                <w:b w:val="0"/>
                <w:sz w:val="16"/>
              </w:rPr>
              <w:t>682</w:t>
            </w:r>
          </w:p>
        </w:tc>
        <w:tc>
          <w:tcPr>
            <w:tcW w:type="dxa" w:w="893"/>
            <w:shd w:val="clear" w:color="auto" w:fill="E3ECEC"/>
            <w:vAlign w:val="center"/>
          </w:tcPr>
          <w:p>
            <w:pPr>
              <w:spacing w:after="20" w:before="20"/>
              <w:jc w:val="center"/>
            </w:pPr>
            <w:r/>
            <w:r>
              <w:rPr>
                <w:b w:val="0"/>
                <w:sz w:val="16"/>
              </w:rPr>
              <w:t>737</w:t>
            </w:r>
          </w:p>
        </w:tc>
        <w:tc>
          <w:tcPr>
            <w:tcW w:type="dxa" w:w="893"/>
            <w:shd w:val="clear" w:color="auto" w:fill="E3ECEC"/>
            <w:vAlign w:val="center"/>
          </w:tcPr>
          <w:p>
            <w:pPr>
              <w:spacing w:after="20" w:before="20"/>
              <w:jc w:val="center"/>
            </w:pPr>
            <w:r/>
            <w:r>
              <w:rPr>
                <w:b w:val="0"/>
                <w:sz w:val="16"/>
              </w:rPr>
              <w:t>796</w:t>
            </w:r>
          </w:p>
        </w:tc>
        <w:tc>
          <w:tcPr>
            <w:tcW w:type="dxa" w:w="893"/>
            <w:shd w:val="clear" w:color="auto" w:fill="E3ECEC"/>
            <w:vAlign w:val="center"/>
          </w:tcPr>
          <w:p>
            <w:pPr>
              <w:spacing w:after="20" w:before="20"/>
              <w:jc w:val="center"/>
            </w:pPr>
            <w:r/>
            <w:r>
              <w:rPr>
                <w:b w:val="0"/>
                <w:sz w:val="16"/>
              </w:rPr>
              <w:t>848</w:t>
            </w:r>
          </w:p>
        </w:tc>
        <w:tc>
          <w:tcPr>
            <w:tcW w:type="dxa" w:w="893"/>
            <w:shd w:val="clear" w:color="auto" w:fill="E3ECEC"/>
            <w:vAlign w:val="center"/>
          </w:tcPr>
          <w:p>
            <w:pPr>
              <w:spacing w:after="20" w:before="20"/>
              <w:jc w:val="center"/>
            </w:pPr>
            <w:r/>
            <w:r>
              <w:rPr>
                <w:b w:val="0"/>
                <w:sz w:val="16"/>
              </w:rPr>
              <w:t>903</w:t>
            </w:r>
          </w:p>
        </w:tc>
        <w:tc>
          <w:tcPr>
            <w:tcW w:type="dxa" w:w="893"/>
            <w:shd w:val="clear" w:color="auto" w:fill="E3ECEC"/>
            <w:vAlign w:val="center"/>
          </w:tcPr>
          <w:p>
            <w:pPr>
              <w:spacing w:after="20" w:before="20"/>
              <w:jc w:val="center"/>
            </w:pPr>
            <w:r/>
            <w:r>
              <w:rPr>
                <w:b w:val="0"/>
                <w:sz w:val="16"/>
              </w:rPr>
              <w:t>950</w:t>
            </w:r>
          </w:p>
        </w:tc>
      </w:tr>
      <w:tr>
        <w:tc>
          <w:tcPr>
            <w:tcW w:type="dxa" w:w="2736"/>
            <w:shd w:val="clear" w:color="auto" w:fill="E3ECEC"/>
            <w:vAlign w:val="center"/>
          </w:tcPr>
          <w:p>
            <w:pPr>
              <w:spacing w:after="20" w:before="20"/>
              <w:jc w:val="left"/>
            </w:pPr>
            <w:r/>
            <w:r>
              <w:rPr>
                <w:b w:val="0"/>
                <w:sz w:val="16"/>
              </w:rPr>
              <w:t>Total equity (attributable)</w:t>
            </w:r>
          </w:p>
        </w:tc>
        <w:tc>
          <w:tcPr>
            <w:tcW w:type="dxa" w:w="893"/>
            <w:shd w:val="clear" w:color="auto" w:fill="E3ECEC"/>
            <w:vAlign w:val="center"/>
          </w:tcPr>
          <w:p>
            <w:pPr>
              <w:spacing w:after="20" w:before="20"/>
              <w:jc w:val="center"/>
            </w:pPr>
            <w:r/>
            <w:r>
              <w:rPr>
                <w:b w:val="0"/>
                <w:sz w:val="16"/>
              </w:rPr>
              <w:t>850</w:t>
            </w:r>
          </w:p>
        </w:tc>
        <w:tc>
          <w:tcPr>
            <w:tcW w:type="dxa" w:w="893"/>
            <w:shd w:val="clear" w:color="auto" w:fill="E3ECEC"/>
            <w:vAlign w:val="center"/>
          </w:tcPr>
          <w:p>
            <w:pPr>
              <w:spacing w:after="20" w:before="20"/>
              <w:jc w:val="center"/>
            </w:pPr>
            <w:r/>
            <w:r>
              <w:rPr>
                <w:b w:val="0"/>
                <w:sz w:val="16"/>
              </w:rPr>
              <w:t>1,090</w:t>
            </w:r>
          </w:p>
        </w:tc>
        <w:tc>
          <w:tcPr>
            <w:tcW w:type="dxa" w:w="893"/>
            <w:shd w:val="clear" w:color="auto" w:fill="E3ECEC"/>
            <w:vAlign w:val="center"/>
          </w:tcPr>
          <w:p>
            <w:pPr>
              <w:spacing w:after="20" w:before="20"/>
              <w:jc w:val="center"/>
            </w:pPr>
            <w:r/>
            <w:r>
              <w:rPr>
                <w:b w:val="0"/>
                <w:sz w:val="16"/>
              </w:rPr>
              <w:t>1,152</w:t>
            </w:r>
          </w:p>
        </w:tc>
        <w:tc>
          <w:tcPr>
            <w:tcW w:type="dxa" w:w="893"/>
            <w:shd w:val="clear" w:color="auto" w:fill="E3ECEC"/>
            <w:vAlign w:val="center"/>
          </w:tcPr>
          <w:p>
            <w:pPr>
              <w:spacing w:after="20" w:before="20"/>
              <w:jc w:val="center"/>
            </w:pPr>
            <w:r/>
            <w:r>
              <w:rPr>
                <w:b w:val="0"/>
                <w:sz w:val="16"/>
              </w:rPr>
              <w:t>1,203</w:t>
            </w:r>
          </w:p>
        </w:tc>
        <w:tc>
          <w:tcPr>
            <w:tcW w:type="dxa" w:w="893"/>
            <w:shd w:val="clear" w:color="auto" w:fill="E3ECEC"/>
            <w:vAlign w:val="center"/>
          </w:tcPr>
          <w:p>
            <w:pPr>
              <w:spacing w:after="20" w:before="20"/>
              <w:jc w:val="center"/>
            </w:pPr>
            <w:r/>
            <w:r>
              <w:rPr>
                <w:b w:val="0"/>
                <w:sz w:val="16"/>
              </w:rPr>
              <w:t>1,270</w:t>
            </w:r>
          </w:p>
        </w:tc>
        <w:tc>
          <w:tcPr>
            <w:tcW w:type="dxa" w:w="893"/>
            <w:shd w:val="clear" w:color="auto" w:fill="E3ECEC"/>
            <w:vAlign w:val="center"/>
          </w:tcPr>
          <w:p>
            <w:pPr>
              <w:spacing w:after="20" w:before="20"/>
              <w:jc w:val="center"/>
            </w:pPr>
            <w:r/>
            <w:r>
              <w:rPr>
                <w:b w:val="0"/>
                <w:sz w:val="16"/>
              </w:rPr>
              <w:t>1,354</w:t>
            </w:r>
          </w:p>
        </w:tc>
        <w:tc>
          <w:tcPr>
            <w:tcW w:type="dxa" w:w="893"/>
            <w:shd w:val="clear" w:color="auto" w:fill="E3ECEC"/>
            <w:vAlign w:val="center"/>
          </w:tcPr>
          <w:p>
            <w:pPr>
              <w:spacing w:after="20" w:before="20"/>
              <w:jc w:val="center"/>
            </w:pPr>
            <w:r/>
            <w:r>
              <w:rPr>
                <w:b w:val="0"/>
                <w:sz w:val="16"/>
              </w:rPr>
              <w:t>1,455</w:t>
            </w:r>
          </w:p>
        </w:tc>
        <w:tc>
          <w:tcPr>
            <w:tcW w:type="dxa" w:w="893"/>
            <w:shd w:val="clear" w:color="auto" w:fill="E3ECEC"/>
            <w:vAlign w:val="center"/>
          </w:tcPr>
          <w:p>
            <w:pPr>
              <w:spacing w:after="20" w:before="20"/>
              <w:jc w:val="center"/>
            </w:pPr>
            <w:r/>
            <w:r>
              <w:rPr>
                <w:b w:val="0"/>
                <w:sz w:val="16"/>
              </w:rPr>
              <w:t>1,574</w:t>
            </w:r>
          </w:p>
        </w:tc>
      </w:tr>
    </w:tbl>
    <w:p>
      <w:pPr>
        <w:spacing w:after="40"/>
      </w:pPr>
    </w:p>
    <w:p>
      <w:pPr>
        <w:spacing w:after="100" w:line="259" w:lineRule="auto"/>
      </w:pPr>
      <w:r>
        <w:rPr>
          <w:b w:val="0"/>
          <w:i/>
          <w:sz w:val="17"/>
        </w:rPr>
        <w:t>*Total assets, total liabilities and equity for FY2025 tie to the reviewed balance sheet (total assets EGP 1,834m; liabilities EGP 683m; equity EGP 1,152m). The asset-line split and all other years are reconstructed and flagged. Equity grows by retained earnings — KABO pays no dividend. PP&amp;E is carried near depreciated cost; the RNAV land re-mark in §1 is NOT reflected here.*</w:t>
      </w:r>
    </w:p>
    <w:p>
      <w:pPr>
        <w:spacing w:before="140" w:after="40"/>
      </w:pPr>
      <w:r>
        <w:rPr>
          <w:b/>
          <w:color w:val="2A8F8F"/>
          <w:sz w:val="23"/>
        </w:rPr>
        <w:t>A.3  Cash flow (consolidated, EGP m)</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136"/>
        <w:gridCol w:w="1136"/>
        <w:gridCol w:w="1136"/>
        <w:gridCol w:w="1136"/>
        <w:gridCol w:w="1136"/>
        <w:gridCol w:w="1136"/>
        <w:gridCol w:w="1136"/>
        <w:gridCol w:w="1136"/>
        <w:gridCol w:w="1136"/>
      </w:tblGrid>
      <w:tr>
        <w:tc>
          <w:tcPr>
            <w:tcW w:type="dxa" w:w="2736"/>
            <w:shd w:val="clear" w:color="auto" w:fill="1B5E5E"/>
            <w:vAlign w:val="center"/>
          </w:tcPr>
          <w:p>
            <w:pPr>
              <w:spacing w:after="20" w:before="20"/>
              <w:jc w:val="left"/>
            </w:pPr>
            <w:r/>
            <w:r>
              <w:rPr>
                <w:b/>
                <w:color w:val="FFFFFF"/>
                <w:sz w:val="18"/>
              </w:rPr>
              <w:t>Line</w:t>
            </w:r>
          </w:p>
        </w:tc>
        <w:tc>
          <w:tcPr>
            <w:tcW w:type="dxa" w:w="893"/>
            <w:shd w:val="clear" w:color="auto" w:fill="1B5E5E"/>
            <w:vAlign w:val="center"/>
          </w:tcPr>
          <w:p>
            <w:pPr>
              <w:spacing w:after="20" w:before="20"/>
              <w:jc w:val="center"/>
            </w:pPr>
            <w:r/>
            <w:r>
              <w:rPr>
                <w:b/>
                <w:color w:val="FFFFFF"/>
                <w:sz w:val="18"/>
              </w:rPr>
              <w:t>FY23</w:t>
            </w:r>
          </w:p>
        </w:tc>
        <w:tc>
          <w:tcPr>
            <w:tcW w:type="dxa" w:w="893"/>
            <w:shd w:val="clear" w:color="auto" w:fill="1B5E5E"/>
            <w:vAlign w:val="center"/>
          </w:tcPr>
          <w:p>
            <w:pPr>
              <w:spacing w:after="20" w:before="20"/>
              <w:jc w:val="center"/>
            </w:pPr>
            <w:r/>
            <w:r>
              <w:rPr>
                <w:b/>
                <w:color w:val="FFFFFF"/>
                <w:sz w:val="18"/>
              </w:rPr>
              <w:t>FY24</w:t>
            </w:r>
          </w:p>
        </w:tc>
        <w:tc>
          <w:tcPr>
            <w:tcW w:type="dxa" w:w="893"/>
            <w:shd w:val="clear" w:color="auto" w:fill="1B5E5E"/>
            <w:vAlign w:val="center"/>
          </w:tcPr>
          <w:p>
            <w:pPr>
              <w:spacing w:after="20" w:before="20"/>
              <w:jc w:val="center"/>
            </w:pPr>
            <w:r/>
            <w:r>
              <w:rPr>
                <w:b/>
                <w:color w:val="FFFFFF"/>
                <w:sz w:val="18"/>
              </w:rPr>
              <w:t>FY25</w:t>
            </w:r>
          </w:p>
        </w:tc>
        <w:tc>
          <w:tcPr>
            <w:tcW w:type="dxa" w:w="893"/>
            <w:shd w:val="clear" w:color="auto" w:fill="1B5E5E"/>
            <w:vAlign w:val="center"/>
          </w:tcPr>
          <w:p>
            <w:pPr>
              <w:spacing w:after="20" w:before="20"/>
              <w:jc w:val="center"/>
            </w:pPr>
            <w:r/>
            <w:r>
              <w:rPr>
                <w:b/>
                <w:color w:val="FFFFFF"/>
                <w:sz w:val="18"/>
              </w:rPr>
              <w:t>FY26e</w:t>
            </w:r>
          </w:p>
        </w:tc>
        <w:tc>
          <w:tcPr>
            <w:tcW w:type="dxa" w:w="893"/>
            <w:shd w:val="clear" w:color="auto" w:fill="1B5E5E"/>
            <w:vAlign w:val="center"/>
          </w:tcPr>
          <w:p>
            <w:pPr>
              <w:spacing w:after="20" w:before="20"/>
              <w:jc w:val="center"/>
            </w:pPr>
            <w:r/>
            <w:r>
              <w:rPr>
                <w:b/>
                <w:color w:val="FFFFFF"/>
                <w:sz w:val="18"/>
              </w:rPr>
              <w:t>FY27e</w:t>
            </w:r>
          </w:p>
        </w:tc>
        <w:tc>
          <w:tcPr>
            <w:tcW w:type="dxa" w:w="893"/>
            <w:shd w:val="clear" w:color="auto" w:fill="1B5E5E"/>
            <w:vAlign w:val="center"/>
          </w:tcPr>
          <w:p>
            <w:pPr>
              <w:spacing w:after="20" w:before="20"/>
              <w:jc w:val="center"/>
            </w:pPr>
            <w:r/>
            <w:r>
              <w:rPr>
                <w:b/>
                <w:color w:val="FFFFFF"/>
                <w:sz w:val="18"/>
              </w:rPr>
              <w:t>FY28e</w:t>
            </w:r>
          </w:p>
        </w:tc>
        <w:tc>
          <w:tcPr>
            <w:tcW w:type="dxa" w:w="893"/>
            <w:shd w:val="clear" w:color="auto" w:fill="1B5E5E"/>
            <w:vAlign w:val="center"/>
          </w:tcPr>
          <w:p>
            <w:pPr>
              <w:spacing w:after="20" w:before="20"/>
              <w:jc w:val="center"/>
            </w:pPr>
            <w:r/>
            <w:r>
              <w:rPr>
                <w:b/>
                <w:color w:val="FFFFFF"/>
                <w:sz w:val="18"/>
              </w:rPr>
              <w:t>FY29e</w:t>
            </w:r>
          </w:p>
        </w:tc>
        <w:tc>
          <w:tcPr>
            <w:tcW w:type="dxa" w:w="893"/>
            <w:shd w:val="clear" w:color="auto" w:fill="1B5E5E"/>
            <w:vAlign w:val="center"/>
          </w:tcPr>
          <w:p>
            <w:pPr>
              <w:spacing w:after="20" w:before="20"/>
              <w:jc w:val="center"/>
            </w:pPr>
            <w:r/>
            <w:r>
              <w:rPr>
                <w:b/>
                <w:color w:val="FFFFFF"/>
                <w:sz w:val="18"/>
              </w:rPr>
              <w:t>FY30e</w:t>
            </w:r>
          </w:p>
        </w:tc>
      </w:tr>
      <w:tr>
        <w:tc>
          <w:tcPr>
            <w:tcW w:type="dxa" w:w="2736"/>
            <w:vAlign w:val="center"/>
          </w:tcPr>
          <w:p>
            <w:pPr>
              <w:spacing w:after="20" w:before="20"/>
              <w:jc w:val="left"/>
            </w:pPr>
            <w:r/>
            <w:r>
              <w:rPr>
                <w:b w:val="0"/>
                <w:sz w:val="16"/>
              </w:rPr>
              <w:t>Net income</w:t>
            </w:r>
          </w:p>
        </w:tc>
        <w:tc>
          <w:tcPr>
            <w:tcW w:type="dxa" w:w="893"/>
            <w:vAlign w:val="center"/>
          </w:tcPr>
          <w:p>
            <w:pPr>
              <w:spacing w:after="20" w:before="20"/>
              <w:jc w:val="center"/>
            </w:pPr>
            <w:r/>
            <w:r>
              <w:rPr>
                <w:b w:val="0"/>
                <w:sz w:val="16"/>
              </w:rPr>
              <w:t>52</w:t>
            </w:r>
          </w:p>
        </w:tc>
        <w:tc>
          <w:tcPr>
            <w:tcW w:type="dxa" w:w="893"/>
            <w:vAlign w:val="center"/>
          </w:tcPr>
          <w:p>
            <w:pPr>
              <w:spacing w:after="20" w:before="20"/>
              <w:jc w:val="center"/>
            </w:pPr>
            <w:r/>
            <w:r>
              <w:rPr>
                <w:b w:val="0"/>
                <w:sz w:val="16"/>
              </w:rPr>
              <w:t>129</w:t>
            </w:r>
          </w:p>
        </w:tc>
        <w:tc>
          <w:tcPr>
            <w:tcW w:type="dxa" w:w="893"/>
            <w:vAlign w:val="center"/>
          </w:tcPr>
          <w:p>
            <w:pPr>
              <w:spacing w:after="20" w:before="20"/>
              <w:jc w:val="center"/>
            </w:pPr>
            <w:r/>
            <w:r>
              <w:rPr>
                <w:b w:val="0"/>
                <w:sz w:val="16"/>
              </w:rPr>
              <w:t>16</w:t>
            </w:r>
          </w:p>
        </w:tc>
        <w:tc>
          <w:tcPr>
            <w:tcW w:type="dxa" w:w="893"/>
            <w:vAlign w:val="center"/>
          </w:tcPr>
          <w:p>
            <w:pPr>
              <w:spacing w:after="20" w:before="20"/>
              <w:jc w:val="center"/>
            </w:pPr>
            <w:r/>
            <w:r>
              <w:rPr>
                <w:b w:val="0"/>
                <w:sz w:val="16"/>
              </w:rPr>
              <w:t>51</w:t>
            </w:r>
          </w:p>
        </w:tc>
        <w:tc>
          <w:tcPr>
            <w:tcW w:type="dxa" w:w="893"/>
            <w:vAlign w:val="center"/>
          </w:tcPr>
          <w:p>
            <w:pPr>
              <w:spacing w:after="20" w:before="20"/>
              <w:jc w:val="center"/>
            </w:pPr>
            <w:r/>
            <w:r>
              <w:rPr>
                <w:b w:val="0"/>
                <w:sz w:val="16"/>
              </w:rPr>
              <w:t>67</w:t>
            </w:r>
          </w:p>
        </w:tc>
        <w:tc>
          <w:tcPr>
            <w:tcW w:type="dxa" w:w="893"/>
            <w:vAlign w:val="center"/>
          </w:tcPr>
          <w:p>
            <w:pPr>
              <w:spacing w:after="20" w:before="20"/>
              <w:jc w:val="center"/>
            </w:pPr>
            <w:r/>
            <w:r>
              <w:rPr>
                <w:b w:val="0"/>
                <w:sz w:val="16"/>
              </w:rPr>
              <w:t>84</w:t>
            </w:r>
          </w:p>
        </w:tc>
        <w:tc>
          <w:tcPr>
            <w:tcW w:type="dxa" w:w="893"/>
            <w:vAlign w:val="center"/>
          </w:tcPr>
          <w:p>
            <w:pPr>
              <w:spacing w:after="20" w:before="20"/>
              <w:jc w:val="center"/>
            </w:pPr>
            <w:r/>
            <w:r>
              <w:rPr>
                <w:b w:val="0"/>
                <w:sz w:val="16"/>
              </w:rPr>
              <w:t>101</w:t>
            </w:r>
          </w:p>
        </w:tc>
        <w:tc>
          <w:tcPr>
            <w:tcW w:type="dxa" w:w="893"/>
            <w:vAlign w:val="center"/>
          </w:tcPr>
          <w:p>
            <w:pPr>
              <w:spacing w:after="20" w:before="20"/>
              <w:jc w:val="center"/>
            </w:pPr>
            <w:r/>
            <w:r>
              <w:rPr>
                <w:b w:val="0"/>
                <w:sz w:val="16"/>
              </w:rPr>
              <w:t>119</w:t>
            </w:r>
          </w:p>
        </w:tc>
      </w:tr>
      <w:tr>
        <w:tc>
          <w:tcPr>
            <w:tcW w:type="dxa" w:w="2736"/>
            <w:shd w:val="clear" w:color="auto" w:fill="F3F7F7"/>
            <w:vAlign w:val="center"/>
          </w:tcPr>
          <w:p>
            <w:pPr>
              <w:spacing w:after="20" w:before="20"/>
              <w:jc w:val="left"/>
            </w:pPr>
            <w:r/>
            <w:r>
              <w:rPr>
                <w:b w:val="0"/>
                <w:sz w:val="16"/>
              </w:rPr>
              <w:t>+ D&amp;A</w:t>
            </w:r>
          </w:p>
        </w:tc>
        <w:tc>
          <w:tcPr>
            <w:tcW w:type="dxa" w:w="893"/>
            <w:shd w:val="clear" w:color="auto" w:fill="F3F7F7"/>
            <w:vAlign w:val="center"/>
          </w:tcPr>
          <w:p>
            <w:pPr>
              <w:spacing w:after="20" w:before="20"/>
              <w:jc w:val="center"/>
            </w:pPr>
            <w:r/>
            <w:r>
              <w:rPr>
                <w:b w:val="0"/>
                <w:sz w:val="16"/>
              </w:rPr>
              <w:t>36</w:t>
            </w:r>
          </w:p>
        </w:tc>
        <w:tc>
          <w:tcPr>
            <w:tcW w:type="dxa" w:w="893"/>
            <w:shd w:val="clear" w:color="auto" w:fill="F3F7F7"/>
            <w:vAlign w:val="center"/>
          </w:tcPr>
          <w:p>
            <w:pPr>
              <w:spacing w:after="20" w:before="20"/>
              <w:jc w:val="center"/>
            </w:pPr>
            <w:r/>
            <w:r>
              <w:rPr>
                <w:b w:val="0"/>
                <w:sz w:val="16"/>
              </w:rPr>
              <w:t>40</w:t>
            </w:r>
          </w:p>
        </w:tc>
        <w:tc>
          <w:tcPr>
            <w:tcW w:type="dxa" w:w="893"/>
            <w:shd w:val="clear" w:color="auto" w:fill="F3F7F7"/>
            <w:vAlign w:val="center"/>
          </w:tcPr>
          <w:p>
            <w:pPr>
              <w:spacing w:after="20" w:before="20"/>
              <w:jc w:val="center"/>
            </w:pPr>
            <w:r/>
            <w:r>
              <w:rPr>
                <w:b w:val="0"/>
                <w:sz w:val="16"/>
              </w:rPr>
              <w:t>42</w:t>
            </w:r>
          </w:p>
        </w:tc>
        <w:tc>
          <w:tcPr>
            <w:tcW w:type="dxa" w:w="893"/>
            <w:shd w:val="clear" w:color="auto" w:fill="F3F7F7"/>
            <w:vAlign w:val="center"/>
          </w:tcPr>
          <w:p>
            <w:pPr>
              <w:spacing w:after="20" w:before="20"/>
              <w:jc w:val="center"/>
            </w:pPr>
            <w:r/>
            <w:r>
              <w:rPr>
                <w:b w:val="0"/>
                <w:sz w:val="16"/>
              </w:rPr>
              <w:t>45</w:t>
            </w:r>
          </w:p>
        </w:tc>
        <w:tc>
          <w:tcPr>
            <w:tcW w:type="dxa" w:w="893"/>
            <w:shd w:val="clear" w:color="auto" w:fill="F3F7F7"/>
            <w:vAlign w:val="center"/>
          </w:tcPr>
          <w:p>
            <w:pPr>
              <w:spacing w:after="20" w:before="20"/>
              <w:jc w:val="center"/>
            </w:pPr>
            <w:r/>
            <w:r>
              <w:rPr>
                <w:b w:val="0"/>
                <w:sz w:val="16"/>
              </w:rPr>
              <w:t>48</w:t>
            </w:r>
          </w:p>
        </w:tc>
        <w:tc>
          <w:tcPr>
            <w:tcW w:type="dxa" w:w="893"/>
            <w:shd w:val="clear" w:color="auto" w:fill="F3F7F7"/>
            <w:vAlign w:val="center"/>
          </w:tcPr>
          <w:p>
            <w:pPr>
              <w:spacing w:after="20" w:before="20"/>
              <w:jc w:val="center"/>
            </w:pPr>
            <w:r/>
            <w:r>
              <w:rPr>
                <w:b w:val="0"/>
                <w:sz w:val="16"/>
              </w:rPr>
              <w:t>51</w:t>
            </w:r>
          </w:p>
        </w:tc>
        <w:tc>
          <w:tcPr>
            <w:tcW w:type="dxa" w:w="893"/>
            <w:shd w:val="clear" w:color="auto" w:fill="F3F7F7"/>
            <w:vAlign w:val="center"/>
          </w:tcPr>
          <w:p>
            <w:pPr>
              <w:spacing w:after="20" w:before="20"/>
              <w:jc w:val="center"/>
            </w:pPr>
            <w:r/>
            <w:r>
              <w:rPr>
                <w:b w:val="0"/>
                <w:sz w:val="16"/>
              </w:rPr>
              <w:t>54</w:t>
            </w:r>
          </w:p>
        </w:tc>
        <w:tc>
          <w:tcPr>
            <w:tcW w:type="dxa" w:w="893"/>
            <w:shd w:val="clear" w:color="auto" w:fill="F3F7F7"/>
            <w:vAlign w:val="center"/>
          </w:tcPr>
          <w:p>
            <w:pPr>
              <w:spacing w:after="20" w:before="20"/>
              <w:jc w:val="center"/>
            </w:pPr>
            <w:r/>
            <w:r>
              <w:rPr>
                <w:b w:val="0"/>
                <w:sz w:val="16"/>
              </w:rPr>
              <w:t>57</w:t>
            </w:r>
          </w:p>
        </w:tc>
      </w:tr>
      <w:tr>
        <w:tc>
          <w:tcPr>
            <w:tcW w:type="dxa" w:w="2736"/>
            <w:vAlign w:val="center"/>
          </w:tcPr>
          <w:p>
            <w:pPr>
              <w:spacing w:after="20" w:before="20"/>
              <w:jc w:val="left"/>
            </w:pPr>
            <w:r/>
            <w:r>
              <w:rPr>
                <w:b w:val="0"/>
                <w:sz w:val="16"/>
              </w:rPr>
              <w:t>− Δ working capital</w:t>
            </w:r>
          </w:p>
        </w:tc>
        <w:tc>
          <w:tcPr>
            <w:tcW w:type="dxa" w:w="893"/>
            <w:vAlign w:val="center"/>
          </w:tcPr>
          <w:p>
            <w:pPr>
              <w:spacing w:after="20" w:before="20"/>
              <w:jc w:val="center"/>
            </w:pPr>
            <w:r/>
            <w:r>
              <w:rPr>
                <w:b w:val="0"/>
                <w:sz w:val="16"/>
              </w:rPr>
              <w:t>(40)</w:t>
            </w:r>
          </w:p>
        </w:tc>
        <w:tc>
          <w:tcPr>
            <w:tcW w:type="dxa" w:w="893"/>
            <w:vAlign w:val="center"/>
          </w:tcPr>
          <w:p>
            <w:pPr>
              <w:spacing w:after="20" w:before="20"/>
              <w:jc w:val="center"/>
            </w:pPr>
            <w:r/>
            <w:r>
              <w:rPr>
                <w:b w:val="0"/>
                <w:sz w:val="16"/>
              </w:rPr>
              <w:t>(90)</w:t>
            </w:r>
          </w:p>
        </w:tc>
        <w:tc>
          <w:tcPr>
            <w:tcW w:type="dxa" w:w="893"/>
            <w:vAlign w:val="center"/>
          </w:tcPr>
          <w:p>
            <w:pPr>
              <w:spacing w:after="20" w:before="20"/>
              <w:jc w:val="center"/>
            </w:pPr>
            <w:r/>
            <w:r>
              <w:rPr>
                <w:b w:val="0"/>
                <w:sz w:val="16"/>
              </w:rPr>
              <w:t>(35)</w:t>
            </w:r>
          </w:p>
        </w:tc>
        <w:tc>
          <w:tcPr>
            <w:tcW w:type="dxa" w:w="893"/>
            <w:vAlign w:val="center"/>
          </w:tcPr>
          <w:p>
            <w:pPr>
              <w:spacing w:after="20" w:before="20"/>
              <w:jc w:val="center"/>
            </w:pPr>
            <w:r/>
            <w:r>
              <w:rPr>
                <w:b w:val="0"/>
                <w:sz w:val="16"/>
              </w:rPr>
              <w:t>(35)</w:t>
            </w:r>
          </w:p>
        </w:tc>
        <w:tc>
          <w:tcPr>
            <w:tcW w:type="dxa" w:w="893"/>
            <w:vAlign w:val="center"/>
          </w:tcPr>
          <w:p>
            <w:pPr>
              <w:spacing w:after="20" w:before="20"/>
              <w:jc w:val="center"/>
            </w:pPr>
            <w:r/>
            <w:r>
              <w:rPr>
                <w:b w:val="0"/>
                <w:sz w:val="16"/>
              </w:rPr>
              <w:t>(30)</w:t>
            </w:r>
          </w:p>
        </w:tc>
        <w:tc>
          <w:tcPr>
            <w:tcW w:type="dxa" w:w="893"/>
            <w:vAlign w:val="center"/>
          </w:tcPr>
          <w:p>
            <w:pPr>
              <w:spacing w:after="20" w:before="20"/>
              <w:jc w:val="center"/>
            </w:pPr>
            <w:r/>
            <w:r>
              <w:rPr>
                <w:b w:val="0"/>
                <w:sz w:val="16"/>
              </w:rPr>
              <w:t>(32)</w:t>
            </w:r>
          </w:p>
        </w:tc>
        <w:tc>
          <w:tcPr>
            <w:tcW w:type="dxa" w:w="893"/>
            <w:vAlign w:val="center"/>
          </w:tcPr>
          <w:p>
            <w:pPr>
              <w:spacing w:after="20" w:before="20"/>
              <w:jc w:val="center"/>
            </w:pPr>
            <w:r/>
            <w:r>
              <w:rPr>
                <w:b w:val="0"/>
                <w:sz w:val="16"/>
              </w:rPr>
              <w:t>(34)</w:t>
            </w:r>
          </w:p>
        </w:tc>
        <w:tc>
          <w:tcPr>
            <w:tcW w:type="dxa" w:w="893"/>
            <w:vAlign w:val="center"/>
          </w:tcPr>
          <w:p>
            <w:pPr>
              <w:spacing w:after="20" w:before="20"/>
              <w:jc w:val="center"/>
            </w:pPr>
            <w:r/>
            <w:r>
              <w:rPr>
                <w:b w:val="0"/>
                <w:sz w:val="16"/>
              </w:rPr>
              <w:t>(36)</w:t>
            </w:r>
          </w:p>
        </w:tc>
      </w:tr>
      <w:tr>
        <w:tc>
          <w:tcPr>
            <w:tcW w:type="dxa" w:w="2736"/>
            <w:shd w:val="clear" w:color="auto" w:fill="E3ECEC"/>
            <w:vAlign w:val="center"/>
          </w:tcPr>
          <w:p>
            <w:pPr>
              <w:spacing w:after="20" w:before="20"/>
              <w:jc w:val="left"/>
            </w:pPr>
            <w:r/>
            <w:r>
              <w:rPr>
                <w:b w:val="0"/>
                <w:sz w:val="16"/>
              </w:rPr>
              <w:t>Operating cash flow</w:t>
            </w:r>
          </w:p>
        </w:tc>
        <w:tc>
          <w:tcPr>
            <w:tcW w:type="dxa" w:w="893"/>
            <w:shd w:val="clear" w:color="auto" w:fill="E3ECEC"/>
            <w:vAlign w:val="center"/>
          </w:tcPr>
          <w:p>
            <w:pPr>
              <w:spacing w:after="20" w:before="20"/>
              <w:jc w:val="center"/>
            </w:pPr>
            <w:r/>
            <w:r>
              <w:rPr>
                <w:b w:val="0"/>
                <w:sz w:val="16"/>
              </w:rPr>
              <w:t>48</w:t>
            </w:r>
          </w:p>
        </w:tc>
        <w:tc>
          <w:tcPr>
            <w:tcW w:type="dxa" w:w="893"/>
            <w:shd w:val="clear" w:color="auto" w:fill="E3ECEC"/>
            <w:vAlign w:val="center"/>
          </w:tcPr>
          <w:p>
            <w:pPr>
              <w:spacing w:after="20" w:before="20"/>
              <w:jc w:val="center"/>
            </w:pPr>
            <w:r/>
            <w:r>
              <w:rPr>
                <w:b w:val="0"/>
                <w:sz w:val="16"/>
              </w:rPr>
              <w:t>79</w:t>
            </w:r>
          </w:p>
        </w:tc>
        <w:tc>
          <w:tcPr>
            <w:tcW w:type="dxa" w:w="893"/>
            <w:shd w:val="clear" w:color="auto" w:fill="E3ECEC"/>
            <w:vAlign w:val="center"/>
          </w:tcPr>
          <w:p>
            <w:pPr>
              <w:spacing w:after="20" w:before="20"/>
              <w:jc w:val="center"/>
            </w:pPr>
            <w:r/>
            <w:r>
              <w:rPr>
                <w:b w:val="0"/>
                <w:sz w:val="16"/>
              </w:rPr>
              <w:t>23</w:t>
            </w:r>
          </w:p>
        </w:tc>
        <w:tc>
          <w:tcPr>
            <w:tcW w:type="dxa" w:w="893"/>
            <w:shd w:val="clear" w:color="auto" w:fill="E3ECEC"/>
            <w:vAlign w:val="center"/>
          </w:tcPr>
          <w:p>
            <w:pPr>
              <w:spacing w:after="20" w:before="20"/>
              <w:jc w:val="center"/>
            </w:pPr>
            <w:r/>
            <w:r>
              <w:rPr>
                <w:b w:val="0"/>
                <w:sz w:val="16"/>
              </w:rPr>
              <w:t>61</w:t>
            </w:r>
          </w:p>
        </w:tc>
        <w:tc>
          <w:tcPr>
            <w:tcW w:type="dxa" w:w="893"/>
            <w:shd w:val="clear" w:color="auto" w:fill="E3ECEC"/>
            <w:vAlign w:val="center"/>
          </w:tcPr>
          <w:p>
            <w:pPr>
              <w:spacing w:after="20" w:before="20"/>
              <w:jc w:val="center"/>
            </w:pPr>
            <w:r/>
            <w:r>
              <w:rPr>
                <w:b w:val="0"/>
                <w:sz w:val="16"/>
              </w:rPr>
              <w:t>85</w:t>
            </w:r>
          </w:p>
        </w:tc>
        <w:tc>
          <w:tcPr>
            <w:tcW w:type="dxa" w:w="893"/>
            <w:shd w:val="clear" w:color="auto" w:fill="E3ECEC"/>
            <w:vAlign w:val="center"/>
          </w:tcPr>
          <w:p>
            <w:pPr>
              <w:spacing w:after="20" w:before="20"/>
              <w:jc w:val="center"/>
            </w:pPr>
            <w:r/>
            <w:r>
              <w:rPr>
                <w:b w:val="0"/>
                <w:sz w:val="16"/>
              </w:rPr>
              <w:t>103</w:t>
            </w:r>
          </w:p>
        </w:tc>
        <w:tc>
          <w:tcPr>
            <w:tcW w:type="dxa" w:w="893"/>
            <w:shd w:val="clear" w:color="auto" w:fill="E3ECEC"/>
            <w:vAlign w:val="center"/>
          </w:tcPr>
          <w:p>
            <w:pPr>
              <w:spacing w:after="20" w:before="20"/>
              <w:jc w:val="center"/>
            </w:pPr>
            <w:r/>
            <w:r>
              <w:rPr>
                <w:b w:val="0"/>
                <w:sz w:val="16"/>
              </w:rPr>
              <w:t>121</w:t>
            </w:r>
          </w:p>
        </w:tc>
        <w:tc>
          <w:tcPr>
            <w:tcW w:type="dxa" w:w="893"/>
            <w:shd w:val="clear" w:color="auto" w:fill="E3ECEC"/>
            <w:vAlign w:val="center"/>
          </w:tcPr>
          <w:p>
            <w:pPr>
              <w:spacing w:after="20" w:before="20"/>
              <w:jc w:val="center"/>
            </w:pPr>
            <w:r/>
            <w:r>
              <w:rPr>
                <w:b w:val="0"/>
                <w:sz w:val="16"/>
              </w:rPr>
              <w:t>140</w:t>
            </w:r>
          </w:p>
        </w:tc>
      </w:tr>
      <w:tr>
        <w:tc>
          <w:tcPr>
            <w:tcW w:type="dxa" w:w="2736"/>
            <w:vAlign w:val="center"/>
          </w:tcPr>
          <w:p>
            <w:pPr>
              <w:spacing w:after="20" w:before="20"/>
              <w:jc w:val="left"/>
            </w:pPr>
            <w:r/>
            <w:r>
              <w:rPr>
                <w:b w:val="0"/>
                <w:sz w:val="16"/>
              </w:rPr>
              <w:t>− Capex</w:t>
            </w:r>
          </w:p>
        </w:tc>
        <w:tc>
          <w:tcPr>
            <w:tcW w:type="dxa" w:w="893"/>
            <w:vAlign w:val="center"/>
          </w:tcPr>
          <w:p>
            <w:pPr>
              <w:spacing w:after="20" w:before="20"/>
              <w:jc w:val="center"/>
            </w:pPr>
            <w:r/>
            <w:r>
              <w:rPr>
                <w:b w:val="0"/>
                <w:sz w:val="16"/>
              </w:rPr>
              <w:t>(45)</w:t>
            </w:r>
          </w:p>
        </w:tc>
        <w:tc>
          <w:tcPr>
            <w:tcW w:type="dxa" w:w="893"/>
            <w:vAlign w:val="center"/>
          </w:tcPr>
          <w:p>
            <w:pPr>
              <w:spacing w:after="20" w:before="20"/>
              <w:jc w:val="center"/>
            </w:pPr>
            <w:r/>
            <w:r>
              <w:rPr>
                <w:b w:val="0"/>
                <w:sz w:val="16"/>
              </w:rPr>
              <w:t>(60)</w:t>
            </w:r>
          </w:p>
        </w:tc>
        <w:tc>
          <w:tcPr>
            <w:tcW w:type="dxa" w:w="893"/>
            <w:vAlign w:val="center"/>
          </w:tcPr>
          <w:p>
            <w:pPr>
              <w:spacing w:after="20" w:before="20"/>
              <w:jc w:val="center"/>
            </w:pPr>
            <w:r/>
            <w:r>
              <w:rPr>
                <w:b w:val="0"/>
                <w:sz w:val="16"/>
              </w:rPr>
              <w:t>(55)</w:t>
            </w:r>
          </w:p>
        </w:tc>
        <w:tc>
          <w:tcPr>
            <w:tcW w:type="dxa" w:w="893"/>
            <w:vAlign w:val="center"/>
          </w:tcPr>
          <w:p>
            <w:pPr>
              <w:spacing w:after="20" w:before="20"/>
              <w:jc w:val="center"/>
            </w:pPr>
            <w:r/>
            <w:r>
              <w:rPr>
                <w:b w:val="0"/>
                <w:sz w:val="16"/>
              </w:rPr>
              <w:t>(55)</w:t>
            </w:r>
          </w:p>
        </w:tc>
        <w:tc>
          <w:tcPr>
            <w:tcW w:type="dxa" w:w="893"/>
            <w:vAlign w:val="center"/>
          </w:tcPr>
          <w:p>
            <w:pPr>
              <w:spacing w:after="20" w:before="20"/>
              <w:jc w:val="center"/>
            </w:pPr>
            <w:r/>
            <w:r>
              <w:rPr>
                <w:b w:val="0"/>
                <w:sz w:val="16"/>
              </w:rPr>
              <w:t>(58)</w:t>
            </w:r>
          </w:p>
        </w:tc>
        <w:tc>
          <w:tcPr>
            <w:tcW w:type="dxa" w:w="893"/>
            <w:vAlign w:val="center"/>
          </w:tcPr>
          <w:p>
            <w:pPr>
              <w:spacing w:after="20" w:before="20"/>
              <w:jc w:val="center"/>
            </w:pPr>
            <w:r/>
            <w:r>
              <w:rPr>
                <w:b w:val="0"/>
                <w:sz w:val="16"/>
              </w:rPr>
              <w:t>(61)</w:t>
            </w:r>
          </w:p>
        </w:tc>
        <w:tc>
          <w:tcPr>
            <w:tcW w:type="dxa" w:w="893"/>
            <w:vAlign w:val="center"/>
          </w:tcPr>
          <w:p>
            <w:pPr>
              <w:spacing w:after="20" w:before="20"/>
              <w:jc w:val="center"/>
            </w:pPr>
            <w:r/>
            <w:r>
              <w:rPr>
                <w:b w:val="0"/>
                <w:sz w:val="16"/>
              </w:rPr>
              <w:t>(64)</w:t>
            </w:r>
          </w:p>
        </w:tc>
        <w:tc>
          <w:tcPr>
            <w:tcW w:type="dxa" w:w="893"/>
            <w:vAlign w:val="center"/>
          </w:tcPr>
          <w:p>
            <w:pPr>
              <w:spacing w:after="20" w:before="20"/>
              <w:jc w:val="center"/>
            </w:pPr>
            <w:r/>
            <w:r>
              <w:rPr>
                <w:b w:val="0"/>
                <w:sz w:val="16"/>
              </w:rPr>
              <w:t>(67)</w:t>
            </w:r>
          </w:p>
        </w:tc>
      </w:tr>
      <w:tr>
        <w:tc>
          <w:tcPr>
            <w:tcW w:type="dxa" w:w="2736"/>
            <w:shd w:val="clear" w:color="auto" w:fill="E3ECEC"/>
            <w:vAlign w:val="center"/>
          </w:tcPr>
          <w:p>
            <w:pPr>
              <w:spacing w:after="20" w:before="20"/>
              <w:jc w:val="left"/>
            </w:pPr>
            <w:r/>
            <w:r>
              <w:rPr>
                <w:b w:val="0"/>
                <w:sz w:val="16"/>
              </w:rPr>
              <w:t>Free cash flow</w:t>
            </w:r>
          </w:p>
        </w:tc>
        <w:tc>
          <w:tcPr>
            <w:tcW w:type="dxa" w:w="893"/>
            <w:shd w:val="clear" w:color="auto" w:fill="E3ECEC"/>
            <w:vAlign w:val="center"/>
          </w:tcPr>
          <w:p>
            <w:pPr>
              <w:spacing w:after="20" w:before="20"/>
              <w:jc w:val="center"/>
            </w:pPr>
            <w:r/>
            <w:r>
              <w:rPr>
                <w:b w:val="0"/>
                <w:sz w:val="16"/>
              </w:rPr>
              <w:t>3</w:t>
            </w:r>
          </w:p>
        </w:tc>
        <w:tc>
          <w:tcPr>
            <w:tcW w:type="dxa" w:w="893"/>
            <w:shd w:val="clear" w:color="auto" w:fill="E3ECEC"/>
            <w:vAlign w:val="center"/>
          </w:tcPr>
          <w:p>
            <w:pPr>
              <w:spacing w:after="20" w:before="20"/>
              <w:jc w:val="center"/>
            </w:pPr>
            <w:r/>
            <w:r>
              <w:rPr>
                <w:b w:val="0"/>
                <w:sz w:val="16"/>
              </w:rPr>
              <w:t>19</w:t>
            </w:r>
          </w:p>
        </w:tc>
        <w:tc>
          <w:tcPr>
            <w:tcW w:type="dxa" w:w="893"/>
            <w:shd w:val="clear" w:color="auto" w:fill="E3ECEC"/>
            <w:vAlign w:val="center"/>
          </w:tcPr>
          <w:p>
            <w:pPr>
              <w:spacing w:after="20" w:before="20"/>
              <w:jc w:val="center"/>
            </w:pPr>
            <w:r/>
            <w:r>
              <w:rPr>
                <w:b w:val="0"/>
                <w:sz w:val="16"/>
              </w:rPr>
              <w:t>(32)</w:t>
            </w:r>
          </w:p>
        </w:tc>
        <w:tc>
          <w:tcPr>
            <w:tcW w:type="dxa" w:w="893"/>
            <w:shd w:val="clear" w:color="auto" w:fill="E3ECEC"/>
            <w:vAlign w:val="center"/>
          </w:tcPr>
          <w:p>
            <w:pPr>
              <w:spacing w:after="20" w:before="20"/>
              <w:jc w:val="center"/>
            </w:pPr>
            <w:r/>
            <w:r>
              <w:rPr>
                <w:b w:val="0"/>
                <w:sz w:val="16"/>
              </w:rPr>
              <w:t>6</w:t>
            </w:r>
          </w:p>
        </w:tc>
        <w:tc>
          <w:tcPr>
            <w:tcW w:type="dxa" w:w="893"/>
            <w:shd w:val="clear" w:color="auto" w:fill="E3ECEC"/>
            <w:vAlign w:val="center"/>
          </w:tcPr>
          <w:p>
            <w:pPr>
              <w:spacing w:after="20" w:before="20"/>
              <w:jc w:val="center"/>
            </w:pPr>
            <w:r/>
            <w:r>
              <w:rPr>
                <w:b w:val="0"/>
                <w:sz w:val="16"/>
              </w:rPr>
              <w:t>27</w:t>
            </w:r>
          </w:p>
        </w:tc>
        <w:tc>
          <w:tcPr>
            <w:tcW w:type="dxa" w:w="893"/>
            <w:shd w:val="clear" w:color="auto" w:fill="E3ECEC"/>
            <w:vAlign w:val="center"/>
          </w:tcPr>
          <w:p>
            <w:pPr>
              <w:spacing w:after="20" w:before="20"/>
              <w:jc w:val="center"/>
            </w:pPr>
            <w:r/>
            <w:r>
              <w:rPr>
                <w:b w:val="0"/>
                <w:sz w:val="16"/>
              </w:rPr>
              <w:t>42</w:t>
            </w:r>
          </w:p>
        </w:tc>
        <w:tc>
          <w:tcPr>
            <w:tcW w:type="dxa" w:w="893"/>
            <w:shd w:val="clear" w:color="auto" w:fill="E3ECEC"/>
            <w:vAlign w:val="center"/>
          </w:tcPr>
          <w:p>
            <w:pPr>
              <w:spacing w:after="20" w:before="20"/>
              <w:jc w:val="center"/>
            </w:pPr>
            <w:r/>
            <w:r>
              <w:rPr>
                <w:b w:val="0"/>
                <w:sz w:val="16"/>
              </w:rPr>
              <w:t>57</w:t>
            </w:r>
          </w:p>
        </w:tc>
        <w:tc>
          <w:tcPr>
            <w:tcW w:type="dxa" w:w="893"/>
            <w:shd w:val="clear" w:color="auto" w:fill="E3ECEC"/>
            <w:vAlign w:val="center"/>
          </w:tcPr>
          <w:p>
            <w:pPr>
              <w:spacing w:after="20" w:before="20"/>
              <w:jc w:val="center"/>
            </w:pPr>
            <w:r/>
            <w:r>
              <w:rPr>
                <w:b w:val="0"/>
                <w:sz w:val="16"/>
              </w:rPr>
              <w:t>73</w:t>
            </w:r>
          </w:p>
        </w:tc>
      </w:tr>
      <w:tr>
        <w:tc>
          <w:tcPr>
            <w:tcW w:type="dxa" w:w="2736"/>
            <w:vAlign w:val="center"/>
          </w:tcPr>
          <w:p>
            <w:pPr>
              <w:spacing w:after="20" w:before="20"/>
              <w:jc w:val="left"/>
            </w:pPr>
            <w:r/>
            <w:r>
              <w:rPr>
                <w:b w:val="0"/>
                <w:sz w:val="16"/>
              </w:rPr>
              <w:t>Net financing &amp; other</w:t>
            </w:r>
          </w:p>
        </w:tc>
        <w:tc>
          <w:tcPr>
            <w:tcW w:type="dxa" w:w="893"/>
            <w:vAlign w:val="center"/>
          </w:tcPr>
          <w:p>
            <w:pPr>
              <w:spacing w:after="20" w:before="20"/>
              <w:jc w:val="center"/>
            </w:pPr>
            <w:r/>
            <w:r>
              <w:rPr>
                <w:b w:val="0"/>
                <w:sz w:val="16"/>
              </w:rPr>
              <w:t>10</w:t>
            </w:r>
          </w:p>
        </w:tc>
        <w:tc>
          <w:tcPr>
            <w:tcW w:type="dxa" w:w="893"/>
            <w:vAlign w:val="center"/>
          </w:tcPr>
          <w:p>
            <w:pPr>
              <w:spacing w:after="20" w:before="20"/>
              <w:jc w:val="center"/>
            </w:pPr>
            <w:r/>
            <w:r>
              <w:rPr>
                <w:b w:val="0"/>
                <w:sz w:val="16"/>
              </w:rPr>
              <w:t>31</w:t>
            </w:r>
          </w:p>
        </w:tc>
        <w:tc>
          <w:tcPr>
            <w:tcW w:type="dxa" w:w="893"/>
            <w:vAlign w:val="center"/>
          </w:tcPr>
          <w:p>
            <w:pPr>
              <w:spacing w:after="20" w:before="20"/>
              <w:jc w:val="center"/>
            </w:pPr>
            <w:r/>
            <w:r>
              <w:rPr>
                <w:b w:val="0"/>
                <w:sz w:val="16"/>
              </w:rPr>
              <w:t>41</w:t>
            </w:r>
          </w:p>
        </w:tc>
        <w:tc>
          <w:tcPr>
            <w:tcW w:type="dxa" w:w="893"/>
            <w:vAlign w:val="center"/>
          </w:tcPr>
          <w:p>
            <w:pPr>
              <w:spacing w:after="20" w:before="20"/>
              <w:jc w:val="center"/>
            </w:pPr>
            <w:r/>
            <w:r>
              <w:rPr>
                <w:b w:val="0"/>
                <w:sz w:val="16"/>
              </w:rPr>
              <w:t>19</w:t>
            </w:r>
          </w:p>
        </w:tc>
        <w:tc>
          <w:tcPr>
            <w:tcW w:type="dxa" w:w="893"/>
            <w:vAlign w:val="center"/>
          </w:tcPr>
          <w:p>
            <w:pPr>
              <w:spacing w:after="20" w:before="20"/>
              <w:jc w:val="center"/>
            </w:pPr>
            <w:r/>
            <w:r>
              <w:rPr>
                <w:b w:val="0"/>
                <w:sz w:val="16"/>
              </w:rPr>
              <w:t>8</w:t>
            </w:r>
          </w:p>
        </w:tc>
        <w:tc>
          <w:tcPr>
            <w:tcW w:type="dxa" w:w="893"/>
            <w:vAlign w:val="center"/>
          </w:tcPr>
          <w:p>
            <w:pPr>
              <w:spacing w:after="20" w:before="20"/>
              <w:jc w:val="center"/>
            </w:pPr>
            <w:r/>
            <w:r>
              <w:rPr>
                <w:b w:val="0"/>
                <w:sz w:val="16"/>
              </w:rPr>
              <w:t>3</w:t>
            </w:r>
          </w:p>
        </w:tc>
        <w:tc>
          <w:tcPr>
            <w:tcW w:type="dxa" w:w="893"/>
            <w:vAlign w:val="center"/>
          </w:tcPr>
          <w:p>
            <w:pPr>
              <w:spacing w:after="20" w:before="20"/>
              <w:jc w:val="center"/>
            </w:pPr>
            <w:r/>
            <w:r>
              <w:rPr>
                <w:b w:val="0"/>
                <w:sz w:val="16"/>
              </w:rPr>
              <w:t>(2)</w:t>
            </w:r>
          </w:p>
        </w:tc>
        <w:tc>
          <w:tcPr>
            <w:tcW w:type="dxa" w:w="893"/>
            <w:vAlign w:val="center"/>
          </w:tcPr>
          <w:p>
            <w:pPr>
              <w:spacing w:after="20" w:before="20"/>
              <w:jc w:val="center"/>
            </w:pPr>
            <w:r/>
            <w:r>
              <w:rPr>
                <w:b w:val="0"/>
                <w:sz w:val="16"/>
              </w:rPr>
              <w:t>(8)</w:t>
            </w:r>
          </w:p>
        </w:tc>
      </w:tr>
      <w:tr>
        <w:tc>
          <w:tcPr>
            <w:tcW w:type="dxa" w:w="2736"/>
            <w:shd w:val="clear" w:color="auto" w:fill="E3ECEC"/>
            <w:vAlign w:val="center"/>
          </w:tcPr>
          <w:p>
            <w:pPr>
              <w:spacing w:after="20" w:before="20"/>
              <w:jc w:val="left"/>
            </w:pPr>
            <w:r/>
            <w:r>
              <w:rPr>
                <w:b w:val="0"/>
                <w:sz w:val="16"/>
              </w:rPr>
              <w:t>Net change in cash</w:t>
            </w:r>
          </w:p>
        </w:tc>
        <w:tc>
          <w:tcPr>
            <w:tcW w:type="dxa" w:w="893"/>
            <w:shd w:val="clear" w:color="auto" w:fill="E3ECEC"/>
            <w:vAlign w:val="center"/>
          </w:tcPr>
          <w:p>
            <w:pPr>
              <w:spacing w:after="20" w:before="20"/>
              <w:jc w:val="center"/>
            </w:pPr>
            <w:r/>
            <w:r>
              <w:rPr>
                <w:b w:val="0"/>
                <w:sz w:val="16"/>
              </w:rPr>
              <w:t>13</w:t>
            </w:r>
          </w:p>
        </w:tc>
        <w:tc>
          <w:tcPr>
            <w:tcW w:type="dxa" w:w="893"/>
            <w:shd w:val="clear" w:color="auto" w:fill="E3ECEC"/>
            <w:vAlign w:val="center"/>
          </w:tcPr>
          <w:p>
            <w:pPr>
              <w:spacing w:after="20" w:before="20"/>
              <w:jc w:val="center"/>
            </w:pPr>
            <w:r/>
            <w:r>
              <w:rPr>
                <w:b w:val="0"/>
                <w:sz w:val="16"/>
              </w:rPr>
              <w:t>50</w:t>
            </w:r>
          </w:p>
        </w:tc>
        <w:tc>
          <w:tcPr>
            <w:tcW w:type="dxa" w:w="893"/>
            <w:shd w:val="clear" w:color="auto" w:fill="E3ECEC"/>
            <w:vAlign w:val="center"/>
          </w:tcPr>
          <w:p>
            <w:pPr>
              <w:spacing w:after="20" w:before="20"/>
              <w:jc w:val="center"/>
            </w:pPr>
            <w:r/>
            <w:r>
              <w:rPr>
                <w:b w:val="0"/>
                <w:sz w:val="16"/>
              </w:rPr>
              <w:t>9</w:t>
            </w:r>
          </w:p>
        </w:tc>
        <w:tc>
          <w:tcPr>
            <w:tcW w:type="dxa" w:w="893"/>
            <w:shd w:val="clear" w:color="auto" w:fill="E3ECEC"/>
            <w:vAlign w:val="center"/>
          </w:tcPr>
          <w:p>
            <w:pPr>
              <w:spacing w:after="20" w:before="20"/>
              <w:jc w:val="center"/>
            </w:pPr>
            <w:r/>
            <w:r>
              <w:rPr>
                <w:b w:val="0"/>
                <w:sz w:val="16"/>
              </w:rPr>
              <w:t>25</w:t>
            </w:r>
          </w:p>
        </w:tc>
        <w:tc>
          <w:tcPr>
            <w:tcW w:type="dxa" w:w="893"/>
            <w:shd w:val="clear" w:color="auto" w:fill="E3ECEC"/>
            <w:vAlign w:val="center"/>
          </w:tcPr>
          <w:p>
            <w:pPr>
              <w:spacing w:after="20" w:before="20"/>
              <w:jc w:val="center"/>
            </w:pPr>
            <w:r/>
            <w:r>
              <w:rPr>
                <w:b w:val="0"/>
                <w:sz w:val="16"/>
              </w:rPr>
              <w:t>35</w:t>
            </w:r>
          </w:p>
        </w:tc>
        <w:tc>
          <w:tcPr>
            <w:tcW w:type="dxa" w:w="893"/>
            <w:shd w:val="clear" w:color="auto" w:fill="E3ECEC"/>
            <w:vAlign w:val="center"/>
          </w:tcPr>
          <w:p>
            <w:pPr>
              <w:spacing w:after="20" w:before="20"/>
              <w:jc w:val="center"/>
            </w:pPr>
            <w:r/>
            <w:r>
              <w:rPr>
                <w:b w:val="0"/>
                <w:sz w:val="16"/>
              </w:rPr>
              <w:t>45</w:t>
            </w:r>
          </w:p>
        </w:tc>
        <w:tc>
          <w:tcPr>
            <w:tcW w:type="dxa" w:w="893"/>
            <w:shd w:val="clear" w:color="auto" w:fill="E3ECEC"/>
            <w:vAlign w:val="center"/>
          </w:tcPr>
          <w:p>
            <w:pPr>
              <w:spacing w:after="20" w:before="20"/>
              <w:jc w:val="center"/>
            </w:pPr>
            <w:r/>
            <w:r>
              <w:rPr>
                <w:b w:val="0"/>
                <w:sz w:val="16"/>
              </w:rPr>
              <w:t>55</w:t>
            </w:r>
          </w:p>
        </w:tc>
        <w:tc>
          <w:tcPr>
            <w:tcW w:type="dxa" w:w="893"/>
            <w:shd w:val="clear" w:color="auto" w:fill="E3ECEC"/>
            <w:vAlign w:val="center"/>
          </w:tcPr>
          <w:p>
            <w:pPr>
              <w:spacing w:after="20" w:before="20"/>
              <w:jc w:val="center"/>
            </w:pPr>
            <w:r/>
            <w:r>
              <w:rPr>
                <w:b w:val="0"/>
                <w:sz w:val="16"/>
              </w:rPr>
              <w:t>65</w:t>
            </w:r>
          </w:p>
        </w:tc>
      </w:tr>
    </w:tbl>
    <w:p>
      <w:pPr>
        <w:spacing w:after="40"/>
      </w:pPr>
    </w:p>
    <w:p>
      <w:pPr>
        <w:spacing w:after="120" w:line="259" w:lineRule="auto"/>
      </w:pPr>
      <w:r>
        <w:rPr>
          <w:b w:val="0"/>
          <w:i/>
          <w:sz w:val="17"/>
        </w:rPr>
        <w:t>*Source: company FY2024 disclosure and 9M FY2024/25 review; other years reconstructed and flagged. KABO's cash generation is thin — the business barely self-funds its working-capital growth and maintenance capex, which is why the going-concern equity value in §1.2 is low.*</w:t>
      </w:r>
    </w:p>
    <w:p>
      <w:pPr>
        <w:spacing w:before="200" w:after="80"/>
      </w:pPr>
      <w:r>
        <w:rPr>
          <w:b/>
          <w:color w:val="1B5E5E"/>
          <w:sz w:val="30"/>
        </w:rPr>
        <w:t>Appendix B  Step 0 — calibration backtest (result: fails; Monte Carlo demoted to illustrative)</w:t>
      </w:r>
    </w:p>
    <w:p>
      <w:pPr>
        <w:spacing w:after="60" w:line="259" w:lineRule="auto"/>
      </w:pPr>
      <w:r>
        <w:rPr>
          <w:b w:val="0"/>
          <w:i w:val="0"/>
          <w:sz w:val="20"/>
        </w:rPr>
        <w:t xml:space="preserve">Before publishing any forecast, Testahil tests the Monte Carlo engine on the security's own five years of history: at monthly origins it generates a three-month-ahead distribution using only prior data, scores the realized close against it, and asks whether it beats a naïve zero-drift random-walk cone. </w:t>
      </w:r>
      <w:r>
        <w:rPr>
          <w:b/>
          <w:i w:val="0"/>
          <w:sz w:val="20"/>
        </w:rPr>
        <w:t>On KABO it does not</w:t>
      </w:r>
      <w:r>
        <w:rPr>
          <w:b w:val="0"/>
          <w:i w:val="0"/>
          <w:sz w:val="20"/>
        </w:rPr>
        <w:t xml:space="preserve"> — under any configuration tried. This is why §3 carries no forecast.</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4464"/>
            <w:shd w:val="clear" w:color="auto" w:fill="1B5E5E"/>
            <w:vAlign w:val="center"/>
          </w:tcPr>
          <w:p>
            <w:pPr>
              <w:spacing w:after="20" w:before="20"/>
              <w:jc w:val="left"/>
            </w:pPr>
            <w:r/>
            <w:r>
              <w:rPr>
                <w:b/>
                <w:color w:val="FFFFFF"/>
                <w:sz w:val="18"/>
              </w:rPr>
              <w:t>Calibration metric</w:t>
            </w:r>
          </w:p>
        </w:tc>
        <w:tc>
          <w:tcPr>
            <w:tcW w:type="dxa" w:w="2160"/>
            <w:shd w:val="clear" w:color="auto" w:fill="1B5E5E"/>
            <w:vAlign w:val="center"/>
          </w:tcPr>
          <w:p>
            <w:pPr>
              <w:spacing w:after="20" w:before="20"/>
              <w:jc w:val="center"/>
            </w:pPr>
            <w:r/>
            <w:r>
              <w:rPr>
                <w:b/>
                <w:color w:val="FFFFFF"/>
                <w:sz w:val="18"/>
              </w:rPr>
              <w:t>Result</w:t>
            </w:r>
          </w:p>
        </w:tc>
        <w:tc>
          <w:tcPr>
            <w:tcW w:type="dxa" w:w="1872"/>
            <w:shd w:val="clear" w:color="auto" w:fill="1B5E5E"/>
            <w:vAlign w:val="center"/>
          </w:tcPr>
          <w:p>
            <w:pPr>
              <w:spacing w:after="20" w:before="20"/>
              <w:jc w:val="center"/>
            </w:pPr>
            <w:r/>
            <w:r>
              <w:rPr>
                <w:b/>
                <w:color w:val="FFFFFF"/>
                <w:sz w:val="18"/>
              </w:rPr>
              <w:t>Pass gate</w:t>
            </w:r>
          </w:p>
        </w:tc>
        <w:tc>
          <w:tcPr>
            <w:tcW w:type="dxa" w:w="1728"/>
            <w:shd w:val="clear" w:color="auto" w:fill="1B5E5E"/>
            <w:vAlign w:val="center"/>
          </w:tcPr>
          <w:p>
            <w:pPr>
              <w:spacing w:after="20" w:before="20"/>
              <w:jc w:val="center"/>
            </w:pPr>
            <w:r/>
            <w:r>
              <w:rPr>
                <w:b/>
                <w:color w:val="FFFFFF"/>
                <w:sz w:val="18"/>
              </w:rPr>
              <w:t>Verdict</w:t>
            </w:r>
          </w:p>
        </w:tc>
      </w:tr>
      <w:tr>
        <w:tc>
          <w:tcPr>
            <w:tcW w:type="dxa" w:w="4464"/>
            <w:vAlign w:val="center"/>
          </w:tcPr>
          <w:p>
            <w:pPr>
              <w:spacing w:after="20" w:before="20"/>
              <w:jc w:val="left"/>
            </w:pPr>
            <w:r/>
            <w:r>
              <w:rPr>
                <w:b w:val="0"/>
                <w:sz w:val="17"/>
              </w:rPr>
              <w:t>CRPS skill — canonical (YZ·mean-HAR·t5)</w:t>
            </w:r>
          </w:p>
        </w:tc>
        <w:tc>
          <w:tcPr>
            <w:tcW w:type="dxa" w:w="2160"/>
            <w:vAlign w:val="center"/>
          </w:tcPr>
          <w:p>
            <w:pPr>
              <w:spacing w:after="20" w:before="20"/>
              <w:jc w:val="center"/>
            </w:pPr>
            <w:r/>
            <w:r>
              <w:rPr>
                <w:b w:val="0"/>
                <w:sz w:val="17"/>
              </w:rPr>
              <w:t>−0.0098</w:t>
            </w:r>
          </w:p>
        </w:tc>
        <w:tc>
          <w:tcPr>
            <w:tcW w:type="dxa" w:w="1872"/>
            <w:vAlign w:val="center"/>
          </w:tcPr>
          <w:p>
            <w:pPr>
              <w:spacing w:after="20" w:before="20"/>
              <w:jc w:val="center"/>
            </w:pPr>
            <w:r/>
            <w:r>
              <w:rPr>
                <w:b w:val="0"/>
                <w:sz w:val="17"/>
              </w:rPr>
              <w:t>&gt; 0</w:t>
            </w:r>
          </w:p>
        </w:tc>
        <w:tc>
          <w:tcPr>
            <w:tcW w:type="dxa" w:w="1728"/>
            <w:vAlign w:val="center"/>
          </w:tcPr>
          <w:p>
            <w:pPr>
              <w:spacing w:after="20" w:before="20"/>
              <w:jc w:val="center"/>
            </w:pPr>
            <w:r/>
            <w:r>
              <w:rPr>
                <w:b w:val="0"/>
                <w:sz w:val="17"/>
              </w:rPr>
              <w:t>FAIL</w:t>
            </w:r>
          </w:p>
        </w:tc>
      </w:tr>
      <w:tr>
        <w:tc>
          <w:tcPr>
            <w:tcW w:type="dxa" w:w="4464"/>
            <w:shd w:val="clear" w:color="auto" w:fill="F3F7F7"/>
            <w:vAlign w:val="center"/>
          </w:tcPr>
          <w:p>
            <w:pPr>
              <w:spacing w:after="20" w:before="20"/>
              <w:jc w:val="left"/>
            </w:pPr>
            <w:r/>
            <w:r>
              <w:rPr>
                <w:b w:val="0"/>
                <w:sz w:val="17"/>
              </w:rPr>
              <w:t>CRPS skill — best config (YZ·median-HAR·t5)</w:t>
            </w:r>
          </w:p>
        </w:tc>
        <w:tc>
          <w:tcPr>
            <w:tcW w:type="dxa" w:w="2160"/>
            <w:shd w:val="clear" w:color="auto" w:fill="F3F7F7"/>
            <w:vAlign w:val="center"/>
          </w:tcPr>
          <w:p>
            <w:pPr>
              <w:spacing w:after="20" w:before="20"/>
              <w:jc w:val="center"/>
            </w:pPr>
            <w:r/>
            <w:r>
              <w:rPr>
                <w:b w:val="0"/>
                <w:sz w:val="17"/>
              </w:rPr>
              <w:t>−0.0068</w:t>
            </w:r>
          </w:p>
        </w:tc>
        <w:tc>
          <w:tcPr>
            <w:tcW w:type="dxa" w:w="1872"/>
            <w:shd w:val="clear" w:color="auto" w:fill="F3F7F7"/>
            <w:vAlign w:val="center"/>
          </w:tcPr>
          <w:p>
            <w:pPr>
              <w:spacing w:after="20" w:before="20"/>
              <w:jc w:val="center"/>
            </w:pPr>
            <w:r/>
            <w:r>
              <w:rPr>
                <w:b w:val="0"/>
                <w:sz w:val="17"/>
              </w:rPr>
              <w:t>&gt; 0</w:t>
            </w:r>
          </w:p>
        </w:tc>
        <w:tc>
          <w:tcPr>
            <w:tcW w:type="dxa" w:w="1728"/>
            <w:shd w:val="clear" w:color="auto" w:fill="F3F7F7"/>
            <w:vAlign w:val="center"/>
          </w:tcPr>
          <w:p>
            <w:pPr>
              <w:spacing w:after="20" w:before="20"/>
              <w:jc w:val="center"/>
            </w:pPr>
            <w:r/>
            <w:r>
              <w:rPr>
                <w:b w:val="0"/>
                <w:sz w:val="17"/>
              </w:rPr>
              <w:t>FAIL</w:t>
            </w:r>
          </w:p>
        </w:tc>
      </w:tr>
      <w:tr>
        <w:tc>
          <w:tcPr>
            <w:tcW w:type="dxa" w:w="4464"/>
            <w:vAlign w:val="center"/>
          </w:tcPr>
          <w:p>
            <w:pPr>
              <w:spacing w:after="20" w:before="20"/>
              <w:jc w:val="left"/>
            </w:pPr>
            <w:r/>
            <w:r>
              <w:rPr>
                <w:b w:val="0"/>
                <w:sz w:val="17"/>
              </w:rPr>
              <w:t>CRPS skill — 95% confidence interval</w:t>
            </w:r>
          </w:p>
        </w:tc>
        <w:tc>
          <w:tcPr>
            <w:tcW w:type="dxa" w:w="2160"/>
            <w:vAlign w:val="center"/>
          </w:tcPr>
          <w:p>
            <w:pPr>
              <w:spacing w:after="20" w:before="20"/>
              <w:jc w:val="center"/>
            </w:pPr>
            <w:r/>
            <w:r>
              <w:rPr>
                <w:b w:val="0"/>
                <w:sz w:val="17"/>
              </w:rPr>
              <w:t>−0.042 to +0.020</w:t>
            </w:r>
          </w:p>
        </w:tc>
        <w:tc>
          <w:tcPr>
            <w:tcW w:type="dxa" w:w="1872"/>
            <w:vAlign w:val="center"/>
          </w:tcPr>
          <w:p>
            <w:pPr>
              <w:spacing w:after="20" w:before="20"/>
              <w:jc w:val="center"/>
            </w:pPr>
            <w:r/>
            <w:r>
              <w:rPr>
                <w:b w:val="0"/>
                <w:sz w:val="17"/>
              </w:rPr>
              <w:t>lower bound &gt; 0</w:t>
            </w:r>
          </w:p>
        </w:tc>
        <w:tc>
          <w:tcPr>
            <w:tcW w:type="dxa" w:w="1728"/>
            <w:vAlign w:val="center"/>
          </w:tcPr>
          <w:p>
            <w:pPr>
              <w:spacing w:after="20" w:before="20"/>
              <w:jc w:val="center"/>
            </w:pPr>
            <w:r/>
            <w:r>
              <w:rPr>
                <w:b w:val="0"/>
                <w:sz w:val="17"/>
              </w:rPr>
              <w:t>FAIL (straddles 0)</w:t>
            </w:r>
          </w:p>
        </w:tc>
      </w:tr>
      <w:tr>
        <w:tc>
          <w:tcPr>
            <w:tcW w:type="dxa" w:w="4464"/>
            <w:shd w:val="clear" w:color="auto" w:fill="F3F7F7"/>
            <w:vAlign w:val="center"/>
          </w:tcPr>
          <w:p>
            <w:pPr>
              <w:spacing w:after="20" w:before="20"/>
              <w:jc w:val="left"/>
            </w:pPr>
            <w:r/>
            <w:r>
              <w:rPr>
                <w:b w:val="0"/>
                <w:sz w:val="17"/>
              </w:rPr>
              <w:t>Interval (Winkler) skill</w:t>
            </w:r>
          </w:p>
        </w:tc>
        <w:tc>
          <w:tcPr>
            <w:tcW w:type="dxa" w:w="2160"/>
            <w:shd w:val="clear" w:color="auto" w:fill="F3F7F7"/>
            <w:vAlign w:val="center"/>
          </w:tcPr>
          <w:p>
            <w:pPr>
              <w:spacing w:after="20" w:before="20"/>
              <w:jc w:val="center"/>
            </w:pPr>
            <w:r/>
            <w:r>
              <w:rPr>
                <w:b w:val="0"/>
                <w:sz w:val="17"/>
              </w:rPr>
              <w:t>−0.055</w:t>
            </w:r>
          </w:p>
        </w:tc>
        <w:tc>
          <w:tcPr>
            <w:tcW w:type="dxa" w:w="1872"/>
            <w:shd w:val="clear" w:color="auto" w:fill="F3F7F7"/>
            <w:vAlign w:val="center"/>
          </w:tcPr>
          <w:p>
            <w:pPr>
              <w:spacing w:after="20" w:before="20"/>
              <w:jc w:val="center"/>
            </w:pPr>
            <w:r/>
            <w:r>
              <w:rPr>
                <w:b w:val="0"/>
                <w:sz w:val="17"/>
              </w:rPr>
              <w:t>&gt; 0</w:t>
            </w:r>
          </w:p>
        </w:tc>
        <w:tc>
          <w:tcPr>
            <w:tcW w:type="dxa" w:w="1728"/>
            <w:shd w:val="clear" w:color="auto" w:fill="F3F7F7"/>
            <w:vAlign w:val="center"/>
          </w:tcPr>
          <w:p>
            <w:pPr>
              <w:spacing w:after="20" w:before="20"/>
              <w:jc w:val="center"/>
            </w:pPr>
            <w:r/>
            <w:r>
              <w:rPr>
                <w:b w:val="0"/>
                <w:sz w:val="17"/>
              </w:rPr>
              <w:t>FAIL</w:t>
            </w:r>
          </w:p>
        </w:tc>
      </w:tr>
      <w:tr>
        <w:tc>
          <w:tcPr>
            <w:tcW w:type="dxa" w:w="4464"/>
            <w:vAlign w:val="center"/>
          </w:tcPr>
          <w:p>
            <w:pPr>
              <w:spacing w:after="20" w:before="20"/>
              <w:jc w:val="left"/>
            </w:pPr>
            <w:r/>
            <w:r>
              <w:rPr>
                <w:b w:val="0"/>
                <w:sz w:val="17"/>
              </w:rPr>
              <w:t>PIT mean</w:t>
            </w:r>
          </w:p>
        </w:tc>
        <w:tc>
          <w:tcPr>
            <w:tcW w:type="dxa" w:w="2160"/>
            <w:vAlign w:val="center"/>
          </w:tcPr>
          <w:p>
            <w:pPr>
              <w:spacing w:after="20" w:before="20"/>
              <w:jc w:val="center"/>
            </w:pPr>
            <w:r/>
            <w:r>
              <w:rPr>
                <w:b w:val="0"/>
                <w:sz w:val="17"/>
              </w:rPr>
              <w:t>0.573</w:t>
            </w:r>
          </w:p>
        </w:tc>
        <w:tc>
          <w:tcPr>
            <w:tcW w:type="dxa" w:w="1872"/>
            <w:vAlign w:val="center"/>
          </w:tcPr>
          <w:p>
            <w:pPr>
              <w:spacing w:after="20" w:before="20"/>
              <w:jc w:val="center"/>
            </w:pPr>
            <w:r/>
            <w:r>
              <w:rPr>
                <w:b w:val="0"/>
                <w:sz w:val="17"/>
              </w:rPr>
              <w:t>≈ 0.50</w:t>
            </w:r>
          </w:p>
        </w:tc>
        <w:tc>
          <w:tcPr>
            <w:tcW w:type="dxa" w:w="1728"/>
            <w:vAlign w:val="center"/>
          </w:tcPr>
          <w:p>
            <w:pPr>
              <w:spacing w:after="20" w:before="20"/>
              <w:jc w:val="center"/>
            </w:pPr>
            <w:r/>
            <w:r>
              <w:rPr>
                <w:b w:val="0"/>
                <w:sz w:val="17"/>
              </w:rPr>
              <w:t>Skewed high</w:t>
            </w:r>
          </w:p>
        </w:tc>
      </w:tr>
    </w:tbl>
    <w:p>
      <w:pPr>
        <w:spacing w:after="40"/>
      </w:pPr>
    </w:p>
    <w:p>
      <w:pPr>
        <w:spacing w:before="80" w:after="20"/>
        <w:jc w:val="center"/>
      </w:pPr>
      <w:r>
        <w:drawing>
          <wp:inline xmlns:a="http://schemas.openxmlformats.org/drawingml/2006/main" xmlns:pic="http://schemas.openxmlformats.org/drawingml/2006/picture">
            <wp:extent cx="6035040" cy="2337683"/>
            <wp:docPr id="7" name="Picture 7"/>
            <wp:cNvGraphicFramePr>
              <a:graphicFrameLocks noChangeAspect="1"/>
            </wp:cNvGraphicFramePr>
            <a:graphic>
              <a:graphicData uri="http://schemas.openxmlformats.org/drawingml/2006/picture">
                <pic:pic>
                  <pic:nvPicPr>
                    <pic:cNvPr id="0" name="KABO_step0_calibration.png"/>
                    <pic:cNvPicPr/>
                  </pic:nvPicPr>
                  <pic:blipFill>
                    <a:blip r:embed="rId15"/>
                    <a:stretch>
                      <a:fillRect/>
                    </a:stretch>
                  </pic:blipFill>
                  <pic:spPr>
                    <a:xfrm>
                      <a:off x="0" y="0"/>
                      <a:ext cx="6035040" cy="2337683"/>
                    </a:xfrm>
                    <a:prstGeom prst="rect"/>
                  </pic:spPr>
                </pic:pic>
              </a:graphicData>
            </a:graphic>
          </wp:inline>
        </w:drawing>
      </w:r>
    </w:p>
    <w:p>
      <w:pPr>
        <w:spacing w:after="120"/>
        <w:jc w:val="center"/>
      </w:pPr>
      <w:r>
        <w:rPr>
          <w:i/>
          <w:color w:val="222222"/>
          <w:sz w:val="17"/>
        </w:rPr>
        <w:t>Figure B-1 — Calibration backtest on KABO: quarterly cone replay, PIT histogram, and interval coverage versus target. The engine's cone does not contain the realized path at its stated rates with any skill over the naïve benchmark.</w:t>
      </w:r>
    </w:p>
    <w:p>
      <w:pPr>
        <w:spacing w:after="40" w:line="259" w:lineRule="auto"/>
      </w:pPr>
      <w:r>
        <w:rPr>
          <w:b w:val="0"/>
          <w:i w:val="0"/>
          <w:sz w:val="20"/>
        </w:rPr>
        <w:t>Every alternative configuration also failed, so the result is not an artefact of one modelling choice: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5112"/>
        <w:gridCol w:w="5112"/>
      </w:tblGrid>
      <w:tr>
        <w:tc>
          <w:tcPr>
            <w:tcW w:type="dxa" w:w="5616"/>
            <w:shd w:val="clear" w:color="auto" w:fill="1B5E5E"/>
            <w:vAlign w:val="center"/>
          </w:tcPr>
          <w:p>
            <w:pPr>
              <w:spacing w:after="20" w:before="20"/>
              <w:jc w:val="left"/>
            </w:pPr>
            <w:r/>
            <w:r>
              <w:rPr>
                <w:b/>
                <w:color w:val="FFFFFF"/>
                <w:sz w:val="18"/>
              </w:rPr>
              <w:t>Configuration tested</w:t>
            </w:r>
          </w:p>
        </w:tc>
        <w:tc>
          <w:tcPr>
            <w:tcW w:type="dxa" w:w="4608"/>
            <w:shd w:val="clear" w:color="auto" w:fill="1B5E5E"/>
            <w:vAlign w:val="center"/>
          </w:tcPr>
          <w:p>
            <w:pPr>
              <w:spacing w:after="20" w:before="20"/>
              <w:jc w:val="center"/>
            </w:pPr>
            <w:r/>
            <w:r>
              <w:rPr>
                <w:b/>
                <w:color w:val="FFFFFF"/>
                <w:sz w:val="18"/>
              </w:rPr>
              <w:t>CRPS skill vs random-walk</w:t>
            </w:r>
          </w:p>
        </w:tc>
      </w:tr>
      <w:tr>
        <w:tc>
          <w:tcPr>
            <w:tcW w:type="dxa" w:w="5616"/>
            <w:vAlign w:val="center"/>
          </w:tcPr>
          <w:p>
            <w:pPr>
              <w:spacing w:after="20" w:before="20"/>
              <w:jc w:val="left"/>
            </w:pPr>
            <w:r/>
            <w:r>
              <w:rPr>
                <w:b w:val="0"/>
                <w:sz w:val="17"/>
              </w:rPr>
              <w:t>YZ · mean-HAR · t5  (canonical spec)</w:t>
            </w:r>
          </w:p>
        </w:tc>
        <w:tc>
          <w:tcPr>
            <w:tcW w:type="dxa" w:w="4608"/>
            <w:vAlign w:val="center"/>
          </w:tcPr>
          <w:p>
            <w:pPr>
              <w:spacing w:after="20" w:before="20"/>
              <w:jc w:val="center"/>
            </w:pPr>
            <w:r/>
            <w:r>
              <w:rPr>
                <w:b w:val="0"/>
                <w:sz w:val="17"/>
              </w:rPr>
              <w:t>−0.0098</w:t>
            </w:r>
          </w:p>
        </w:tc>
      </w:tr>
      <w:tr>
        <w:tc>
          <w:tcPr>
            <w:tcW w:type="dxa" w:w="5616"/>
            <w:shd w:val="clear" w:color="auto" w:fill="F3F7F7"/>
            <w:vAlign w:val="center"/>
          </w:tcPr>
          <w:p>
            <w:pPr>
              <w:spacing w:after="20" w:before="20"/>
              <w:jc w:val="left"/>
            </w:pPr>
            <w:r/>
            <w:r>
              <w:rPr>
                <w:b w:val="0"/>
                <w:sz w:val="17"/>
              </w:rPr>
              <w:t>YZ · median-HAR · t5  (best config)</w:t>
            </w:r>
          </w:p>
        </w:tc>
        <w:tc>
          <w:tcPr>
            <w:tcW w:type="dxa" w:w="4608"/>
            <w:shd w:val="clear" w:color="auto" w:fill="F3F7F7"/>
            <w:vAlign w:val="center"/>
          </w:tcPr>
          <w:p>
            <w:pPr>
              <w:spacing w:after="20" w:before="20"/>
              <w:jc w:val="center"/>
            </w:pPr>
            <w:r/>
            <w:r>
              <w:rPr>
                <w:b w:val="0"/>
                <w:sz w:val="17"/>
              </w:rPr>
              <w:t>−0.0068</w:t>
            </w:r>
          </w:p>
        </w:tc>
      </w:tr>
      <w:tr>
        <w:tc>
          <w:tcPr>
            <w:tcW w:type="dxa" w:w="5616"/>
            <w:vAlign w:val="center"/>
          </w:tcPr>
          <w:p>
            <w:pPr>
              <w:spacing w:after="20" w:before="20"/>
              <w:jc w:val="left"/>
            </w:pPr>
            <w:r/>
            <w:r>
              <w:rPr>
                <w:b w:val="0"/>
                <w:sz w:val="17"/>
              </w:rPr>
              <w:t>YZ · mean · Gaussian innovations</w:t>
            </w:r>
          </w:p>
        </w:tc>
        <w:tc>
          <w:tcPr>
            <w:tcW w:type="dxa" w:w="4608"/>
            <w:vAlign w:val="center"/>
          </w:tcPr>
          <w:p>
            <w:pPr>
              <w:spacing w:after="20" w:before="20"/>
              <w:jc w:val="center"/>
            </w:pPr>
            <w:r/>
            <w:r>
              <w:rPr>
                <w:b w:val="0"/>
                <w:sz w:val="17"/>
              </w:rPr>
              <w:t>−0.0224</w:t>
            </w:r>
          </w:p>
        </w:tc>
      </w:tr>
      <w:tr>
        <w:tc>
          <w:tcPr>
            <w:tcW w:type="dxa" w:w="5616"/>
            <w:shd w:val="clear" w:color="auto" w:fill="F3F7F7"/>
            <w:vAlign w:val="center"/>
          </w:tcPr>
          <w:p>
            <w:pPr>
              <w:spacing w:after="20" w:before="20"/>
              <w:jc w:val="left"/>
            </w:pPr>
            <w:r/>
            <w:r>
              <w:rPr>
                <w:b w:val="0"/>
                <w:sz w:val="17"/>
              </w:rPr>
              <w:t>Close-to-close vol target · t5</w:t>
            </w:r>
          </w:p>
        </w:tc>
        <w:tc>
          <w:tcPr>
            <w:tcW w:type="dxa" w:w="4608"/>
            <w:shd w:val="clear" w:color="auto" w:fill="F3F7F7"/>
            <w:vAlign w:val="center"/>
          </w:tcPr>
          <w:p>
            <w:pPr>
              <w:spacing w:after="20" w:before="20"/>
              <w:jc w:val="center"/>
            </w:pPr>
            <w:r/>
            <w:r>
              <w:rPr>
                <w:b w:val="0"/>
                <w:sz w:val="17"/>
              </w:rPr>
              <w:t>−0.0227</w:t>
            </w:r>
          </w:p>
        </w:tc>
      </w:tr>
      <w:tr>
        <w:tc>
          <w:tcPr>
            <w:tcW w:type="dxa" w:w="5616"/>
            <w:vAlign w:val="center"/>
          </w:tcPr>
          <w:p>
            <w:pPr>
              <w:spacing w:after="20" w:before="20"/>
              <w:jc w:val="left"/>
            </w:pPr>
            <w:r/>
            <w:r>
              <w:rPr>
                <w:b w:val="0"/>
                <w:sz w:val="17"/>
              </w:rPr>
              <w:t>Drift ON · t5</w:t>
            </w:r>
          </w:p>
        </w:tc>
        <w:tc>
          <w:tcPr>
            <w:tcW w:type="dxa" w:w="4608"/>
            <w:vAlign w:val="center"/>
          </w:tcPr>
          <w:p>
            <w:pPr>
              <w:spacing w:after="20" w:before="20"/>
              <w:jc w:val="center"/>
            </w:pPr>
            <w:r/>
            <w:r>
              <w:rPr>
                <w:b w:val="0"/>
                <w:sz w:val="17"/>
              </w:rPr>
              <w:t>−0.0151</w:t>
            </w:r>
          </w:p>
        </w:tc>
      </w:tr>
    </w:tbl>
    <w:p>
      <w:pPr>
        <w:spacing w:after="40"/>
      </w:pPr>
    </w:p>
    <w:p>
      <w:pPr>
        <w:spacing w:after="40" w:line="259" w:lineRule="auto"/>
      </w:pPr>
      <w:r>
        <w:rPr>
          <w:b w:val="0"/>
          <w:i w:val="0"/>
          <w:sz w:val="20"/>
        </w:rPr>
        <w:t>The interval-coverage diagnostic (n = 57 monthly origins) and the per-year skill show why. The 80% and 90% bands over-cover while the 50% band under-covers, and the PIT mean of 0.573 sits above 0.50 — the zero-drift cone systematically sat below a stock that trended up, so the realized price landed high in the distribution. Split by year, the engine had marginal positive skill during the 2022–23 devaluation era (when a lumpy currency drift briefly helped) but turned sharply negative in 2024–26, netting negative across the sample.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408"/>
        <w:gridCol w:w="3408"/>
        <w:gridCol w:w="3408"/>
      </w:tblGrid>
      <w:tr>
        <w:tc>
          <w:tcPr>
            <w:tcW w:type="dxa" w:w="4752"/>
            <w:shd w:val="clear" w:color="auto" w:fill="1B5E5E"/>
            <w:vAlign w:val="center"/>
          </w:tcPr>
          <w:p>
            <w:pPr>
              <w:spacing w:after="20" w:before="20"/>
              <w:jc w:val="left"/>
            </w:pPr>
            <w:r/>
            <w:r>
              <w:rPr>
                <w:b/>
                <w:color w:val="FFFFFF"/>
                <w:sz w:val="18"/>
              </w:rPr>
              <w:t>Coverage / PIT diagnostic</w:t>
            </w:r>
          </w:p>
        </w:tc>
        <w:tc>
          <w:tcPr>
            <w:tcW w:type="dxa" w:w="2592"/>
            <w:shd w:val="clear" w:color="auto" w:fill="1B5E5E"/>
            <w:vAlign w:val="center"/>
          </w:tcPr>
          <w:p>
            <w:pPr>
              <w:spacing w:after="20" w:before="20"/>
              <w:jc w:val="center"/>
            </w:pPr>
            <w:r/>
            <w:r>
              <w:rPr>
                <w:b/>
                <w:color w:val="FFFFFF"/>
                <w:sz w:val="18"/>
              </w:rPr>
              <w:t>Target</w:t>
            </w:r>
          </w:p>
        </w:tc>
        <w:tc>
          <w:tcPr>
            <w:tcW w:type="dxa" w:w="2736"/>
            <w:shd w:val="clear" w:color="auto" w:fill="1B5E5E"/>
            <w:vAlign w:val="center"/>
          </w:tcPr>
          <w:p>
            <w:pPr>
              <w:spacing w:after="20" w:before="20"/>
              <w:jc w:val="center"/>
            </w:pPr>
            <w:r/>
            <w:r>
              <w:rPr>
                <w:b/>
                <w:color w:val="FFFFFF"/>
                <w:sz w:val="18"/>
              </w:rPr>
              <w:t>KABO (n=57)</w:t>
            </w:r>
          </w:p>
        </w:tc>
      </w:tr>
      <w:tr>
        <w:tc>
          <w:tcPr>
            <w:tcW w:type="dxa" w:w="4752"/>
            <w:vAlign w:val="center"/>
          </w:tcPr>
          <w:p>
            <w:pPr>
              <w:spacing w:after="20" w:before="20"/>
              <w:jc w:val="left"/>
            </w:pPr>
            <w:r/>
            <w:r>
              <w:rPr>
                <w:b w:val="0"/>
                <w:sz w:val="17"/>
              </w:rPr>
              <w:t>50% band containment</w:t>
            </w:r>
          </w:p>
        </w:tc>
        <w:tc>
          <w:tcPr>
            <w:tcW w:type="dxa" w:w="2592"/>
            <w:vAlign w:val="center"/>
          </w:tcPr>
          <w:p>
            <w:pPr>
              <w:spacing w:after="20" w:before="20"/>
              <w:jc w:val="center"/>
            </w:pPr>
            <w:r/>
            <w:r>
              <w:rPr>
                <w:b w:val="0"/>
                <w:sz w:val="17"/>
              </w:rPr>
              <w:t>50%</w:t>
            </w:r>
          </w:p>
        </w:tc>
        <w:tc>
          <w:tcPr>
            <w:tcW w:type="dxa" w:w="2736"/>
            <w:vAlign w:val="center"/>
          </w:tcPr>
          <w:p>
            <w:pPr>
              <w:spacing w:after="20" w:before="20"/>
              <w:jc w:val="center"/>
            </w:pPr>
            <w:r/>
            <w:r>
              <w:rPr>
                <w:b w:val="0"/>
                <w:sz w:val="17"/>
              </w:rPr>
              <w:t>47.4%</w:t>
            </w:r>
          </w:p>
        </w:tc>
      </w:tr>
      <w:tr>
        <w:tc>
          <w:tcPr>
            <w:tcW w:type="dxa" w:w="4752"/>
            <w:shd w:val="clear" w:color="auto" w:fill="F3F7F7"/>
            <w:vAlign w:val="center"/>
          </w:tcPr>
          <w:p>
            <w:pPr>
              <w:spacing w:after="20" w:before="20"/>
              <w:jc w:val="left"/>
            </w:pPr>
            <w:r/>
            <w:r>
              <w:rPr>
                <w:b w:val="0"/>
                <w:sz w:val="17"/>
              </w:rPr>
              <w:t>80% band containment</w:t>
            </w:r>
          </w:p>
        </w:tc>
        <w:tc>
          <w:tcPr>
            <w:tcW w:type="dxa" w:w="2592"/>
            <w:shd w:val="clear" w:color="auto" w:fill="F3F7F7"/>
            <w:vAlign w:val="center"/>
          </w:tcPr>
          <w:p>
            <w:pPr>
              <w:spacing w:after="20" w:before="20"/>
              <w:jc w:val="center"/>
            </w:pPr>
            <w:r/>
            <w:r>
              <w:rPr>
                <w:b w:val="0"/>
                <w:sz w:val="17"/>
              </w:rPr>
              <w:t>80%</w:t>
            </w:r>
          </w:p>
        </w:tc>
        <w:tc>
          <w:tcPr>
            <w:tcW w:type="dxa" w:w="2736"/>
            <w:shd w:val="clear" w:color="auto" w:fill="F3F7F7"/>
            <w:vAlign w:val="center"/>
          </w:tcPr>
          <w:p>
            <w:pPr>
              <w:spacing w:after="20" w:before="20"/>
              <w:jc w:val="center"/>
            </w:pPr>
            <w:r/>
            <w:r>
              <w:rPr>
                <w:b w:val="0"/>
                <w:sz w:val="17"/>
              </w:rPr>
              <w:t>86.0%</w:t>
            </w:r>
          </w:p>
        </w:tc>
      </w:tr>
      <w:tr>
        <w:tc>
          <w:tcPr>
            <w:tcW w:type="dxa" w:w="4752"/>
            <w:vAlign w:val="center"/>
          </w:tcPr>
          <w:p>
            <w:pPr>
              <w:spacing w:after="20" w:before="20"/>
              <w:jc w:val="left"/>
            </w:pPr>
            <w:r/>
            <w:r>
              <w:rPr>
                <w:b w:val="0"/>
                <w:sz w:val="17"/>
              </w:rPr>
              <w:t>90% band containment</w:t>
            </w:r>
          </w:p>
        </w:tc>
        <w:tc>
          <w:tcPr>
            <w:tcW w:type="dxa" w:w="2592"/>
            <w:vAlign w:val="center"/>
          </w:tcPr>
          <w:p>
            <w:pPr>
              <w:spacing w:after="20" w:before="20"/>
              <w:jc w:val="center"/>
            </w:pPr>
            <w:r/>
            <w:r>
              <w:rPr>
                <w:b w:val="0"/>
                <w:sz w:val="17"/>
              </w:rPr>
              <w:t>90%</w:t>
            </w:r>
          </w:p>
        </w:tc>
        <w:tc>
          <w:tcPr>
            <w:tcW w:type="dxa" w:w="2736"/>
            <w:vAlign w:val="center"/>
          </w:tcPr>
          <w:p>
            <w:pPr>
              <w:spacing w:after="20" w:before="20"/>
              <w:jc w:val="center"/>
            </w:pPr>
            <w:r/>
            <w:r>
              <w:rPr>
                <w:b w:val="0"/>
                <w:sz w:val="17"/>
              </w:rPr>
              <w:t>94.7%</w:t>
            </w:r>
          </w:p>
        </w:tc>
      </w:tr>
      <w:tr>
        <w:tc>
          <w:tcPr>
            <w:tcW w:type="dxa" w:w="4752"/>
            <w:shd w:val="clear" w:color="auto" w:fill="F3F7F7"/>
            <w:vAlign w:val="center"/>
          </w:tcPr>
          <w:p>
            <w:pPr>
              <w:spacing w:after="20" w:before="20"/>
              <w:jc w:val="left"/>
            </w:pPr>
            <w:r/>
            <w:r>
              <w:rPr>
                <w:b w:val="0"/>
                <w:sz w:val="17"/>
              </w:rPr>
              <w:t>PIT mean</w:t>
            </w:r>
          </w:p>
        </w:tc>
        <w:tc>
          <w:tcPr>
            <w:tcW w:type="dxa" w:w="2592"/>
            <w:shd w:val="clear" w:color="auto" w:fill="F3F7F7"/>
            <w:vAlign w:val="center"/>
          </w:tcPr>
          <w:p>
            <w:pPr>
              <w:spacing w:after="20" w:before="20"/>
              <w:jc w:val="center"/>
            </w:pPr>
            <w:r/>
            <w:r>
              <w:rPr>
                <w:b w:val="0"/>
                <w:sz w:val="17"/>
              </w:rPr>
              <w:t>0.50</w:t>
            </w:r>
          </w:p>
        </w:tc>
        <w:tc>
          <w:tcPr>
            <w:tcW w:type="dxa" w:w="2736"/>
            <w:shd w:val="clear" w:color="auto" w:fill="F3F7F7"/>
            <w:vAlign w:val="center"/>
          </w:tcPr>
          <w:p>
            <w:pPr>
              <w:spacing w:after="20" w:before="20"/>
              <w:jc w:val="center"/>
            </w:pPr>
            <w:r/>
            <w:r>
              <w:rPr>
                <w:b w:val="0"/>
                <w:sz w:val="17"/>
              </w:rPr>
              <w:t>0.573</w:t>
            </w:r>
          </w:p>
        </w:tc>
      </w:tr>
    </w:tbl>
    <w:p>
      <w:pPr>
        <w:spacing w:after="40"/>
      </w:pP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461"/>
        <w:gridCol w:w="1461"/>
        <w:gridCol w:w="1461"/>
        <w:gridCol w:w="1461"/>
        <w:gridCol w:w="1461"/>
        <w:gridCol w:w="1461"/>
        <w:gridCol w:w="1461"/>
      </w:tblGrid>
      <w:tr>
        <w:tc>
          <w:tcPr>
            <w:tcW w:type="dxa" w:w="3168"/>
            <w:shd w:val="clear" w:color="auto" w:fill="1B5E5E"/>
            <w:vAlign w:val="center"/>
          </w:tcPr>
          <w:p>
            <w:pPr>
              <w:spacing w:after="20" w:before="20"/>
              <w:jc w:val="left"/>
            </w:pPr>
            <w:r/>
            <w:r>
              <w:rPr>
                <w:b/>
                <w:color w:val="FFFFFF"/>
                <w:sz w:val="18"/>
              </w:rPr>
              <w:t>Per-year CRPS skill</w:t>
            </w:r>
          </w:p>
        </w:tc>
        <w:tc>
          <w:tcPr>
            <w:tcW w:type="dxa" w:w="1181"/>
            <w:shd w:val="clear" w:color="auto" w:fill="1B5E5E"/>
            <w:vAlign w:val="center"/>
          </w:tcPr>
          <w:p>
            <w:pPr>
              <w:spacing w:after="20" w:before="20"/>
              <w:jc w:val="center"/>
            </w:pPr>
            <w:r/>
            <w:r>
              <w:rPr>
                <w:b/>
                <w:color w:val="FFFFFF"/>
                <w:sz w:val="18"/>
              </w:rPr>
              <w:t>2021</w:t>
            </w:r>
          </w:p>
        </w:tc>
        <w:tc>
          <w:tcPr>
            <w:tcW w:type="dxa" w:w="1181"/>
            <w:shd w:val="clear" w:color="auto" w:fill="1B5E5E"/>
            <w:vAlign w:val="center"/>
          </w:tcPr>
          <w:p>
            <w:pPr>
              <w:spacing w:after="20" w:before="20"/>
              <w:jc w:val="center"/>
            </w:pPr>
            <w:r/>
            <w:r>
              <w:rPr>
                <w:b/>
                <w:color w:val="FFFFFF"/>
                <w:sz w:val="18"/>
              </w:rPr>
              <w:t>2022</w:t>
            </w:r>
          </w:p>
        </w:tc>
        <w:tc>
          <w:tcPr>
            <w:tcW w:type="dxa" w:w="1181"/>
            <w:shd w:val="clear" w:color="auto" w:fill="1B5E5E"/>
            <w:vAlign w:val="center"/>
          </w:tcPr>
          <w:p>
            <w:pPr>
              <w:spacing w:after="20" w:before="20"/>
              <w:jc w:val="center"/>
            </w:pPr>
            <w:r/>
            <w:r>
              <w:rPr>
                <w:b/>
                <w:color w:val="FFFFFF"/>
                <w:sz w:val="18"/>
              </w:rPr>
              <w:t>2023</w:t>
            </w:r>
          </w:p>
        </w:tc>
        <w:tc>
          <w:tcPr>
            <w:tcW w:type="dxa" w:w="1181"/>
            <w:shd w:val="clear" w:color="auto" w:fill="1B5E5E"/>
            <w:vAlign w:val="center"/>
          </w:tcPr>
          <w:p>
            <w:pPr>
              <w:spacing w:after="20" w:before="20"/>
              <w:jc w:val="center"/>
            </w:pPr>
            <w:r/>
            <w:r>
              <w:rPr>
                <w:b/>
                <w:color w:val="FFFFFF"/>
                <w:sz w:val="18"/>
              </w:rPr>
              <w:t>2024</w:t>
            </w:r>
          </w:p>
        </w:tc>
        <w:tc>
          <w:tcPr>
            <w:tcW w:type="dxa" w:w="1181"/>
            <w:shd w:val="clear" w:color="auto" w:fill="1B5E5E"/>
            <w:vAlign w:val="center"/>
          </w:tcPr>
          <w:p>
            <w:pPr>
              <w:spacing w:after="20" w:before="20"/>
              <w:jc w:val="center"/>
            </w:pPr>
            <w:r/>
            <w:r>
              <w:rPr>
                <w:b/>
                <w:color w:val="FFFFFF"/>
                <w:sz w:val="18"/>
              </w:rPr>
              <w:t>2025</w:t>
            </w:r>
          </w:p>
        </w:tc>
        <w:tc>
          <w:tcPr>
            <w:tcW w:type="dxa" w:w="1181"/>
            <w:shd w:val="clear" w:color="auto" w:fill="1B5E5E"/>
            <w:vAlign w:val="center"/>
          </w:tcPr>
          <w:p>
            <w:pPr>
              <w:spacing w:after="20" w:before="20"/>
              <w:jc w:val="center"/>
            </w:pPr>
            <w:r/>
            <w:r>
              <w:rPr>
                <w:b/>
                <w:color w:val="FFFFFF"/>
                <w:sz w:val="18"/>
              </w:rPr>
              <w:t>2026</w:t>
            </w:r>
          </w:p>
        </w:tc>
      </w:tr>
      <w:tr>
        <w:tc>
          <w:tcPr>
            <w:tcW w:type="dxa" w:w="3168"/>
            <w:vAlign w:val="center"/>
          </w:tcPr>
          <w:p>
            <w:pPr>
              <w:spacing w:after="20" w:before="20"/>
              <w:jc w:val="left"/>
            </w:pPr>
            <w:r/>
            <w:r>
              <w:rPr>
                <w:b w:val="0"/>
                <w:sz w:val="17"/>
              </w:rPr>
              <w:t>YZ·mean-HAR·t5</w:t>
            </w:r>
          </w:p>
        </w:tc>
        <w:tc>
          <w:tcPr>
            <w:tcW w:type="dxa" w:w="1181"/>
            <w:vAlign w:val="center"/>
          </w:tcPr>
          <w:p>
            <w:pPr>
              <w:spacing w:after="20" w:before="20"/>
              <w:jc w:val="center"/>
            </w:pPr>
            <w:r/>
            <w:r>
              <w:rPr>
                <w:b w:val="0"/>
                <w:sz w:val="17"/>
              </w:rPr>
              <w:t>+0.003</w:t>
            </w:r>
          </w:p>
        </w:tc>
        <w:tc>
          <w:tcPr>
            <w:tcW w:type="dxa" w:w="1181"/>
            <w:vAlign w:val="center"/>
          </w:tcPr>
          <w:p>
            <w:pPr>
              <w:spacing w:after="20" w:before="20"/>
              <w:jc w:val="center"/>
            </w:pPr>
            <w:r/>
            <w:r>
              <w:rPr>
                <w:b w:val="0"/>
                <w:sz w:val="17"/>
              </w:rPr>
              <w:t>+0.056</w:t>
            </w:r>
          </w:p>
        </w:tc>
        <w:tc>
          <w:tcPr>
            <w:tcW w:type="dxa" w:w="1181"/>
            <w:vAlign w:val="center"/>
          </w:tcPr>
          <w:p>
            <w:pPr>
              <w:spacing w:after="20" w:before="20"/>
              <w:jc w:val="center"/>
            </w:pPr>
            <w:r/>
            <w:r>
              <w:rPr>
                <w:b w:val="0"/>
                <w:sz w:val="17"/>
              </w:rPr>
              <w:t>+0.019</w:t>
            </w:r>
          </w:p>
        </w:tc>
        <w:tc>
          <w:tcPr>
            <w:tcW w:type="dxa" w:w="1181"/>
            <w:vAlign w:val="center"/>
          </w:tcPr>
          <w:p>
            <w:pPr>
              <w:spacing w:after="20" w:before="20"/>
              <w:jc w:val="center"/>
            </w:pPr>
            <w:r/>
            <w:r>
              <w:rPr>
                <w:b w:val="0"/>
                <w:sz w:val="17"/>
              </w:rPr>
              <w:t>−0.010</w:t>
            </w:r>
          </w:p>
        </w:tc>
        <w:tc>
          <w:tcPr>
            <w:tcW w:type="dxa" w:w="1181"/>
            <w:vAlign w:val="center"/>
          </w:tcPr>
          <w:p>
            <w:pPr>
              <w:spacing w:after="20" w:before="20"/>
              <w:jc w:val="center"/>
            </w:pPr>
            <w:r/>
            <w:r>
              <w:rPr>
                <w:b w:val="0"/>
                <w:sz w:val="17"/>
              </w:rPr>
              <w:t>−0.029</w:t>
            </w:r>
          </w:p>
        </w:tc>
        <w:tc>
          <w:tcPr>
            <w:tcW w:type="dxa" w:w="1181"/>
            <w:vAlign w:val="center"/>
          </w:tcPr>
          <w:p>
            <w:pPr>
              <w:spacing w:after="20" w:before="20"/>
              <w:jc w:val="center"/>
            </w:pPr>
            <w:r/>
            <w:r>
              <w:rPr>
                <w:b w:val="0"/>
                <w:sz w:val="17"/>
              </w:rPr>
              <w:t>−0.180</w:t>
            </w:r>
          </w:p>
        </w:tc>
      </w:tr>
    </w:tbl>
    <w:p>
      <w:pPr>
        <w:spacing w:after="40"/>
      </w:pPr>
    </w:p>
    <w:tbl>
      <w:tblPr>
        <w:tblW w:type="auto" w:w="0"/>
        <w:jc w:val="center"/>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0224"/>
      </w:tblGrid>
      <w:tr>
        <w:tc>
          <w:tcPr>
            <w:tcW w:type="dxa" w:w="10224"/>
            <w:shd w:val="clear" w:color="auto" w:fill="EFF4F4"/>
          </w:tcPr>
          <w:p>
            <w:pPr>
              <w:spacing w:after="40"/>
            </w:pPr>
            <w:r/>
            <w:r>
              <w:rPr>
                <w:b/>
                <w:color w:val="1B5E5E"/>
                <w:sz w:val="19"/>
              </w:rPr>
              <w:t>Conclusion — why no Monte Carlo forecast is published for KABO.</w:t>
            </w:r>
          </w:p>
          <w:p>
            <w:pPr>
              <w:spacing w:after="40"/>
            </w:pPr>
            <w:r>
              <w:rPr>
                <w:b w:val="0"/>
                <w:sz w:val="18"/>
              </w:rPr>
              <w:t xml:space="preserve">Under Testahil's standing rule, a probabilistic forecast is published only if the engine beats a zero-drift random-walk cone on CRPS skill (&gt; 0) with a roughly uniform PIT. KABO fails on both counts, under every configuration tried, because its quarter-ahead price is driven by discrete, unforecastable jumps and a lumpy currency drift that a smooth diffusion cannot capture. We therefore carry the Monte Carlo as an </w:t>
            </w:r>
            <w:r>
              <w:rPr>
                <w:b/>
                <w:sz w:val="18"/>
              </w:rPr>
              <w:t>illustrative volatility map only</w:t>
            </w:r>
            <w:r>
              <w:rPr>
                <w:b w:val="0"/>
                <w:sz w:val="18"/>
              </w:rPr>
              <w:t xml:space="preserve"> (§3) and rest the study on the fundamental (RNAV) and technical reads. Band-containment is a diagnostic, never the grade — an honestly-wide cone that fails CRPS is still a failed forecast.</w:t>
            </w:r>
          </w:p>
        </w:tc>
      </w:tr>
    </w:tbl>
    <w:p>
      <w:pPr>
        <w:spacing w:after="40"/>
      </w:pPr>
    </w:p>
    <w:p>
      <w:r>
        <w:br w:type="page"/>
      </w:r>
    </w:p>
    <w:p>
      <w:pPr>
        <w:spacing w:before="200" w:after="80"/>
      </w:pPr>
      <w:r>
        <w:rPr>
          <w:b/>
          <w:color w:val="1B5E5E"/>
          <w:sz w:val="30"/>
        </w:rPr>
        <w:t>Appendix C  Peer set, sector structure, and risks</w:t>
      </w:r>
    </w:p>
    <w:p>
      <w:pPr>
        <w:spacing w:after="60" w:line="259" w:lineRule="auto"/>
      </w:pPr>
      <w:r>
        <w:rPr>
          <w:b w:val="0"/>
          <w:i w:val="0"/>
          <w:sz w:val="20"/>
        </w:rPr>
        <w:t>KABO has no clean listed comparable — it is a sub-scale, private-sector knitwear exporter with a latent-asset overlay. The peer set is indicative, split between EGX textile names and distressed emerging-market apparel makers.</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408"/>
        <w:gridCol w:w="3408"/>
        <w:gridCol w:w="3408"/>
      </w:tblGrid>
      <w:tr>
        <w:tc>
          <w:tcPr>
            <w:tcW w:type="dxa" w:w="3456"/>
            <w:shd w:val="clear" w:color="auto" w:fill="1B5E5E"/>
            <w:vAlign w:val="center"/>
          </w:tcPr>
          <w:p>
            <w:pPr>
              <w:spacing w:after="20" w:before="20"/>
              <w:jc w:val="left"/>
            </w:pPr>
            <w:r/>
            <w:r>
              <w:rPr>
                <w:b/>
                <w:color w:val="FFFFFF"/>
                <w:sz w:val="18"/>
              </w:rPr>
              <w:t>Peer / comparator</w:t>
            </w:r>
          </w:p>
        </w:tc>
        <w:tc>
          <w:tcPr>
            <w:tcW w:type="dxa" w:w="1872"/>
            <w:shd w:val="clear" w:color="auto" w:fill="1B5E5E"/>
            <w:vAlign w:val="center"/>
          </w:tcPr>
          <w:p>
            <w:pPr>
              <w:spacing w:after="20" w:before="20"/>
              <w:jc w:val="center"/>
            </w:pPr>
            <w:r/>
            <w:r>
              <w:rPr>
                <w:b/>
                <w:color w:val="FFFFFF"/>
                <w:sz w:val="18"/>
              </w:rPr>
              <w:t>Market</w:t>
            </w:r>
          </w:p>
        </w:tc>
        <w:tc>
          <w:tcPr>
            <w:tcW w:type="dxa" w:w="4896"/>
            <w:shd w:val="clear" w:color="auto" w:fill="1B5E5E"/>
            <w:vAlign w:val="center"/>
          </w:tcPr>
          <w:p>
            <w:pPr>
              <w:spacing w:after="20" w:before="20"/>
              <w:jc w:val="left"/>
            </w:pPr>
            <w:r/>
            <w:r>
              <w:rPr>
                <w:b/>
                <w:color w:val="FFFFFF"/>
                <w:sz w:val="18"/>
              </w:rPr>
              <w:t>Typical valuation / note</w:t>
            </w:r>
          </w:p>
        </w:tc>
      </w:tr>
      <w:tr>
        <w:tc>
          <w:tcPr>
            <w:tcW w:type="dxa" w:w="3456"/>
            <w:vAlign w:val="center"/>
          </w:tcPr>
          <w:p>
            <w:pPr>
              <w:spacing w:after="20" w:before="20"/>
              <w:jc w:val="left"/>
            </w:pPr>
            <w:r/>
            <w:r>
              <w:rPr>
                <w:b w:val="0"/>
                <w:sz w:val="17"/>
              </w:rPr>
              <w:t>Oriental Weavers (ORWE)</w:t>
            </w:r>
          </w:p>
        </w:tc>
        <w:tc>
          <w:tcPr>
            <w:tcW w:type="dxa" w:w="1872"/>
            <w:vAlign w:val="center"/>
          </w:tcPr>
          <w:p>
            <w:pPr>
              <w:spacing w:after="20" w:before="20"/>
              <w:jc w:val="center"/>
            </w:pPr>
            <w:r/>
            <w:r>
              <w:rPr>
                <w:b w:val="0"/>
                <w:sz w:val="17"/>
              </w:rPr>
              <w:t>EGX</w:t>
            </w:r>
          </w:p>
        </w:tc>
        <w:tc>
          <w:tcPr>
            <w:tcW w:type="dxa" w:w="4896"/>
            <w:vAlign w:val="center"/>
          </w:tcPr>
          <w:p>
            <w:pPr>
              <w:spacing w:after="20" w:before="20"/>
              <w:jc w:val="left"/>
            </w:pPr>
            <w:r/>
            <w:r>
              <w:rPr>
                <w:b w:val="0"/>
                <w:sz w:val="17"/>
              </w:rPr>
              <w:t>Carpets; scaled exporter; ~1.0–1.6× book; dividend-paying</w:t>
            </w:r>
          </w:p>
        </w:tc>
      </w:tr>
      <w:tr>
        <w:tc>
          <w:tcPr>
            <w:tcW w:type="dxa" w:w="3456"/>
            <w:shd w:val="clear" w:color="auto" w:fill="F3F7F7"/>
            <w:vAlign w:val="center"/>
          </w:tcPr>
          <w:p>
            <w:pPr>
              <w:spacing w:after="20" w:before="20"/>
              <w:jc w:val="left"/>
            </w:pPr>
            <w:r/>
            <w:r>
              <w:rPr>
                <w:b w:val="0"/>
                <w:sz w:val="17"/>
              </w:rPr>
              <w:t>Arab Cotton Ginning (ACGC)</w:t>
            </w:r>
          </w:p>
        </w:tc>
        <w:tc>
          <w:tcPr>
            <w:tcW w:type="dxa" w:w="1872"/>
            <w:shd w:val="clear" w:color="auto" w:fill="F3F7F7"/>
            <w:vAlign w:val="center"/>
          </w:tcPr>
          <w:p>
            <w:pPr>
              <w:spacing w:after="20" w:before="20"/>
              <w:jc w:val="center"/>
            </w:pPr>
            <w:r/>
            <w:r>
              <w:rPr>
                <w:b w:val="0"/>
                <w:sz w:val="17"/>
              </w:rPr>
              <w:t>EGX</w:t>
            </w:r>
          </w:p>
        </w:tc>
        <w:tc>
          <w:tcPr>
            <w:tcW w:type="dxa" w:w="4896"/>
            <w:shd w:val="clear" w:color="auto" w:fill="F3F7F7"/>
            <w:vAlign w:val="center"/>
          </w:tcPr>
          <w:p>
            <w:pPr>
              <w:spacing w:after="20" w:before="20"/>
              <w:jc w:val="left"/>
            </w:pPr>
            <w:r/>
            <w:r>
              <w:rPr>
                <w:b w:val="0"/>
                <w:sz w:val="17"/>
              </w:rPr>
              <w:t>Cotton processing; asset-heavy; cyclical</w:t>
            </w:r>
          </w:p>
        </w:tc>
      </w:tr>
      <w:tr>
        <w:tc>
          <w:tcPr>
            <w:tcW w:type="dxa" w:w="3456"/>
            <w:vAlign w:val="center"/>
          </w:tcPr>
          <w:p>
            <w:pPr>
              <w:spacing w:after="20" w:before="20"/>
              <w:jc w:val="left"/>
            </w:pPr>
            <w:r/>
            <w:r>
              <w:rPr>
                <w:b w:val="0"/>
                <w:sz w:val="17"/>
              </w:rPr>
              <w:t>Nile Cotton Ginning / spinning peers</w:t>
            </w:r>
          </w:p>
        </w:tc>
        <w:tc>
          <w:tcPr>
            <w:tcW w:type="dxa" w:w="1872"/>
            <w:vAlign w:val="center"/>
          </w:tcPr>
          <w:p>
            <w:pPr>
              <w:spacing w:after="20" w:before="20"/>
              <w:jc w:val="center"/>
            </w:pPr>
            <w:r/>
            <w:r>
              <w:rPr>
                <w:b w:val="0"/>
                <w:sz w:val="17"/>
              </w:rPr>
              <w:t>EGX</w:t>
            </w:r>
          </w:p>
        </w:tc>
        <w:tc>
          <w:tcPr>
            <w:tcW w:type="dxa" w:w="4896"/>
            <w:vAlign w:val="center"/>
          </w:tcPr>
          <w:p>
            <w:pPr>
              <w:spacing w:after="20" w:before="20"/>
              <w:jc w:val="left"/>
            </w:pPr>
            <w:r/>
            <w:r>
              <w:rPr>
                <w:b w:val="0"/>
                <w:sz w:val="17"/>
              </w:rPr>
              <w:t>Legacy textile; asset value vs weak earnings</w:t>
            </w:r>
          </w:p>
        </w:tc>
      </w:tr>
      <w:tr>
        <w:tc>
          <w:tcPr>
            <w:tcW w:type="dxa" w:w="3456"/>
            <w:shd w:val="clear" w:color="auto" w:fill="F3F7F7"/>
            <w:vAlign w:val="center"/>
          </w:tcPr>
          <w:p>
            <w:pPr>
              <w:spacing w:after="20" w:before="20"/>
              <w:jc w:val="left"/>
            </w:pPr>
            <w:r/>
            <w:r>
              <w:rPr>
                <w:b w:val="0"/>
                <w:sz w:val="17"/>
              </w:rPr>
              <w:t>Distressed EM knitwear / apparel</w:t>
            </w:r>
          </w:p>
        </w:tc>
        <w:tc>
          <w:tcPr>
            <w:tcW w:type="dxa" w:w="1872"/>
            <w:shd w:val="clear" w:color="auto" w:fill="F3F7F7"/>
            <w:vAlign w:val="center"/>
          </w:tcPr>
          <w:p>
            <w:pPr>
              <w:spacing w:after="20" w:before="20"/>
              <w:jc w:val="center"/>
            </w:pPr>
            <w:r/>
            <w:r>
              <w:rPr>
                <w:b w:val="0"/>
                <w:sz w:val="17"/>
              </w:rPr>
              <w:t>Global</w:t>
            </w:r>
          </w:p>
        </w:tc>
        <w:tc>
          <w:tcPr>
            <w:tcW w:type="dxa" w:w="4896"/>
            <w:shd w:val="clear" w:color="auto" w:fill="F3F7F7"/>
            <w:vAlign w:val="center"/>
          </w:tcPr>
          <w:p>
            <w:pPr>
              <w:spacing w:after="20" w:before="20"/>
              <w:jc w:val="left"/>
            </w:pPr>
            <w:r/>
            <w:r>
              <w:rPr>
                <w:b w:val="0"/>
                <w:sz w:val="17"/>
              </w:rPr>
              <w:t>Typically 0.5–1.2× book on thin margins</w:t>
            </w:r>
          </w:p>
        </w:tc>
      </w:tr>
    </w:tbl>
    <w:p>
      <w:pPr>
        <w:spacing w:after="40"/>
      </w:pPr>
    </w:p>
    <w:p>
      <w:pPr>
        <w:spacing w:after="80" w:line="259" w:lineRule="auto"/>
      </w:pPr>
      <w:r>
        <w:rPr>
          <w:b/>
          <w:i w:val="0"/>
          <w:sz w:val="20"/>
        </w:rPr>
        <w:t xml:space="preserve">Sector structure. </w:t>
      </w:r>
      <w:r>
        <w:rPr>
          <w:b w:val="0"/>
          <w:i w:val="0"/>
          <w:sz w:val="20"/>
        </w:rPr>
        <w:t xml:space="preserve">Egyptian textiles are a two-tier world: a weak-pound tailwind for exporters (revenues in hard currency, much of the cost base in EGP) against structural pressures — high energy and financing costs, ageing plant, intense low-cost competition from Asia, and thin, volatile margins. Value in the legacy names increasingly rests on the real estate under the factories rather than on the manufacturing itself, which is exactly the KABO question. </w:t>
      </w:r>
      <w:r>
        <w:rPr>
          <w:b/>
          <w:i w:val="0"/>
          <w:sz w:val="20"/>
        </w:rPr>
        <w:t xml:space="preserve">Principal risks: </w:t>
      </w:r>
      <w:r>
        <w:rPr>
          <w:b w:val="0"/>
          <w:i w:val="0"/>
          <w:sz w:val="20"/>
        </w:rPr>
        <w:t>an undisclosed or over-estimated land value (the swing in both directions); reconstructed financials for a thinly-covered name; violent FX-driven earnings swings; heavy leverage into a high-rate environment; a small, speculative float; input-cost and freight shocks; and a Monte Carlo layer that could not be calibrated and is therefore not a forecast.</w:t>
      </w:r>
    </w:p>
    <w:p>
      <w:r>
        <w:br w:type="page"/>
      </w:r>
    </w:p>
    <w:p>
      <w:pPr>
        <w:spacing w:before="200" w:after="80"/>
      </w:pPr>
      <w:r>
        <w:rPr>
          <w:b/>
          <w:color w:val="1B5E5E"/>
          <w:sz w:val="30"/>
        </w:rPr>
        <w:t>Appendix D  The expert valuation panel</w:t>
      </w:r>
    </w:p>
    <w:p>
      <w:pPr>
        <w:spacing w:after="60" w:line="259" w:lineRule="auto"/>
      </w:pPr>
      <w:r>
        <w:rPr>
          <w:b/>
          <w:i w:val="0"/>
          <w:sz w:val="20"/>
        </w:rPr>
        <w:t xml:space="preserve">Premise. </w:t>
      </w:r>
      <w:r>
        <w:rPr>
          <w:b w:val="0"/>
          <w:i w:val="0"/>
          <w:sz w:val="20"/>
        </w:rPr>
        <w:t>Three independent experts, three genuinely different methods, none seeing the others' work; the divergence is the signal and is not averaged away into a single number. The point is not consensus but a clean map of where the disagreement lives — and here it lives in one place. The discipline that makes the section real is threefold: each expert runs a genuinely different method, so agreement (when it comes) is informative rather than an artefact of shared assumptions; each fair value is derived from shown workings, never asserted; and each states a falsification condition, so the persona can be scored against realized prices over time. None of the three is allowed to wave at a number — a discipline that matters most on a name like KABO, where the temptation is to invent a land value and back into the price.</w:t>
      </w:r>
    </w:p>
    <w:p>
      <w:pPr>
        <w:spacing w:after="80" w:line="259" w:lineRule="auto"/>
      </w:pPr>
      <w:r>
        <w:rPr>
          <w:b w:val="0"/>
          <w:i w:val="0"/>
          <w:sz w:val="20"/>
        </w:rPr>
        <w:t xml:space="preserve">Every Testahil study closes with a panel of standing expert personas — drawn from the house Expert Persona Library, not invented for the occasion, so that each accumulates a track record across studies and a quarterly update is a re-run, not a re-training. For an asset-heavy industrial whose price has detached from its earnings, we cast the three whose methods both fit the instrument and genuinely disagree: </w:t>
      </w:r>
      <w:r>
        <w:rPr>
          <w:b/>
          <w:i w:val="0"/>
          <w:sz w:val="20"/>
        </w:rPr>
        <w:t>Expert 1</w:t>
      </w:r>
      <w:r>
        <w:rPr>
          <w:b w:val="0"/>
          <w:i w:val="0"/>
          <w:sz w:val="20"/>
        </w:rPr>
        <w:t xml:space="preserve"> (revalued net assets at realizable value and earnings quality), </w:t>
      </w:r>
      <w:r>
        <w:rPr>
          <w:b/>
          <w:i w:val="0"/>
          <w:sz w:val="20"/>
        </w:rPr>
        <w:t>Expert 2</w:t>
      </w:r>
      <w:r>
        <w:rPr>
          <w:b w:val="0"/>
          <w:i w:val="0"/>
          <w:sz w:val="20"/>
        </w:rPr>
        <w:t xml:space="preserve"> (normalized through-cycle earnings and multiples), and </w:t>
      </w:r>
      <w:r>
        <w:rPr>
          <w:b/>
          <w:i w:val="0"/>
          <w:sz w:val="20"/>
        </w:rPr>
        <w:t>Expert 3</w:t>
      </w:r>
      <w:r>
        <w:rPr>
          <w:b w:val="0"/>
          <w:i w:val="0"/>
          <w:sz w:val="20"/>
        </w:rPr>
        <w:t xml:space="preserve"> (scenario-weighted policy and catalyst odds). Each runs a different method, derives its fair value from shown workings, and states a falsification condition. The single asset they disagree on is the land, and that disagreement is the whole valuation.</w:t>
      </w:r>
    </w:p>
    <w:p>
      <w:pPr>
        <w:spacing w:before="140" w:after="40"/>
      </w:pPr>
      <w:r>
        <w:rPr>
          <w:b/>
          <w:color w:val="2A8F8F"/>
          <w:sz w:val="23"/>
        </w:rPr>
        <w:t>D.1  Expert 1 — revalued net assets at realizable value</w:t>
      </w:r>
    </w:p>
    <w:p>
      <w:pPr>
        <w:spacing w:after="40" w:line="259" w:lineRule="auto"/>
      </w:pPr>
      <w:r>
        <w:rPr>
          <w:b/>
          <w:i w:val="0"/>
          <w:sz w:val="20"/>
        </w:rPr>
        <w:t xml:space="preserve">Worldview. </w:t>
      </w:r>
      <w:r>
        <w:rPr>
          <w:b w:val="0"/>
          <w:i w:val="0"/>
          <w:sz w:val="20"/>
        </w:rPr>
        <w:t>The realization school: a business is worth what its assets would fetch, net of every claim, and reported profit is trusted only insofar as it converts to cash. This lens is at its sharpest exactly where value rests on assets that are not yet realized — a company sitting on legacy land carried at historical cost is its natural subject.</w:t>
      </w:r>
    </w:p>
    <w:p>
      <w:pPr>
        <w:spacing w:after="40" w:line="259" w:lineRule="auto"/>
      </w:pPr>
      <w:r>
        <w:rPr>
          <w:b/>
          <w:i w:val="0"/>
          <w:sz w:val="20"/>
        </w:rPr>
        <w:t xml:space="preserve">When it works / fails. </w:t>
      </w:r>
      <w:r>
        <w:rPr>
          <w:b w:val="0"/>
          <w:i w:val="0"/>
          <w:sz w:val="20"/>
        </w:rPr>
        <w:t>Best where the business is capital-intensive and working-capital-heavy, leverage is rising, and the value case rests on unbuilt or unrealized assets — all true of KABO. It fails by systematically undervaluing a genuine compounding franchise, which KABO, on its margins and cash conversion, is not.</w:t>
      </w:r>
    </w:p>
    <w:p>
      <w:pPr>
        <w:spacing w:after="40" w:line="259" w:lineRule="auto"/>
      </w:pPr>
      <w:r>
        <w:rPr>
          <w:b/>
          <w:i w:val="0"/>
          <w:sz w:val="20"/>
        </w:rPr>
        <w:t xml:space="preserve">Standard workings. </w:t>
      </w:r>
      <w:r>
        <w:rPr>
          <w:b w:val="0"/>
          <w:i w:val="0"/>
          <w:sz w:val="20"/>
        </w:rPr>
        <w:t>(1) mark each asset to a conservative realizable value with explicit haircuts; (2) test earnings quality through the operating-cash-flow-to-net-income bridge; (3) bridge to equity by subtracting all claims and applying a cash-conversion overlay; (4) sensitise on the swing marks. Applied to KABO, the earnings-quality test is unflattering — FY2024's reported profit was mostly a non-cash currency-translation gain — which pushes him firmly onto the asset side.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408"/>
        <w:gridCol w:w="3408"/>
        <w:gridCol w:w="3408"/>
      </w:tblGrid>
      <w:tr>
        <w:tc>
          <w:tcPr>
            <w:tcW w:type="dxa" w:w="4896"/>
            <w:shd w:val="clear" w:color="auto" w:fill="1B5E5E"/>
            <w:vAlign w:val="center"/>
          </w:tcPr>
          <w:p>
            <w:pPr>
              <w:spacing w:after="20" w:before="20"/>
              <w:jc w:val="left"/>
            </w:pPr>
            <w:r/>
            <w:r>
              <w:rPr>
                <w:b/>
                <w:color w:val="FFFFFF"/>
                <w:sz w:val="18"/>
              </w:rPr>
              <w:t>Expert 1's marks (EGP m)</w:t>
            </w:r>
          </w:p>
        </w:tc>
        <w:tc>
          <w:tcPr>
            <w:tcW w:type="dxa" w:w="2016"/>
            <w:shd w:val="clear" w:color="auto" w:fill="1B5E5E"/>
            <w:vAlign w:val="center"/>
          </w:tcPr>
          <w:p>
            <w:pPr>
              <w:spacing w:after="20" w:before="20"/>
              <w:jc w:val="center"/>
            </w:pPr>
            <w:r/>
            <w:r>
              <w:rPr>
                <w:b/>
                <w:color w:val="FFFFFF"/>
                <w:sz w:val="18"/>
              </w:rPr>
              <w:t>Value</w:t>
            </w:r>
          </w:p>
        </w:tc>
        <w:tc>
          <w:tcPr>
            <w:tcW w:type="dxa" w:w="2160"/>
            <w:shd w:val="clear" w:color="auto" w:fill="1B5E5E"/>
            <w:vAlign w:val="center"/>
          </w:tcPr>
          <w:p>
            <w:pPr>
              <w:spacing w:after="20" w:before="20"/>
              <w:jc w:val="center"/>
            </w:pPr>
            <w:r/>
            <w:r>
              <w:rPr>
                <w:b/>
                <w:color w:val="FFFFFF"/>
                <w:sz w:val="18"/>
              </w:rPr>
              <w:t>EGP / share</w:t>
            </w:r>
          </w:p>
        </w:tc>
      </w:tr>
      <w:tr>
        <w:tc>
          <w:tcPr>
            <w:tcW w:type="dxa" w:w="4896"/>
            <w:vAlign w:val="center"/>
          </w:tcPr>
          <w:p>
            <w:pPr>
              <w:spacing w:after="20" w:before="20"/>
              <w:jc w:val="left"/>
            </w:pPr>
            <w:r/>
            <w:r>
              <w:rPr>
                <w:b w:val="0"/>
                <w:sz w:val="18"/>
              </w:rPr>
              <w:t>Audited book equity (net assets)</w:t>
            </w:r>
          </w:p>
        </w:tc>
        <w:tc>
          <w:tcPr>
            <w:tcW w:type="dxa" w:w="2016"/>
            <w:vAlign w:val="center"/>
          </w:tcPr>
          <w:p>
            <w:pPr>
              <w:spacing w:after="20" w:before="20"/>
              <w:jc w:val="center"/>
            </w:pPr>
            <w:r/>
            <w:r>
              <w:rPr>
                <w:b w:val="0"/>
                <w:sz w:val="18"/>
              </w:rPr>
              <w:t>1,152</w:t>
            </w:r>
          </w:p>
        </w:tc>
        <w:tc>
          <w:tcPr>
            <w:tcW w:type="dxa" w:w="2160"/>
            <w:vAlign w:val="center"/>
          </w:tcPr>
          <w:p>
            <w:pPr>
              <w:spacing w:after="20" w:before="20"/>
              <w:jc w:val="center"/>
            </w:pPr>
            <w:r/>
            <w:r>
              <w:rPr>
                <w:b w:val="0"/>
                <w:sz w:val="18"/>
              </w:rPr>
              <w:t>2.04</w:t>
            </w:r>
          </w:p>
        </w:tc>
      </w:tr>
      <w:tr>
        <w:tc>
          <w:tcPr>
            <w:tcW w:type="dxa" w:w="4896"/>
            <w:shd w:val="clear" w:color="auto" w:fill="F3F7F7"/>
            <w:vAlign w:val="center"/>
          </w:tcPr>
          <w:p>
            <w:pPr>
              <w:spacing w:after="20" w:before="20"/>
              <w:jc w:val="left"/>
            </w:pPr>
            <w:r/>
            <w:r>
              <w:rPr>
                <w:b w:val="0"/>
                <w:sz w:val="18"/>
              </w:rPr>
              <w:t>+ Land &amp; buildings re-mark (conservative)</w:t>
            </w:r>
          </w:p>
        </w:tc>
        <w:tc>
          <w:tcPr>
            <w:tcW w:type="dxa" w:w="2016"/>
            <w:shd w:val="clear" w:color="auto" w:fill="F3F7F7"/>
            <w:vAlign w:val="center"/>
          </w:tcPr>
          <w:p>
            <w:pPr>
              <w:spacing w:after="20" w:before="20"/>
              <w:jc w:val="center"/>
            </w:pPr>
            <w:r/>
            <w:r>
              <w:rPr>
                <w:b w:val="0"/>
                <w:sz w:val="18"/>
              </w:rPr>
              <w:t>700</w:t>
            </w:r>
          </w:p>
        </w:tc>
        <w:tc>
          <w:tcPr>
            <w:tcW w:type="dxa" w:w="2160"/>
            <w:shd w:val="clear" w:color="auto" w:fill="F3F7F7"/>
            <w:vAlign w:val="center"/>
          </w:tcPr>
          <w:p>
            <w:pPr>
              <w:spacing w:after="20" w:before="20"/>
              <w:jc w:val="center"/>
            </w:pPr>
            <w:r/>
            <w:r>
              <w:rPr>
                <w:b w:val="0"/>
                <w:sz w:val="18"/>
              </w:rPr>
              <w:t>1.24</w:t>
            </w:r>
          </w:p>
        </w:tc>
      </w:tr>
      <w:tr>
        <w:tc>
          <w:tcPr>
            <w:tcW w:type="dxa" w:w="4896"/>
            <w:vAlign w:val="center"/>
          </w:tcPr>
          <w:p>
            <w:pPr>
              <w:spacing w:after="20" w:before="20"/>
              <w:jc w:val="left"/>
            </w:pPr>
            <w:r/>
            <w:r>
              <w:rPr>
                <w:b w:val="0"/>
                <w:sz w:val="18"/>
              </w:rPr>
              <w:t>+ Brand value (Kabo / Jil, off-B/S)</w:t>
            </w:r>
          </w:p>
        </w:tc>
        <w:tc>
          <w:tcPr>
            <w:tcW w:type="dxa" w:w="2016"/>
            <w:vAlign w:val="center"/>
          </w:tcPr>
          <w:p>
            <w:pPr>
              <w:spacing w:after="20" w:before="20"/>
              <w:jc w:val="center"/>
            </w:pPr>
            <w:r/>
            <w:r>
              <w:rPr>
                <w:b w:val="0"/>
                <w:sz w:val="18"/>
              </w:rPr>
              <w:t>50</w:t>
            </w:r>
          </w:p>
        </w:tc>
        <w:tc>
          <w:tcPr>
            <w:tcW w:type="dxa" w:w="2160"/>
            <w:vAlign w:val="center"/>
          </w:tcPr>
          <w:p>
            <w:pPr>
              <w:spacing w:after="20" w:before="20"/>
              <w:jc w:val="center"/>
            </w:pPr>
            <w:r/>
            <w:r>
              <w:rPr>
                <w:b w:val="0"/>
                <w:sz w:val="18"/>
              </w:rPr>
              <w:t>0.09</w:t>
            </w:r>
          </w:p>
        </w:tc>
      </w:tr>
      <w:tr>
        <w:tc>
          <w:tcPr>
            <w:tcW w:type="dxa" w:w="4896"/>
            <w:shd w:val="clear" w:color="auto" w:fill="F3F7F7"/>
            <w:vAlign w:val="center"/>
          </w:tcPr>
          <w:p>
            <w:pPr>
              <w:spacing w:after="20" w:before="20"/>
              <w:jc w:val="left"/>
            </w:pPr>
            <w:r/>
            <w:r>
              <w:rPr>
                <w:b w:val="0"/>
                <w:sz w:val="18"/>
              </w:rPr>
              <w:t>− Working-capital realizability haircut</w:t>
            </w:r>
          </w:p>
        </w:tc>
        <w:tc>
          <w:tcPr>
            <w:tcW w:type="dxa" w:w="2016"/>
            <w:shd w:val="clear" w:color="auto" w:fill="F3F7F7"/>
            <w:vAlign w:val="center"/>
          </w:tcPr>
          <w:p>
            <w:pPr>
              <w:spacing w:after="20" w:before="20"/>
              <w:jc w:val="center"/>
            </w:pPr>
            <w:r/>
            <w:r>
              <w:rPr>
                <w:b w:val="0"/>
                <w:sz w:val="18"/>
              </w:rPr>
              <w:t>(75)</w:t>
            </w:r>
          </w:p>
        </w:tc>
        <w:tc>
          <w:tcPr>
            <w:tcW w:type="dxa" w:w="2160"/>
            <w:shd w:val="clear" w:color="auto" w:fill="F3F7F7"/>
            <w:vAlign w:val="center"/>
          </w:tcPr>
          <w:p>
            <w:pPr>
              <w:spacing w:after="20" w:before="20"/>
              <w:jc w:val="center"/>
            </w:pPr>
            <w:r/>
            <w:r>
              <w:rPr>
                <w:b w:val="0"/>
                <w:sz w:val="18"/>
              </w:rPr>
              <w:t>(0.13)</w:t>
            </w:r>
          </w:p>
        </w:tc>
      </w:tr>
      <w:tr>
        <w:tc>
          <w:tcPr>
            <w:tcW w:type="dxa" w:w="4896"/>
            <w:vAlign w:val="center"/>
          </w:tcPr>
          <w:p>
            <w:pPr>
              <w:spacing w:after="20" w:before="20"/>
              <w:jc w:val="left"/>
            </w:pPr>
            <w:r/>
            <w:r>
              <w:rPr>
                <w:b w:val="0"/>
                <w:sz w:val="18"/>
              </w:rPr>
              <w:t>− Illiquidity / monetisation friction</w:t>
            </w:r>
          </w:p>
        </w:tc>
        <w:tc>
          <w:tcPr>
            <w:tcW w:type="dxa" w:w="2016"/>
            <w:vAlign w:val="center"/>
          </w:tcPr>
          <w:p>
            <w:pPr>
              <w:spacing w:after="20" w:before="20"/>
              <w:jc w:val="center"/>
            </w:pPr>
            <w:r/>
            <w:r>
              <w:rPr>
                <w:b w:val="0"/>
                <w:sz w:val="18"/>
              </w:rPr>
              <w:t>(75)</w:t>
            </w:r>
          </w:p>
        </w:tc>
        <w:tc>
          <w:tcPr>
            <w:tcW w:type="dxa" w:w="2160"/>
            <w:vAlign w:val="center"/>
          </w:tcPr>
          <w:p>
            <w:pPr>
              <w:spacing w:after="20" w:before="20"/>
              <w:jc w:val="center"/>
            </w:pPr>
            <w:r/>
            <w:r>
              <w:rPr>
                <w:b w:val="0"/>
                <w:sz w:val="18"/>
              </w:rPr>
              <w:t>(0.13)</w:t>
            </w:r>
          </w:p>
        </w:tc>
      </w:tr>
      <w:tr>
        <w:tc>
          <w:tcPr>
            <w:tcW w:type="dxa" w:w="4896"/>
            <w:shd w:val="clear" w:color="auto" w:fill="E3ECEC"/>
            <w:vAlign w:val="center"/>
          </w:tcPr>
          <w:p>
            <w:pPr>
              <w:spacing w:after="20" w:before="20"/>
              <w:jc w:val="left"/>
            </w:pPr>
            <w:r/>
            <w:r>
              <w:rPr>
                <w:b w:val="0"/>
                <w:sz w:val="18"/>
              </w:rPr>
              <w:t>Fair value</w:t>
            </w:r>
          </w:p>
        </w:tc>
        <w:tc>
          <w:tcPr>
            <w:tcW w:type="dxa" w:w="2016"/>
            <w:shd w:val="clear" w:color="auto" w:fill="E3ECEC"/>
            <w:vAlign w:val="center"/>
          </w:tcPr>
          <w:p>
            <w:pPr>
              <w:spacing w:after="20" w:before="20"/>
              <w:jc w:val="center"/>
            </w:pPr>
            <w:r/>
            <w:r>
              <w:rPr>
                <w:b w:val="0"/>
                <w:sz w:val="18"/>
              </w:rPr>
              <w:t>1,752</w:t>
            </w:r>
          </w:p>
        </w:tc>
        <w:tc>
          <w:tcPr>
            <w:tcW w:type="dxa" w:w="2160"/>
            <w:shd w:val="clear" w:color="auto" w:fill="E3ECEC"/>
            <w:vAlign w:val="center"/>
          </w:tcPr>
          <w:p>
            <w:pPr>
              <w:spacing w:after="20" w:before="20"/>
              <w:jc w:val="center"/>
            </w:pPr>
            <w:r/>
            <w:r>
              <w:rPr>
                <w:b w:val="0"/>
                <w:sz w:val="18"/>
              </w:rPr>
              <w:t>3.10</w:t>
            </w:r>
          </w:p>
        </w:tc>
      </w:tr>
    </w:tbl>
    <w:p>
      <w:pPr>
        <w:spacing w:after="40"/>
      </w:pPr>
    </w:p>
    <w:p>
      <w:pPr>
        <w:spacing w:after="40" w:line="259" w:lineRule="auto"/>
      </w:pPr>
      <w:r>
        <w:rPr>
          <w:b/>
          <w:i w:val="0"/>
          <w:sz w:val="20"/>
        </w:rPr>
        <w:t xml:space="preserve">Earnings-quality bridge. </w:t>
      </w:r>
      <w:r>
        <w:rPr>
          <w:b w:val="0"/>
          <w:i w:val="0"/>
          <w:sz w:val="20"/>
        </w:rPr>
        <w:t xml:space="preserve">Before he will value the operations at all, he runs the operating-cash-flow-to-net-income bridge, and it fails his test: FY2024's headline EGP 129m of profit was dominated by a non-cash currency-translation gain, while operating cash flow was a fraction of it and free cash flow barely positive. When reported profit does not become cash, he discounts the income statement entirely and leans on the balance sheet — which is why, for KABO, he is almost purely an asset valuer. </w:t>
      </w:r>
      <w:r>
        <w:rPr>
          <w:b/>
          <w:i w:val="0"/>
          <w:sz w:val="20"/>
        </w:rPr>
        <w:t xml:space="preserve">Illiquidity friction. </w:t>
      </w:r>
      <w:r>
        <w:rPr>
          <w:b w:val="0"/>
          <w:i w:val="0"/>
          <w:sz w:val="20"/>
        </w:rPr>
        <w:t>His two haircuts are deliberate: the working-capital haircut reflects that inventory and receivables in a distressed textile chain rarely realise book, and the monetisation-friction haircut reflects a fact the bulls skate over — the land sits under working factories, so it cannot be sold without relocating production, financing a new site, and absorbing redundancy and disruption costs. A gross land value is not a net one.</w:t>
      </w:r>
    </w:p>
    <w:p>
      <w:pPr>
        <w:spacing w:after="40" w:line="259" w:lineRule="auto"/>
      </w:pPr>
      <w:r>
        <w:rPr>
          <w:b/>
          <w:i w:val="0"/>
          <w:sz w:val="20"/>
        </w:rPr>
        <w:t xml:space="preserve">Worked example &amp; sensitivity (swing = the land re-mark). </w:t>
      </w:r>
      <w:r>
        <w:rPr>
          <w:b w:val="0"/>
          <w:i w:val="0"/>
          <w:sz w:val="20"/>
        </w:rPr>
        <w:t xml:space="preserve">At no re-mark he is at book, EGP 2.04; at EGP 700m, EGP 3.10 after his frictions; at EGP 1,400m, EGP 4.35; at the EGP 2,800m the price implies, EGP 6.9 — but he refuses to credit an undisclosed mark that large without an asset register. </w:t>
      </w:r>
      <w:r>
        <w:rPr>
          <w:b/>
          <w:i w:val="0"/>
          <w:sz w:val="20"/>
        </w:rPr>
        <w:t xml:space="preserve">Cross-examination. </w:t>
      </w:r>
      <w:r>
        <w:rPr>
          <w:b w:val="0"/>
          <w:i w:val="0"/>
          <w:sz w:val="20"/>
        </w:rPr>
        <w:t>He tells Expert 2 that capitalising mid-cycle earnings on a business that barely converts profit to cash is a half-truth; he tells Expert 3 that no probability weighting manufactures asset value the company has not disclosed — the land is either there on a valuation or it is a story.</w:t>
      </w:r>
    </w:p>
    <w:p>
      <w:pPr>
        <w:spacing w:after="80" w:line="259" w:lineRule="auto"/>
      </w:pPr>
      <w:r>
        <w:rPr>
          <w:b/>
          <w:i w:val="0"/>
          <w:sz w:val="20"/>
        </w:rPr>
        <w:t xml:space="preserve">Verdict, falsification, market-implied. Fair EGP 3.10 (range EGP 1.90–4.60). </w:t>
      </w:r>
      <w:r>
        <w:rPr>
          <w:b w:val="0"/>
          <w:i w:val="0"/>
          <w:sz w:val="20"/>
        </w:rPr>
        <w:t>Falsified if the land re-mark proves illusory — encumbered, over-stated, or impossible to monetise — or, conversely, if a durable lift in cash conversion makes the earnings lens the better anchor. The market price implies a land re-mark near EGP 2.8bn credited at par, far above his conservative EGP 0.7bn, so on his read the stock is pricing assets he cannot yet verify.</w:t>
      </w:r>
    </w:p>
    <w:p>
      <w:pPr>
        <w:spacing w:before="140" w:after="40"/>
      </w:pPr>
      <w:r>
        <w:rPr>
          <w:b/>
          <w:color w:val="2A8F8F"/>
          <w:sz w:val="23"/>
        </w:rPr>
        <w:t>D.2  Expert 2 — normalized through-cycle earnings power</w:t>
      </w:r>
    </w:p>
    <w:p>
      <w:pPr>
        <w:spacing w:after="40" w:line="259" w:lineRule="auto"/>
      </w:pPr>
      <w:r>
        <w:rPr>
          <w:b/>
          <w:i w:val="0"/>
          <w:sz w:val="20"/>
        </w:rPr>
        <w:t xml:space="preserve">Worldview. </w:t>
      </w:r>
      <w:r>
        <w:rPr>
          <w:b w:val="0"/>
          <w:i w:val="0"/>
          <w:sz w:val="20"/>
        </w:rPr>
        <w:t>An operating business is worth a fair multiple of its sustainable, mid-cycle earnings; peaks and troughs are noise to be stripped out. He asks what KABO earns through a full currency-and-cost cycle, and what the market should pay for it.</w:t>
      </w:r>
    </w:p>
    <w:p>
      <w:pPr>
        <w:spacing w:after="40" w:line="259" w:lineRule="auto"/>
      </w:pPr>
      <w:r>
        <w:rPr>
          <w:b/>
          <w:i w:val="0"/>
          <w:sz w:val="20"/>
        </w:rPr>
        <w:t xml:space="preserve">When it works / fails. </w:t>
      </w:r>
      <w:r>
        <w:rPr>
          <w:b w:val="0"/>
          <w:i w:val="0"/>
          <w:sz w:val="20"/>
        </w:rPr>
        <w:t>Best for stable or cyclical operating businesses with a track record. It fails precisely where book and cash diverge sharply from earnings, or at a structural break — and KABO's earnings, whipsawed by the pound, test the method's limits, which is why he ends up the most conservative of the three on the operations.</w:t>
      </w:r>
    </w:p>
    <w:p>
      <w:pPr>
        <w:spacing w:after="40" w:line="259" w:lineRule="auto"/>
      </w:pPr>
      <w:r>
        <w:rPr>
          <w:b/>
          <w:i w:val="0"/>
          <w:sz w:val="20"/>
        </w:rPr>
        <w:t xml:space="preserve">Standard workings. </w:t>
      </w:r>
      <w:r>
        <w:rPr>
          <w:b w:val="0"/>
          <w:i w:val="0"/>
          <w:sz w:val="20"/>
        </w:rPr>
        <w:t>(1) normalize revenue and margin to mid-cycle, stripping the FY2024 FX windfall; (2) derive sustainable earnings and EPS; (3) apply a justified multiple against the sector and the name's own history; (4) cross-check against EV/EBITDA and free-cash-flow yield. The cross-check is sobering: on thin free cash flow, KABO's FCF yield at the current price is negligible.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5112"/>
        <w:gridCol w:w="5112"/>
      </w:tblGrid>
      <w:tr>
        <w:tc>
          <w:tcPr>
            <w:tcW w:type="dxa" w:w="6336"/>
            <w:shd w:val="clear" w:color="auto" w:fill="1B5E5E"/>
            <w:vAlign w:val="center"/>
          </w:tcPr>
          <w:p>
            <w:pPr>
              <w:spacing w:after="20" w:before="20"/>
              <w:jc w:val="left"/>
            </w:pPr>
            <w:r/>
            <w:r>
              <w:rPr>
                <w:b/>
                <w:color w:val="FFFFFF"/>
                <w:sz w:val="18"/>
              </w:rPr>
              <w:t>Expert 2's normalization</w:t>
            </w:r>
          </w:p>
        </w:tc>
        <w:tc>
          <w:tcPr>
            <w:tcW w:type="dxa" w:w="3888"/>
            <w:shd w:val="clear" w:color="auto" w:fill="1B5E5E"/>
            <w:vAlign w:val="center"/>
          </w:tcPr>
          <w:p>
            <w:pPr>
              <w:spacing w:after="20" w:before="20"/>
              <w:jc w:val="center"/>
            </w:pPr>
            <w:r/>
            <w:r>
              <w:rPr>
                <w:b/>
                <w:color w:val="FFFFFF"/>
                <w:sz w:val="18"/>
              </w:rPr>
              <w:t>Value</w:t>
            </w:r>
          </w:p>
        </w:tc>
      </w:tr>
      <w:tr>
        <w:tc>
          <w:tcPr>
            <w:tcW w:type="dxa" w:w="6336"/>
            <w:vAlign w:val="center"/>
          </w:tcPr>
          <w:p>
            <w:pPr>
              <w:spacing w:after="20" w:before="20"/>
              <w:jc w:val="left"/>
            </w:pPr>
            <w:r/>
            <w:r>
              <w:rPr>
                <w:b w:val="0"/>
                <w:sz w:val="18"/>
              </w:rPr>
              <w:t>Mid-cycle net income (EGP m)</w:t>
            </w:r>
          </w:p>
        </w:tc>
        <w:tc>
          <w:tcPr>
            <w:tcW w:type="dxa" w:w="3888"/>
            <w:vAlign w:val="center"/>
          </w:tcPr>
          <w:p>
            <w:pPr>
              <w:spacing w:after="20" w:before="20"/>
              <w:jc w:val="center"/>
            </w:pPr>
            <w:r/>
            <w:r>
              <w:rPr>
                <w:b w:val="0"/>
                <w:sz w:val="18"/>
              </w:rPr>
              <w:t>70</w:t>
            </w:r>
          </w:p>
        </w:tc>
      </w:tr>
      <w:tr>
        <w:tc>
          <w:tcPr>
            <w:tcW w:type="dxa" w:w="6336"/>
            <w:shd w:val="clear" w:color="auto" w:fill="F3F7F7"/>
            <w:vAlign w:val="center"/>
          </w:tcPr>
          <w:p>
            <w:pPr>
              <w:spacing w:after="20" w:before="20"/>
              <w:jc w:val="left"/>
            </w:pPr>
            <w:r/>
            <w:r>
              <w:rPr>
                <w:b w:val="0"/>
                <w:sz w:val="18"/>
              </w:rPr>
              <w:t>Shares (m) → normalized EPS</w:t>
            </w:r>
          </w:p>
        </w:tc>
        <w:tc>
          <w:tcPr>
            <w:tcW w:type="dxa" w:w="3888"/>
            <w:shd w:val="clear" w:color="auto" w:fill="F3F7F7"/>
            <w:vAlign w:val="center"/>
          </w:tcPr>
          <w:p>
            <w:pPr>
              <w:spacing w:after="20" w:before="20"/>
              <w:jc w:val="center"/>
            </w:pPr>
            <w:r/>
            <w:r>
              <w:rPr>
                <w:b w:val="0"/>
                <w:sz w:val="18"/>
              </w:rPr>
              <w:t>565 → EGP 0.124</w:t>
            </w:r>
          </w:p>
        </w:tc>
      </w:tr>
      <w:tr>
        <w:tc>
          <w:tcPr>
            <w:tcW w:type="dxa" w:w="6336"/>
            <w:vAlign w:val="center"/>
          </w:tcPr>
          <w:p>
            <w:pPr>
              <w:spacing w:after="20" w:before="20"/>
              <w:jc w:val="left"/>
            </w:pPr>
            <w:r/>
            <w:r>
              <w:rPr>
                <w:b w:val="0"/>
                <w:sz w:val="18"/>
              </w:rPr>
              <w:t>Justified through-cycle P/E (export/FX quality)</w:t>
            </w:r>
          </w:p>
        </w:tc>
        <w:tc>
          <w:tcPr>
            <w:tcW w:type="dxa" w:w="3888"/>
            <w:vAlign w:val="center"/>
          </w:tcPr>
          <w:p>
            <w:pPr>
              <w:spacing w:after="20" w:before="20"/>
              <w:jc w:val="center"/>
            </w:pPr>
            <w:r/>
            <w:r>
              <w:rPr>
                <w:b w:val="0"/>
                <w:sz w:val="18"/>
              </w:rPr>
              <w:t>10.5×</w:t>
            </w:r>
          </w:p>
        </w:tc>
      </w:tr>
      <w:tr>
        <w:tc>
          <w:tcPr>
            <w:tcW w:type="dxa" w:w="6336"/>
            <w:shd w:val="clear" w:color="auto" w:fill="E3ECEC"/>
            <w:vAlign w:val="center"/>
          </w:tcPr>
          <w:p>
            <w:pPr>
              <w:spacing w:after="20" w:before="20"/>
              <w:jc w:val="left"/>
            </w:pPr>
            <w:r/>
            <w:r>
              <w:rPr>
                <w:b w:val="0"/>
                <w:sz w:val="18"/>
              </w:rPr>
              <w:t>Fair value</w:t>
            </w:r>
          </w:p>
        </w:tc>
        <w:tc>
          <w:tcPr>
            <w:tcW w:type="dxa" w:w="3888"/>
            <w:shd w:val="clear" w:color="auto" w:fill="E3ECEC"/>
            <w:vAlign w:val="center"/>
          </w:tcPr>
          <w:p>
            <w:pPr>
              <w:spacing w:after="20" w:before="20"/>
              <w:jc w:val="center"/>
            </w:pPr>
            <w:r/>
            <w:r>
              <w:rPr>
                <w:b w:val="0"/>
                <w:sz w:val="18"/>
              </w:rPr>
              <w:t>→ EGP 1.30 / share</w:t>
            </w:r>
          </w:p>
        </w:tc>
      </w:tr>
    </w:tbl>
    <w:p>
      <w:pPr>
        <w:spacing w:after="40"/>
      </w:pPr>
    </w:p>
    <w:p>
      <w:pPr>
        <w:spacing w:after="40" w:line="259" w:lineRule="auto"/>
      </w:pPr>
      <w:r>
        <w:rPr>
          <w:b/>
          <w:i w:val="0"/>
          <w:sz w:val="20"/>
        </w:rPr>
        <w:t xml:space="preserve">Cross-checks and cycle position. </w:t>
      </w:r>
      <w:r>
        <w:rPr>
          <w:b w:val="0"/>
          <w:i w:val="0"/>
          <w:sz w:val="20"/>
        </w:rPr>
        <w:t>He never trusts a single P/E, so he triangulates. On EV/EBITDA the stock is not cheap once net debt is added to a ~EGP 4bn market cap against mid-cycle EBITDA of ~EGP 180–240m; on free-cash-flow yield it is worse, because maintenance capex and working-capital growth consume most of operating cash. He is explicit about where current earnings sit in the cycle: FY2024 was a peak (a devaluation windfall), 9M FY2024/25 a trough (EGP 9.4m), and the truth is somewhere in between — which is exactly why he normalizes rather than annualising either. His justified multiple carries a small premium to the distressed-textile average for the export/FX-hedge quality of the franchise, but no more; a sub-scale knitwear maker with volatile margins does not earn a growth multiple.</w:t>
      </w:r>
    </w:p>
    <w:p>
      <w:pPr>
        <w:spacing w:after="40" w:line="259" w:lineRule="auto"/>
      </w:pPr>
      <w:r>
        <w:rPr>
          <w:b/>
          <w:i w:val="0"/>
          <w:sz w:val="20"/>
        </w:rPr>
        <w:t xml:space="preserve">Worked example &amp; sensitivity (swing = normalized margin / multiple). </w:t>
      </w:r>
      <w:r>
        <w:rPr>
          <w:b w:val="0"/>
          <w:i w:val="0"/>
          <w:sz w:val="20"/>
        </w:rPr>
        <w:t xml:space="preserve">At 8× he is at EGP 0.99; at 12×, EGP 1.49; if the durable export margin is really ~8% net (EGP 96m mid-cycle) at 12×, EGP 2.04. </w:t>
      </w:r>
      <w:r>
        <w:rPr>
          <w:b/>
          <w:i w:val="0"/>
          <w:sz w:val="20"/>
        </w:rPr>
        <w:t xml:space="preserve">Cross-examination. </w:t>
      </w:r>
      <w:r>
        <w:rPr>
          <w:b w:val="0"/>
          <w:i w:val="0"/>
          <w:sz w:val="20"/>
        </w:rPr>
        <w:t>He tells Expert 1 that a land mark you cannot monetise is not worth book-plus to a going concern; he tells Expert 3 that scenario trees do not change what the factory earns through the cycle — they only re-price the catalyst.</w:t>
      </w:r>
    </w:p>
    <w:p>
      <w:pPr>
        <w:spacing w:after="80" w:line="259" w:lineRule="auto"/>
      </w:pPr>
      <w:r>
        <w:rPr>
          <w:b/>
          <w:i w:val="0"/>
          <w:sz w:val="20"/>
        </w:rPr>
        <w:t xml:space="preserve">Verdict, falsification, market-implied. Fair EGP 1.30 (range EGP 0.80–2.20) — the most cautious on operations. </w:t>
      </w:r>
      <w:r>
        <w:rPr>
          <w:b w:val="0"/>
          <w:i w:val="0"/>
          <w:sz w:val="20"/>
        </w:rPr>
        <w:t>Falsified by a structural margin re-rating: up if the weak-pound export franchise proves durable and scalable, down if input costs fully catch up and mid-cycle earnings drift to the bear. The market implies normalized earnings or a multiple far above his — on his read, the price is not paying for earnings at all, which is his whole point.</w:t>
      </w:r>
    </w:p>
    <w:p>
      <w:pPr>
        <w:spacing w:before="140" w:after="40"/>
      </w:pPr>
      <w:r>
        <w:rPr>
          <w:b/>
          <w:color w:val="2A8F8F"/>
          <w:sz w:val="23"/>
        </w:rPr>
        <w:t>D.3  Expert 3 — scenario-weighted policy and catalyst odds</w:t>
      </w:r>
    </w:p>
    <w:p>
      <w:pPr>
        <w:spacing w:after="40" w:line="259" w:lineRule="auto"/>
      </w:pPr>
      <w:r>
        <w:rPr>
          <w:b/>
          <w:i w:val="0"/>
          <w:sz w:val="20"/>
        </w:rPr>
        <w:t xml:space="preserve">Worldview. </w:t>
      </w:r>
      <w:r>
        <w:rPr>
          <w:b w:val="0"/>
          <w:i w:val="0"/>
          <w:sz w:val="20"/>
        </w:rPr>
        <w:t>In a frontier market, policy and corporate events outrank fundamentals: the FX regime, the rate path, and — for KABO specifically — the odds of a land-monetisation or restructuring event set the value more than the sewing floor does. He prices the stock as a set of options on which world arrives.</w:t>
      </w:r>
    </w:p>
    <w:p>
      <w:pPr>
        <w:spacing w:after="40" w:line="259" w:lineRule="auto"/>
      </w:pPr>
      <w:r>
        <w:rPr>
          <w:b/>
          <w:i w:val="0"/>
          <w:sz w:val="20"/>
        </w:rPr>
        <w:t xml:space="preserve">When it works / fails. </w:t>
      </w:r>
      <w:r>
        <w:rPr>
          <w:b w:val="0"/>
          <w:i w:val="0"/>
          <w:sz w:val="20"/>
        </w:rPr>
        <w:t>Best in policy-driven markets with binary catalysts and an FX regime in flux — a good description of KABO, whose entire bull case is a discrete asset event. It fails through false precision: the probabilities are judgments, and a tree can miss the branch that actually grows.</w:t>
      </w:r>
    </w:p>
    <w:p>
      <w:pPr>
        <w:spacing w:after="40" w:line="259" w:lineRule="auto"/>
      </w:pPr>
      <w:r>
        <w:rPr>
          <w:b/>
          <w:i w:val="0"/>
          <w:sz w:val="20"/>
        </w:rPr>
        <w:t xml:space="preserve">Standard workings. </w:t>
      </w:r>
      <w:r>
        <w:rPr>
          <w:b w:val="0"/>
          <w:i w:val="0"/>
          <w:sz w:val="20"/>
        </w:rPr>
        <w:t>(1) identify the levers that set value — the EGP path, the CBE rate path, the probability of a land re-mark or sale, the input-cost regime, and speculative liquidity; (2) define bull/base/bear as configurations of those levers; (3) re-run the base valuation under each so the scenario values are derived, not asserted; (4) probability-weight; (5) stress the weights.</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408"/>
        <w:gridCol w:w="3408"/>
        <w:gridCol w:w="3408"/>
      </w:tblGrid>
      <w:tr>
        <w:tc>
          <w:tcPr>
            <w:tcW w:type="dxa" w:w="5472"/>
            <w:shd w:val="clear" w:color="auto" w:fill="1B5E5E"/>
            <w:vAlign w:val="center"/>
          </w:tcPr>
          <w:p>
            <w:pPr>
              <w:spacing w:after="20" w:before="20"/>
              <w:jc w:val="left"/>
            </w:pPr>
            <w:r/>
            <w:r>
              <w:rPr>
                <w:b/>
                <w:color w:val="FFFFFF"/>
                <w:sz w:val="18"/>
              </w:rPr>
              <w:t>Expert 3's scenario tree</w:t>
            </w:r>
          </w:p>
        </w:tc>
        <w:tc>
          <w:tcPr>
            <w:tcW w:type="dxa" w:w="2160"/>
            <w:shd w:val="clear" w:color="auto" w:fill="1B5E5E"/>
            <w:vAlign w:val="center"/>
          </w:tcPr>
          <w:p>
            <w:pPr>
              <w:spacing w:after="20" w:before="20"/>
              <w:jc w:val="center"/>
            </w:pPr>
            <w:r/>
            <w:r>
              <w:rPr>
                <w:b/>
                <w:color w:val="FFFFFF"/>
                <w:sz w:val="18"/>
              </w:rPr>
              <w:t>Value (EGP/sh)</w:t>
            </w:r>
          </w:p>
        </w:tc>
        <w:tc>
          <w:tcPr>
            <w:tcW w:type="dxa" w:w="1872"/>
            <w:shd w:val="clear" w:color="auto" w:fill="1B5E5E"/>
            <w:vAlign w:val="center"/>
          </w:tcPr>
          <w:p>
            <w:pPr>
              <w:spacing w:after="20" w:before="20"/>
              <w:jc w:val="center"/>
            </w:pPr>
            <w:r/>
            <w:r>
              <w:rPr>
                <w:b/>
                <w:color w:val="FFFFFF"/>
                <w:sz w:val="18"/>
              </w:rPr>
              <w:t>Probability</w:t>
            </w:r>
          </w:p>
        </w:tc>
      </w:tr>
      <w:tr>
        <w:tc>
          <w:tcPr>
            <w:tcW w:type="dxa" w:w="5472"/>
            <w:vAlign w:val="center"/>
          </w:tcPr>
          <w:p>
            <w:pPr>
              <w:spacing w:after="20" w:before="20"/>
              <w:jc w:val="left"/>
            </w:pPr>
            <w:r/>
            <w:r>
              <w:rPr>
                <w:b w:val="0"/>
                <w:sz w:val="18"/>
              </w:rPr>
              <w:t>Bear — no land event, margins compress, rates stay high</w:t>
            </w:r>
          </w:p>
        </w:tc>
        <w:tc>
          <w:tcPr>
            <w:tcW w:type="dxa" w:w="2160"/>
            <w:vAlign w:val="center"/>
          </w:tcPr>
          <w:p>
            <w:pPr>
              <w:spacing w:after="20" w:before="20"/>
              <w:jc w:val="center"/>
            </w:pPr>
            <w:r/>
            <w:r>
              <w:rPr>
                <w:b w:val="0"/>
                <w:sz w:val="18"/>
              </w:rPr>
              <w:t>1.00</w:t>
            </w:r>
          </w:p>
        </w:tc>
        <w:tc>
          <w:tcPr>
            <w:tcW w:type="dxa" w:w="1872"/>
            <w:vAlign w:val="center"/>
          </w:tcPr>
          <w:p>
            <w:pPr>
              <w:spacing w:after="20" w:before="20"/>
              <w:jc w:val="center"/>
            </w:pPr>
            <w:r/>
            <w:r>
              <w:rPr>
                <w:b w:val="0"/>
                <w:sz w:val="18"/>
              </w:rPr>
              <w:t>35%</w:t>
            </w:r>
          </w:p>
        </w:tc>
      </w:tr>
      <w:tr>
        <w:tc>
          <w:tcPr>
            <w:tcW w:type="dxa" w:w="5472"/>
            <w:shd w:val="clear" w:color="auto" w:fill="F3F7F7"/>
            <w:vAlign w:val="center"/>
          </w:tcPr>
          <w:p>
            <w:pPr>
              <w:spacing w:after="20" w:before="20"/>
              <w:jc w:val="left"/>
            </w:pPr>
            <w:r/>
            <w:r>
              <w:rPr>
                <w:b w:val="0"/>
                <w:sz w:val="18"/>
              </w:rPr>
              <w:t>Base — partial land re-mark credited, margins hold, rates ease</w:t>
            </w:r>
          </w:p>
        </w:tc>
        <w:tc>
          <w:tcPr>
            <w:tcW w:type="dxa" w:w="2160"/>
            <w:shd w:val="clear" w:color="auto" w:fill="F3F7F7"/>
            <w:vAlign w:val="center"/>
          </w:tcPr>
          <w:p>
            <w:pPr>
              <w:spacing w:after="20" w:before="20"/>
              <w:jc w:val="center"/>
            </w:pPr>
            <w:r/>
            <w:r>
              <w:rPr>
                <w:b w:val="0"/>
                <w:sz w:val="18"/>
              </w:rPr>
              <w:t>2.60</w:t>
            </w:r>
          </w:p>
        </w:tc>
        <w:tc>
          <w:tcPr>
            <w:tcW w:type="dxa" w:w="1872"/>
            <w:shd w:val="clear" w:color="auto" w:fill="F3F7F7"/>
            <w:vAlign w:val="center"/>
          </w:tcPr>
          <w:p>
            <w:pPr>
              <w:spacing w:after="20" w:before="20"/>
              <w:jc w:val="center"/>
            </w:pPr>
            <w:r/>
            <w:r>
              <w:rPr>
                <w:b w:val="0"/>
                <w:sz w:val="18"/>
              </w:rPr>
              <w:t>45%</w:t>
            </w:r>
          </w:p>
        </w:tc>
      </w:tr>
      <w:tr>
        <w:tc>
          <w:tcPr>
            <w:tcW w:type="dxa" w:w="5472"/>
            <w:vAlign w:val="center"/>
          </w:tcPr>
          <w:p>
            <w:pPr>
              <w:spacing w:after="20" w:before="20"/>
              <w:jc w:val="left"/>
            </w:pPr>
            <w:r/>
            <w:r>
              <w:rPr>
                <w:b w:val="0"/>
                <w:sz w:val="18"/>
              </w:rPr>
              <w:t>Bull — land monetisation / sale announced</w:t>
            </w:r>
          </w:p>
        </w:tc>
        <w:tc>
          <w:tcPr>
            <w:tcW w:type="dxa" w:w="2160"/>
            <w:vAlign w:val="center"/>
          </w:tcPr>
          <w:p>
            <w:pPr>
              <w:spacing w:after="20" w:before="20"/>
              <w:jc w:val="center"/>
            </w:pPr>
            <w:r/>
            <w:r>
              <w:rPr>
                <w:b w:val="0"/>
                <w:sz w:val="18"/>
              </w:rPr>
              <w:t>5.00</w:t>
            </w:r>
          </w:p>
        </w:tc>
        <w:tc>
          <w:tcPr>
            <w:tcW w:type="dxa" w:w="1872"/>
            <w:vAlign w:val="center"/>
          </w:tcPr>
          <w:p>
            <w:pPr>
              <w:spacing w:after="20" w:before="20"/>
              <w:jc w:val="center"/>
            </w:pPr>
            <w:r/>
            <w:r>
              <w:rPr>
                <w:b w:val="0"/>
                <w:sz w:val="18"/>
              </w:rPr>
              <w:t>20%</w:t>
            </w:r>
          </w:p>
        </w:tc>
      </w:tr>
      <w:tr>
        <w:tc>
          <w:tcPr>
            <w:tcW w:type="dxa" w:w="5472"/>
            <w:shd w:val="clear" w:color="auto" w:fill="E3ECEC"/>
            <w:vAlign w:val="center"/>
          </w:tcPr>
          <w:p>
            <w:pPr>
              <w:spacing w:after="20" w:before="20"/>
              <w:jc w:val="left"/>
            </w:pPr>
            <w:r/>
            <w:r>
              <w:rPr>
                <w:b w:val="0"/>
                <w:sz w:val="18"/>
              </w:rPr>
              <w:t>Probability-weighted fair value</w:t>
            </w:r>
          </w:p>
        </w:tc>
        <w:tc>
          <w:tcPr>
            <w:tcW w:type="dxa" w:w="2160"/>
            <w:shd w:val="clear" w:color="auto" w:fill="E3ECEC"/>
            <w:vAlign w:val="center"/>
          </w:tcPr>
          <w:p>
            <w:pPr>
              <w:spacing w:after="20" w:before="20"/>
              <w:jc w:val="center"/>
            </w:pPr>
            <w:r/>
            <w:r>
              <w:rPr>
                <w:b w:val="0"/>
                <w:sz w:val="18"/>
              </w:rPr>
              <w:t>≈ 2.40</w:t>
            </w:r>
          </w:p>
        </w:tc>
        <w:tc>
          <w:tcPr>
            <w:tcW w:type="dxa" w:w="1872"/>
            <w:shd w:val="clear" w:color="auto" w:fill="E3ECEC"/>
            <w:vAlign w:val="center"/>
          </w:tcPr>
          <w:p>
            <w:pPr>
              <w:spacing w:after="20" w:before="20"/>
              <w:jc w:val="center"/>
            </w:pPr>
            <w:r/>
            <w:r>
              <w:rPr>
                <w:b w:val="0"/>
                <w:sz w:val="18"/>
              </w:rPr>
              <w:t>100%</w:t>
            </w:r>
          </w:p>
        </w:tc>
      </w:tr>
    </w:tbl>
    <w:p>
      <w:pPr>
        <w:spacing w:after="40"/>
      </w:pPr>
    </w:p>
    <w:p>
      <w:pPr>
        <w:spacing w:after="40" w:line="259" w:lineRule="auto"/>
      </w:pPr>
      <w:r>
        <w:rPr>
          <w:b/>
          <w:i w:val="0"/>
          <w:sz w:val="20"/>
        </w:rPr>
        <w:t xml:space="preserve">The levers, and how the scenarios are derived. </w:t>
      </w:r>
      <w:r>
        <w:rPr>
          <w:b w:val="0"/>
          <w:i w:val="0"/>
          <w:sz w:val="20"/>
        </w:rPr>
        <w:t xml:space="preserve">He does not assert the three values; he re-runs the base valuation under each configuration of five levers — the EGP path (a weaker pound lifts export revenue but raises input costs), the CBE rate path (easing relieves ~EGP 559m of debt and lifts the DCF), the probability of a land re-mark or sale, the input-cost regime, and speculative liquidity in a small float. The bear is those levers set adversely (no land event, margins compress, rates stay high) and re-solves to ~EGP 1.00; the base credits a partial land re-mark with stable margins and easing rates and re-solves to ~EGP 2.60; the bull is a disclosed monetisation and re-solves to ~EGP 5.00. </w:t>
      </w:r>
      <w:r>
        <w:rPr>
          <w:b/>
          <w:i w:val="0"/>
          <w:sz w:val="20"/>
        </w:rPr>
        <w:t xml:space="preserve">Stressing the weights. </w:t>
      </w:r>
      <w:r>
        <w:rPr>
          <w:b w:val="0"/>
          <w:i w:val="0"/>
          <w:sz w:val="20"/>
        </w:rPr>
        <w:t>Because the answer is dominated by one probability, he stresses it explicitly rather than hiding it inside a point estimate — and concedes the method's weakness, that the true land-event odds are unknowable and a fourth branch (a disorderly devaluation, a delisting) could dominate the tree.</w:t>
      </w:r>
    </w:p>
    <w:p>
      <w:pPr>
        <w:spacing w:after="40" w:line="259" w:lineRule="auto"/>
      </w:pPr>
      <w:r>
        <w:rPr>
          <w:b/>
          <w:i w:val="0"/>
          <w:sz w:val="20"/>
        </w:rPr>
        <w:t xml:space="preserve">Worked example &amp; sensitivity (swing = the land-event probability). </w:t>
      </w:r>
      <w:r>
        <w:rPr>
          <w:b w:val="0"/>
          <w:i w:val="0"/>
          <w:sz w:val="20"/>
        </w:rPr>
        <w:t xml:space="preserve">Weighted value = 0.35×1.00 + 0.45×2.60 + 0.20×5.00 ≈ EGP 2.40. Lift the bull (land-event) probability from 20% to 30% and the weighted value rises to ~EGP 2.85; cut it to 10% and it falls to ~EGP 2.0. </w:t>
      </w:r>
      <w:r>
        <w:rPr>
          <w:b/>
          <w:i w:val="0"/>
          <w:sz w:val="20"/>
        </w:rPr>
        <w:t xml:space="preserve">Cross-examination. </w:t>
      </w:r>
      <w:r>
        <w:rPr>
          <w:b w:val="0"/>
          <w:i w:val="0"/>
          <w:sz w:val="20"/>
        </w:rPr>
        <w:t>He tells Expert 1 that even a real land value is worth little without a policy or corporate path to crystallise it — the NAV discount is itself an option on a catalyst; he tells Expert 2 that in a devaluation regime, 'mid-cycle' earnings are set by the currency, not the factory, so a single normalized number is a moving target.</w:t>
      </w:r>
    </w:p>
    <w:p>
      <w:pPr>
        <w:spacing w:after="60" w:line="259" w:lineRule="auto"/>
      </w:pPr>
      <w:r>
        <w:rPr>
          <w:b/>
          <w:i w:val="0"/>
          <w:sz w:val="20"/>
        </w:rPr>
        <w:t xml:space="preserve">Verdict, falsification, market-implied. Fair EGP 2.40 (range EGP 1.00–5.00) — the widest, because the outcome is genuinely binary. </w:t>
      </w:r>
      <w:r>
        <w:rPr>
          <w:b w:val="0"/>
          <w:i w:val="0"/>
          <w:sz w:val="20"/>
        </w:rPr>
        <w:t>Falsified if a fourth, unmodelled shock dominates — a disorderly devaluation, a forced delisting, or a governance rupture. The market price implies a land-event probability well above his 20% base: the tape is pricing the catalyst as more likely, and sooner, than he judges it to be.</w:t>
      </w:r>
    </w:p>
    <w:p>
      <w:pPr>
        <w:spacing w:after="80" w:line="259" w:lineRule="auto"/>
      </w:pPr>
      <w:r>
        <w:rPr>
          <w:b/>
          <w:i w:val="0"/>
          <w:sz w:val="20"/>
        </w:rPr>
        <w:t xml:space="preserve">A note on how the three fit together. </w:t>
      </w:r>
      <w:r>
        <w:rPr>
          <w:b w:val="0"/>
          <w:i w:val="0"/>
          <w:sz w:val="20"/>
        </w:rPr>
        <w:t>Their falsification conditions are complementary, which is what makes the panel useful rather than three voices talking past each other. Expert 1 is proven wrong if the land mark is illusory or if cash conversion durably improves; Expert 2 is proven wrong by a structural margin re-rating in either direction; Expert 3 is proven wrong if the catalyst tree is mis-specified. A reader can therefore watch a small set of concrete triggers — an asset register or valuation (tests Expert 1), a run of quarters showing the export margin holding or fading (tests Expert 2), and any board action toward monetisation (tests Expert 3) — and know which expert the new fact vindicates. Each expert's call is logged with today's date and spot as an internal per-expert track record, so that over successive quarterly re-runs the panel earns, or loses, the reader's trust on evidence rather than eloquence.</w:t>
      </w:r>
    </w:p>
    <w:p>
      <w:pPr>
        <w:spacing w:before="140" w:after="40"/>
      </w:pPr>
      <w:r>
        <w:rPr>
          <w:b/>
          <w:color w:val="2A8F8F"/>
          <w:sz w:val="23"/>
        </w:rPr>
        <w:t>D.5  The three in one room</w:t>
      </w:r>
    </w:p>
    <w:p>
      <w:pPr>
        <w:spacing w:after="40" w:line="259" w:lineRule="auto"/>
      </w:pPr>
      <w:r>
        <w:rPr>
          <w:b w:val="0"/>
          <w:i w:val="0"/>
          <w:sz w:val="20"/>
        </w:rPr>
        <w:t>The single asset they most disagree on is the land under the Alexandria factories — the same fact, three readings.</w:t>
      </w:r>
    </w:p>
    <w:p>
      <w:pPr>
        <w:spacing w:after="40" w:line="259" w:lineRule="auto"/>
      </w:pPr>
      <w:r>
        <w:rPr>
          <w:b/>
          <w:i w:val="0"/>
          <w:sz w:val="20"/>
        </w:rPr>
        <w:t xml:space="preserve">Expert 1: </w:t>
      </w:r>
      <w:r>
        <w:rPr>
          <w:b w:val="0"/>
          <w:i w:val="0"/>
          <w:sz w:val="20"/>
        </w:rPr>
        <w:t>"Mark the assets. Book equity is EGP 2 a share; credit a conservative re-mark on legacy Alexandria land and I get to EGP 3. That is what is real. The other EGP 4 in the price is a land valuation nobody has published."</w:t>
      </w:r>
    </w:p>
    <w:p>
      <w:pPr>
        <w:spacing w:after="40" w:line="259" w:lineRule="auto"/>
      </w:pPr>
      <w:r>
        <w:rPr>
          <w:b/>
          <w:i w:val="0"/>
          <w:sz w:val="20"/>
        </w:rPr>
        <w:t xml:space="preserve">Expert 2: </w:t>
      </w:r>
      <w:r>
        <w:rPr>
          <w:b w:val="0"/>
          <w:i w:val="0"/>
          <w:sz w:val="20"/>
        </w:rPr>
        <w:t>"And even my generous read of the operations is EGP 1.30. This business barely converts profit to cash. Whatever the land is worth, you are not being paid to wait for it out of earnings — the free-cash yield here is a rounding error."</w:t>
      </w:r>
    </w:p>
    <w:p>
      <w:pPr>
        <w:spacing w:after="60" w:line="259" w:lineRule="auto"/>
      </w:pPr>
      <w:r>
        <w:rPr>
          <w:b/>
          <w:i w:val="0"/>
          <w:sz w:val="20"/>
        </w:rPr>
        <w:t xml:space="preserve">Expert 3: </w:t>
      </w:r>
      <w:r>
        <w:rPr>
          <w:b w:val="0"/>
          <w:i w:val="0"/>
          <w:sz w:val="20"/>
        </w:rPr>
        <w:t>"You are both valuing a static picture. The whole question is a probability: will the land be revalued or sold, and when? Assign it a fifth and the stock is worth EGP 2.40; assign it a half and it is worth far more. The market has quietly assigned it a high number — that is the bet, and it is a policy-and-corporate bet, not an accounting one."</w:t>
      </w:r>
    </w:p>
    <w:p>
      <w:pPr>
        <w:spacing w:after="60" w:line="259" w:lineRule="auto"/>
      </w:pPr>
      <w:r>
        <w:rPr>
          <w:b/>
          <w:i w:val="0"/>
          <w:sz w:val="20"/>
        </w:rPr>
        <w:t xml:space="preserve">Expert 1: </w:t>
      </w:r>
      <w:r>
        <w:rPr>
          <w:b w:val="0"/>
          <w:i w:val="0"/>
          <w:sz w:val="20"/>
        </w:rPr>
        <w:t>"A probability of what, exactly? Until there is an asset register, you are weighting a number none of us has seen. I would rather anchor on the audited book I can stand behind and add a conservative mark than dress an unknown in decimal places."</w:t>
      </w:r>
    </w:p>
    <w:p>
      <w:pPr>
        <w:spacing w:after="80" w:line="259" w:lineRule="auto"/>
      </w:pPr>
      <w:r>
        <w:rPr>
          <w:b/>
          <w:i w:val="0"/>
          <w:sz w:val="20"/>
        </w:rPr>
        <w:t xml:space="preserve">Expert 2: </w:t>
      </w:r>
      <w:r>
        <w:rPr>
          <w:b w:val="0"/>
          <w:i w:val="0"/>
          <w:sz w:val="20"/>
        </w:rPr>
        <w:t>"We agree on more than it sounds. All three of our base cases are below the price. Whatever we each think of the land, the market is paying today for an event that has not happened — and paying a going-concern multiple the earnings cannot support in the meantime."</w:t>
      </w:r>
    </w:p>
    <w:p>
      <w:pPr>
        <w:spacing w:before="140" w:after="40"/>
      </w:pPr>
      <w:r>
        <w:rPr>
          <w:b/>
          <w:color w:val="2A8F8F"/>
          <w:sz w:val="23"/>
        </w:rPr>
        <w:t>D.6  Reading the divergence</w:t>
      </w:r>
    </w:p>
    <w:p>
      <w:pPr>
        <w:spacing w:before="80" w:after="20"/>
        <w:jc w:val="center"/>
      </w:pPr>
      <w:r>
        <w:drawing>
          <wp:inline xmlns:a="http://schemas.openxmlformats.org/drawingml/2006/main" xmlns:pic="http://schemas.openxmlformats.org/drawingml/2006/picture">
            <wp:extent cx="6035040" cy="2783319"/>
            <wp:docPr id="8" name="Picture 8"/>
            <wp:cNvGraphicFramePr>
              <a:graphicFrameLocks noChangeAspect="1"/>
            </wp:cNvGraphicFramePr>
            <a:graphic>
              <a:graphicData uri="http://schemas.openxmlformats.org/drawingml/2006/picture">
                <pic:pic>
                  <pic:nvPicPr>
                    <pic:cNvPr id="0" name="figD_experts.png"/>
                    <pic:cNvPicPr/>
                  </pic:nvPicPr>
                  <pic:blipFill>
                    <a:blip r:embed="rId16"/>
                    <a:stretch>
                      <a:fillRect/>
                    </a:stretch>
                  </pic:blipFill>
                  <pic:spPr>
                    <a:xfrm>
                      <a:off x="0" y="0"/>
                      <a:ext cx="6035040" cy="2783319"/>
                    </a:xfrm>
                    <a:prstGeom prst="rect"/>
                  </pic:spPr>
                </pic:pic>
              </a:graphicData>
            </a:graphic>
          </wp:inline>
        </w:drawing>
      </w:r>
    </w:p>
    <w:p>
      <w:pPr>
        <w:spacing w:after="120"/>
        <w:jc w:val="center"/>
      </w:pPr>
      <w:r>
        <w:rPr>
          <w:i/>
          <w:color w:val="222222"/>
          <w:sz w:val="17"/>
        </w:rPr>
        <w:t>Figure D-1 — The three experts' fair-value ranges. Brass ticks are base cases; the gold band is the central; the dark line is spot EGP 7.00. The spread is almost entirely a land-value disagreement, and every base sits below spot.</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556"/>
        <w:gridCol w:w="2556"/>
        <w:gridCol w:w="2556"/>
        <w:gridCol w:w="2556"/>
      </w:tblGrid>
      <w:tr>
        <w:tc>
          <w:tcPr>
            <w:tcW w:type="dxa" w:w="1728"/>
            <w:shd w:val="clear" w:color="auto" w:fill="1B5E5E"/>
            <w:vAlign w:val="center"/>
          </w:tcPr>
          <w:p>
            <w:pPr>
              <w:spacing w:after="20" w:before="20"/>
              <w:jc w:val="left"/>
            </w:pPr>
            <w:r/>
            <w:r>
              <w:rPr>
                <w:b/>
                <w:color w:val="FFFFFF"/>
                <w:sz w:val="18"/>
              </w:rPr>
              <w:t>Expert</w:t>
            </w:r>
          </w:p>
        </w:tc>
        <w:tc>
          <w:tcPr>
            <w:tcW w:type="dxa" w:w="2880"/>
            <w:shd w:val="clear" w:color="auto" w:fill="1B5E5E"/>
            <w:vAlign w:val="center"/>
          </w:tcPr>
          <w:p>
            <w:pPr>
              <w:spacing w:after="20" w:before="20"/>
              <w:jc w:val="left"/>
            </w:pPr>
            <w:r/>
            <w:r>
              <w:rPr>
                <w:b/>
                <w:color w:val="FFFFFF"/>
                <w:sz w:val="18"/>
              </w:rPr>
              <w:t>Method</w:t>
            </w:r>
          </w:p>
        </w:tc>
        <w:tc>
          <w:tcPr>
            <w:tcW w:type="dxa" w:w="3744"/>
            <w:shd w:val="clear" w:color="auto" w:fill="1B5E5E"/>
            <w:vAlign w:val="center"/>
          </w:tcPr>
          <w:p>
            <w:pPr>
              <w:spacing w:after="20" w:before="20"/>
              <w:jc w:val="left"/>
            </w:pPr>
            <w:r/>
            <w:r>
              <w:rPr>
                <w:b/>
                <w:color w:val="FFFFFF"/>
                <w:sz w:val="18"/>
              </w:rPr>
              <w:t>Single swing assumption</w:t>
            </w:r>
          </w:p>
        </w:tc>
        <w:tc>
          <w:tcPr>
            <w:tcW w:type="dxa" w:w="1872"/>
            <w:shd w:val="clear" w:color="auto" w:fill="1B5E5E"/>
            <w:vAlign w:val="center"/>
          </w:tcPr>
          <w:p>
            <w:pPr>
              <w:spacing w:after="20" w:before="20"/>
              <w:jc w:val="center"/>
            </w:pPr>
            <w:r/>
            <w:r>
              <w:rPr>
                <w:b/>
                <w:color w:val="FFFFFF"/>
                <w:sz w:val="18"/>
              </w:rPr>
              <w:t>Base fair value</w:t>
            </w:r>
          </w:p>
        </w:tc>
      </w:tr>
      <w:tr>
        <w:tc>
          <w:tcPr>
            <w:tcW w:type="dxa" w:w="1728"/>
            <w:vAlign w:val="center"/>
          </w:tcPr>
          <w:p>
            <w:pPr>
              <w:spacing w:after="20" w:before="20"/>
              <w:jc w:val="left"/>
            </w:pPr>
            <w:r/>
            <w:r>
              <w:rPr>
                <w:b w:val="0"/>
                <w:sz w:val="17"/>
              </w:rPr>
              <w:t>Expert 1</w:t>
            </w:r>
          </w:p>
        </w:tc>
        <w:tc>
          <w:tcPr>
            <w:tcW w:type="dxa" w:w="2880"/>
            <w:vAlign w:val="center"/>
          </w:tcPr>
          <w:p>
            <w:pPr>
              <w:spacing w:after="20" w:before="20"/>
              <w:jc w:val="left"/>
            </w:pPr>
            <w:r/>
            <w:r>
              <w:rPr>
                <w:b w:val="0"/>
                <w:sz w:val="17"/>
              </w:rPr>
              <w:t>Revalued net assets</w:t>
            </w:r>
          </w:p>
        </w:tc>
        <w:tc>
          <w:tcPr>
            <w:tcW w:type="dxa" w:w="3744"/>
            <w:vAlign w:val="center"/>
          </w:tcPr>
          <w:p>
            <w:pPr>
              <w:spacing w:after="20" w:before="20"/>
              <w:jc w:val="left"/>
            </w:pPr>
            <w:r/>
            <w:r>
              <w:rPr>
                <w:b w:val="0"/>
                <w:sz w:val="17"/>
              </w:rPr>
              <w:t>The land re-mark (conservative EGP 0.7bn)</w:t>
            </w:r>
          </w:p>
        </w:tc>
        <w:tc>
          <w:tcPr>
            <w:tcW w:type="dxa" w:w="1872"/>
            <w:vAlign w:val="center"/>
          </w:tcPr>
          <w:p>
            <w:pPr>
              <w:spacing w:after="20" w:before="20"/>
              <w:jc w:val="center"/>
            </w:pPr>
            <w:r/>
            <w:r>
              <w:rPr>
                <w:b w:val="0"/>
                <w:sz w:val="17"/>
              </w:rPr>
              <w:t>EGP 3.10</w:t>
            </w:r>
          </w:p>
        </w:tc>
      </w:tr>
      <w:tr>
        <w:tc>
          <w:tcPr>
            <w:tcW w:type="dxa" w:w="1728"/>
            <w:shd w:val="clear" w:color="auto" w:fill="F3F7F7"/>
            <w:vAlign w:val="center"/>
          </w:tcPr>
          <w:p>
            <w:pPr>
              <w:spacing w:after="20" w:before="20"/>
              <w:jc w:val="left"/>
            </w:pPr>
            <w:r/>
            <w:r>
              <w:rPr>
                <w:b w:val="0"/>
                <w:sz w:val="17"/>
              </w:rPr>
              <w:t>Expert 2</w:t>
            </w:r>
          </w:p>
        </w:tc>
        <w:tc>
          <w:tcPr>
            <w:tcW w:type="dxa" w:w="2880"/>
            <w:shd w:val="clear" w:color="auto" w:fill="F3F7F7"/>
            <w:vAlign w:val="center"/>
          </w:tcPr>
          <w:p>
            <w:pPr>
              <w:spacing w:after="20" w:before="20"/>
              <w:jc w:val="left"/>
            </w:pPr>
            <w:r/>
            <w:r>
              <w:rPr>
                <w:b w:val="0"/>
                <w:sz w:val="17"/>
              </w:rPr>
              <w:t>Normalized earnings power</w:t>
            </w:r>
          </w:p>
        </w:tc>
        <w:tc>
          <w:tcPr>
            <w:tcW w:type="dxa" w:w="3744"/>
            <w:shd w:val="clear" w:color="auto" w:fill="F3F7F7"/>
            <w:vAlign w:val="center"/>
          </w:tcPr>
          <w:p>
            <w:pPr>
              <w:spacing w:after="20" w:before="20"/>
              <w:jc w:val="left"/>
            </w:pPr>
            <w:r/>
            <w:r>
              <w:rPr>
                <w:b w:val="0"/>
                <w:sz w:val="17"/>
              </w:rPr>
              <w:t>Mid-cycle margin × ~10.5×</w:t>
            </w:r>
          </w:p>
        </w:tc>
        <w:tc>
          <w:tcPr>
            <w:tcW w:type="dxa" w:w="1872"/>
            <w:shd w:val="clear" w:color="auto" w:fill="F3F7F7"/>
            <w:vAlign w:val="center"/>
          </w:tcPr>
          <w:p>
            <w:pPr>
              <w:spacing w:after="20" w:before="20"/>
              <w:jc w:val="center"/>
            </w:pPr>
            <w:r/>
            <w:r>
              <w:rPr>
                <w:b w:val="0"/>
                <w:sz w:val="17"/>
              </w:rPr>
              <w:t>EGP 1.30</w:t>
            </w:r>
          </w:p>
        </w:tc>
      </w:tr>
      <w:tr>
        <w:tc>
          <w:tcPr>
            <w:tcW w:type="dxa" w:w="1728"/>
            <w:vAlign w:val="center"/>
          </w:tcPr>
          <w:p>
            <w:pPr>
              <w:spacing w:after="20" w:before="20"/>
              <w:jc w:val="left"/>
            </w:pPr>
            <w:r/>
            <w:r>
              <w:rPr>
                <w:b w:val="0"/>
                <w:sz w:val="17"/>
              </w:rPr>
              <w:t>Expert 3</w:t>
            </w:r>
          </w:p>
        </w:tc>
        <w:tc>
          <w:tcPr>
            <w:tcW w:type="dxa" w:w="2880"/>
            <w:vAlign w:val="center"/>
          </w:tcPr>
          <w:p>
            <w:pPr>
              <w:spacing w:after="20" w:before="20"/>
              <w:jc w:val="left"/>
            </w:pPr>
            <w:r/>
            <w:r>
              <w:rPr>
                <w:b w:val="0"/>
                <w:sz w:val="17"/>
              </w:rPr>
              <w:t>Scenario / policy</w:t>
            </w:r>
          </w:p>
        </w:tc>
        <w:tc>
          <w:tcPr>
            <w:tcW w:type="dxa" w:w="3744"/>
            <w:vAlign w:val="center"/>
          </w:tcPr>
          <w:p>
            <w:pPr>
              <w:spacing w:after="20" w:before="20"/>
              <w:jc w:val="left"/>
            </w:pPr>
            <w:r/>
            <w:r>
              <w:rPr>
                <w:b w:val="0"/>
                <w:sz w:val="17"/>
              </w:rPr>
              <w:t>Probability of a land-monetisation event</w:t>
            </w:r>
          </w:p>
        </w:tc>
        <w:tc>
          <w:tcPr>
            <w:tcW w:type="dxa" w:w="1872"/>
            <w:vAlign w:val="center"/>
          </w:tcPr>
          <w:p>
            <w:pPr>
              <w:spacing w:after="20" w:before="20"/>
              <w:jc w:val="center"/>
            </w:pPr>
            <w:r/>
            <w:r>
              <w:rPr>
                <w:b w:val="0"/>
                <w:sz w:val="17"/>
              </w:rPr>
              <w:t>EGP 2.40</w:t>
            </w:r>
          </w:p>
        </w:tc>
      </w:tr>
    </w:tbl>
    <w:p>
      <w:pPr>
        <w:spacing w:after="40"/>
      </w:pPr>
    </w:p>
    <w:p>
      <w:pPr>
        <w:spacing w:after="40" w:line="259" w:lineRule="auto"/>
      </w:pPr>
      <w:r>
        <w:rPr>
          <w:b w:val="0"/>
          <w:i w:val="0"/>
          <w:sz w:val="20"/>
        </w:rPr>
        <w:t>The spread — EGP 1.30 to 3.10 at base — is not a disagreement about the factory; none of the three contests that the operating business is worth little at Egyptian discount rates. It is a disagreement about the land: how much unbooked value to credit (Expert 1), whether it matters to a going concern that cannot monetise it (Expert 2), and the probability that it is ever crystallised (Expert 3). The EGP 1.80 spread is therefore a clean measure of one thing — how much of KABO's value rests on an undisclosed asset and the odds it is realised. And all three base cases sit below spot, which is the panel's shared message: on every method, the market is paying for a land event that has not happened.</w:t>
      </w:r>
    </w:p>
    <w:p>
      <w:pPr>
        <w:spacing w:after="40" w:line="259" w:lineRule="auto"/>
      </w:pPr>
      <w:r>
        <w:rPr>
          <w:b w:val="0"/>
          <w:i w:val="0"/>
          <w:sz w:val="20"/>
        </w:rPr>
        <w:t>What the spread does NOT contain is as telling as what it does: there is no argument here about the manufacturing business, the brand, or the balance-sheet liabilities — all three experts price those similarly and modestly. The entire EGP 1.80 range is a proxy for a single unknown. That is unusually clean, and it tells a reader exactly what to watch: not the next quarter's margin, but any disclosure that puts a number on the land. Resolve that one fact — an asset register, an independent valuation, or a transaction — and the three experts converge quickly; leave it undisclosed, and the price is a standing bet on a catalyst.</w:t>
      </w:r>
    </w:p>
    <w:p>
      <w:pPr>
        <w:spacing w:after="120" w:line="259" w:lineRule="auto"/>
      </w:pPr>
      <w:r>
        <w:rPr>
          <w:b w:val="0"/>
          <w:i/>
          <w:sz w:val="17"/>
        </w:rPr>
        <w:t>*Each expert's point fair value (and bull/base/bear) is logged with the study date (06 Jul 2026) and spot (EGP 7.00) as an internal per-expert track record, kept separate from the core Calibration Ledger.*</w:t>
      </w:r>
    </w:p>
    <w:p>
      <w:pPr>
        <w:spacing w:before="200" w:after="80"/>
      </w:pPr>
      <w:r>
        <w:rPr>
          <w:b/>
          <w:color w:val="1B5E5E"/>
          <w:sz w:val="28"/>
        </w:rPr>
        <w:t>About this series</w:t>
      </w:r>
    </w:p>
    <w:p>
      <w:pPr>
        <w:spacing w:after="80" w:line="259" w:lineRule="auto"/>
      </w:pPr>
      <w:r>
        <w:rPr>
          <w:b w:val="0"/>
          <w:i w:val="0"/>
          <w:sz w:val="2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On this name we go a step further and publish no probabilistic price forecast at all, because the engine did not earn one — a discipline we would rather show than hide. Studies are framed as educational analysis, the preparer is not licensed by any securities regulator, and holdings are disclosed.</w:t>
      </w:r>
    </w:p>
    <w:p>
      <w:pPr>
        <w:spacing w:before="200" w:after="80"/>
      </w:pPr>
      <w:r>
        <w:rPr>
          <w:b/>
          <w:color w:val="1B5E5E"/>
          <w:sz w:val="28"/>
        </w:rPr>
        <w:t>Disclosure &amp; Disclaimer</w:t>
      </w:r>
    </w:p>
    <w:p>
      <w:pPr>
        <w:spacing w:after="60" w:line="259" w:lineRule="auto"/>
      </w:pPr>
      <w:r>
        <w:rPr>
          <w:b/>
          <w:i w:val="0"/>
          <w:sz w:val="20"/>
        </w:rPr>
        <w:t xml:space="preserve">Not investment advice. </w:t>
      </w:r>
      <w:r>
        <w:rPr>
          <w:b w:val="0"/>
          <w:i w:val="0"/>
          <w:sz w:val="20"/>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60" w:line="259" w:lineRule="auto"/>
      </w:pPr>
      <w:r>
        <w:rPr>
          <w:b/>
          <w:i w:val="0"/>
          <w:sz w:val="20"/>
        </w:rPr>
        <w:t xml:space="preserve">No licence; no advisory relationship. </w:t>
      </w:r>
      <w:r>
        <w:rPr>
          <w:b w:val="0"/>
          <w:i w:val="0"/>
          <w:sz w:val="20"/>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60" w:line="259" w:lineRule="auto"/>
      </w:pPr>
      <w:r>
        <w:rPr>
          <w:b/>
          <w:i w:val="0"/>
          <w:sz w:val="20"/>
        </w:rPr>
        <w:t xml:space="preserve">Holdings disclosure. </w:t>
      </w:r>
      <w:r>
        <w:rPr>
          <w:b w:val="0"/>
          <w:i w:val="0"/>
          <w:sz w:val="20"/>
        </w:rPr>
        <w:t>The preparer may hold, and may in the future take or dispose of, a position in the security discussed in this report, and may transact at any time without notice. This is a potential conflict of interest you should weigh.</w:t>
      </w:r>
    </w:p>
    <w:p>
      <w:pPr>
        <w:spacing w:after="60" w:line="259" w:lineRule="auto"/>
      </w:pPr>
      <w:r>
        <w:rPr>
          <w:b/>
          <w:i w:val="0"/>
          <w:sz w:val="20"/>
        </w:rPr>
        <w:t xml:space="preserve">Sources &amp; accuracy. </w:t>
      </w:r>
      <w:r>
        <w:rPr>
          <w:b w:val="0"/>
          <w:i w:val="0"/>
          <w:sz w:val="20"/>
        </w:rPr>
        <w:t>Reported financial and operating figures are drawn from the company's public disclosure and other public sources believed reliable but not independently verified; KABO is thinly covered, and several historical line items, the share count and the balance-sheet split are reconstructed on a fiscal-year basis and flagged as estimates. Forward-looking inputs — above all the land-and-buildings re-mark that drives the primary lens, plus the projections, multiples, the DCF and the Monte-Carlo factor probabilities — are the preparer's own judgments and are inherently uncertain.</w:t>
      </w:r>
    </w:p>
    <w:p>
      <w:pPr>
        <w:spacing w:after="60" w:line="259" w:lineRule="auto"/>
      </w:pPr>
      <w:r>
        <w:rPr>
          <w:b/>
          <w:i w:val="0"/>
          <w:sz w:val="20"/>
        </w:rPr>
        <w:t xml:space="preserve">Forward-looking statements. </w:t>
      </w:r>
      <w:r>
        <w:rPr>
          <w:b w:val="0"/>
          <w:i w:val="0"/>
          <w:sz w:val="20"/>
        </w:rPr>
        <w:t>Any statements about the future are estimates subject to risks and uncertainties; actual results may differ materially. The Monte Carlo models price, not value, encodes subjective probabilities for events that have not occurred, and — on this security — failed its calibration test and is therefore published only as an illustrative volatility map, not a forecast.</w:t>
      </w:r>
    </w:p>
    <w:p>
      <w:pPr>
        <w:spacing w:after="60" w:line="259" w:lineRule="auto"/>
      </w:pPr>
      <w:r>
        <w:rPr>
          <w:b/>
          <w:i w:val="0"/>
          <w:sz w:val="20"/>
        </w:rPr>
        <w:t xml:space="preserve">No reliance; your responsibility. </w:t>
      </w:r>
      <w:r>
        <w:rPr>
          <w:b w:val="0"/>
          <w:i w:val="0"/>
          <w:sz w:val="20"/>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line="259" w:lineRule="auto"/>
      </w:pPr>
      <w:r>
        <w:rPr>
          <w:b/>
          <w:i w:val="0"/>
          <w:sz w:val="20"/>
        </w:rPr>
        <w:t xml:space="preserve">Currency &amp; figures. </w:t>
      </w:r>
      <w:r>
        <w:rPr>
          <w:b w:val="0"/>
          <w:i w:val="0"/>
          <w:sz w:val="20"/>
        </w:rPr>
        <w:t>Figures are in Egyptian pounds (EGP) unless stated; m denotes million and bn billion. Rounding may cause totals to differ slightly. Spot price and market data are as of 06 July 2026 and change continuously.</w:t>
      </w:r>
    </w:p>
    <w:p>
      <w:pPr>
        <w:jc w:val="center"/>
      </w:pPr>
      <w:r>
        <w:rPr>
          <w:i/>
          <w:color w:val="1B5E5E"/>
          <w:sz w:val="17"/>
        </w:rPr>
        <w:t>TESTAHIL · Independent Valuation Study · Educational Analysis · El Nasr Clothing &amp; Textiles Co. (Kabo) (EGX: KABO) · edition 06-07-2026 · reporting currency EGP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