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val="clear" w:fill="1C3A36"/>
        <w:spacing w:after="40"/>
      </w:pPr>
      <w:r>
        <w:rPr>
          <w:b/>
          <w:i w:val="0"/>
          <w:color w:val="FFFFFF"/>
          <w:sz w:val="18"/>
        </w:rPr>
        <w:t>Testahil   ·   Independent Valuation Study — Educational Analysis</w:t>
      </w:r>
      <w:r>
        <w:rPr>
          <w:b/>
          <w:i w:val="0"/>
          <w:color w:val="FFFFFF"/>
          <w:sz w:val="18"/>
        </w:rPr>
        <w:t xml:space="preserve">     Not investment advice</w:t>
      </w:r>
    </w:p>
    <w:p>
      <w:pPr>
        <w:pStyle w:val="Title"/>
      </w:pPr>
      <w:r>
        <w:t>Independent Valuation Study — Educational Analysis</w:t>
      </w:r>
    </w:p>
    <w:p>
      <w:r>
        <w:rPr>
          <w:b/>
          <w:color w:val="2E74B5"/>
          <w:sz w:val="30"/>
        </w:rPr>
        <w:t>Lecico Egypt (S.A.E.)  (EGX: LCSW)</w:t>
      </w:r>
    </w:p>
    <w:p>
      <w:r>
        <w:rPr>
          <w:b w:val="0"/>
          <w:i/>
        </w:rPr>
        <w:t>Fundamental analysis · Technical analysis · Monte Carlo simulation — one integrated read</w:t>
      </w:r>
    </w:p>
    <w:p>
      <w:r>
        <w:rPr>
          <w:b/>
          <w:i w:val="0"/>
        </w:rPr>
        <w:t>Anchor:</w:t>
      </w:r>
      <w:r>
        <w:rPr>
          <w:b w:val="0"/>
          <w:i w:val="0"/>
        </w:rPr>
        <w:t xml:space="preserve"> EGP 29.45 (6 Jul 2026 close) · 80.0m shares · market cap ~EGP 2,356m (~EGP 2.36bn) · one of the Middle East's largest sanitary-ware and tile makers, ~55% of revenue exported (majority of sanitary-ware volume) yet reported in Egyptian pounds · prices and probabilities computed 6 Jul 2026 from the attached daily history · primary lens: going-concern free-cash-flow-to-firm (FCFF) DCF, triangulated with four other lenses · the swing factors are the EGP/USD path and whether booked earnings convert to cash.</w:t>
      </w:r>
    </w:p>
    <w:tbl>
      <w:tblPr>
        <w:tblW w:type="auto" w:w="0"/>
        <w:tblLook w:firstColumn="1" w:firstRow="1" w:lastColumn="0" w:lastRow="0" w:noHBand="0" w:noVBand="1" w:val="04A0"/>
        <w:tblBorders>
          <w:top w:val="single" w:sz="4" w:space="0" w:color="D8C9A0"/>
          <w:left w:val="single" w:sz="4" w:space="0" w:color="D8C9A0"/>
          <w:bottom w:val="single" w:sz="4" w:space="0" w:color="D8C9A0"/>
          <w:right w:val="single" w:sz="4" w:space="0" w:color="D8C9A0"/>
          <w:insideH w:val="single" w:sz="4" w:space="0" w:color="D8C9A0"/>
          <w:insideV w:val="single" w:sz="4" w:space="0" w:color="D8C9A0"/>
        </w:tblBorders>
      </w:tblPr>
      <w:tblGrid>
        <w:gridCol w:w="9360"/>
      </w:tblGrid>
      <w:tr>
        <w:tc>
          <w:tcPr>
            <w:tcW w:type="dxa" w:w="9360"/>
            <w:shd w:val="clear" w:fill="F6F1E6"/>
          </w:tcPr>
          <w:p>
            <w:pPr>
              <w:spacing w:after="20" w:before="20"/>
            </w:pPr>
            <w:r/>
            <w:r>
              <w:rPr>
                <w:b/>
                <w:i w:val="0"/>
                <w:sz w:val="19"/>
              </w:rPr>
              <w:t>READ FIRST — what this document is, and is not.</w:t>
            </w:r>
            <w:r>
              <w:rPr>
                <w:b w:val="0"/>
                <w:i w:val="0"/>
                <w:sz w:val="19"/>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(including Egypt's Financial Regulatory Authority), holds no brokerage or 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results, 28 February 2026; Q1-2026 filing); forward-looking inputs — the DCF, the multiples, the marks and the Monte-Carlo factor probabilities — are the preparer's judgments and are flagged throughout. Consult a licensed financial advisor before any investment decision.</w:t>
            </w:r>
          </w:p>
        </w:tc>
      </w:tr>
    </w:tbl>
    <w:p/>
    <w:p>
      <w:pPr>
        <w:pStyle w:val="Heading1"/>
      </w:pPr>
      <w:r>
        <w:t>Headline</w:t>
      </w:r>
    </w:p>
    <w:p>
      <w:r>
        <w:rPr>
          <w:b/>
          <w:i w:val="0"/>
        </w:rPr>
        <w:t>The model's read: modestly-to-meaningfully undervalued on fundamentals, with the upside resting on the pound resuming a gradual slide and on the company converting profit into cash.</w:t>
      </w:r>
      <w:r>
        <w:rPr>
          <w:b w:val="0"/>
          <w:i w:val="0"/>
        </w:rPr>
        <w:t xml:space="preserve"> At EGP 29.45 the shares sit about 26% below our weighted central estimate of EGP 37. The five fundamental lenses cluster tightly — a going-concern DCF at 37, relative multiples at 39, a normalized-earnings read at 39, a conservative owner-earnings read at 32, and an asset/reproduction floor at 36 — so even the most cautious lens sits above spot. The whole answer turns on two linked questions. First, the </w:t>
      </w:r>
      <w:r>
        <w:rPr>
          <w:b/>
          <w:i w:val="0"/>
        </w:rPr>
        <w:t>Egyptian pound</w:t>
      </w:r>
      <w:r>
        <w:rPr>
          <w:b w:val="0"/>
          <w:i w:val="0"/>
        </w:rPr>
        <w:t xml:space="preserve">: Lecico exports the majority of its highest-margin product (sanitary ware) but reports in pounds, so the pound's ~8% </w:t>
      </w:r>
      <w:r>
        <w:rPr>
          <w:b w:val="0"/>
          <w:i/>
        </w:rPr>
        <w:t>strengthening</w:t>
      </w:r>
      <w:r>
        <w:rPr>
          <w:b w:val="0"/>
          <w:i w:val="0"/>
        </w:rPr>
        <w:t xml:space="preserve"> since end-2024 (from ~50.8 to ~47 per dollar), combined with domestic energy-cost hikes, cut the 2025 EBIT margin to a trough 9.5% from 17.3% a year earlier. Second, </w:t>
      </w:r>
      <w:r>
        <w:rPr>
          <w:b/>
          <w:i w:val="0"/>
        </w:rPr>
        <w:t>cash conversion</w:t>
      </w:r>
      <w:r>
        <w:rPr>
          <w:b w:val="0"/>
          <w:i w:val="0"/>
        </w:rPr>
        <w:t xml:space="preserve">: 2025 operating cash flow was </w:t>
      </w:r>
      <w:r>
        <w:rPr>
          <w:b w:val="0"/>
          <w:i/>
        </w:rPr>
        <w:t>negative</w:t>
      </w:r>
      <w:r>
        <w:rPr>
          <w:b w:val="0"/>
          <w:i w:val="0"/>
        </w:rPr>
        <w:t xml:space="preserve"> (EGP −196m) as a EGP 706m working-capital absorption swallowed the profit, and the company pays no dividend. Technically the tape is the opposite of the fundamentals' caution — the stock trades above all four major moving averages, RSI is in the low-60s and the MACD histogram is positive, a firm short-term uptrend. Over three months the Monte Carlo places the 5th–95th percentile band at roughly EGP 22–44, with a median modestly above spot at EGP 31.</w:t>
      </w:r>
    </w:p>
    <w:p>
      <w:pPr>
        <w:pStyle w:val="Heading1"/>
      </w:pPr>
      <w:r>
        <w:t>Valuation summary — every read at a glance</w:t>
      </w:r>
    </w:p>
    <w:p>
      <w:r>
        <w:rPr>
          <w:b w:val="0"/>
          <w:i w:val="0"/>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2340"/>
        <w:gridCol w:w="2340"/>
        <w:gridCol w:w="2340"/>
        <w:gridCol w:w="2340"/>
      </w:tblGrid>
      <w:tr>
        <w:tc>
          <w:tcPr>
            <w:tcW w:type="dxa" w:w="2340"/>
            <w:shd w:val="clear" w:fill="1C3A36"/>
          </w:tcPr>
          <w:p>
            <w:pPr>
              <w:spacing w:after="20" w:before="20"/>
            </w:pPr>
            <w:r/>
            <w:r>
              <w:rPr>
                <w:b/>
                <w:i w:val="0"/>
                <w:color w:val="FFFFFF"/>
                <w:sz w:val="19"/>
              </w:rPr>
              <w:t>Lens / read</w:t>
            </w:r>
          </w:p>
        </w:tc>
        <w:tc>
          <w:tcPr>
            <w:tcW w:type="dxa" w:w="2340"/>
            <w:shd w:val="clear" w:fill="1C3A36"/>
          </w:tcPr>
          <w:p>
            <w:pPr>
              <w:spacing w:after="20" w:before="20"/>
              <w:jc w:val="right"/>
            </w:pPr>
            <w:r/>
            <w:r>
              <w:rPr>
                <w:b/>
                <w:i w:val="0"/>
                <w:color w:val="FFFFFF"/>
                <w:sz w:val="19"/>
              </w:rPr>
              <w:t>What it measures</w:t>
            </w:r>
          </w:p>
        </w:tc>
        <w:tc>
          <w:tcPr>
            <w:tcW w:type="dxa" w:w="2340"/>
            <w:shd w:val="clear" w:fill="1C3A36"/>
          </w:tcPr>
          <w:p>
            <w:pPr>
              <w:spacing w:after="20" w:before="20"/>
              <w:jc w:val="right"/>
            </w:pPr>
            <w:r/>
            <w:r>
              <w:rPr>
                <w:b/>
                <w:i w:val="0"/>
                <w:color w:val="FFFFFF"/>
                <w:sz w:val="19"/>
              </w:rPr>
              <w:t>Output</w:t>
            </w:r>
          </w:p>
        </w:tc>
        <w:tc>
          <w:tcPr>
            <w:tcW w:type="dxa" w:w="2340"/>
            <w:shd w:val="clear" w:fill="1C3A36"/>
          </w:tcPr>
          <w:p>
            <w:pPr>
              <w:spacing w:after="20" w:before="20"/>
              <w:jc w:val="right"/>
            </w:pPr>
            <w:r/>
            <w:r>
              <w:rPr>
                <w:b/>
                <w:i w:val="0"/>
                <w:color w:val="FFFFFF"/>
                <w:sz w:val="19"/>
              </w:rPr>
              <w:t>Takeaway</w:t>
            </w:r>
          </w:p>
        </w:tc>
      </w:tr>
      <w:tr>
        <w:tc>
          <w:tcPr>
            <w:tcW w:type="dxa" w:w="9360"/>
            <w:gridSpan w:val="4"/>
            <w:shd w:val="clear" w:fill="EAF0EE"/>
          </w:tcPr>
          <w:p>
            <w:pPr>
              <w:spacing w:after="20" w:before="20"/>
            </w:pPr>
            <w:r/>
            <w:r>
              <w:rPr>
                <w:b/>
                <w:i w:val="0"/>
                <w:sz w:val="19"/>
              </w:rPr>
              <w:t>FUNDAMENTAL — what the business is worth (the anchor)</w:t>
            </w:r>
          </w:p>
          <w:p>
            <w:pPr>
              <w:spacing w:after="20" w:before="20"/>
            </w:pPr>
            <w:r/>
          </w:p>
          <w:p>
            <w:pPr>
              <w:spacing w:after="20" w:before="20"/>
            </w:pPr>
            <w:r/>
          </w:p>
          <w:p>
            <w:pPr>
              <w:spacing w:after="20" w:before="20"/>
            </w:pPr>
            <w:r/>
          </w:p>
        </w:tc>
      </w:tr>
      <w:tr>
        <w:tc>
          <w:tcPr>
            <w:tcW w:type="dxa" w:w="2340"/>
            <w:shd w:val="clear" w:fill="EFF3F1"/>
          </w:tcPr>
          <w:p>
            <w:pPr>
              <w:spacing w:after="20" w:before="20"/>
            </w:pPr>
            <w:r/>
            <w:r>
              <w:rPr>
                <w:b w:val="0"/>
                <w:i w:val="0"/>
                <w:sz w:val="19"/>
              </w:rPr>
              <w:t>FCFF DCF (primary)</w:t>
            </w:r>
          </w:p>
        </w:tc>
        <w:tc>
          <w:tcPr>
            <w:tcW w:type="dxa" w:w="2340"/>
            <w:shd w:val="clear" w:fill="EFF3F1"/>
          </w:tcPr>
          <w:p>
            <w:pPr>
              <w:spacing w:after="20" w:before="20"/>
              <w:jc w:val="right"/>
            </w:pPr>
            <w:r/>
            <w:r>
              <w:rPr>
                <w:b w:val="0"/>
                <w:i w:val="0"/>
                <w:sz w:val="19"/>
              </w:rPr>
              <w:t>Discounted 5-yr cash flows</w:t>
            </w:r>
          </w:p>
        </w:tc>
        <w:tc>
          <w:tcPr>
            <w:tcW w:type="dxa" w:w="2340"/>
            <w:shd w:val="clear" w:fill="EFF3F1"/>
          </w:tcPr>
          <w:p>
            <w:pPr>
              <w:spacing w:after="20" w:before="20"/>
              <w:jc w:val="right"/>
            </w:pPr>
            <w:r/>
            <w:r>
              <w:rPr>
                <w:b w:val="0"/>
                <w:i w:val="0"/>
                <w:sz w:val="19"/>
              </w:rPr>
              <w:t>EGP 37</w:t>
            </w:r>
          </w:p>
        </w:tc>
        <w:tc>
          <w:tcPr>
            <w:tcW w:type="dxa" w:w="2340"/>
            <w:shd w:val="clear" w:fill="EFF3F1"/>
          </w:tcPr>
          <w:p>
            <w:pPr>
              <w:spacing w:after="20" w:before="20"/>
              <w:jc w:val="right"/>
            </w:pPr>
            <w:r/>
            <w:r>
              <w:rPr>
                <w:b w:val="0"/>
                <w:i w:val="0"/>
                <w:sz w:val="19"/>
              </w:rPr>
              <w:t>+26% vs spot</w:t>
            </w:r>
          </w:p>
        </w:tc>
      </w:tr>
      <w:tr>
        <w:tc>
          <w:tcPr>
            <w:tcW w:type="dxa" w:w="2340"/>
          </w:tcPr>
          <w:p>
            <w:pPr>
              <w:spacing w:after="20" w:before="20"/>
            </w:pPr>
            <w:r/>
            <w:r>
              <w:rPr>
                <w:b w:val="0"/>
                <w:i w:val="0"/>
                <w:sz w:val="19"/>
              </w:rPr>
              <w:t>Relative multiples</w:t>
            </w:r>
          </w:p>
        </w:tc>
        <w:tc>
          <w:tcPr>
            <w:tcW w:type="dxa" w:w="2340"/>
          </w:tcPr>
          <w:p>
            <w:pPr>
              <w:spacing w:after="20" w:before="20"/>
              <w:jc w:val="right"/>
            </w:pPr>
            <w:r/>
            <w:r>
              <w:rPr>
                <w:b w:val="0"/>
                <w:i w:val="0"/>
                <w:sz w:val="19"/>
              </w:rPr>
              <w:t>Normalized EV/EBITDA + P/E</w:t>
            </w:r>
          </w:p>
        </w:tc>
        <w:tc>
          <w:tcPr>
            <w:tcW w:type="dxa" w:w="2340"/>
          </w:tcPr>
          <w:p>
            <w:pPr>
              <w:spacing w:after="20" w:before="20"/>
              <w:jc w:val="right"/>
            </w:pPr>
            <w:r/>
            <w:r>
              <w:rPr>
                <w:b w:val="0"/>
                <w:i w:val="0"/>
                <w:sz w:val="19"/>
              </w:rPr>
              <w:t>EGP 39</w:t>
            </w:r>
          </w:p>
        </w:tc>
        <w:tc>
          <w:tcPr>
            <w:tcW w:type="dxa" w:w="2340"/>
          </w:tcPr>
          <w:p>
            <w:pPr>
              <w:spacing w:after="20" w:before="20"/>
              <w:jc w:val="right"/>
            </w:pPr>
            <w:r/>
            <w:r>
              <w:rPr>
                <w:b w:val="0"/>
                <w:i w:val="0"/>
                <w:sz w:val="19"/>
              </w:rPr>
              <w:t>+32%</w:t>
            </w:r>
          </w:p>
        </w:tc>
      </w:tr>
      <w:tr>
        <w:tc>
          <w:tcPr>
            <w:tcW w:type="dxa" w:w="2340"/>
            <w:shd w:val="clear" w:fill="EFF3F1"/>
          </w:tcPr>
          <w:p>
            <w:pPr>
              <w:spacing w:after="20" w:before="20"/>
            </w:pPr>
            <w:r/>
            <w:r>
              <w:rPr>
                <w:b w:val="0"/>
                <w:i w:val="0"/>
                <w:sz w:val="19"/>
              </w:rPr>
              <w:t>Normalized earnings</w:t>
            </w:r>
          </w:p>
        </w:tc>
        <w:tc>
          <w:tcPr>
            <w:tcW w:type="dxa" w:w="2340"/>
            <w:shd w:val="clear" w:fill="EFF3F1"/>
          </w:tcPr>
          <w:p>
            <w:pPr>
              <w:spacing w:after="20" w:before="20"/>
              <w:jc w:val="right"/>
            </w:pPr>
            <w:r/>
            <w:r>
              <w:rPr>
                <w:b w:val="0"/>
                <w:i w:val="0"/>
                <w:sz w:val="19"/>
              </w:rPr>
              <w:t>Mid-cycle EPS × justified P/E</w:t>
            </w:r>
          </w:p>
        </w:tc>
        <w:tc>
          <w:tcPr>
            <w:tcW w:type="dxa" w:w="2340"/>
            <w:shd w:val="clear" w:fill="EFF3F1"/>
          </w:tcPr>
          <w:p>
            <w:pPr>
              <w:spacing w:after="20" w:before="20"/>
              <w:jc w:val="right"/>
            </w:pPr>
            <w:r/>
            <w:r>
              <w:rPr>
                <w:b w:val="0"/>
                <w:i w:val="0"/>
                <w:sz w:val="19"/>
              </w:rPr>
              <w:t>EGP 39</w:t>
            </w:r>
          </w:p>
        </w:tc>
        <w:tc>
          <w:tcPr>
            <w:tcW w:type="dxa" w:w="2340"/>
            <w:shd w:val="clear" w:fill="EFF3F1"/>
          </w:tcPr>
          <w:p>
            <w:pPr>
              <w:spacing w:after="20" w:before="20"/>
              <w:jc w:val="right"/>
            </w:pPr>
            <w:r/>
            <w:r>
              <w:rPr>
                <w:b w:val="0"/>
                <w:i w:val="0"/>
                <w:sz w:val="19"/>
              </w:rPr>
              <w:t>+32%</w:t>
            </w:r>
          </w:p>
        </w:tc>
      </w:tr>
      <w:tr>
        <w:tc>
          <w:tcPr>
            <w:tcW w:type="dxa" w:w="2340"/>
          </w:tcPr>
          <w:p>
            <w:pPr>
              <w:spacing w:after="20" w:before="20"/>
            </w:pPr>
            <w:r/>
            <w:r>
              <w:rPr>
                <w:b w:val="0"/>
                <w:i w:val="0"/>
                <w:sz w:val="19"/>
              </w:rPr>
              <w:t>FCFE / owner-earnings</w:t>
            </w:r>
          </w:p>
        </w:tc>
        <w:tc>
          <w:tcPr>
            <w:tcW w:type="dxa" w:w="2340"/>
          </w:tcPr>
          <w:p>
            <w:pPr>
              <w:spacing w:after="20" w:before="20"/>
              <w:jc w:val="right"/>
            </w:pPr>
            <w:r/>
            <w:r>
              <w:rPr>
                <w:b w:val="0"/>
                <w:i w:val="0"/>
                <w:sz w:val="19"/>
              </w:rPr>
              <w:t>Conservative cash capacity</w:t>
            </w:r>
          </w:p>
        </w:tc>
        <w:tc>
          <w:tcPr>
            <w:tcW w:type="dxa" w:w="2340"/>
          </w:tcPr>
          <w:p>
            <w:pPr>
              <w:spacing w:after="20" w:before="20"/>
              <w:jc w:val="right"/>
            </w:pPr>
            <w:r/>
            <w:r>
              <w:rPr>
                <w:b w:val="0"/>
                <w:i w:val="0"/>
                <w:sz w:val="19"/>
              </w:rPr>
              <w:t>EGP 32</w:t>
            </w:r>
          </w:p>
        </w:tc>
        <w:tc>
          <w:tcPr>
            <w:tcW w:type="dxa" w:w="2340"/>
          </w:tcPr>
          <w:p>
            <w:pPr>
              <w:spacing w:after="20" w:before="20"/>
              <w:jc w:val="right"/>
            </w:pPr>
            <w:r/>
            <w:r>
              <w:rPr>
                <w:b w:val="0"/>
                <w:i w:val="0"/>
                <w:sz w:val="19"/>
              </w:rPr>
              <w:t>+9% · the floor</w:t>
            </w:r>
          </w:p>
        </w:tc>
      </w:tr>
      <w:tr>
        <w:tc>
          <w:tcPr>
            <w:tcW w:type="dxa" w:w="2340"/>
            <w:shd w:val="clear" w:fill="EFF3F1"/>
          </w:tcPr>
          <w:p>
            <w:pPr>
              <w:spacing w:after="20" w:before="20"/>
            </w:pPr>
            <w:r/>
            <w:r>
              <w:rPr>
                <w:b w:val="0"/>
                <w:i w:val="0"/>
                <w:sz w:val="19"/>
              </w:rPr>
              <w:t>Asset / reproduction</w:t>
            </w:r>
          </w:p>
        </w:tc>
        <w:tc>
          <w:tcPr>
            <w:tcW w:type="dxa" w:w="2340"/>
            <w:shd w:val="clear" w:fill="EFF3F1"/>
          </w:tcPr>
          <w:p>
            <w:pPr>
              <w:spacing w:after="20" w:before="20"/>
              <w:jc w:val="right"/>
            </w:pPr>
            <w:r/>
            <w:r>
              <w:rPr>
                <w:b w:val="0"/>
                <w:i w:val="0"/>
                <w:sz w:val="19"/>
              </w:rPr>
              <w:t>Realizable net-asset value</w:t>
            </w:r>
          </w:p>
        </w:tc>
        <w:tc>
          <w:tcPr>
            <w:tcW w:type="dxa" w:w="2340"/>
            <w:shd w:val="clear" w:fill="EFF3F1"/>
          </w:tcPr>
          <w:p>
            <w:pPr>
              <w:spacing w:after="20" w:before="20"/>
              <w:jc w:val="right"/>
            </w:pPr>
            <w:r/>
            <w:r>
              <w:rPr>
                <w:b w:val="0"/>
                <w:i w:val="0"/>
                <w:sz w:val="19"/>
              </w:rPr>
              <w:t>EGP 36</w:t>
            </w:r>
          </w:p>
        </w:tc>
        <w:tc>
          <w:tcPr>
            <w:tcW w:type="dxa" w:w="2340"/>
            <w:shd w:val="clear" w:fill="EFF3F1"/>
          </w:tcPr>
          <w:p>
            <w:pPr>
              <w:spacing w:after="20" w:before="20"/>
              <w:jc w:val="right"/>
            </w:pPr>
            <w:r/>
            <w:r>
              <w:rPr>
                <w:b w:val="0"/>
                <w:i w:val="0"/>
                <w:sz w:val="19"/>
              </w:rPr>
              <w:t>+22%</w:t>
            </w:r>
          </w:p>
        </w:tc>
      </w:tr>
      <w:tr>
        <w:tc>
          <w:tcPr>
            <w:tcW w:type="dxa" w:w="2340"/>
          </w:tcPr>
          <w:p>
            <w:pPr>
              <w:spacing w:after="20" w:before="20"/>
            </w:pPr>
            <w:r/>
            <w:r>
              <w:rPr>
                <w:b/>
                <w:i w:val="0"/>
                <w:sz w:val="19"/>
              </w:rPr>
              <w:t>Weighted central</w:t>
            </w:r>
          </w:p>
        </w:tc>
        <w:tc>
          <w:tcPr>
            <w:tcW w:type="dxa" w:w="2340"/>
          </w:tcPr>
          <w:p>
            <w:pPr>
              <w:spacing w:after="20" w:before="20"/>
              <w:jc w:val="right"/>
            </w:pPr>
            <w:r/>
            <w:r>
              <w:rPr>
                <w:b/>
                <w:i w:val="0"/>
                <w:sz w:val="19"/>
              </w:rPr>
              <w:t>Blend 30 / 20 / 25 / 10 / 15</w:t>
            </w:r>
          </w:p>
        </w:tc>
        <w:tc>
          <w:tcPr>
            <w:tcW w:type="dxa" w:w="2340"/>
          </w:tcPr>
          <w:p>
            <w:pPr>
              <w:spacing w:after="20" w:before="20"/>
              <w:jc w:val="right"/>
            </w:pPr>
            <w:r/>
            <w:r>
              <w:rPr>
                <w:b/>
                <w:i w:val="0"/>
                <w:sz w:val="19"/>
              </w:rPr>
              <w:t>EGP 37</w:t>
            </w:r>
          </w:p>
        </w:tc>
        <w:tc>
          <w:tcPr>
            <w:tcW w:type="dxa" w:w="2340"/>
          </w:tcPr>
          <w:p>
            <w:pPr>
              <w:spacing w:after="20" w:before="20"/>
              <w:jc w:val="right"/>
            </w:pPr>
            <w:r/>
            <w:r>
              <w:rPr>
                <w:b/>
                <w:i w:val="0"/>
                <w:sz w:val="19"/>
              </w:rPr>
              <w:t>+26% vs 29.45</w:t>
            </w:r>
          </w:p>
        </w:tc>
      </w:tr>
      <w:tr>
        <w:tc>
          <w:tcPr>
            <w:tcW w:type="dxa" w:w="9360"/>
            <w:gridSpan w:val="4"/>
            <w:shd w:val="clear" w:fill="EAF0EE"/>
          </w:tcPr>
          <w:p>
            <w:pPr>
              <w:spacing w:after="20" w:before="20"/>
            </w:pPr>
            <w:r/>
            <w:r>
              <w:rPr>
                <w:b/>
                <w:i w:val="0"/>
                <w:sz w:val="19"/>
              </w:rPr>
              <w:t>TECHNICAL — what the tape is doing (timing, not value)</w:t>
            </w:r>
          </w:p>
          <w:p>
            <w:pPr>
              <w:spacing w:after="20" w:before="20"/>
            </w:pPr>
            <w:r/>
          </w:p>
          <w:p>
            <w:pPr>
              <w:spacing w:after="20" w:before="20"/>
            </w:pPr>
            <w:r/>
          </w:p>
          <w:p>
            <w:pPr>
              <w:spacing w:after="20" w:before="20"/>
            </w:pPr>
            <w:r/>
          </w:p>
        </w:tc>
      </w:tr>
      <w:tr>
        <w:tc>
          <w:tcPr>
            <w:tcW w:type="dxa" w:w="2340"/>
          </w:tcPr>
          <w:p>
            <w:pPr>
              <w:spacing w:after="20" w:before="20"/>
            </w:pPr>
            <w:r/>
            <w:r>
              <w:rPr>
                <w:b w:val="0"/>
                <w:i w:val="0"/>
                <w:sz w:val="19"/>
              </w:rPr>
              <w:t>Trend &amp; momentum</w:t>
            </w:r>
          </w:p>
        </w:tc>
        <w:tc>
          <w:tcPr>
            <w:tcW w:type="dxa" w:w="2340"/>
          </w:tcPr>
          <w:p>
            <w:pPr>
              <w:spacing w:after="20" w:before="20"/>
              <w:jc w:val="right"/>
            </w:pPr>
            <w:r/>
            <w:r>
              <w:rPr>
                <w:b w:val="0"/>
                <w:i w:val="0"/>
                <w:sz w:val="19"/>
              </w:rPr>
              <w:t>Price vs the 20/50/100/200-day averages</w:t>
            </w:r>
          </w:p>
        </w:tc>
        <w:tc>
          <w:tcPr>
            <w:tcW w:type="dxa" w:w="2340"/>
          </w:tcPr>
          <w:p>
            <w:pPr>
              <w:spacing w:after="20" w:before="20"/>
              <w:jc w:val="right"/>
            </w:pPr>
            <w:r/>
            <w:r>
              <w:rPr>
                <w:b w:val="0"/>
                <w:i w:val="0"/>
                <w:sz w:val="19"/>
              </w:rPr>
              <w:t>Above all four</w:t>
            </w:r>
          </w:p>
        </w:tc>
        <w:tc>
          <w:tcPr>
            <w:tcW w:type="dxa" w:w="2340"/>
          </w:tcPr>
          <w:p>
            <w:pPr>
              <w:spacing w:after="20" w:before="20"/>
              <w:jc w:val="right"/>
            </w:pPr>
            <w:r/>
            <w:r>
              <w:rPr>
                <w:b w:val="0"/>
                <w:i w:val="0"/>
                <w:sz w:val="19"/>
              </w:rPr>
              <w:t>Firm uptrend</w:t>
            </w:r>
          </w:p>
        </w:tc>
      </w:tr>
      <w:tr>
        <w:tc>
          <w:tcPr>
            <w:tcW w:type="dxa" w:w="2340"/>
            <w:shd w:val="clear" w:fill="EFF3F1"/>
          </w:tcPr>
          <w:p>
            <w:pPr>
              <w:spacing w:after="20" w:before="20"/>
            </w:pPr>
            <w:r/>
            <w:r>
              <w:rPr>
                <w:b w:val="0"/>
                <w:i w:val="0"/>
                <w:sz w:val="19"/>
              </w:rPr>
              <w:t>Momentum / range</w:t>
            </w:r>
          </w:p>
        </w:tc>
        <w:tc>
          <w:tcPr>
            <w:tcW w:type="dxa" w:w="2340"/>
            <w:shd w:val="clear" w:fill="EFF3F1"/>
          </w:tcPr>
          <w:p>
            <w:pPr>
              <w:spacing w:after="20" w:before="20"/>
              <w:jc w:val="right"/>
            </w:pPr>
            <w:r/>
            <w:r>
              <w:rPr>
                <w:b w:val="0"/>
                <w:i w:val="0"/>
                <w:sz w:val="19"/>
              </w:rPr>
              <w:t>RSI · MACD · 52-week range</w:t>
            </w:r>
          </w:p>
        </w:tc>
        <w:tc>
          <w:tcPr>
            <w:tcW w:type="dxa" w:w="2340"/>
            <w:shd w:val="clear" w:fill="EFF3F1"/>
          </w:tcPr>
          <w:p>
            <w:pPr>
              <w:spacing w:after="20" w:before="20"/>
              <w:jc w:val="right"/>
            </w:pPr>
            <w:r/>
            <w:r>
              <w:rPr>
                <w:b w:val="0"/>
                <w:i w:val="0"/>
                <w:sz w:val="19"/>
              </w:rPr>
              <w:t>RSI 61 · MACD +0.12 hist · EGP 22.4–29.7</w:t>
            </w:r>
          </w:p>
        </w:tc>
        <w:tc>
          <w:tcPr>
            <w:tcW w:type="dxa" w:w="2340"/>
            <w:shd w:val="clear" w:fill="EFF3F1"/>
          </w:tcPr>
          <w:p>
            <w:pPr>
              <w:spacing w:after="20" w:before="20"/>
              <w:jc w:val="right"/>
            </w:pPr>
            <w:r/>
            <w:r>
              <w:rPr>
                <w:b w:val="0"/>
                <w:i w:val="0"/>
                <w:sz w:val="19"/>
              </w:rPr>
              <w:t>Constructive</w:t>
            </w:r>
          </w:p>
        </w:tc>
      </w:tr>
      <w:tr>
        <w:tc>
          <w:tcPr>
            <w:tcW w:type="dxa" w:w="9360"/>
            <w:gridSpan w:val="4"/>
            <w:shd w:val="clear" w:fill="EAF0EE"/>
          </w:tcPr>
          <w:p>
            <w:pPr>
              <w:spacing w:after="20" w:before="20"/>
            </w:pPr>
            <w:r/>
            <w:r>
              <w:rPr>
                <w:b/>
                <w:i w:val="0"/>
                <w:sz w:val="19"/>
              </w:rPr>
              <w:t>MONTE CARLO — where price could go in 3 months (paths from spot)</w:t>
            </w:r>
          </w:p>
          <w:p>
            <w:pPr>
              <w:spacing w:after="20" w:before="20"/>
            </w:pPr>
            <w:r/>
          </w:p>
          <w:p>
            <w:pPr>
              <w:spacing w:after="20" w:before="20"/>
            </w:pPr>
            <w:r/>
          </w:p>
          <w:p>
            <w:pPr>
              <w:spacing w:after="20" w:before="20"/>
            </w:pPr>
            <w:r/>
          </w:p>
        </w:tc>
      </w:tr>
      <w:tr>
        <w:tc>
          <w:tcPr>
            <w:tcW w:type="dxa" w:w="2340"/>
            <w:shd w:val="clear" w:fill="EFF3F1"/>
          </w:tcPr>
          <w:p>
            <w:pPr>
              <w:spacing w:after="20" w:before="20"/>
            </w:pPr>
            <w:r/>
            <w:r>
              <w:rPr>
                <w:b w:val="0"/>
                <w:i w:val="0"/>
                <w:sz w:val="19"/>
              </w:rPr>
              <w:t>T+20 sessions</w:t>
            </w:r>
          </w:p>
        </w:tc>
        <w:tc>
          <w:tcPr>
            <w:tcW w:type="dxa" w:w="2340"/>
            <w:shd w:val="clear" w:fill="EFF3F1"/>
          </w:tcPr>
          <w:p>
            <w:pPr>
              <w:spacing w:after="20" w:before="20"/>
              <w:jc w:val="right"/>
            </w:pPr>
            <w:r/>
            <w:r>
              <w:rPr>
                <w:b w:val="0"/>
                <w:i w:val="0"/>
                <w:sz w:val="19"/>
              </w:rPr>
              <w:t>50,000 paths · 16 factors</w:t>
            </w:r>
          </w:p>
        </w:tc>
        <w:tc>
          <w:tcPr>
            <w:tcW w:type="dxa" w:w="2340"/>
            <w:shd w:val="clear" w:fill="EFF3F1"/>
          </w:tcPr>
          <w:p>
            <w:pPr>
              <w:spacing w:after="20" w:before="20"/>
              <w:jc w:val="right"/>
            </w:pPr>
            <w:r/>
            <w:r>
              <w:rPr>
                <w:b w:val="0"/>
                <w:i w:val="0"/>
                <w:sz w:val="19"/>
              </w:rPr>
              <w:t>p5 24.3 · p50 30.0 · p95 37.0</w:t>
            </w:r>
          </w:p>
        </w:tc>
        <w:tc>
          <w:tcPr>
            <w:tcW w:type="dxa" w:w="2340"/>
            <w:shd w:val="clear" w:fill="EFF3F1"/>
          </w:tcPr>
          <w:p>
            <w:pPr>
              <w:spacing w:after="20" w:before="20"/>
              <w:jc w:val="right"/>
            </w:pPr>
            <w:r/>
            <w:r>
              <w:rPr>
                <w:b w:val="0"/>
                <w:i w:val="0"/>
                <w:sz w:val="19"/>
              </w:rPr>
              <w:t>Median ≈ spot</w:t>
            </w:r>
          </w:p>
        </w:tc>
      </w:tr>
      <w:tr>
        <w:tc>
          <w:tcPr>
            <w:tcW w:type="dxa" w:w="2340"/>
          </w:tcPr>
          <w:p>
            <w:pPr>
              <w:spacing w:after="20" w:before="20"/>
            </w:pPr>
            <w:r/>
            <w:r>
              <w:rPr>
                <w:b w:val="0"/>
                <w:i w:val="0"/>
                <w:sz w:val="19"/>
              </w:rPr>
              <w:t>T+60 sessions</w:t>
            </w:r>
          </w:p>
        </w:tc>
        <w:tc>
          <w:tcPr>
            <w:tcW w:type="dxa" w:w="2340"/>
          </w:tcPr>
          <w:p>
            <w:pPr>
              <w:spacing w:after="20" w:before="20"/>
              <w:jc w:val="right"/>
            </w:pPr>
            <w:r/>
            <w:r>
              <w:rPr>
                <w:b w:val="0"/>
                <w:i w:val="0"/>
                <w:sz w:val="19"/>
              </w:rPr>
              <w:t>same engine, longer horizon</w:t>
            </w:r>
          </w:p>
        </w:tc>
        <w:tc>
          <w:tcPr>
            <w:tcW w:type="dxa" w:w="2340"/>
          </w:tcPr>
          <w:p>
            <w:pPr>
              <w:spacing w:after="20" w:before="20"/>
              <w:jc w:val="right"/>
            </w:pPr>
            <w:r/>
            <w:r>
              <w:rPr>
                <w:b w:val="0"/>
                <w:i w:val="0"/>
                <w:sz w:val="19"/>
              </w:rPr>
              <w:t>p5 21.7 · p50 31.0 · p95 44.4</w:t>
            </w:r>
          </w:p>
        </w:tc>
        <w:tc>
          <w:tcPr>
            <w:tcW w:type="dxa" w:w="2340"/>
          </w:tcPr>
          <w:p>
            <w:pPr>
              <w:spacing w:after="20" w:before="20"/>
              <w:jc w:val="right"/>
            </w:pPr>
            <w:r/>
            <w:r>
              <w:rPr>
                <w:b w:val="0"/>
                <w:i w:val="0"/>
                <w:sz w:val="19"/>
              </w:rPr>
              <w:t>Wide, right-skewed</w:t>
            </w:r>
          </w:p>
        </w:tc>
      </w:tr>
      <w:tr>
        <w:tc>
          <w:tcPr>
            <w:tcW w:type="dxa" w:w="9360"/>
            <w:gridSpan w:val="4"/>
            <w:shd w:val="clear" w:fill="EAF0EE"/>
          </w:tcPr>
          <w:p>
            <w:pPr>
              <w:spacing w:after="20" w:before="20"/>
            </w:pPr>
            <w:r/>
            <w:r>
              <w:rPr>
                <w:b/>
                <w:i w:val="0"/>
                <w:sz w:val="19"/>
              </w:rPr>
              <w:t>EXPERT PANEL — three independent methods (Appendix D)</w:t>
            </w:r>
          </w:p>
          <w:p>
            <w:pPr>
              <w:spacing w:after="20" w:before="20"/>
            </w:pPr>
            <w:r/>
          </w:p>
          <w:p>
            <w:pPr>
              <w:spacing w:after="20" w:before="20"/>
            </w:pPr>
            <w:r/>
          </w:p>
          <w:p>
            <w:pPr>
              <w:spacing w:after="20" w:before="20"/>
            </w:pPr>
            <w:r/>
          </w:p>
        </w:tc>
      </w:tr>
      <w:tr>
        <w:tc>
          <w:tcPr>
            <w:tcW w:type="dxa" w:w="2340"/>
          </w:tcPr>
          <w:p>
            <w:pPr>
              <w:spacing w:after="20" w:before="20"/>
            </w:pPr>
            <w:r/>
            <w:r>
              <w:rPr>
                <w:b w:val="0"/>
                <w:i w:val="0"/>
                <w:sz w:val="19"/>
              </w:rPr>
              <w:t>Expert 1 — normalized earnings power</w:t>
            </w:r>
          </w:p>
        </w:tc>
        <w:tc>
          <w:tcPr>
            <w:tcW w:type="dxa" w:w="2340"/>
          </w:tcPr>
          <w:p>
            <w:pPr>
              <w:spacing w:after="20" w:before="20"/>
              <w:jc w:val="right"/>
            </w:pPr>
            <w:r/>
            <w:r>
              <w:rPr>
                <w:b w:val="0"/>
                <w:i w:val="0"/>
                <w:sz w:val="19"/>
              </w:rPr>
              <w:t>Mid-cycle EBIT × multiple</w:t>
            </w:r>
          </w:p>
        </w:tc>
        <w:tc>
          <w:tcPr>
            <w:tcW w:type="dxa" w:w="2340"/>
          </w:tcPr>
          <w:p>
            <w:pPr>
              <w:spacing w:after="20" w:before="20"/>
              <w:jc w:val="right"/>
            </w:pPr>
            <w:r/>
            <w:r>
              <w:rPr>
                <w:b w:val="0"/>
                <w:i w:val="0"/>
                <w:sz w:val="19"/>
              </w:rPr>
              <w:t>EGP 40</w:t>
            </w:r>
          </w:p>
        </w:tc>
        <w:tc>
          <w:tcPr>
            <w:tcW w:type="dxa" w:w="2340"/>
          </w:tcPr>
          <w:p>
            <w:pPr>
              <w:spacing w:after="20" w:before="20"/>
              <w:jc w:val="right"/>
            </w:pPr>
            <w:r/>
            <w:r>
              <w:rPr>
                <w:b w:val="0"/>
                <w:i w:val="0"/>
                <w:sz w:val="19"/>
              </w:rPr>
              <w:t>Most bullish</w:t>
            </w:r>
          </w:p>
        </w:tc>
      </w:tr>
      <w:tr>
        <w:tc>
          <w:tcPr>
            <w:tcW w:type="dxa" w:w="2340"/>
            <w:shd w:val="clear" w:fill="EFF3F1"/>
          </w:tcPr>
          <w:p>
            <w:pPr>
              <w:spacing w:after="20" w:before="20"/>
            </w:pPr>
            <w:r/>
            <w:r>
              <w:rPr>
                <w:b w:val="0"/>
                <w:i w:val="0"/>
                <w:sz w:val="19"/>
              </w:rPr>
              <w:t>Expert 2 — accountant (RNAV + cash quality)</w:t>
            </w:r>
          </w:p>
        </w:tc>
        <w:tc>
          <w:tcPr>
            <w:tcW w:type="dxa" w:w="2340"/>
            <w:shd w:val="clear" w:fill="EFF3F1"/>
          </w:tcPr>
          <w:p>
            <w:pPr>
              <w:spacing w:after="20" w:before="20"/>
              <w:jc w:val="right"/>
            </w:pPr>
            <w:r/>
            <w:r>
              <w:rPr>
                <w:b w:val="0"/>
                <w:i w:val="0"/>
                <w:sz w:val="19"/>
              </w:rPr>
              <w:t>Realizable assets, cash conversion</w:t>
            </w:r>
          </w:p>
        </w:tc>
        <w:tc>
          <w:tcPr>
            <w:tcW w:type="dxa" w:w="2340"/>
            <w:shd w:val="clear" w:fill="EFF3F1"/>
          </w:tcPr>
          <w:p>
            <w:pPr>
              <w:spacing w:after="20" w:before="20"/>
              <w:jc w:val="right"/>
            </w:pPr>
            <w:r/>
            <w:r>
              <w:rPr>
                <w:b w:val="0"/>
                <w:i w:val="0"/>
                <w:sz w:val="19"/>
              </w:rPr>
              <w:t>EGP 31</w:t>
            </w:r>
          </w:p>
        </w:tc>
        <w:tc>
          <w:tcPr>
            <w:tcW w:type="dxa" w:w="2340"/>
            <w:shd w:val="clear" w:fill="EFF3F1"/>
          </w:tcPr>
          <w:p>
            <w:pPr>
              <w:spacing w:after="20" w:before="20"/>
              <w:jc w:val="right"/>
            </w:pPr>
            <w:r/>
            <w:r>
              <w:rPr>
                <w:b w:val="0"/>
                <w:i w:val="0"/>
                <w:sz w:val="19"/>
              </w:rPr>
              <w:t>Most conservative</w:t>
            </w:r>
          </w:p>
        </w:tc>
      </w:tr>
      <w:tr>
        <w:tc>
          <w:tcPr>
            <w:tcW w:type="dxa" w:w="2340"/>
          </w:tcPr>
          <w:p>
            <w:pPr>
              <w:spacing w:after="20" w:before="20"/>
            </w:pPr>
            <w:r/>
            <w:r>
              <w:rPr>
                <w:b w:val="0"/>
                <w:i w:val="0"/>
                <w:sz w:val="19"/>
              </w:rPr>
              <w:t>Expert 3 — cash returns (DCF + ROIC)</w:t>
            </w:r>
          </w:p>
        </w:tc>
        <w:tc>
          <w:tcPr>
            <w:tcW w:type="dxa" w:w="2340"/>
          </w:tcPr>
          <w:p>
            <w:pPr>
              <w:spacing w:after="20" w:before="20"/>
              <w:jc w:val="right"/>
            </w:pPr>
            <w:r/>
            <w:r>
              <w:rPr>
                <w:b w:val="0"/>
                <w:i w:val="0"/>
                <w:sz w:val="19"/>
              </w:rPr>
              <w:t>Return on capital vs ~21% WACC</w:t>
            </w:r>
          </w:p>
        </w:tc>
        <w:tc>
          <w:tcPr>
            <w:tcW w:type="dxa" w:w="2340"/>
          </w:tcPr>
          <w:p>
            <w:pPr>
              <w:spacing w:after="20" w:before="20"/>
              <w:jc w:val="right"/>
            </w:pPr>
            <w:r/>
            <w:r>
              <w:rPr>
                <w:b w:val="0"/>
                <w:i w:val="0"/>
                <w:sz w:val="19"/>
              </w:rPr>
              <w:t>EGP 35</w:t>
            </w:r>
          </w:p>
        </w:tc>
        <w:tc>
          <w:tcPr>
            <w:tcW w:type="dxa" w:w="2340"/>
          </w:tcPr>
          <w:p>
            <w:pPr>
              <w:spacing w:after="20" w:before="20"/>
              <w:jc w:val="right"/>
            </w:pPr>
            <w:r/>
            <w:r>
              <w:rPr>
                <w:b w:val="0"/>
                <w:i w:val="0"/>
                <w:sz w:val="19"/>
              </w:rPr>
              <w:t>The middle</w:t>
            </w:r>
          </w:p>
        </w:tc>
      </w:tr>
      <w:tr>
        <w:tc>
          <w:tcPr>
            <w:tcW w:type="dxa" w:w="2340"/>
            <w:shd w:val="clear" w:fill="EFF3F1"/>
          </w:tcPr>
          <w:p>
            <w:pPr>
              <w:spacing w:after="20" w:before="20"/>
            </w:pPr>
            <w:r/>
            <w:r>
              <w:rPr>
                <w:b/>
                <w:i w:val="0"/>
                <w:sz w:val="19"/>
              </w:rPr>
              <w:t>Panel range</w:t>
            </w:r>
          </w:p>
        </w:tc>
        <w:tc>
          <w:tcPr>
            <w:tcW w:type="dxa" w:w="2340"/>
            <w:shd w:val="clear" w:fill="EFF3F1"/>
          </w:tcPr>
          <w:p>
            <w:pPr>
              <w:spacing w:after="20" w:before="20"/>
              <w:jc w:val="right"/>
            </w:pPr>
            <w:r/>
            <w:r>
              <w:rPr>
                <w:b/>
                <w:i w:val="0"/>
                <w:sz w:val="19"/>
              </w:rPr>
              <w:t>Spread = the cash-conversion question</w:t>
            </w:r>
          </w:p>
        </w:tc>
        <w:tc>
          <w:tcPr>
            <w:tcW w:type="dxa" w:w="2340"/>
            <w:shd w:val="clear" w:fill="EFF3F1"/>
          </w:tcPr>
          <w:p>
            <w:pPr>
              <w:spacing w:after="20" w:before="20"/>
              <w:jc w:val="right"/>
            </w:pPr>
            <w:r/>
            <w:r>
              <w:rPr>
                <w:b/>
                <w:i w:val="0"/>
                <w:sz w:val="19"/>
              </w:rPr>
              <w:t>EGP 31–40</w:t>
            </w:r>
          </w:p>
        </w:tc>
        <w:tc>
          <w:tcPr>
            <w:tcW w:type="dxa" w:w="2340"/>
            <w:shd w:val="clear" w:fill="EFF3F1"/>
          </w:tcPr>
          <w:p>
            <w:pPr>
              <w:spacing w:after="20" w:before="20"/>
              <w:jc w:val="right"/>
            </w:pPr>
            <w:r/>
            <w:r>
              <w:rPr>
                <w:b/>
                <w:i w:val="0"/>
                <w:sz w:val="19"/>
              </w:rPr>
              <w:t>Centres ~EGP 35</w:t>
            </w:r>
          </w:p>
        </w:tc>
      </w:tr>
    </w:tbl>
    <w:p/>
    <w:p>
      <w:r>
        <w:rPr>
          <w:b/>
          <w:i w:val="0"/>
        </w:rPr>
        <w:t>Bottom line.</w:t>
      </w:r>
      <w:r>
        <w:rPr>
          <w:b w:val="0"/>
          <w:i w:val="0"/>
        </w:rPr>
        <w:t xml:space="preserve"> Every fundamental read points the same way on value and disagrees only on magnitude: the central sits near EGP 37 — about 26% above the EGP 29.45 spot — and the three experts span EGP 31–40. The technical tape is, for once, in agreement in direction — a firm short-term uptrend — while the three-month distribution centres modestly above spot at EGP 31 with a wide right tail. The case is a cyclical margin trough (2025) that the market has priced as if it were the new normal, with two genuine risks holding the shares down: the pound's recent strength against a majority-export cost base, and a working-capital trap that has turned reported profit into negative cash. We publish the distribution, not a target.</w:t>
      </w:r>
    </w:p>
    <w:p>
      <w:pPr>
        <w:pStyle w:val="Heading1"/>
      </w:pPr>
      <w:r>
        <w:t>Company overview — Lecico Egypt at a glance</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4680"/>
        <w:gridCol w:w="4680"/>
      </w:tblGrid>
      <w:tr>
        <w:tc>
          <w:tcPr>
            <w:tcW w:type="dxa" w:w="4680"/>
            <w:shd w:val="clear" w:fill="1C3A36"/>
          </w:tcPr>
          <w:p>
            <w:pPr>
              <w:spacing w:after="20" w:before="20"/>
            </w:pPr>
            <w:r/>
            <w:r>
              <w:rPr>
                <w:b/>
                <w:i w:val="0"/>
                <w:color w:val="FFFFFF"/>
                <w:sz w:val="19"/>
              </w:rPr>
              <w:t>Item</w:t>
            </w:r>
          </w:p>
        </w:tc>
        <w:tc>
          <w:tcPr>
            <w:tcW w:type="dxa" w:w="4680"/>
            <w:shd w:val="clear" w:fill="1C3A36"/>
          </w:tcPr>
          <w:p>
            <w:pPr>
              <w:spacing w:after="20" w:before="20"/>
              <w:jc w:val="right"/>
            </w:pPr>
            <w:r/>
            <w:r>
              <w:rPr>
                <w:b/>
                <w:i w:val="0"/>
                <w:color w:val="FFFFFF"/>
                <w:sz w:val="19"/>
              </w:rPr>
              <w:t>Value</w:t>
            </w:r>
          </w:p>
        </w:tc>
      </w:tr>
      <w:tr>
        <w:tc>
          <w:tcPr>
            <w:tcW w:type="dxa" w:w="4680"/>
          </w:tcPr>
          <w:p>
            <w:pPr>
              <w:spacing w:after="20" w:before="20"/>
            </w:pPr>
            <w:r/>
            <w:r>
              <w:rPr>
                <w:b w:val="0"/>
                <w:i w:val="0"/>
                <w:sz w:val="19"/>
              </w:rPr>
              <w:t>Listed entity</w:t>
            </w:r>
          </w:p>
        </w:tc>
        <w:tc>
          <w:tcPr>
            <w:tcW w:type="dxa" w:w="4680"/>
          </w:tcPr>
          <w:p>
            <w:pPr>
              <w:spacing w:after="20" w:before="20"/>
              <w:jc w:val="right"/>
            </w:pPr>
            <w:r/>
            <w:r>
              <w:rPr>
                <w:b w:val="0"/>
                <w:i w:val="0"/>
                <w:sz w:val="19"/>
              </w:rPr>
              <w:t>Lecico Egypt (S.A.E.) (EGX: LCSW; also LSE: LECI)</w:t>
            </w:r>
          </w:p>
        </w:tc>
      </w:tr>
      <w:tr>
        <w:tc>
          <w:tcPr>
            <w:tcW w:type="dxa" w:w="4680"/>
            <w:shd w:val="clear" w:fill="EFF3F1"/>
          </w:tcPr>
          <w:p>
            <w:pPr>
              <w:spacing w:after="20" w:before="20"/>
            </w:pPr>
            <w:r/>
            <w:r>
              <w:rPr>
                <w:b w:val="0"/>
                <w:i w:val="0"/>
                <w:sz w:val="19"/>
              </w:rPr>
              <w:t>What it makes</w:t>
            </w:r>
          </w:p>
        </w:tc>
        <w:tc>
          <w:tcPr>
            <w:tcW w:type="dxa" w:w="4680"/>
            <w:shd w:val="clear" w:fill="EFF3F1"/>
          </w:tcPr>
          <w:p>
            <w:pPr>
              <w:spacing w:after="20" w:before="20"/>
              <w:jc w:val="right"/>
            </w:pPr>
            <w:r/>
            <w:r>
              <w:rPr>
                <w:b w:val="0"/>
                <w:i w:val="0"/>
                <w:sz w:val="19"/>
              </w:rPr>
              <w:t>Sanitary ware (64% of revenue) · ceramic &amp; porcelain tiles (32%) · brassware (4%)</w:t>
            </w:r>
          </w:p>
        </w:tc>
      </w:tr>
      <w:tr>
        <w:tc>
          <w:tcPr>
            <w:tcW w:type="dxa" w:w="4680"/>
          </w:tcPr>
          <w:p>
            <w:pPr>
              <w:spacing w:after="20" w:before="20"/>
            </w:pPr>
            <w:r/>
            <w:r>
              <w:rPr>
                <w:b w:val="0"/>
                <w:i w:val="0"/>
                <w:sz w:val="19"/>
              </w:rPr>
              <w:t>Founded / base</w:t>
            </w:r>
          </w:p>
        </w:tc>
        <w:tc>
          <w:tcPr>
            <w:tcW w:type="dxa" w:w="4680"/>
          </w:tcPr>
          <w:p>
            <w:pPr>
              <w:spacing w:after="20" w:before="20"/>
              <w:jc w:val="right"/>
            </w:pPr>
            <w:r/>
            <w:r>
              <w:rPr>
                <w:b w:val="0"/>
                <w:i w:val="0"/>
                <w:sz w:val="19"/>
              </w:rPr>
              <w:t>1959 · Alexandria, Egypt; plants in Egypt (and legacy Lebanon operations being wound down)</w:t>
            </w:r>
          </w:p>
        </w:tc>
      </w:tr>
      <w:tr>
        <w:tc>
          <w:tcPr>
            <w:tcW w:type="dxa" w:w="4680"/>
            <w:shd w:val="clear" w:fill="EFF3F1"/>
          </w:tcPr>
          <w:p>
            <w:pPr>
              <w:spacing w:after="20" w:before="20"/>
            </w:pPr>
            <w:r/>
            <w:r>
              <w:rPr>
                <w:b w:val="0"/>
                <w:i w:val="0"/>
                <w:sz w:val="19"/>
              </w:rPr>
              <w:t>Spot / date</w:t>
            </w:r>
          </w:p>
        </w:tc>
        <w:tc>
          <w:tcPr>
            <w:tcW w:type="dxa" w:w="4680"/>
            <w:shd w:val="clear" w:fill="EFF3F1"/>
          </w:tcPr>
          <w:p>
            <w:pPr>
              <w:spacing w:after="20" w:before="20"/>
              <w:jc w:val="right"/>
            </w:pPr>
            <w:r/>
            <w:r>
              <w:rPr>
                <w:b w:val="0"/>
                <w:i w:val="0"/>
                <w:sz w:val="19"/>
              </w:rPr>
              <w:t>EGP 29.45 · 6 Jul 2026 close</w:t>
            </w:r>
          </w:p>
        </w:tc>
      </w:tr>
      <w:tr>
        <w:tc>
          <w:tcPr>
            <w:tcW w:type="dxa" w:w="4680"/>
          </w:tcPr>
          <w:p>
            <w:pPr>
              <w:spacing w:after="20" w:before="20"/>
            </w:pPr>
            <w:r/>
            <w:r>
              <w:rPr>
                <w:b w:val="0"/>
                <w:i w:val="0"/>
                <w:sz w:val="19"/>
              </w:rPr>
              <w:t>Shares · market cap</w:t>
            </w:r>
          </w:p>
        </w:tc>
        <w:tc>
          <w:tcPr>
            <w:tcW w:type="dxa" w:w="4680"/>
          </w:tcPr>
          <w:p>
            <w:pPr>
              <w:spacing w:after="20" w:before="20"/>
              <w:jc w:val="right"/>
            </w:pPr>
            <w:r/>
            <w:r>
              <w:rPr>
                <w:b w:val="0"/>
                <w:i w:val="0"/>
                <w:sz w:val="19"/>
              </w:rPr>
              <w:t>80.0m · EGP 2,356m (~EGP 2.36bn)</w:t>
            </w:r>
          </w:p>
        </w:tc>
      </w:tr>
      <w:tr>
        <w:tc>
          <w:tcPr>
            <w:tcW w:type="dxa" w:w="4680"/>
            <w:shd w:val="clear" w:fill="EFF3F1"/>
          </w:tcPr>
          <w:p>
            <w:pPr>
              <w:spacing w:after="20" w:before="20"/>
            </w:pPr>
            <w:r/>
            <w:r>
              <w:rPr>
                <w:b w:val="0"/>
                <w:i w:val="0"/>
                <w:sz w:val="19"/>
              </w:rPr>
              <w:t>Net debt (Dec-2025)</w:t>
            </w:r>
          </w:p>
        </w:tc>
        <w:tc>
          <w:tcPr>
            <w:tcW w:type="dxa" w:w="4680"/>
            <w:shd w:val="clear" w:fill="EFF3F1"/>
          </w:tcPr>
          <w:p>
            <w:pPr>
              <w:spacing w:after="20" w:before="20"/>
              <w:jc w:val="right"/>
            </w:pPr>
            <w:r/>
            <w:r>
              <w:rPr>
                <w:b w:val="0"/>
                <w:i w:val="0"/>
                <w:sz w:val="19"/>
              </w:rPr>
              <w:t>EGP 1,270m reported (bank facilities + current loans − cash); ~EGP 1,660m incl. leases + LT notes</w:t>
            </w:r>
          </w:p>
        </w:tc>
      </w:tr>
      <w:tr>
        <w:tc>
          <w:tcPr>
            <w:tcW w:type="dxa" w:w="4680"/>
          </w:tcPr>
          <w:p>
            <w:pPr>
              <w:spacing w:after="20" w:before="20"/>
            </w:pPr>
            <w:r/>
            <w:r>
              <w:rPr>
                <w:b w:val="0"/>
                <w:i w:val="0"/>
                <w:sz w:val="19"/>
              </w:rPr>
              <w:t>FY2025 revenue / EBITDA margin</w:t>
            </w:r>
          </w:p>
        </w:tc>
        <w:tc>
          <w:tcPr>
            <w:tcW w:type="dxa" w:w="4680"/>
          </w:tcPr>
          <w:p>
            <w:pPr>
              <w:spacing w:after="20" w:before="20"/>
              <w:jc w:val="right"/>
            </w:pPr>
            <w:r/>
            <w:r>
              <w:rPr>
                <w:b w:val="0"/>
                <w:i w:val="0"/>
                <w:sz w:val="19"/>
              </w:rPr>
              <w:t>EGP 7,803.7m (+17.4% YoY) · 12.6% (a trough year, down from 20.0%)</w:t>
            </w:r>
          </w:p>
        </w:tc>
      </w:tr>
      <w:tr>
        <w:tc>
          <w:tcPr>
            <w:tcW w:type="dxa" w:w="4680"/>
            <w:shd w:val="clear" w:fill="EFF3F1"/>
          </w:tcPr>
          <w:p>
            <w:pPr>
              <w:spacing w:after="20" w:before="20"/>
            </w:pPr>
            <w:r/>
            <w:r>
              <w:rPr>
                <w:b w:val="0"/>
                <w:i w:val="0"/>
                <w:sz w:val="19"/>
              </w:rPr>
              <w:t>Export share</w:t>
            </w:r>
          </w:p>
        </w:tc>
        <w:tc>
          <w:tcPr>
            <w:tcW w:type="dxa" w:w="4680"/>
            <w:shd w:val="clear" w:fill="EFF3F1"/>
          </w:tcPr>
          <w:p>
            <w:pPr>
              <w:spacing w:after="20" w:before="20"/>
              <w:jc w:val="right"/>
            </w:pPr>
            <w:r/>
            <w:r>
              <w:rPr>
                <w:b w:val="0"/>
                <w:i w:val="0"/>
                <w:sz w:val="19"/>
              </w:rPr>
              <w:t>~55% of group revenue; ~81% of sanitary-ware volume</w:t>
            </w:r>
          </w:p>
        </w:tc>
      </w:tr>
      <w:tr>
        <w:tc>
          <w:tcPr>
            <w:tcW w:type="dxa" w:w="4680"/>
          </w:tcPr>
          <w:p>
            <w:pPr>
              <w:spacing w:after="20" w:before="20"/>
            </w:pPr>
            <w:r/>
            <w:r>
              <w:rPr>
                <w:b w:val="0"/>
                <w:i w:val="0"/>
                <w:sz w:val="19"/>
              </w:rPr>
              <w:t>52-week range</w:t>
            </w:r>
          </w:p>
        </w:tc>
        <w:tc>
          <w:tcPr>
            <w:tcW w:type="dxa" w:w="4680"/>
          </w:tcPr>
          <w:p>
            <w:pPr>
              <w:spacing w:after="20" w:before="20"/>
              <w:jc w:val="right"/>
            </w:pPr>
            <w:r/>
            <w:r>
              <w:rPr>
                <w:b w:val="0"/>
                <w:i w:val="0"/>
                <w:sz w:val="19"/>
              </w:rPr>
              <w:t>EGP 22.40 – 29.72</w:t>
            </w:r>
          </w:p>
        </w:tc>
      </w:tr>
      <w:tr>
        <w:tc>
          <w:tcPr>
            <w:tcW w:type="dxa" w:w="4680"/>
            <w:shd w:val="clear" w:fill="EFF3F1"/>
          </w:tcPr>
          <w:p>
            <w:pPr>
              <w:spacing w:after="20" w:before="20"/>
            </w:pPr>
            <w:r/>
            <w:r>
              <w:rPr>
                <w:b w:val="0"/>
                <w:i w:val="0"/>
                <w:sz w:val="19"/>
              </w:rPr>
              <w:t>Book value / share · P/B</w:t>
            </w:r>
          </w:p>
        </w:tc>
        <w:tc>
          <w:tcPr>
            <w:tcW w:type="dxa" w:w="4680"/>
            <w:shd w:val="clear" w:fill="EFF3F1"/>
          </w:tcPr>
          <w:p>
            <w:pPr>
              <w:spacing w:after="20" w:before="20"/>
              <w:jc w:val="right"/>
            </w:pPr>
            <w:r/>
            <w:r>
              <w:rPr>
                <w:b w:val="0"/>
                <w:i w:val="0"/>
                <w:sz w:val="19"/>
              </w:rPr>
              <w:t>EGP 49.7 · 0.59×</w:t>
            </w:r>
          </w:p>
        </w:tc>
      </w:tr>
      <w:tr>
        <w:tc>
          <w:tcPr>
            <w:tcW w:type="dxa" w:w="4680"/>
          </w:tcPr>
          <w:p>
            <w:pPr>
              <w:spacing w:after="20" w:before="20"/>
            </w:pPr>
            <w:r/>
            <w:r>
              <w:rPr>
                <w:b w:val="0"/>
                <w:i w:val="0"/>
                <w:sz w:val="19"/>
              </w:rPr>
              <w:t>Dividend</w:t>
            </w:r>
          </w:p>
        </w:tc>
        <w:tc>
          <w:tcPr>
            <w:tcW w:type="dxa" w:w="4680"/>
          </w:tcPr>
          <w:p>
            <w:pPr>
              <w:spacing w:after="20" w:before="20"/>
              <w:jc w:val="right"/>
            </w:pPr>
            <w:r/>
            <w:r>
              <w:rPr>
                <w:b w:val="0"/>
                <w:i w:val="0"/>
                <w:sz w:val="19"/>
              </w:rPr>
              <w:t>None (stand-alone accumulated losses block distribution)</w:t>
            </w:r>
          </w:p>
        </w:tc>
      </w:tr>
    </w:tbl>
    <w:p/>
    <w:p>
      <w:r>
        <w:rPr>
          <w:b w:val="0"/>
          <w:i/>
        </w:rPr>
        <w:t>Source: company FY2025 results (28 Feb 2026), Q1-2026 filing, EGX disclosures, exchange data. Values rounded.</w:t>
      </w:r>
    </w:p>
    <w:p>
      <w:pPr>
        <w:pStyle w:val="Heading1"/>
      </w:pPr>
      <w:r>
        <w:t>1  Fundamental valuation</w:t>
      </w:r>
    </w:p>
    <w:p>
      <w:r>
        <w:rPr>
          <w:b w:val="0"/>
          <w:i w:val="0"/>
        </w:rPr>
        <w:t xml:space="preserve">We value Lecico as a going-concern manufacturer and triangulate five lenses. The primary lens is a </w:t>
      </w:r>
      <w:r>
        <w:rPr>
          <w:b/>
          <w:i w:val="0"/>
        </w:rPr>
        <w:t>free-cash-flow-to-firm (FCFF) DCF</w:t>
      </w:r>
      <w:r>
        <w:rPr>
          <w:b w:val="0"/>
          <w:i w:val="0"/>
        </w:rPr>
        <w:t xml:space="preserve">, because Lecico is a cash-generating (if presently cash-absorbing) operating business whose worth is the discounted stream it can produce, not the break-up of its parts. A relative-multiple read, a normalized-earnings-power read, a conservative owner-earnings (FCFE) read and an asset/reproduction floor complete the set. The weights and the football field are in §1.5; the swing factors — the pound and cash conversion — are dissected in §1.7, the macro backdrop in §1.8, and the primary-lens sensitivity grid in §1.9. Throughout, we forecast top-down on normalized margins rather than manufacturing volume/price splits the company does not fully disclose; where Lecico </w:t>
      </w:r>
      <w:r>
        <w:rPr>
          <w:b w:val="0"/>
          <w:i/>
        </w:rPr>
        <w:t>does</w:t>
      </w:r>
      <w:r>
        <w:rPr>
          <w:b w:val="0"/>
          <w:i w:val="0"/>
        </w:rPr>
        <w:t xml:space="preserve"> disclose (segment revenue, gross margins and export share), we use the disclosed figures.</w:t>
      </w:r>
    </w:p>
    <w:p>
      <w:pPr>
        <w:pStyle w:val="Heading2"/>
      </w:pPr>
      <w:r>
        <w:t>1.1  FCFF discounted cash flow — the primary lens</w:t>
      </w:r>
    </w:p>
    <w:p>
      <w:r>
        <w:rPr>
          <w:b w:val="0"/>
          <w:i w:val="0"/>
        </w:rPr>
        <w:t>We build a five-year explicit forecast in nominal Egyptian pounds and fade it into a Gordon terminal. Revenue grows 10–13% a year — nominal growth reflecting fading inflation (~14% now) plus modest volume from new export channels — while the EBITDA margin recovers from its 2025 trough of 12.6% toward a mid-cycle ~14.5% as the pound's strength unwinds, energy costs are passed through, and efficiency gains land. The cost of capital is published explicitly (see §1.9 and §3.5-G): a pure-local cost of equity of rf 22% + beta 1.0 × ERP 6% = 28%, blended with a ~15% hard-currency cost of equity on the ~55% export base, giving a blended Ke ~21%; with a small debt benefit this yields a WACC of ~21%. Terminal growth is 11% (nominal EGP, below current inflation).</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560"/>
        <w:gridCol w:w="1560"/>
        <w:gridCol w:w="1560"/>
        <w:gridCol w:w="1560"/>
        <w:gridCol w:w="1560"/>
        <w:gridCol w:w="1560"/>
      </w:tblGrid>
      <w:tr>
        <w:tc>
          <w:tcPr>
            <w:tcW w:type="dxa" w:w="1560"/>
            <w:shd w:val="clear" w:fill="1C3A36"/>
          </w:tcPr>
          <w:p>
            <w:pPr>
              <w:spacing w:after="20" w:before="20"/>
            </w:pPr>
            <w:r/>
            <w:r>
              <w:rPr>
                <w:b/>
                <w:i w:val="0"/>
                <w:color w:val="FFFFFF"/>
                <w:sz w:val="19"/>
              </w:rPr>
              <w:t>DCF line (EGP m)</w:t>
            </w:r>
          </w:p>
        </w:tc>
        <w:tc>
          <w:tcPr>
            <w:tcW w:type="dxa" w:w="1560"/>
            <w:shd w:val="clear" w:fill="1C3A36"/>
          </w:tcPr>
          <w:p>
            <w:pPr>
              <w:spacing w:after="20" w:before="20"/>
              <w:jc w:val="right"/>
            </w:pPr>
            <w:r/>
            <w:r>
              <w:rPr>
                <w:b/>
                <w:i w:val="0"/>
                <w:color w:val="FFFFFF"/>
                <w:sz w:val="19"/>
              </w:rPr>
              <w:t>2026E</w:t>
            </w:r>
          </w:p>
        </w:tc>
        <w:tc>
          <w:tcPr>
            <w:tcW w:type="dxa" w:w="1560"/>
            <w:shd w:val="clear" w:fill="1C3A36"/>
          </w:tcPr>
          <w:p>
            <w:pPr>
              <w:spacing w:after="20" w:before="20"/>
              <w:jc w:val="right"/>
            </w:pPr>
            <w:r/>
            <w:r>
              <w:rPr>
                <w:b/>
                <w:i w:val="0"/>
                <w:color w:val="FFFFFF"/>
                <w:sz w:val="19"/>
              </w:rPr>
              <w:t>2027E</w:t>
            </w:r>
          </w:p>
        </w:tc>
        <w:tc>
          <w:tcPr>
            <w:tcW w:type="dxa" w:w="1560"/>
            <w:shd w:val="clear" w:fill="1C3A36"/>
          </w:tcPr>
          <w:p>
            <w:pPr>
              <w:spacing w:after="20" w:before="20"/>
              <w:jc w:val="right"/>
            </w:pPr>
            <w:r/>
            <w:r>
              <w:rPr>
                <w:b/>
                <w:i w:val="0"/>
                <w:color w:val="FFFFFF"/>
                <w:sz w:val="19"/>
              </w:rPr>
              <w:t>2028E</w:t>
            </w:r>
          </w:p>
        </w:tc>
        <w:tc>
          <w:tcPr>
            <w:tcW w:type="dxa" w:w="1560"/>
            <w:shd w:val="clear" w:fill="1C3A36"/>
          </w:tcPr>
          <w:p>
            <w:pPr>
              <w:spacing w:after="20" w:before="20"/>
              <w:jc w:val="right"/>
            </w:pPr>
            <w:r/>
            <w:r>
              <w:rPr>
                <w:b/>
                <w:i w:val="0"/>
                <w:color w:val="FFFFFF"/>
                <w:sz w:val="19"/>
              </w:rPr>
              <w:t>2029E</w:t>
            </w:r>
          </w:p>
        </w:tc>
        <w:tc>
          <w:tcPr>
            <w:tcW w:type="dxa" w:w="1560"/>
            <w:shd w:val="clear" w:fill="1C3A36"/>
          </w:tcPr>
          <w:p>
            <w:pPr>
              <w:spacing w:after="20" w:before="20"/>
              <w:jc w:val="right"/>
            </w:pPr>
            <w:r/>
            <w:r>
              <w:rPr>
                <w:b/>
                <w:i w:val="0"/>
                <w:color w:val="FFFFFF"/>
                <w:sz w:val="19"/>
              </w:rPr>
              <w:t>2030E</w:t>
            </w:r>
          </w:p>
        </w:tc>
      </w:tr>
      <w:tr>
        <w:tc>
          <w:tcPr>
            <w:tcW w:type="dxa" w:w="1560"/>
          </w:tcPr>
          <w:p>
            <w:pPr>
              <w:spacing w:after="20" w:before="20"/>
            </w:pPr>
            <w:r/>
            <w:r>
              <w:rPr>
                <w:b w:val="0"/>
                <w:i w:val="0"/>
                <w:sz w:val="19"/>
              </w:rPr>
              <w:t>Revenue</w:t>
            </w:r>
          </w:p>
        </w:tc>
        <w:tc>
          <w:tcPr>
            <w:tcW w:type="dxa" w:w="1560"/>
          </w:tcPr>
          <w:p>
            <w:pPr>
              <w:spacing w:after="20" w:before="20"/>
              <w:jc w:val="right"/>
            </w:pPr>
            <w:r/>
            <w:r>
              <w:rPr>
                <w:b w:val="0"/>
                <w:i w:val="0"/>
                <w:sz w:val="19"/>
              </w:rPr>
              <w:t>8,740</w:t>
            </w:r>
          </w:p>
        </w:tc>
        <w:tc>
          <w:tcPr>
            <w:tcW w:type="dxa" w:w="1560"/>
          </w:tcPr>
          <w:p>
            <w:pPr>
              <w:spacing w:after="20" w:before="20"/>
              <w:jc w:val="right"/>
            </w:pPr>
            <w:r/>
            <w:r>
              <w:rPr>
                <w:b w:val="0"/>
                <w:i w:val="0"/>
                <w:sz w:val="19"/>
              </w:rPr>
              <w:t>9,876</w:t>
            </w:r>
          </w:p>
        </w:tc>
        <w:tc>
          <w:tcPr>
            <w:tcW w:type="dxa" w:w="1560"/>
          </w:tcPr>
          <w:p>
            <w:pPr>
              <w:spacing w:after="20" w:before="20"/>
              <w:jc w:val="right"/>
            </w:pPr>
            <w:r/>
            <w:r>
              <w:rPr>
                <w:b w:val="0"/>
                <w:i w:val="0"/>
                <w:sz w:val="19"/>
              </w:rPr>
              <w:t>11,062</w:t>
            </w:r>
          </w:p>
        </w:tc>
        <w:tc>
          <w:tcPr>
            <w:tcW w:type="dxa" w:w="1560"/>
          </w:tcPr>
          <w:p>
            <w:pPr>
              <w:spacing w:after="20" w:before="20"/>
              <w:jc w:val="right"/>
            </w:pPr>
            <w:r/>
            <w:r>
              <w:rPr>
                <w:b w:val="0"/>
                <w:i w:val="0"/>
                <w:sz w:val="19"/>
              </w:rPr>
              <w:t>12,278</w:t>
            </w:r>
          </w:p>
        </w:tc>
        <w:tc>
          <w:tcPr>
            <w:tcW w:type="dxa" w:w="1560"/>
          </w:tcPr>
          <w:p>
            <w:pPr>
              <w:spacing w:after="20" w:before="20"/>
              <w:jc w:val="right"/>
            </w:pPr>
            <w:r/>
            <w:r>
              <w:rPr>
                <w:b w:val="0"/>
                <w:i w:val="0"/>
                <w:sz w:val="19"/>
              </w:rPr>
              <w:t>13,506</w:t>
            </w:r>
          </w:p>
        </w:tc>
      </w:tr>
      <w:tr>
        <w:tc>
          <w:tcPr>
            <w:tcW w:type="dxa" w:w="1560"/>
            <w:shd w:val="clear" w:fill="EFF3F1"/>
          </w:tcPr>
          <w:p>
            <w:pPr>
              <w:spacing w:after="20" w:before="20"/>
            </w:pPr>
            <w:r/>
            <w:r>
              <w:rPr>
                <w:b w:val="0"/>
                <w:i w:val="0"/>
                <w:sz w:val="19"/>
              </w:rPr>
              <w:t>EBITDA margin</w:t>
            </w:r>
          </w:p>
        </w:tc>
        <w:tc>
          <w:tcPr>
            <w:tcW w:type="dxa" w:w="1560"/>
            <w:shd w:val="clear" w:fill="EFF3F1"/>
          </w:tcPr>
          <w:p>
            <w:pPr>
              <w:spacing w:after="20" w:before="20"/>
              <w:jc w:val="right"/>
            </w:pPr>
            <w:r/>
            <w:r>
              <w:rPr>
                <w:b w:val="0"/>
                <w:i w:val="0"/>
                <w:sz w:val="19"/>
              </w:rPr>
              <w:t>11.5%</w:t>
            </w:r>
          </w:p>
        </w:tc>
        <w:tc>
          <w:tcPr>
            <w:tcW w:type="dxa" w:w="1560"/>
            <w:shd w:val="clear" w:fill="EFF3F1"/>
          </w:tcPr>
          <w:p>
            <w:pPr>
              <w:spacing w:after="20" w:before="20"/>
              <w:jc w:val="right"/>
            </w:pPr>
            <w:r/>
            <w:r>
              <w:rPr>
                <w:b w:val="0"/>
                <w:i w:val="0"/>
                <w:sz w:val="19"/>
              </w:rPr>
              <w:t>12.5%</w:t>
            </w:r>
          </w:p>
        </w:tc>
        <w:tc>
          <w:tcPr>
            <w:tcW w:type="dxa" w:w="1560"/>
            <w:shd w:val="clear" w:fill="EFF3F1"/>
          </w:tcPr>
          <w:p>
            <w:pPr>
              <w:spacing w:after="20" w:before="20"/>
              <w:jc w:val="right"/>
            </w:pPr>
            <w:r/>
            <w:r>
              <w:rPr>
                <w:b w:val="0"/>
                <w:i w:val="0"/>
                <w:sz w:val="19"/>
              </w:rPr>
              <w:t>13.5%</w:t>
            </w:r>
          </w:p>
        </w:tc>
        <w:tc>
          <w:tcPr>
            <w:tcW w:type="dxa" w:w="1560"/>
            <w:shd w:val="clear" w:fill="EFF3F1"/>
          </w:tcPr>
          <w:p>
            <w:pPr>
              <w:spacing w:after="20" w:before="20"/>
              <w:jc w:val="right"/>
            </w:pPr>
            <w:r/>
            <w:r>
              <w:rPr>
                <w:b w:val="0"/>
                <w:i w:val="0"/>
                <w:sz w:val="19"/>
              </w:rPr>
              <w:t>14.0%</w:t>
            </w:r>
          </w:p>
        </w:tc>
        <w:tc>
          <w:tcPr>
            <w:tcW w:type="dxa" w:w="1560"/>
            <w:shd w:val="clear" w:fill="EFF3F1"/>
          </w:tcPr>
          <w:p>
            <w:pPr>
              <w:spacing w:after="20" w:before="20"/>
              <w:jc w:val="right"/>
            </w:pPr>
            <w:r/>
            <w:r>
              <w:rPr>
                <w:b w:val="0"/>
                <w:i w:val="0"/>
                <w:sz w:val="19"/>
              </w:rPr>
              <w:t>14.5%</w:t>
            </w:r>
          </w:p>
        </w:tc>
      </w:tr>
      <w:tr>
        <w:tc>
          <w:tcPr>
            <w:tcW w:type="dxa" w:w="1560"/>
          </w:tcPr>
          <w:p>
            <w:pPr>
              <w:spacing w:after="20" w:before="20"/>
            </w:pPr>
            <w:r/>
            <w:r>
              <w:rPr>
                <w:b w:val="0"/>
                <w:i w:val="0"/>
                <w:sz w:val="19"/>
              </w:rPr>
              <w:t>EBITDA</w:t>
            </w:r>
          </w:p>
        </w:tc>
        <w:tc>
          <w:tcPr>
            <w:tcW w:type="dxa" w:w="1560"/>
          </w:tcPr>
          <w:p>
            <w:pPr>
              <w:spacing w:after="20" w:before="20"/>
              <w:jc w:val="right"/>
            </w:pPr>
            <w:r/>
            <w:r>
              <w:rPr>
                <w:b w:val="0"/>
                <w:i w:val="0"/>
                <w:sz w:val="19"/>
              </w:rPr>
              <w:t>1,005</w:t>
            </w:r>
          </w:p>
        </w:tc>
        <w:tc>
          <w:tcPr>
            <w:tcW w:type="dxa" w:w="1560"/>
          </w:tcPr>
          <w:p>
            <w:pPr>
              <w:spacing w:after="20" w:before="20"/>
              <w:jc w:val="right"/>
            </w:pPr>
            <w:r/>
            <w:r>
              <w:rPr>
                <w:b w:val="0"/>
                <w:i w:val="0"/>
                <w:sz w:val="19"/>
              </w:rPr>
              <w:t>1,234</w:t>
            </w:r>
          </w:p>
        </w:tc>
        <w:tc>
          <w:tcPr>
            <w:tcW w:type="dxa" w:w="1560"/>
          </w:tcPr>
          <w:p>
            <w:pPr>
              <w:spacing w:after="20" w:before="20"/>
              <w:jc w:val="right"/>
            </w:pPr>
            <w:r/>
            <w:r>
              <w:rPr>
                <w:b w:val="0"/>
                <w:i w:val="0"/>
                <w:sz w:val="19"/>
              </w:rPr>
              <w:t>1,493</w:t>
            </w:r>
          </w:p>
        </w:tc>
        <w:tc>
          <w:tcPr>
            <w:tcW w:type="dxa" w:w="1560"/>
          </w:tcPr>
          <w:p>
            <w:pPr>
              <w:spacing w:after="20" w:before="20"/>
              <w:jc w:val="right"/>
            </w:pPr>
            <w:r/>
            <w:r>
              <w:rPr>
                <w:b w:val="0"/>
                <w:i w:val="0"/>
                <w:sz w:val="19"/>
              </w:rPr>
              <w:t>1,719</w:t>
            </w:r>
          </w:p>
        </w:tc>
        <w:tc>
          <w:tcPr>
            <w:tcW w:type="dxa" w:w="1560"/>
          </w:tcPr>
          <w:p>
            <w:pPr>
              <w:spacing w:after="20" w:before="20"/>
              <w:jc w:val="right"/>
            </w:pPr>
            <w:r/>
            <w:r>
              <w:rPr>
                <w:b w:val="0"/>
                <w:i w:val="0"/>
                <w:sz w:val="19"/>
              </w:rPr>
              <w:t>1,958</w:t>
            </w:r>
          </w:p>
        </w:tc>
      </w:tr>
      <w:tr>
        <w:tc>
          <w:tcPr>
            <w:tcW w:type="dxa" w:w="1560"/>
            <w:shd w:val="clear" w:fill="EFF3F1"/>
          </w:tcPr>
          <w:p>
            <w:pPr>
              <w:spacing w:after="20" w:before="20"/>
            </w:pPr>
            <w:r/>
            <w:r>
              <w:rPr>
                <w:b w:val="0"/>
                <w:i w:val="0"/>
                <w:sz w:val="19"/>
              </w:rPr>
              <w:t>less: D&amp;A</w:t>
            </w:r>
          </w:p>
        </w:tc>
        <w:tc>
          <w:tcPr>
            <w:tcW w:type="dxa" w:w="1560"/>
            <w:shd w:val="clear" w:fill="EFF3F1"/>
          </w:tcPr>
          <w:p>
            <w:pPr>
              <w:spacing w:after="20" w:before="20"/>
              <w:jc w:val="right"/>
            </w:pPr>
            <w:r/>
            <w:r>
              <w:rPr>
                <w:b w:val="0"/>
                <w:i w:val="0"/>
                <w:sz w:val="19"/>
              </w:rPr>
              <w:t>(265)</w:t>
            </w:r>
          </w:p>
        </w:tc>
        <w:tc>
          <w:tcPr>
            <w:tcW w:type="dxa" w:w="1560"/>
            <w:shd w:val="clear" w:fill="EFF3F1"/>
          </w:tcPr>
          <w:p>
            <w:pPr>
              <w:spacing w:after="20" w:before="20"/>
              <w:jc w:val="right"/>
            </w:pPr>
            <w:r/>
            <w:r>
              <w:rPr>
                <w:b w:val="0"/>
                <w:i w:val="0"/>
                <w:sz w:val="19"/>
              </w:rPr>
              <w:t>(300)</w:t>
            </w:r>
          </w:p>
        </w:tc>
        <w:tc>
          <w:tcPr>
            <w:tcW w:type="dxa" w:w="1560"/>
            <w:shd w:val="clear" w:fill="EFF3F1"/>
          </w:tcPr>
          <w:p>
            <w:pPr>
              <w:spacing w:after="20" w:before="20"/>
              <w:jc w:val="right"/>
            </w:pPr>
            <w:r/>
            <w:r>
              <w:rPr>
                <w:b w:val="0"/>
                <w:i w:val="0"/>
                <w:sz w:val="19"/>
              </w:rPr>
              <w:t>(340)</w:t>
            </w:r>
          </w:p>
        </w:tc>
        <w:tc>
          <w:tcPr>
            <w:tcW w:type="dxa" w:w="1560"/>
            <w:shd w:val="clear" w:fill="EFF3F1"/>
          </w:tcPr>
          <w:p>
            <w:pPr>
              <w:spacing w:after="20" w:before="20"/>
              <w:jc w:val="right"/>
            </w:pPr>
            <w:r/>
            <w:r>
              <w:rPr>
                <w:b w:val="0"/>
                <w:i w:val="0"/>
                <w:sz w:val="19"/>
              </w:rPr>
              <w:t>(380)</w:t>
            </w:r>
          </w:p>
        </w:tc>
        <w:tc>
          <w:tcPr>
            <w:tcW w:type="dxa" w:w="1560"/>
            <w:shd w:val="clear" w:fill="EFF3F1"/>
          </w:tcPr>
          <w:p>
            <w:pPr>
              <w:spacing w:after="20" w:before="20"/>
              <w:jc w:val="right"/>
            </w:pPr>
            <w:r/>
            <w:r>
              <w:rPr>
                <w:b w:val="0"/>
                <w:i w:val="0"/>
                <w:sz w:val="19"/>
              </w:rPr>
              <w:t>(420)</w:t>
            </w:r>
          </w:p>
        </w:tc>
      </w:tr>
      <w:tr>
        <w:tc>
          <w:tcPr>
            <w:tcW w:type="dxa" w:w="1560"/>
          </w:tcPr>
          <w:p>
            <w:pPr>
              <w:spacing w:after="20" w:before="20"/>
            </w:pPr>
            <w:r/>
            <w:r>
              <w:rPr>
                <w:b w:val="0"/>
                <w:i w:val="0"/>
                <w:sz w:val="19"/>
              </w:rPr>
              <w:t>EBIT</w:t>
            </w:r>
          </w:p>
        </w:tc>
        <w:tc>
          <w:tcPr>
            <w:tcW w:type="dxa" w:w="1560"/>
          </w:tcPr>
          <w:p>
            <w:pPr>
              <w:spacing w:after="20" w:before="20"/>
              <w:jc w:val="right"/>
            </w:pPr>
            <w:r/>
            <w:r>
              <w:rPr>
                <w:b w:val="0"/>
                <w:i w:val="0"/>
                <w:sz w:val="19"/>
              </w:rPr>
              <w:t>740</w:t>
            </w:r>
          </w:p>
        </w:tc>
        <w:tc>
          <w:tcPr>
            <w:tcW w:type="dxa" w:w="1560"/>
          </w:tcPr>
          <w:p>
            <w:pPr>
              <w:spacing w:after="20" w:before="20"/>
              <w:jc w:val="right"/>
            </w:pPr>
            <w:r/>
            <w:r>
              <w:rPr>
                <w:b w:val="0"/>
                <w:i w:val="0"/>
                <w:sz w:val="19"/>
              </w:rPr>
              <w:t>934</w:t>
            </w:r>
          </w:p>
        </w:tc>
        <w:tc>
          <w:tcPr>
            <w:tcW w:type="dxa" w:w="1560"/>
          </w:tcPr>
          <w:p>
            <w:pPr>
              <w:spacing w:after="20" w:before="20"/>
              <w:jc w:val="right"/>
            </w:pPr>
            <w:r/>
            <w:r>
              <w:rPr>
                <w:b w:val="0"/>
                <w:i w:val="0"/>
                <w:sz w:val="19"/>
              </w:rPr>
              <w:t>1,153</w:t>
            </w:r>
          </w:p>
        </w:tc>
        <w:tc>
          <w:tcPr>
            <w:tcW w:type="dxa" w:w="1560"/>
          </w:tcPr>
          <w:p>
            <w:pPr>
              <w:spacing w:after="20" w:before="20"/>
              <w:jc w:val="right"/>
            </w:pPr>
            <w:r/>
            <w:r>
              <w:rPr>
                <w:b w:val="0"/>
                <w:i w:val="0"/>
                <w:sz w:val="19"/>
              </w:rPr>
              <w:t>1,339</w:t>
            </w:r>
          </w:p>
        </w:tc>
        <w:tc>
          <w:tcPr>
            <w:tcW w:type="dxa" w:w="1560"/>
          </w:tcPr>
          <w:p>
            <w:pPr>
              <w:spacing w:after="20" w:before="20"/>
              <w:jc w:val="right"/>
            </w:pPr>
            <w:r/>
            <w:r>
              <w:rPr>
                <w:b w:val="0"/>
                <w:i w:val="0"/>
                <w:sz w:val="19"/>
              </w:rPr>
              <w:t>1,538</w:t>
            </w:r>
          </w:p>
        </w:tc>
      </w:tr>
      <w:tr>
        <w:tc>
          <w:tcPr>
            <w:tcW w:type="dxa" w:w="1560"/>
            <w:shd w:val="clear" w:fill="EFF3F1"/>
          </w:tcPr>
          <w:p>
            <w:pPr>
              <w:spacing w:after="20" w:before="20"/>
            </w:pPr>
            <w:r/>
            <w:r>
              <w:rPr>
                <w:b w:val="0"/>
                <w:i w:val="0"/>
                <w:sz w:val="19"/>
              </w:rPr>
              <w:t>NOPAT = EBIT×(1−22.5%)</w:t>
            </w:r>
          </w:p>
        </w:tc>
        <w:tc>
          <w:tcPr>
            <w:tcW w:type="dxa" w:w="1560"/>
            <w:shd w:val="clear" w:fill="EFF3F1"/>
          </w:tcPr>
          <w:p>
            <w:pPr>
              <w:spacing w:after="20" w:before="20"/>
              <w:jc w:val="right"/>
            </w:pPr>
            <w:r/>
            <w:r>
              <w:rPr>
                <w:b w:val="0"/>
                <w:i w:val="0"/>
                <w:sz w:val="19"/>
              </w:rPr>
              <w:t>574</w:t>
            </w:r>
          </w:p>
        </w:tc>
        <w:tc>
          <w:tcPr>
            <w:tcW w:type="dxa" w:w="1560"/>
            <w:shd w:val="clear" w:fill="EFF3F1"/>
          </w:tcPr>
          <w:p>
            <w:pPr>
              <w:spacing w:after="20" w:before="20"/>
              <w:jc w:val="right"/>
            </w:pPr>
            <w:r/>
            <w:r>
              <w:rPr>
                <w:b w:val="0"/>
                <w:i w:val="0"/>
                <w:sz w:val="19"/>
              </w:rPr>
              <w:t>724</w:t>
            </w:r>
          </w:p>
        </w:tc>
        <w:tc>
          <w:tcPr>
            <w:tcW w:type="dxa" w:w="1560"/>
            <w:shd w:val="clear" w:fill="EFF3F1"/>
          </w:tcPr>
          <w:p>
            <w:pPr>
              <w:spacing w:after="20" w:before="20"/>
              <w:jc w:val="right"/>
            </w:pPr>
            <w:r/>
            <w:r>
              <w:rPr>
                <w:b w:val="0"/>
                <w:i w:val="0"/>
                <w:sz w:val="19"/>
              </w:rPr>
              <w:t>894</w:t>
            </w:r>
          </w:p>
        </w:tc>
        <w:tc>
          <w:tcPr>
            <w:tcW w:type="dxa" w:w="1560"/>
            <w:shd w:val="clear" w:fill="EFF3F1"/>
          </w:tcPr>
          <w:p>
            <w:pPr>
              <w:spacing w:after="20" w:before="20"/>
              <w:jc w:val="right"/>
            </w:pPr>
            <w:r/>
            <w:r>
              <w:rPr>
                <w:b w:val="0"/>
                <w:i w:val="0"/>
                <w:sz w:val="19"/>
              </w:rPr>
              <w:t>1,038</w:t>
            </w:r>
          </w:p>
        </w:tc>
        <w:tc>
          <w:tcPr>
            <w:tcW w:type="dxa" w:w="1560"/>
            <w:shd w:val="clear" w:fill="EFF3F1"/>
          </w:tcPr>
          <w:p>
            <w:pPr>
              <w:spacing w:after="20" w:before="20"/>
              <w:jc w:val="right"/>
            </w:pPr>
            <w:r/>
            <w:r>
              <w:rPr>
                <w:b w:val="0"/>
                <w:i w:val="0"/>
                <w:sz w:val="19"/>
              </w:rPr>
              <w:t>1,192</w:t>
            </w:r>
          </w:p>
        </w:tc>
      </w:tr>
      <w:tr>
        <w:tc>
          <w:tcPr>
            <w:tcW w:type="dxa" w:w="1560"/>
          </w:tcPr>
          <w:p>
            <w:pPr>
              <w:spacing w:after="20" w:before="20"/>
            </w:pPr>
            <w:r/>
            <w:r>
              <w:rPr>
                <w:b w:val="0"/>
                <w:i w:val="0"/>
                <w:sz w:val="19"/>
              </w:rPr>
              <w:t>plus: D&amp;A</w:t>
            </w:r>
          </w:p>
        </w:tc>
        <w:tc>
          <w:tcPr>
            <w:tcW w:type="dxa" w:w="1560"/>
          </w:tcPr>
          <w:p>
            <w:pPr>
              <w:spacing w:after="20" w:before="20"/>
              <w:jc w:val="right"/>
            </w:pPr>
            <w:r/>
            <w:r>
              <w:rPr>
                <w:b w:val="0"/>
                <w:i w:val="0"/>
                <w:sz w:val="19"/>
              </w:rPr>
              <w:t>265</w:t>
            </w:r>
          </w:p>
        </w:tc>
        <w:tc>
          <w:tcPr>
            <w:tcW w:type="dxa" w:w="1560"/>
          </w:tcPr>
          <w:p>
            <w:pPr>
              <w:spacing w:after="20" w:before="20"/>
              <w:jc w:val="right"/>
            </w:pPr>
            <w:r/>
            <w:r>
              <w:rPr>
                <w:b w:val="0"/>
                <w:i w:val="0"/>
                <w:sz w:val="19"/>
              </w:rPr>
              <w:t>300</w:t>
            </w:r>
          </w:p>
        </w:tc>
        <w:tc>
          <w:tcPr>
            <w:tcW w:type="dxa" w:w="1560"/>
          </w:tcPr>
          <w:p>
            <w:pPr>
              <w:spacing w:after="20" w:before="20"/>
              <w:jc w:val="right"/>
            </w:pPr>
            <w:r/>
            <w:r>
              <w:rPr>
                <w:b w:val="0"/>
                <w:i w:val="0"/>
                <w:sz w:val="19"/>
              </w:rPr>
              <w:t>340</w:t>
            </w:r>
          </w:p>
        </w:tc>
        <w:tc>
          <w:tcPr>
            <w:tcW w:type="dxa" w:w="1560"/>
          </w:tcPr>
          <w:p>
            <w:pPr>
              <w:spacing w:after="20" w:before="20"/>
              <w:jc w:val="right"/>
            </w:pPr>
            <w:r/>
            <w:r>
              <w:rPr>
                <w:b w:val="0"/>
                <w:i w:val="0"/>
                <w:sz w:val="19"/>
              </w:rPr>
              <w:t>380</w:t>
            </w:r>
          </w:p>
        </w:tc>
        <w:tc>
          <w:tcPr>
            <w:tcW w:type="dxa" w:w="1560"/>
          </w:tcPr>
          <w:p>
            <w:pPr>
              <w:spacing w:after="20" w:before="20"/>
              <w:jc w:val="right"/>
            </w:pPr>
            <w:r/>
            <w:r>
              <w:rPr>
                <w:b w:val="0"/>
                <w:i w:val="0"/>
                <w:sz w:val="19"/>
              </w:rPr>
              <w:t>420</w:t>
            </w:r>
          </w:p>
        </w:tc>
      </w:tr>
      <w:tr>
        <w:tc>
          <w:tcPr>
            <w:tcW w:type="dxa" w:w="1560"/>
            <w:shd w:val="clear" w:fill="EFF3F1"/>
          </w:tcPr>
          <w:p>
            <w:pPr>
              <w:spacing w:after="20" w:before="20"/>
            </w:pPr>
            <w:r/>
            <w:r>
              <w:rPr>
                <w:b w:val="0"/>
                <w:i w:val="0"/>
                <w:sz w:val="19"/>
              </w:rPr>
              <w:t>less: Capex</w:t>
            </w:r>
          </w:p>
        </w:tc>
        <w:tc>
          <w:tcPr>
            <w:tcW w:type="dxa" w:w="1560"/>
            <w:shd w:val="clear" w:fill="EFF3F1"/>
          </w:tcPr>
          <w:p>
            <w:pPr>
              <w:spacing w:after="20" w:before="20"/>
              <w:jc w:val="right"/>
            </w:pPr>
            <w:r/>
            <w:r>
              <w:rPr>
                <w:b w:val="0"/>
                <w:i w:val="0"/>
                <w:sz w:val="19"/>
              </w:rPr>
              <w:t>(650)</w:t>
            </w:r>
          </w:p>
        </w:tc>
        <w:tc>
          <w:tcPr>
            <w:tcW w:type="dxa" w:w="1560"/>
            <w:shd w:val="clear" w:fill="EFF3F1"/>
          </w:tcPr>
          <w:p>
            <w:pPr>
              <w:spacing w:after="20" w:before="20"/>
              <w:jc w:val="right"/>
            </w:pPr>
            <w:r/>
            <w:r>
              <w:rPr>
                <w:b w:val="0"/>
                <w:i w:val="0"/>
                <w:sz w:val="19"/>
              </w:rPr>
              <w:t>(500)</w:t>
            </w:r>
          </w:p>
        </w:tc>
        <w:tc>
          <w:tcPr>
            <w:tcW w:type="dxa" w:w="1560"/>
            <w:shd w:val="clear" w:fill="EFF3F1"/>
          </w:tcPr>
          <w:p>
            <w:pPr>
              <w:spacing w:after="20" w:before="20"/>
              <w:jc w:val="right"/>
            </w:pPr>
            <w:r/>
            <w:r>
              <w:rPr>
                <w:b w:val="0"/>
                <w:i w:val="0"/>
                <w:sz w:val="19"/>
              </w:rPr>
              <w:t>(480)</w:t>
            </w:r>
          </w:p>
        </w:tc>
        <w:tc>
          <w:tcPr>
            <w:tcW w:type="dxa" w:w="1560"/>
            <w:shd w:val="clear" w:fill="EFF3F1"/>
          </w:tcPr>
          <w:p>
            <w:pPr>
              <w:spacing w:after="20" w:before="20"/>
              <w:jc w:val="right"/>
            </w:pPr>
            <w:r/>
            <w:r>
              <w:rPr>
                <w:b w:val="0"/>
                <w:i w:val="0"/>
                <w:sz w:val="19"/>
              </w:rPr>
              <w:t>(500)</w:t>
            </w:r>
          </w:p>
        </w:tc>
        <w:tc>
          <w:tcPr>
            <w:tcW w:type="dxa" w:w="1560"/>
            <w:shd w:val="clear" w:fill="EFF3F1"/>
          </w:tcPr>
          <w:p>
            <w:pPr>
              <w:spacing w:after="20" w:before="20"/>
              <w:jc w:val="right"/>
            </w:pPr>
            <w:r/>
            <w:r>
              <w:rPr>
                <w:b w:val="0"/>
                <w:i w:val="0"/>
                <w:sz w:val="19"/>
              </w:rPr>
              <w:t>(520)</w:t>
            </w:r>
          </w:p>
        </w:tc>
      </w:tr>
      <w:tr>
        <w:tc>
          <w:tcPr>
            <w:tcW w:type="dxa" w:w="1560"/>
          </w:tcPr>
          <w:p>
            <w:pPr>
              <w:spacing w:after="20" w:before="20"/>
            </w:pPr>
            <w:r/>
            <w:r>
              <w:rPr>
                <w:b w:val="0"/>
                <w:i w:val="0"/>
                <w:sz w:val="19"/>
              </w:rPr>
              <w:t>less: Δ working capital</w:t>
            </w:r>
          </w:p>
        </w:tc>
        <w:tc>
          <w:tcPr>
            <w:tcW w:type="dxa" w:w="1560"/>
          </w:tcPr>
          <w:p>
            <w:pPr>
              <w:spacing w:after="20" w:before="20"/>
              <w:jc w:val="right"/>
            </w:pPr>
            <w:r/>
            <w:r>
              <w:rPr>
                <w:b w:val="0"/>
                <w:i w:val="0"/>
                <w:sz w:val="19"/>
              </w:rPr>
              <w:t>(250)</w:t>
            </w:r>
          </w:p>
        </w:tc>
        <w:tc>
          <w:tcPr>
            <w:tcW w:type="dxa" w:w="1560"/>
          </w:tcPr>
          <w:p>
            <w:pPr>
              <w:spacing w:after="20" w:before="20"/>
              <w:jc w:val="right"/>
            </w:pPr>
            <w:r/>
            <w:r>
              <w:rPr>
                <w:b w:val="0"/>
                <w:i w:val="0"/>
                <w:sz w:val="19"/>
              </w:rPr>
              <w:t>(300)</w:t>
            </w:r>
          </w:p>
        </w:tc>
        <w:tc>
          <w:tcPr>
            <w:tcW w:type="dxa" w:w="1560"/>
          </w:tcPr>
          <w:p>
            <w:pPr>
              <w:spacing w:after="20" w:before="20"/>
              <w:jc w:val="right"/>
            </w:pPr>
            <w:r/>
            <w:r>
              <w:rPr>
                <w:b w:val="0"/>
                <w:i w:val="0"/>
                <w:sz w:val="19"/>
              </w:rPr>
              <w:t>(310)</w:t>
            </w:r>
          </w:p>
        </w:tc>
        <w:tc>
          <w:tcPr>
            <w:tcW w:type="dxa" w:w="1560"/>
          </w:tcPr>
          <w:p>
            <w:pPr>
              <w:spacing w:after="20" w:before="20"/>
              <w:jc w:val="right"/>
            </w:pPr>
            <w:r/>
            <w:r>
              <w:rPr>
                <w:b w:val="0"/>
                <w:i w:val="0"/>
                <w:sz w:val="19"/>
              </w:rPr>
              <w:t>(320)</w:t>
            </w:r>
          </w:p>
        </w:tc>
        <w:tc>
          <w:tcPr>
            <w:tcW w:type="dxa" w:w="1560"/>
          </w:tcPr>
          <w:p>
            <w:pPr>
              <w:spacing w:after="20" w:before="20"/>
              <w:jc w:val="right"/>
            </w:pPr>
            <w:r/>
            <w:r>
              <w:rPr>
                <w:b w:val="0"/>
                <w:i w:val="0"/>
                <w:sz w:val="19"/>
              </w:rPr>
              <w:t>(320)</w:t>
            </w:r>
          </w:p>
        </w:tc>
      </w:tr>
      <w:tr>
        <w:tc>
          <w:tcPr>
            <w:tcW w:type="dxa" w:w="1560"/>
            <w:shd w:val="clear" w:fill="EFF3F1"/>
          </w:tcPr>
          <w:p>
            <w:pPr>
              <w:spacing w:after="20" w:before="20"/>
            </w:pPr>
            <w:r/>
            <w:r>
              <w:rPr>
                <w:b/>
                <w:i w:val="0"/>
                <w:sz w:val="19"/>
              </w:rPr>
              <w:t>Free cash flow to firm</w:t>
            </w:r>
          </w:p>
        </w:tc>
        <w:tc>
          <w:tcPr>
            <w:tcW w:type="dxa" w:w="1560"/>
            <w:shd w:val="clear" w:fill="EFF3F1"/>
          </w:tcPr>
          <w:p>
            <w:pPr>
              <w:spacing w:after="20" w:before="20"/>
              <w:jc w:val="right"/>
            </w:pPr>
            <w:r/>
            <w:r>
              <w:rPr>
                <w:b/>
                <w:i w:val="0"/>
                <w:sz w:val="19"/>
              </w:rPr>
              <w:t>(61)</w:t>
            </w:r>
          </w:p>
        </w:tc>
        <w:tc>
          <w:tcPr>
            <w:tcW w:type="dxa" w:w="1560"/>
            <w:shd w:val="clear" w:fill="EFF3F1"/>
          </w:tcPr>
          <w:p>
            <w:pPr>
              <w:spacing w:after="20" w:before="20"/>
              <w:jc w:val="right"/>
            </w:pPr>
            <w:r/>
            <w:r>
              <w:rPr>
                <w:b/>
                <w:i w:val="0"/>
                <w:sz w:val="19"/>
              </w:rPr>
              <w:t>224</w:t>
            </w:r>
          </w:p>
        </w:tc>
        <w:tc>
          <w:tcPr>
            <w:tcW w:type="dxa" w:w="1560"/>
            <w:shd w:val="clear" w:fill="EFF3F1"/>
          </w:tcPr>
          <w:p>
            <w:pPr>
              <w:spacing w:after="20" w:before="20"/>
              <w:jc w:val="right"/>
            </w:pPr>
            <w:r/>
            <w:r>
              <w:rPr>
                <w:b/>
                <w:i w:val="0"/>
                <w:sz w:val="19"/>
              </w:rPr>
              <w:t>444</w:t>
            </w:r>
          </w:p>
        </w:tc>
        <w:tc>
          <w:tcPr>
            <w:tcW w:type="dxa" w:w="1560"/>
            <w:shd w:val="clear" w:fill="EFF3F1"/>
          </w:tcPr>
          <w:p>
            <w:pPr>
              <w:spacing w:after="20" w:before="20"/>
              <w:jc w:val="right"/>
            </w:pPr>
            <w:r/>
            <w:r>
              <w:rPr>
                <w:b/>
                <w:i w:val="0"/>
                <w:sz w:val="19"/>
              </w:rPr>
              <w:t>598</w:t>
            </w:r>
          </w:p>
        </w:tc>
        <w:tc>
          <w:tcPr>
            <w:tcW w:type="dxa" w:w="1560"/>
            <w:shd w:val="clear" w:fill="EFF3F1"/>
          </w:tcPr>
          <w:p>
            <w:pPr>
              <w:spacing w:after="20" w:before="20"/>
              <w:jc w:val="right"/>
            </w:pPr>
            <w:r/>
            <w:r>
              <w:rPr>
                <w:b/>
                <w:i w:val="0"/>
                <w:sz w:val="19"/>
              </w:rPr>
              <w:t>772</w:t>
            </w:r>
          </w:p>
        </w:tc>
      </w:tr>
      <w:tr>
        <w:tc>
          <w:tcPr>
            <w:tcW w:type="dxa" w:w="1560"/>
          </w:tcPr>
          <w:p>
            <w:pPr>
              <w:spacing w:after="20" w:before="20"/>
            </w:pPr>
            <w:r/>
            <w:r>
              <w:rPr>
                <w:b w:val="0"/>
                <w:i w:val="0"/>
                <w:sz w:val="19"/>
              </w:rPr>
              <w:t>Discount factor @ 21%</w:t>
            </w:r>
          </w:p>
        </w:tc>
        <w:tc>
          <w:tcPr>
            <w:tcW w:type="dxa" w:w="1560"/>
          </w:tcPr>
          <w:p>
            <w:pPr>
              <w:spacing w:after="20" w:before="20"/>
              <w:jc w:val="right"/>
            </w:pPr>
            <w:r/>
            <w:r>
              <w:rPr>
                <w:b w:val="0"/>
                <w:i w:val="0"/>
                <w:sz w:val="19"/>
              </w:rPr>
              <w:t>0.83</w:t>
            </w:r>
          </w:p>
        </w:tc>
        <w:tc>
          <w:tcPr>
            <w:tcW w:type="dxa" w:w="1560"/>
          </w:tcPr>
          <w:p>
            <w:pPr>
              <w:spacing w:after="20" w:before="20"/>
              <w:jc w:val="right"/>
            </w:pPr>
            <w:r/>
            <w:r>
              <w:rPr>
                <w:b w:val="0"/>
                <w:i w:val="0"/>
                <w:sz w:val="19"/>
              </w:rPr>
              <w:t>0.68</w:t>
            </w:r>
          </w:p>
        </w:tc>
        <w:tc>
          <w:tcPr>
            <w:tcW w:type="dxa" w:w="1560"/>
          </w:tcPr>
          <w:p>
            <w:pPr>
              <w:spacing w:after="20" w:before="20"/>
              <w:jc w:val="right"/>
            </w:pPr>
            <w:r/>
            <w:r>
              <w:rPr>
                <w:b w:val="0"/>
                <w:i w:val="0"/>
                <w:sz w:val="19"/>
              </w:rPr>
              <w:t>0.56</w:t>
            </w:r>
          </w:p>
        </w:tc>
        <w:tc>
          <w:tcPr>
            <w:tcW w:type="dxa" w:w="1560"/>
          </w:tcPr>
          <w:p>
            <w:pPr>
              <w:spacing w:after="20" w:before="20"/>
              <w:jc w:val="right"/>
            </w:pPr>
            <w:r/>
            <w:r>
              <w:rPr>
                <w:b w:val="0"/>
                <w:i w:val="0"/>
                <w:sz w:val="19"/>
              </w:rPr>
              <w:t>0.47</w:t>
            </w:r>
          </w:p>
        </w:tc>
        <w:tc>
          <w:tcPr>
            <w:tcW w:type="dxa" w:w="1560"/>
          </w:tcPr>
          <w:p>
            <w:pPr>
              <w:spacing w:after="20" w:before="20"/>
              <w:jc w:val="right"/>
            </w:pPr>
            <w:r/>
            <w:r>
              <w:rPr>
                <w:b w:val="0"/>
                <w:i w:val="0"/>
                <w:sz w:val="19"/>
              </w:rPr>
              <w:t>0.39</w:t>
            </w:r>
          </w:p>
        </w:tc>
      </w:tr>
      <w:tr>
        <w:tc>
          <w:tcPr>
            <w:tcW w:type="dxa" w:w="1560"/>
            <w:shd w:val="clear" w:fill="EFF3F1"/>
          </w:tcPr>
          <w:p>
            <w:pPr>
              <w:spacing w:after="20" w:before="20"/>
            </w:pPr>
            <w:r/>
            <w:r>
              <w:rPr>
                <w:b/>
                <w:i w:val="0"/>
                <w:sz w:val="19"/>
              </w:rPr>
              <w:t>PV of FCFF</w:t>
            </w:r>
          </w:p>
        </w:tc>
        <w:tc>
          <w:tcPr>
            <w:tcW w:type="dxa" w:w="1560"/>
            <w:shd w:val="clear" w:fill="EFF3F1"/>
          </w:tcPr>
          <w:p>
            <w:pPr>
              <w:spacing w:after="20" w:before="20"/>
              <w:jc w:val="right"/>
            </w:pPr>
            <w:r/>
            <w:r>
              <w:rPr>
                <w:b/>
                <w:i w:val="0"/>
                <w:sz w:val="19"/>
              </w:rPr>
              <w:t>(51)</w:t>
            </w:r>
          </w:p>
        </w:tc>
        <w:tc>
          <w:tcPr>
            <w:tcW w:type="dxa" w:w="1560"/>
            <w:shd w:val="clear" w:fill="EFF3F1"/>
          </w:tcPr>
          <w:p>
            <w:pPr>
              <w:spacing w:after="20" w:before="20"/>
              <w:jc w:val="right"/>
            </w:pPr>
            <w:r/>
            <w:r>
              <w:rPr>
                <w:b/>
                <w:i w:val="0"/>
                <w:sz w:val="19"/>
              </w:rPr>
              <w:t>153</w:t>
            </w:r>
          </w:p>
        </w:tc>
        <w:tc>
          <w:tcPr>
            <w:tcW w:type="dxa" w:w="1560"/>
            <w:shd w:val="clear" w:fill="EFF3F1"/>
          </w:tcPr>
          <w:p>
            <w:pPr>
              <w:spacing w:after="20" w:before="20"/>
              <w:jc w:val="right"/>
            </w:pPr>
            <w:r/>
            <w:r>
              <w:rPr>
                <w:b/>
                <w:i w:val="0"/>
                <w:sz w:val="19"/>
              </w:rPr>
              <w:t>250</w:t>
            </w:r>
          </w:p>
        </w:tc>
        <w:tc>
          <w:tcPr>
            <w:tcW w:type="dxa" w:w="1560"/>
            <w:shd w:val="clear" w:fill="EFF3F1"/>
          </w:tcPr>
          <w:p>
            <w:pPr>
              <w:spacing w:after="20" w:before="20"/>
              <w:jc w:val="right"/>
            </w:pPr>
            <w:r/>
            <w:r>
              <w:rPr>
                <w:b/>
                <w:i w:val="0"/>
                <w:sz w:val="19"/>
              </w:rPr>
              <w:t>279</w:t>
            </w:r>
          </w:p>
        </w:tc>
        <w:tc>
          <w:tcPr>
            <w:tcW w:type="dxa" w:w="1560"/>
            <w:shd w:val="clear" w:fill="EFF3F1"/>
          </w:tcPr>
          <w:p>
            <w:pPr>
              <w:spacing w:after="20" w:before="20"/>
              <w:jc w:val="right"/>
            </w:pPr>
            <w:r/>
            <w:r>
              <w:rPr>
                <w:b/>
                <w:i w:val="0"/>
                <w:sz w:val="19"/>
              </w:rPr>
              <w:t>298</w:t>
            </w:r>
          </w:p>
        </w:tc>
      </w:tr>
    </w:tbl>
    <w:p/>
    <w:p>
      <w:r>
        <w:rPr>
          <w:b w:val="0"/>
          <w:i w:val="0"/>
        </w:rPr>
        <w:t xml:space="preserve">Summing the present values of the explicit years (EGP 930m) and the discounted terminal value (EGP 3,304m, from a terminal FCFF of EGP 772m grown at 11% and capitalised at 21% − 11%) gives an </w:t>
      </w:r>
      <w:r>
        <w:rPr>
          <w:b/>
          <w:i w:val="0"/>
        </w:rPr>
        <w:t>enterprise value of ~EGP 4,234m</w:t>
      </w:r>
      <w:r>
        <w:rPr>
          <w:b w:val="0"/>
          <w:i w:val="0"/>
        </w:rPr>
        <w:t xml:space="preserve">. Deducting reported net debt of EGP 1,270m leaves equity of ~EGP 2,964m, or </w:t>
      </w:r>
      <w:r>
        <w:rPr>
          <w:b/>
          <w:i w:val="0"/>
        </w:rPr>
        <w:t>EGP 37/share</w:t>
      </w:r>
      <w:r>
        <w:rPr>
          <w:b w:val="0"/>
          <w:i w:val="0"/>
        </w:rPr>
        <w:t xml:space="preserve">. Two honest warnings travel with this number. First, note that 2026 FCFF is </w:t>
      </w:r>
      <w:r>
        <w:rPr>
          <w:b w:val="0"/>
          <w:i/>
        </w:rPr>
        <w:t>negative</w:t>
      </w:r>
      <w:r>
        <w:rPr>
          <w:b w:val="0"/>
          <w:i w:val="0"/>
        </w:rPr>
        <w:t xml:space="preserve"> — the capex programme (over EGP 650m planned) and the working-capital drag out-run operating cash even as profit recovers; the cash case is back-end-loaded. Second, the </w:t>
      </w:r>
      <w:r>
        <w:rPr>
          <w:b/>
          <w:i w:val="0"/>
        </w:rPr>
        <w:t>terminal value is ~78% of enterprise value</w:t>
      </w:r>
      <w:r>
        <w:rPr>
          <w:b w:val="0"/>
          <w:i w:val="0"/>
        </w:rPr>
        <w:t xml:space="preserve"> (device A-7): this is, in large part, a terminal-growth-versus-discount-rate bet dressed as a five-year model, so §1.9 sensitises it in full rather than burying it.</w:t>
      </w:r>
    </w:p>
    <w:p>
      <w:pPr>
        <w:pStyle w:val="Heading2"/>
      </w:pPr>
      <w:r>
        <w:t>1.2  Owner-earnings / FCFE — the cash-flow cross-check</w:t>
      </w:r>
    </w:p>
    <w:p>
      <w:r>
        <w:rPr>
          <w:b w:val="0"/>
          <w:i w:val="0"/>
        </w:rPr>
        <w:t xml:space="preserve">Because Lecico pays no dividend (stand-alone accumulated losses block distribution), the usual dividend-discount cross-check is not available; the honest analogue is an owner-earnings capacity read — what the business </w:t>
      </w:r>
      <w:r>
        <w:rPr>
          <w:b w:val="0"/>
          <w:i/>
        </w:rPr>
        <w:t>could</w:t>
      </w:r>
      <w:r>
        <w:rPr>
          <w:b w:val="0"/>
          <w:i w:val="0"/>
        </w:rPr>
        <w:t xml:space="preserve"> distribute once working capital normalises and capex moderates. We take a steady-state owner-earnings capacity of ~EGP 430m (roughly the mid-cycle NOPAT less maintenance capex and normalised working-capital growth), capitalise it at a local-heavy Ke − g of ~13.5%, and then apply a 20% haircut for the near-term negative free cash and the working-capital trap.</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4680"/>
        <w:gridCol w:w="4680"/>
      </w:tblGrid>
      <w:tr>
        <w:tc>
          <w:tcPr>
            <w:tcW w:type="dxa" w:w="4680"/>
            <w:shd w:val="clear" w:fill="1C3A36"/>
          </w:tcPr>
          <w:p>
            <w:pPr>
              <w:spacing w:after="20" w:before="20"/>
            </w:pPr>
            <w:r/>
            <w:r>
              <w:rPr>
                <w:b/>
                <w:i w:val="0"/>
                <w:color w:val="FFFFFF"/>
                <w:sz w:val="19"/>
              </w:rPr>
              <w:t>Owner-earnings cross-check</w:t>
            </w:r>
          </w:p>
        </w:tc>
        <w:tc>
          <w:tcPr>
            <w:tcW w:type="dxa" w:w="4680"/>
            <w:shd w:val="clear" w:fill="1C3A36"/>
          </w:tcPr>
          <w:p>
            <w:pPr>
              <w:spacing w:after="20" w:before="20"/>
              <w:jc w:val="right"/>
            </w:pPr>
            <w:r/>
            <w:r>
              <w:rPr>
                <w:b/>
                <w:i w:val="0"/>
                <w:color w:val="FFFFFF"/>
                <w:sz w:val="19"/>
              </w:rPr>
              <w:t>Value</w:t>
            </w:r>
          </w:p>
        </w:tc>
      </w:tr>
      <w:tr>
        <w:tc>
          <w:tcPr>
            <w:tcW w:type="dxa" w:w="4680"/>
          </w:tcPr>
          <w:p>
            <w:pPr>
              <w:spacing w:after="20" w:before="20"/>
            </w:pPr>
            <w:r/>
            <w:r>
              <w:rPr>
                <w:b w:val="0"/>
                <w:i w:val="0"/>
                <w:sz w:val="19"/>
              </w:rPr>
              <w:t>Steady-state owner-earnings capacity (EGP m)</w:t>
            </w:r>
          </w:p>
        </w:tc>
        <w:tc>
          <w:tcPr>
            <w:tcW w:type="dxa" w:w="4680"/>
          </w:tcPr>
          <w:p>
            <w:pPr>
              <w:spacing w:after="20" w:before="20"/>
              <w:jc w:val="right"/>
            </w:pPr>
            <w:r/>
            <w:r>
              <w:rPr>
                <w:b w:val="0"/>
                <w:i w:val="0"/>
                <w:sz w:val="19"/>
              </w:rPr>
              <w:t>430</w:t>
            </w:r>
          </w:p>
        </w:tc>
      </w:tr>
      <w:tr>
        <w:tc>
          <w:tcPr>
            <w:tcW w:type="dxa" w:w="4680"/>
            <w:shd w:val="clear" w:fill="EFF3F1"/>
          </w:tcPr>
          <w:p>
            <w:pPr>
              <w:spacing w:after="20" w:before="20"/>
            </w:pPr>
            <w:r/>
            <w:r>
              <w:rPr>
                <w:b w:val="0"/>
                <w:i w:val="0"/>
                <w:sz w:val="19"/>
              </w:rPr>
              <w:t>Capitalisation rate (Ke − g)</w:t>
            </w:r>
          </w:p>
        </w:tc>
        <w:tc>
          <w:tcPr>
            <w:tcW w:type="dxa" w:w="4680"/>
            <w:shd w:val="clear" w:fill="EFF3F1"/>
          </w:tcPr>
          <w:p>
            <w:pPr>
              <w:spacing w:after="20" w:before="20"/>
              <w:jc w:val="right"/>
            </w:pPr>
            <w:r/>
            <w:r>
              <w:rPr>
                <w:b w:val="0"/>
                <w:i w:val="0"/>
                <w:sz w:val="19"/>
              </w:rPr>
              <w:t>13.5%</w:t>
            </w:r>
          </w:p>
        </w:tc>
      </w:tr>
      <w:tr>
        <w:tc>
          <w:tcPr>
            <w:tcW w:type="dxa" w:w="4680"/>
          </w:tcPr>
          <w:p>
            <w:pPr>
              <w:spacing w:after="20" w:before="20"/>
            </w:pPr>
            <w:r/>
            <w:r>
              <w:rPr>
                <w:b w:val="0"/>
                <w:i w:val="0"/>
                <w:sz w:val="19"/>
              </w:rPr>
              <w:t>Implied equity value (EGP m)</w:t>
            </w:r>
          </w:p>
        </w:tc>
        <w:tc>
          <w:tcPr>
            <w:tcW w:type="dxa" w:w="4680"/>
          </w:tcPr>
          <w:p>
            <w:pPr>
              <w:spacing w:after="20" w:before="20"/>
              <w:jc w:val="right"/>
            </w:pPr>
            <w:r/>
            <w:r>
              <w:rPr>
                <w:b w:val="0"/>
                <w:i w:val="0"/>
                <w:sz w:val="19"/>
              </w:rPr>
              <w:t>3,185</w:t>
            </w:r>
          </w:p>
        </w:tc>
      </w:tr>
      <w:tr>
        <w:tc>
          <w:tcPr>
            <w:tcW w:type="dxa" w:w="4680"/>
            <w:shd w:val="clear" w:fill="EFF3F1"/>
          </w:tcPr>
          <w:p>
            <w:pPr>
              <w:spacing w:after="20" w:before="20"/>
            </w:pPr>
            <w:r/>
            <w:r>
              <w:rPr>
                <w:b w:val="0"/>
                <w:i w:val="0"/>
                <w:sz w:val="19"/>
              </w:rPr>
              <w:t>less: haircut for negative near-term FCF / WC trap (20%)</w:t>
            </w:r>
          </w:p>
        </w:tc>
        <w:tc>
          <w:tcPr>
            <w:tcW w:type="dxa" w:w="4680"/>
            <w:shd w:val="clear" w:fill="EFF3F1"/>
          </w:tcPr>
          <w:p>
            <w:pPr>
              <w:spacing w:after="20" w:before="20"/>
              <w:jc w:val="right"/>
            </w:pPr>
            <w:r/>
            <w:r>
              <w:rPr>
                <w:b w:val="0"/>
                <w:i w:val="0"/>
                <w:sz w:val="19"/>
              </w:rPr>
              <w:t>(637)</w:t>
            </w:r>
          </w:p>
        </w:tc>
      </w:tr>
      <w:tr>
        <w:tc>
          <w:tcPr>
            <w:tcW w:type="dxa" w:w="4680"/>
          </w:tcPr>
          <w:p>
            <w:pPr>
              <w:spacing w:after="20" w:before="20"/>
            </w:pPr>
            <w:r/>
            <w:r>
              <w:rPr>
                <w:b w:val="0"/>
                <w:i w:val="0"/>
                <w:sz w:val="19"/>
              </w:rPr>
              <w:t>Equity value (EGP m)</w:t>
            </w:r>
          </w:p>
        </w:tc>
        <w:tc>
          <w:tcPr>
            <w:tcW w:type="dxa" w:w="4680"/>
          </w:tcPr>
          <w:p>
            <w:pPr>
              <w:spacing w:after="20" w:before="20"/>
              <w:jc w:val="right"/>
            </w:pPr>
            <w:r/>
            <w:r>
              <w:rPr>
                <w:b w:val="0"/>
                <w:i w:val="0"/>
                <w:sz w:val="19"/>
              </w:rPr>
              <w:t>2,548</w:t>
            </w:r>
          </w:p>
        </w:tc>
      </w:tr>
      <w:tr>
        <w:tc>
          <w:tcPr>
            <w:tcW w:type="dxa" w:w="4680"/>
            <w:shd w:val="clear" w:fill="EFF3F1"/>
          </w:tcPr>
          <w:p>
            <w:pPr>
              <w:spacing w:after="20" w:before="20"/>
            </w:pPr>
            <w:r/>
            <w:r>
              <w:rPr>
                <w:b/>
                <w:i w:val="0"/>
                <w:sz w:val="19"/>
              </w:rPr>
              <w:t>Fair value / share (EGP)</w:t>
            </w:r>
          </w:p>
        </w:tc>
        <w:tc>
          <w:tcPr>
            <w:tcW w:type="dxa" w:w="4680"/>
            <w:shd w:val="clear" w:fill="EFF3F1"/>
          </w:tcPr>
          <w:p>
            <w:pPr>
              <w:spacing w:after="20" w:before="20"/>
              <w:jc w:val="right"/>
            </w:pPr>
            <w:r/>
            <w:r>
              <w:rPr>
                <w:b/>
                <w:i w:val="0"/>
                <w:sz w:val="19"/>
              </w:rPr>
              <w:t>~32</w:t>
            </w:r>
          </w:p>
        </w:tc>
      </w:tr>
    </w:tbl>
    <w:p/>
    <w:p>
      <w:r>
        <w:rPr>
          <w:b/>
          <w:i w:val="0"/>
        </w:rPr>
        <w:t>FCFE base ≈ EGP 32</w:t>
      </w:r>
      <w:r>
        <w:rPr>
          <w:b w:val="0"/>
          <w:i w:val="0"/>
        </w:rPr>
        <w:t xml:space="preserve"> — deliberately the most conservative lens, and the closest to where a cash-focused sceptic anchors. It treats the working-capital absorption as a structural feature until proven otherwise, and it is the number that says "even discounting the cash problem hard, the shares are not expensive."</w:t>
      </w:r>
    </w:p>
    <w:p>
      <w:pPr>
        <w:pStyle w:val="Heading2"/>
      </w:pPr>
      <w:r>
        <w:t>1.3  Relative multiples</w:t>
      </w:r>
    </w:p>
    <w:p>
      <w:r>
        <w:rPr>
          <w:b w:val="0"/>
          <w:i w:val="0"/>
        </w:rPr>
        <w:t>On its own trough numbers Lecico screens cheap on every metric. At spot, market capitalisation of EGP 2,356m plus reported net debt of EGP 1,270m is an enterprise value of ~EGP 3,626m — about 3.7× trailing 2025 EBITDA of EGP 981m, and closer to 3.0× on a normalized ~EGP 1,150m. Trailing earnings put the shares on ~9.7× (2025 EPS EGP 3.05) and ~5–6× on normalized earnings, and the stock trades at just 0.59× book value.</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2340"/>
        <w:gridCol w:w="2340"/>
        <w:gridCol w:w="2340"/>
        <w:gridCol w:w="2340"/>
      </w:tblGrid>
      <w:tr>
        <w:tc>
          <w:tcPr>
            <w:tcW w:type="dxa" w:w="2340"/>
            <w:shd w:val="clear" w:fill="1C3A36"/>
          </w:tcPr>
          <w:p>
            <w:pPr>
              <w:spacing w:after="20" w:before="20"/>
            </w:pPr>
            <w:r/>
            <w:r>
              <w:rPr>
                <w:b/>
                <w:i w:val="0"/>
                <w:color w:val="FFFFFF"/>
                <w:sz w:val="19"/>
              </w:rPr>
              <w:t>Relative basis</w:t>
            </w:r>
          </w:p>
        </w:tc>
        <w:tc>
          <w:tcPr>
            <w:tcW w:type="dxa" w:w="2340"/>
            <w:shd w:val="clear" w:fill="1C3A36"/>
          </w:tcPr>
          <w:p>
            <w:pPr>
              <w:spacing w:after="20" w:before="20"/>
              <w:jc w:val="right"/>
            </w:pPr>
            <w:r/>
            <w:r>
              <w:rPr>
                <w:b/>
                <w:i w:val="0"/>
                <w:color w:val="FFFFFF"/>
                <w:sz w:val="19"/>
              </w:rPr>
              <w:t>Bear</w:t>
            </w:r>
          </w:p>
        </w:tc>
        <w:tc>
          <w:tcPr>
            <w:tcW w:type="dxa" w:w="2340"/>
            <w:shd w:val="clear" w:fill="1C3A36"/>
          </w:tcPr>
          <w:p>
            <w:pPr>
              <w:spacing w:after="20" w:before="20"/>
              <w:jc w:val="right"/>
            </w:pPr>
            <w:r/>
            <w:r>
              <w:rPr>
                <w:b/>
                <w:i w:val="0"/>
                <w:color w:val="FFFFFF"/>
                <w:sz w:val="19"/>
              </w:rPr>
              <w:t>Base</w:t>
            </w:r>
          </w:p>
        </w:tc>
        <w:tc>
          <w:tcPr>
            <w:tcW w:type="dxa" w:w="2340"/>
            <w:shd w:val="clear" w:fill="1C3A36"/>
          </w:tcPr>
          <w:p>
            <w:pPr>
              <w:spacing w:after="20" w:before="20"/>
              <w:jc w:val="right"/>
            </w:pPr>
            <w:r/>
            <w:r>
              <w:rPr>
                <w:b/>
                <w:i w:val="0"/>
                <w:color w:val="FFFFFF"/>
                <w:sz w:val="19"/>
              </w:rPr>
              <w:t>Bull</w:t>
            </w:r>
          </w:p>
        </w:tc>
      </w:tr>
      <w:tr>
        <w:tc>
          <w:tcPr>
            <w:tcW w:type="dxa" w:w="2340"/>
          </w:tcPr>
          <w:p>
            <w:pPr>
              <w:spacing w:after="20" w:before="20"/>
            </w:pPr>
            <w:r/>
            <w:r>
              <w:rPr>
                <w:b w:val="0"/>
                <w:i w:val="0"/>
                <w:sz w:val="19"/>
              </w:rPr>
              <w:t>Normalized EBITDA (EGP m)</w:t>
            </w:r>
          </w:p>
        </w:tc>
        <w:tc>
          <w:tcPr>
            <w:tcW w:type="dxa" w:w="2340"/>
          </w:tcPr>
          <w:p>
            <w:pPr>
              <w:spacing w:after="20" w:before="20"/>
              <w:jc w:val="right"/>
            </w:pPr>
            <w:r/>
            <w:r>
              <w:rPr>
                <w:b w:val="0"/>
                <w:i w:val="0"/>
                <w:sz w:val="19"/>
              </w:rPr>
              <w:t>1,000</w:t>
            </w:r>
          </w:p>
        </w:tc>
        <w:tc>
          <w:tcPr>
            <w:tcW w:type="dxa" w:w="2340"/>
          </w:tcPr>
          <w:p>
            <w:pPr>
              <w:spacing w:after="20" w:before="20"/>
              <w:jc w:val="right"/>
            </w:pPr>
            <w:r/>
            <w:r>
              <w:rPr>
                <w:b w:val="0"/>
                <w:i w:val="0"/>
                <w:sz w:val="19"/>
              </w:rPr>
              <w:t>1,100</w:t>
            </w:r>
          </w:p>
        </w:tc>
        <w:tc>
          <w:tcPr>
            <w:tcW w:type="dxa" w:w="2340"/>
          </w:tcPr>
          <w:p>
            <w:pPr>
              <w:spacing w:after="20" w:before="20"/>
              <w:jc w:val="right"/>
            </w:pPr>
            <w:r/>
            <w:r>
              <w:rPr>
                <w:b w:val="0"/>
                <w:i w:val="0"/>
                <w:sz w:val="19"/>
              </w:rPr>
              <w:t>1,250</w:t>
            </w:r>
          </w:p>
        </w:tc>
      </w:tr>
      <w:tr>
        <w:tc>
          <w:tcPr>
            <w:tcW w:type="dxa" w:w="2340"/>
            <w:shd w:val="clear" w:fill="EFF3F1"/>
          </w:tcPr>
          <w:p>
            <w:pPr>
              <w:spacing w:after="20" w:before="20"/>
            </w:pPr>
            <w:r/>
            <w:r>
              <w:rPr>
                <w:b w:val="0"/>
                <w:i w:val="0"/>
                <w:sz w:val="19"/>
              </w:rPr>
              <w:t>EV/EBITDA multiple</w:t>
            </w:r>
          </w:p>
        </w:tc>
        <w:tc>
          <w:tcPr>
            <w:tcW w:type="dxa" w:w="2340"/>
            <w:shd w:val="clear" w:fill="EFF3F1"/>
          </w:tcPr>
          <w:p>
            <w:pPr>
              <w:spacing w:after="20" w:before="20"/>
              <w:jc w:val="right"/>
            </w:pPr>
            <w:r/>
            <w:r>
              <w:rPr>
                <w:b w:val="0"/>
                <w:i w:val="0"/>
                <w:sz w:val="19"/>
              </w:rPr>
              <w:t>3.5×</w:t>
            </w:r>
          </w:p>
        </w:tc>
        <w:tc>
          <w:tcPr>
            <w:tcW w:type="dxa" w:w="2340"/>
            <w:shd w:val="clear" w:fill="EFF3F1"/>
          </w:tcPr>
          <w:p>
            <w:pPr>
              <w:spacing w:after="20" w:before="20"/>
              <w:jc w:val="right"/>
            </w:pPr>
            <w:r/>
            <w:r>
              <w:rPr>
                <w:b w:val="0"/>
                <w:i w:val="0"/>
                <w:sz w:val="19"/>
              </w:rPr>
              <w:t>4.0×</w:t>
            </w:r>
          </w:p>
        </w:tc>
        <w:tc>
          <w:tcPr>
            <w:tcW w:type="dxa" w:w="2340"/>
            <w:shd w:val="clear" w:fill="EFF3F1"/>
          </w:tcPr>
          <w:p>
            <w:pPr>
              <w:spacing w:after="20" w:before="20"/>
              <w:jc w:val="right"/>
            </w:pPr>
            <w:r/>
            <w:r>
              <w:rPr>
                <w:b w:val="0"/>
                <w:i w:val="0"/>
                <w:sz w:val="19"/>
              </w:rPr>
              <w:t>4.75×</w:t>
            </w:r>
          </w:p>
        </w:tc>
      </w:tr>
      <w:tr>
        <w:tc>
          <w:tcPr>
            <w:tcW w:type="dxa" w:w="2340"/>
          </w:tcPr>
          <w:p>
            <w:pPr>
              <w:spacing w:after="20" w:before="20"/>
            </w:pPr>
            <w:r/>
            <w:r>
              <w:rPr>
                <w:b w:val="0"/>
                <w:i w:val="0"/>
                <w:sz w:val="19"/>
              </w:rPr>
              <w:t>Fair value (EGP/share)</w:t>
            </w:r>
          </w:p>
        </w:tc>
        <w:tc>
          <w:tcPr>
            <w:tcW w:type="dxa" w:w="2340"/>
          </w:tcPr>
          <w:p>
            <w:pPr>
              <w:spacing w:after="20" w:before="20"/>
              <w:jc w:val="right"/>
            </w:pPr>
            <w:r/>
            <w:r>
              <w:rPr>
                <w:b w:val="0"/>
                <w:i w:val="0"/>
                <w:sz w:val="19"/>
              </w:rPr>
              <w:t>28</w:t>
            </w:r>
          </w:p>
        </w:tc>
        <w:tc>
          <w:tcPr>
            <w:tcW w:type="dxa" w:w="2340"/>
          </w:tcPr>
          <w:p>
            <w:pPr>
              <w:spacing w:after="20" w:before="20"/>
              <w:jc w:val="right"/>
            </w:pPr>
            <w:r/>
            <w:r>
              <w:rPr>
                <w:b w:val="0"/>
                <w:i w:val="0"/>
                <w:sz w:val="19"/>
              </w:rPr>
              <w:t>39</w:t>
            </w:r>
          </w:p>
        </w:tc>
        <w:tc>
          <w:tcPr>
            <w:tcW w:type="dxa" w:w="2340"/>
          </w:tcPr>
          <w:p>
            <w:pPr>
              <w:spacing w:after="20" w:before="20"/>
              <w:jc w:val="right"/>
            </w:pPr>
            <w:r/>
            <w:r>
              <w:rPr>
                <w:b w:val="0"/>
                <w:i w:val="0"/>
                <w:sz w:val="19"/>
              </w:rPr>
              <w:t>52</w:t>
            </w:r>
          </w:p>
        </w:tc>
      </w:tr>
    </w:tbl>
    <w:p/>
    <w:p>
      <w:r>
        <w:rPr>
          <w:b/>
          <w:i w:val="0"/>
        </w:rPr>
        <w:t>Relative base ≈ EGP 39.</w:t>
      </w:r>
      <w:r>
        <w:rPr>
          <w:b w:val="0"/>
          <w:i w:val="0"/>
        </w:rPr>
        <w:t xml:space="preserve"> Regional ceramics peers trade richer — RAK Ceramics ~5–6× EV/EBITDA, Saudi Ceramics ~6–8×, Indian names (Kajaria, Cera) at growth multiples of 18–28× — so even a modest 4.0× on Lecico's normalized EBITDA, an EGX-appropriate discount to those peers, lands well above spot. The lens treats Lecico as a cyclical building-materials manufacturer at a trough, not a structural compounder, and assigns no premium for the export franchise.</w:t>
      </w:r>
    </w:p>
    <w:p>
      <w:pPr>
        <w:pStyle w:val="Heading2"/>
      </w:pPr>
      <w:r>
        <w:t>1.4  Normalized earnings power</w:t>
      </w:r>
    </w:p>
    <w:p>
      <w:r>
        <w:rPr>
          <w:b w:val="0"/>
          <w:i w:val="0"/>
        </w:rPr>
        <w:t xml:space="preserve">Lecico's earnings sit at a clear </w:t>
      </w:r>
      <w:r>
        <w:rPr>
          <w:b/>
          <w:i w:val="0"/>
        </w:rPr>
        <w:t>trough</w:t>
      </w:r>
      <w:r>
        <w:rPr>
          <w:b w:val="0"/>
          <w:i w:val="0"/>
        </w:rPr>
        <w:t>: 2025 EBIT margin of 9.5% compares with 17.3% in 2024 and 19.4% in 2023, and the 2022 result was an operating loss. Through the cycle the business has earned a mid-cycle EBIT margin closer to ~13%. Normalizing net income to ~EGP 460m (roughly the 2023 level, and below the FX-inflated 2024 of EGP 890m) gives normalized EPS of ~EGP 5.75; a justified through-cycle P/E of ~6.8× — below regional peers, reflecting Egypt-specific policy and currency risk — yields the value.</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2340"/>
        <w:gridCol w:w="2340"/>
        <w:gridCol w:w="2340"/>
        <w:gridCol w:w="2340"/>
      </w:tblGrid>
      <w:tr>
        <w:tc>
          <w:tcPr>
            <w:tcW w:type="dxa" w:w="2340"/>
            <w:shd w:val="clear" w:fill="1C3A36"/>
          </w:tcPr>
          <w:p>
            <w:pPr>
              <w:spacing w:after="20" w:before="20"/>
            </w:pPr>
            <w:r/>
            <w:r>
              <w:rPr>
                <w:b/>
                <w:i w:val="0"/>
                <w:color w:val="FFFFFF"/>
                <w:sz w:val="19"/>
              </w:rPr>
              <w:t>Normalized-earnings basis</w:t>
            </w:r>
          </w:p>
        </w:tc>
        <w:tc>
          <w:tcPr>
            <w:tcW w:type="dxa" w:w="2340"/>
            <w:shd w:val="clear" w:fill="1C3A36"/>
          </w:tcPr>
          <w:p>
            <w:pPr>
              <w:spacing w:after="20" w:before="20"/>
              <w:jc w:val="right"/>
            </w:pPr>
            <w:r/>
            <w:r>
              <w:rPr>
                <w:b/>
                <w:i w:val="0"/>
                <w:color w:val="FFFFFF"/>
                <w:sz w:val="19"/>
              </w:rPr>
              <w:t>Bear</w:t>
            </w:r>
          </w:p>
        </w:tc>
        <w:tc>
          <w:tcPr>
            <w:tcW w:type="dxa" w:w="2340"/>
            <w:shd w:val="clear" w:fill="1C3A36"/>
          </w:tcPr>
          <w:p>
            <w:pPr>
              <w:spacing w:after="20" w:before="20"/>
              <w:jc w:val="right"/>
            </w:pPr>
            <w:r/>
            <w:r>
              <w:rPr>
                <w:b/>
                <w:i w:val="0"/>
                <w:color w:val="FFFFFF"/>
                <w:sz w:val="19"/>
              </w:rPr>
              <w:t>Base</w:t>
            </w:r>
          </w:p>
        </w:tc>
        <w:tc>
          <w:tcPr>
            <w:tcW w:type="dxa" w:w="2340"/>
            <w:shd w:val="clear" w:fill="1C3A36"/>
          </w:tcPr>
          <w:p>
            <w:pPr>
              <w:spacing w:after="20" w:before="20"/>
              <w:jc w:val="right"/>
            </w:pPr>
            <w:r/>
            <w:r>
              <w:rPr>
                <w:b/>
                <w:i w:val="0"/>
                <w:color w:val="FFFFFF"/>
                <w:sz w:val="19"/>
              </w:rPr>
              <w:t>Bull</w:t>
            </w:r>
          </w:p>
        </w:tc>
      </w:tr>
      <w:tr>
        <w:tc>
          <w:tcPr>
            <w:tcW w:type="dxa" w:w="2340"/>
          </w:tcPr>
          <w:p>
            <w:pPr>
              <w:spacing w:after="20" w:before="20"/>
            </w:pPr>
            <w:r/>
            <w:r>
              <w:rPr>
                <w:b w:val="0"/>
                <w:i w:val="0"/>
                <w:sz w:val="19"/>
              </w:rPr>
              <w:t>Mid-cycle net income (EGP m)</w:t>
            </w:r>
          </w:p>
        </w:tc>
        <w:tc>
          <w:tcPr>
            <w:tcW w:type="dxa" w:w="2340"/>
          </w:tcPr>
          <w:p>
            <w:pPr>
              <w:spacing w:after="20" w:before="20"/>
              <w:jc w:val="right"/>
            </w:pPr>
            <w:r/>
            <w:r>
              <w:rPr>
                <w:b w:val="0"/>
                <w:i w:val="0"/>
                <w:sz w:val="19"/>
              </w:rPr>
              <w:t>350</w:t>
            </w:r>
          </w:p>
        </w:tc>
        <w:tc>
          <w:tcPr>
            <w:tcW w:type="dxa" w:w="2340"/>
          </w:tcPr>
          <w:p>
            <w:pPr>
              <w:spacing w:after="20" w:before="20"/>
              <w:jc w:val="right"/>
            </w:pPr>
            <w:r/>
            <w:r>
              <w:rPr>
                <w:b w:val="0"/>
                <w:i w:val="0"/>
                <w:sz w:val="19"/>
              </w:rPr>
              <w:t>460</w:t>
            </w:r>
          </w:p>
        </w:tc>
        <w:tc>
          <w:tcPr>
            <w:tcW w:type="dxa" w:w="2340"/>
          </w:tcPr>
          <w:p>
            <w:pPr>
              <w:spacing w:after="20" w:before="20"/>
              <w:jc w:val="right"/>
            </w:pPr>
            <w:r/>
            <w:r>
              <w:rPr>
                <w:b w:val="0"/>
                <w:i w:val="0"/>
                <w:sz w:val="19"/>
              </w:rPr>
              <w:t>620</w:t>
            </w:r>
          </w:p>
        </w:tc>
      </w:tr>
      <w:tr>
        <w:tc>
          <w:tcPr>
            <w:tcW w:type="dxa" w:w="2340"/>
            <w:shd w:val="clear" w:fill="EFF3F1"/>
          </w:tcPr>
          <w:p>
            <w:pPr>
              <w:spacing w:after="20" w:before="20"/>
            </w:pPr>
            <w:r/>
            <w:r>
              <w:rPr>
                <w:b w:val="0"/>
                <w:i w:val="0"/>
                <w:sz w:val="19"/>
              </w:rPr>
              <w:t>Normalized EPS (EGP)</w:t>
            </w:r>
          </w:p>
        </w:tc>
        <w:tc>
          <w:tcPr>
            <w:tcW w:type="dxa" w:w="2340"/>
            <w:shd w:val="clear" w:fill="EFF3F1"/>
          </w:tcPr>
          <w:p>
            <w:pPr>
              <w:spacing w:after="20" w:before="20"/>
              <w:jc w:val="right"/>
            </w:pPr>
            <w:r/>
            <w:r>
              <w:rPr>
                <w:b w:val="0"/>
                <w:i w:val="0"/>
                <w:sz w:val="19"/>
              </w:rPr>
              <w:t>4.4</w:t>
            </w:r>
          </w:p>
        </w:tc>
        <w:tc>
          <w:tcPr>
            <w:tcW w:type="dxa" w:w="2340"/>
            <w:shd w:val="clear" w:fill="EFF3F1"/>
          </w:tcPr>
          <w:p>
            <w:pPr>
              <w:spacing w:after="20" w:before="20"/>
              <w:jc w:val="right"/>
            </w:pPr>
            <w:r/>
            <w:r>
              <w:rPr>
                <w:b w:val="0"/>
                <w:i w:val="0"/>
                <w:sz w:val="19"/>
              </w:rPr>
              <w:t>5.75</w:t>
            </w:r>
          </w:p>
        </w:tc>
        <w:tc>
          <w:tcPr>
            <w:tcW w:type="dxa" w:w="2340"/>
            <w:shd w:val="clear" w:fill="EFF3F1"/>
          </w:tcPr>
          <w:p>
            <w:pPr>
              <w:spacing w:after="20" w:before="20"/>
              <w:jc w:val="right"/>
            </w:pPr>
            <w:r/>
            <w:r>
              <w:rPr>
                <w:b w:val="0"/>
                <w:i w:val="0"/>
                <w:sz w:val="19"/>
              </w:rPr>
              <w:t>7.75</w:t>
            </w:r>
          </w:p>
        </w:tc>
      </w:tr>
      <w:tr>
        <w:tc>
          <w:tcPr>
            <w:tcW w:type="dxa" w:w="2340"/>
          </w:tcPr>
          <w:p>
            <w:pPr>
              <w:spacing w:after="20" w:before="20"/>
            </w:pPr>
            <w:r/>
            <w:r>
              <w:rPr>
                <w:b w:val="0"/>
                <w:i w:val="0"/>
                <w:sz w:val="19"/>
              </w:rPr>
              <w:t>Justified P/E</w:t>
            </w:r>
          </w:p>
        </w:tc>
        <w:tc>
          <w:tcPr>
            <w:tcW w:type="dxa" w:w="2340"/>
          </w:tcPr>
          <w:p>
            <w:pPr>
              <w:spacing w:after="20" w:before="20"/>
              <w:jc w:val="right"/>
            </w:pPr>
            <w:r/>
            <w:r>
              <w:rPr>
                <w:b w:val="0"/>
                <w:i w:val="0"/>
                <w:sz w:val="19"/>
              </w:rPr>
              <w:t>6.0×</w:t>
            </w:r>
          </w:p>
        </w:tc>
        <w:tc>
          <w:tcPr>
            <w:tcW w:type="dxa" w:w="2340"/>
          </w:tcPr>
          <w:p>
            <w:pPr>
              <w:spacing w:after="20" w:before="20"/>
              <w:jc w:val="right"/>
            </w:pPr>
            <w:r/>
            <w:r>
              <w:rPr>
                <w:b w:val="0"/>
                <w:i w:val="0"/>
                <w:sz w:val="19"/>
              </w:rPr>
              <w:t>6.8×</w:t>
            </w:r>
          </w:p>
        </w:tc>
        <w:tc>
          <w:tcPr>
            <w:tcW w:type="dxa" w:w="2340"/>
          </w:tcPr>
          <w:p>
            <w:pPr>
              <w:spacing w:after="20" w:before="20"/>
              <w:jc w:val="right"/>
            </w:pPr>
            <w:r/>
            <w:r>
              <w:rPr>
                <w:b w:val="0"/>
                <w:i w:val="0"/>
                <w:sz w:val="19"/>
              </w:rPr>
              <w:t>6.8×</w:t>
            </w:r>
          </w:p>
        </w:tc>
      </w:tr>
      <w:tr>
        <w:tc>
          <w:tcPr>
            <w:tcW w:type="dxa" w:w="2340"/>
            <w:shd w:val="clear" w:fill="EFF3F1"/>
          </w:tcPr>
          <w:p>
            <w:pPr>
              <w:spacing w:after="20" w:before="20"/>
            </w:pPr>
            <w:r/>
            <w:r>
              <w:rPr>
                <w:b w:val="0"/>
                <w:i w:val="0"/>
                <w:sz w:val="19"/>
              </w:rPr>
              <w:t>Fair value (EGP/share)</w:t>
            </w:r>
          </w:p>
        </w:tc>
        <w:tc>
          <w:tcPr>
            <w:tcW w:type="dxa" w:w="2340"/>
            <w:shd w:val="clear" w:fill="EFF3F1"/>
          </w:tcPr>
          <w:p>
            <w:pPr>
              <w:spacing w:after="20" w:before="20"/>
              <w:jc w:val="right"/>
            </w:pPr>
            <w:r/>
            <w:r>
              <w:rPr>
                <w:b w:val="0"/>
                <w:i w:val="0"/>
                <w:sz w:val="19"/>
              </w:rPr>
              <w:t>27</w:t>
            </w:r>
          </w:p>
        </w:tc>
        <w:tc>
          <w:tcPr>
            <w:tcW w:type="dxa" w:w="2340"/>
            <w:shd w:val="clear" w:fill="EFF3F1"/>
          </w:tcPr>
          <w:p>
            <w:pPr>
              <w:spacing w:after="20" w:before="20"/>
              <w:jc w:val="right"/>
            </w:pPr>
            <w:r/>
            <w:r>
              <w:rPr>
                <w:b w:val="0"/>
                <w:i w:val="0"/>
                <w:sz w:val="19"/>
              </w:rPr>
              <w:t>39</w:t>
            </w:r>
          </w:p>
        </w:tc>
        <w:tc>
          <w:tcPr>
            <w:tcW w:type="dxa" w:w="2340"/>
            <w:shd w:val="clear" w:fill="EFF3F1"/>
          </w:tcPr>
          <w:p>
            <w:pPr>
              <w:spacing w:after="20" w:before="20"/>
              <w:jc w:val="right"/>
            </w:pPr>
            <w:r/>
            <w:r>
              <w:rPr>
                <w:b w:val="0"/>
                <w:i w:val="0"/>
                <w:sz w:val="19"/>
              </w:rPr>
              <w:t>53</w:t>
            </w:r>
          </w:p>
        </w:tc>
      </w:tr>
    </w:tbl>
    <w:p/>
    <w:p>
      <w:r>
        <w:rPr>
          <w:b/>
          <w:i w:val="0"/>
        </w:rPr>
        <w:t>Normalized-earnings base ≈ EGP 39</w:t>
      </w:r>
      <w:r>
        <w:rPr>
          <w:b w:val="0"/>
          <w:i w:val="0"/>
        </w:rPr>
        <w:t xml:space="preserve"> — the recovery lens, and, with the relative read, the joint high of the central case. It is, in effect, the bet that 2025 was the trough and not the new normal — a bet §1.7 examines in the pound.</w:t>
      </w:r>
    </w:p>
    <w:p>
      <w:pPr>
        <w:pStyle w:val="Heading2"/>
      </w:pPr>
      <w:r>
        <w:t>1.5  Synthesis — five lenses</w:t>
      </w:r>
    </w:p>
    <w:p>
      <w:r>
        <w:rPr>
          <w:b w:val="0"/>
          <w:i w:val="0"/>
        </w:rPr>
        <w:t>We weight the DCF most heavily as the primary going-concern anchor, give the recovery thesis to the relative and normalized-earnings lenses, keep a real weight on the conservative owner-earnings read (because cash conversion is the genuine risk), and let the asset/reproduction value anchor the floor. We never blend divergent methods into a single point (device A-8); the football field, plus the three-month distribution, is the honest representation.</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872"/>
        <w:gridCol w:w="1872"/>
        <w:gridCol w:w="1872"/>
        <w:gridCol w:w="1872"/>
        <w:gridCol w:w="1872"/>
      </w:tblGrid>
      <w:tr>
        <w:tc>
          <w:tcPr>
            <w:tcW w:type="dxa" w:w="1872"/>
            <w:shd w:val="clear" w:fill="1C3A36"/>
          </w:tcPr>
          <w:p>
            <w:pPr>
              <w:spacing w:after="20" w:before="20"/>
            </w:pPr>
            <w:r/>
            <w:r>
              <w:rPr>
                <w:b/>
                <w:i w:val="0"/>
                <w:color w:val="FFFFFF"/>
                <w:sz w:val="19"/>
              </w:rPr>
              <w:t>Lens</w:t>
            </w:r>
          </w:p>
        </w:tc>
        <w:tc>
          <w:tcPr>
            <w:tcW w:type="dxa" w:w="1872"/>
            <w:shd w:val="clear" w:fill="1C3A36"/>
          </w:tcPr>
          <w:p>
            <w:pPr>
              <w:spacing w:after="20" w:before="20"/>
              <w:jc w:val="right"/>
            </w:pPr>
            <w:r/>
            <w:r>
              <w:rPr>
                <w:b/>
                <w:i w:val="0"/>
                <w:color w:val="FFFFFF"/>
                <w:sz w:val="19"/>
              </w:rPr>
              <w:t>Weight</w:t>
            </w:r>
          </w:p>
        </w:tc>
        <w:tc>
          <w:tcPr>
            <w:tcW w:type="dxa" w:w="1872"/>
            <w:shd w:val="clear" w:fill="1C3A36"/>
          </w:tcPr>
          <w:p>
            <w:pPr>
              <w:spacing w:after="20" w:before="20"/>
              <w:jc w:val="right"/>
            </w:pPr>
            <w:r/>
            <w:r>
              <w:rPr>
                <w:b/>
                <w:i w:val="0"/>
                <w:color w:val="FFFFFF"/>
                <w:sz w:val="19"/>
              </w:rPr>
              <w:t>Bear</w:t>
            </w:r>
          </w:p>
        </w:tc>
        <w:tc>
          <w:tcPr>
            <w:tcW w:type="dxa" w:w="1872"/>
            <w:shd w:val="clear" w:fill="1C3A36"/>
          </w:tcPr>
          <w:p>
            <w:pPr>
              <w:spacing w:after="20" w:before="20"/>
              <w:jc w:val="right"/>
            </w:pPr>
            <w:r/>
            <w:r>
              <w:rPr>
                <w:b/>
                <w:i w:val="0"/>
                <w:color w:val="FFFFFF"/>
                <w:sz w:val="19"/>
              </w:rPr>
              <w:t>Base</w:t>
            </w:r>
          </w:p>
        </w:tc>
        <w:tc>
          <w:tcPr>
            <w:tcW w:type="dxa" w:w="1872"/>
            <w:shd w:val="clear" w:fill="1C3A36"/>
          </w:tcPr>
          <w:p>
            <w:pPr>
              <w:spacing w:after="20" w:before="20"/>
              <w:jc w:val="right"/>
            </w:pPr>
            <w:r/>
            <w:r>
              <w:rPr>
                <w:b/>
                <w:i w:val="0"/>
                <w:color w:val="FFFFFF"/>
                <w:sz w:val="19"/>
              </w:rPr>
              <w:t>Bull</w:t>
            </w:r>
          </w:p>
        </w:tc>
      </w:tr>
      <w:tr>
        <w:tc>
          <w:tcPr>
            <w:tcW w:type="dxa" w:w="1872"/>
          </w:tcPr>
          <w:p>
            <w:pPr>
              <w:spacing w:after="20" w:before="20"/>
            </w:pPr>
            <w:r/>
            <w:r>
              <w:rPr>
                <w:b w:val="0"/>
                <w:i w:val="0"/>
                <w:sz w:val="19"/>
              </w:rPr>
              <w:t>FCFF DCF</w:t>
            </w:r>
          </w:p>
        </w:tc>
        <w:tc>
          <w:tcPr>
            <w:tcW w:type="dxa" w:w="1872"/>
          </w:tcPr>
          <w:p>
            <w:pPr>
              <w:spacing w:after="20" w:before="20"/>
              <w:jc w:val="right"/>
            </w:pPr>
            <w:r/>
            <w:r>
              <w:rPr>
                <w:b w:val="0"/>
                <w:i w:val="0"/>
                <w:sz w:val="19"/>
              </w:rPr>
              <w:t>30%</w:t>
            </w:r>
          </w:p>
        </w:tc>
        <w:tc>
          <w:tcPr>
            <w:tcW w:type="dxa" w:w="1872"/>
          </w:tcPr>
          <w:p>
            <w:pPr>
              <w:spacing w:after="20" w:before="20"/>
              <w:jc w:val="right"/>
            </w:pPr>
            <w:r/>
            <w:r>
              <w:rPr>
                <w:b w:val="0"/>
                <w:i w:val="0"/>
                <w:sz w:val="19"/>
              </w:rPr>
              <w:t>24</w:t>
            </w:r>
          </w:p>
        </w:tc>
        <w:tc>
          <w:tcPr>
            <w:tcW w:type="dxa" w:w="1872"/>
          </w:tcPr>
          <w:p>
            <w:pPr>
              <w:spacing w:after="20" w:before="20"/>
              <w:jc w:val="right"/>
            </w:pPr>
            <w:r/>
            <w:r>
              <w:rPr>
                <w:b w:val="0"/>
                <w:i w:val="0"/>
                <w:sz w:val="19"/>
              </w:rPr>
              <w:t>37</w:t>
            </w:r>
          </w:p>
        </w:tc>
        <w:tc>
          <w:tcPr>
            <w:tcW w:type="dxa" w:w="1872"/>
          </w:tcPr>
          <w:p>
            <w:pPr>
              <w:spacing w:after="20" w:before="20"/>
              <w:jc w:val="right"/>
            </w:pPr>
            <w:r/>
            <w:r>
              <w:rPr>
                <w:b w:val="0"/>
                <w:i w:val="0"/>
                <w:sz w:val="19"/>
              </w:rPr>
              <w:t>54</w:t>
            </w:r>
          </w:p>
        </w:tc>
      </w:tr>
      <w:tr>
        <w:tc>
          <w:tcPr>
            <w:tcW w:type="dxa" w:w="1872"/>
            <w:shd w:val="clear" w:fill="EFF3F1"/>
          </w:tcPr>
          <w:p>
            <w:pPr>
              <w:spacing w:after="20" w:before="20"/>
            </w:pPr>
            <w:r/>
            <w:r>
              <w:rPr>
                <w:b w:val="0"/>
                <w:i w:val="0"/>
                <w:sz w:val="19"/>
              </w:rPr>
              <w:t>Relative multiples</w:t>
            </w:r>
          </w:p>
        </w:tc>
        <w:tc>
          <w:tcPr>
            <w:tcW w:type="dxa" w:w="1872"/>
            <w:shd w:val="clear" w:fill="EFF3F1"/>
          </w:tcPr>
          <w:p>
            <w:pPr>
              <w:spacing w:after="20" w:before="20"/>
              <w:jc w:val="right"/>
            </w:pPr>
            <w:r/>
            <w:r>
              <w:rPr>
                <w:b w:val="0"/>
                <w:i w:val="0"/>
                <w:sz w:val="19"/>
              </w:rPr>
              <w:t>20%</w:t>
            </w:r>
          </w:p>
        </w:tc>
        <w:tc>
          <w:tcPr>
            <w:tcW w:type="dxa" w:w="1872"/>
            <w:shd w:val="clear" w:fill="EFF3F1"/>
          </w:tcPr>
          <w:p>
            <w:pPr>
              <w:spacing w:after="20" w:before="20"/>
              <w:jc w:val="right"/>
            </w:pPr>
            <w:r/>
            <w:r>
              <w:rPr>
                <w:b w:val="0"/>
                <w:i w:val="0"/>
                <w:sz w:val="19"/>
              </w:rPr>
              <w:t>28</w:t>
            </w:r>
          </w:p>
        </w:tc>
        <w:tc>
          <w:tcPr>
            <w:tcW w:type="dxa" w:w="1872"/>
            <w:shd w:val="clear" w:fill="EFF3F1"/>
          </w:tcPr>
          <w:p>
            <w:pPr>
              <w:spacing w:after="20" w:before="20"/>
              <w:jc w:val="right"/>
            </w:pPr>
            <w:r/>
            <w:r>
              <w:rPr>
                <w:b w:val="0"/>
                <w:i w:val="0"/>
                <w:sz w:val="19"/>
              </w:rPr>
              <w:t>39</w:t>
            </w:r>
          </w:p>
        </w:tc>
        <w:tc>
          <w:tcPr>
            <w:tcW w:type="dxa" w:w="1872"/>
            <w:shd w:val="clear" w:fill="EFF3F1"/>
          </w:tcPr>
          <w:p>
            <w:pPr>
              <w:spacing w:after="20" w:before="20"/>
              <w:jc w:val="right"/>
            </w:pPr>
            <w:r/>
            <w:r>
              <w:rPr>
                <w:b w:val="0"/>
                <w:i w:val="0"/>
                <w:sz w:val="19"/>
              </w:rPr>
              <w:t>52</w:t>
            </w:r>
          </w:p>
        </w:tc>
      </w:tr>
      <w:tr>
        <w:tc>
          <w:tcPr>
            <w:tcW w:type="dxa" w:w="1872"/>
          </w:tcPr>
          <w:p>
            <w:pPr>
              <w:spacing w:after="20" w:before="20"/>
            </w:pPr>
            <w:r/>
            <w:r>
              <w:rPr>
                <w:b w:val="0"/>
                <w:i w:val="0"/>
                <w:sz w:val="19"/>
              </w:rPr>
              <w:t>Normalized earnings</w:t>
            </w:r>
          </w:p>
        </w:tc>
        <w:tc>
          <w:tcPr>
            <w:tcW w:type="dxa" w:w="1872"/>
          </w:tcPr>
          <w:p>
            <w:pPr>
              <w:spacing w:after="20" w:before="20"/>
              <w:jc w:val="right"/>
            </w:pPr>
            <w:r/>
            <w:r>
              <w:rPr>
                <w:b w:val="0"/>
                <w:i w:val="0"/>
                <w:sz w:val="19"/>
              </w:rPr>
              <w:t>25%</w:t>
            </w:r>
          </w:p>
        </w:tc>
        <w:tc>
          <w:tcPr>
            <w:tcW w:type="dxa" w:w="1872"/>
          </w:tcPr>
          <w:p>
            <w:pPr>
              <w:spacing w:after="20" w:before="20"/>
              <w:jc w:val="right"/>
            </w:pPr>
            <w:r/>
            <w:r>
              <w:rPr>
                <w:b w:val="0"/>
                <w:i w:val="0"/>
                <w:sz w:val="19"/>
              </w:rPr>
              <w:t>27</w:t>
            </w:r>
          </w:p>
        </w:tc>
        <w:tc>
          <w:tcPr>
            <w:tcW w:type="dxa" w:w="1872"/>
          </w:tcPr>
          <w:p>
            <w:pPr>
              <w:spacing w:after="20" w:before="20"/>
              <w:jc w:val="right"/>
            </w:pPr>
            <w:r/>
            <w:r>
              <w:rPr>
                <w:b w:val="0"/>
                <w:i w:val="0"/>
                <w:sz w:val="19"/>
              </w:rPr>
              <w:t>39</w:t>
            </w:r>
          </w:p>
        </w:tc>
        <w:tc>
          <w:tcPr>
            <w:tcW w:type="dxa" w:w="1872"/>
          </w:tcPr>
          <w:p>
            <w:pPr>
              <w:spacing w:after="20" w:before="20"/>
              <w:jc w:val="right"/>
            </w:pPr>
            <w:r/>
            <w:r>
              <w:rPr>
                <w:b w:val="0"/>
                <w:i w:val="0"/>
                <w:sz w:val="19"/>
              </w:rPr>
              <w:t>53</w:t>
            </w:r>
          </w:p>
        </w:tc>
      </w:tr>
      <w:tr>
        <w:tc>
          <w:tcPr>
            <w:tcW w:type="dxa" w:w="1872"/>
            <w:shd w:val="clear" w:fill="EFF3F1"/>
          </w:tcPr>
          <w:p>
            <w:pPr>
              <w:spacing w:after="20" w:before="20"/>
            </w:pPr>
            <w:r/>
            <w:r>
              <w:rPr>
                <w:b w:val="0"/>
                <w:i w:val="0"/>
                <w:sz w:val="19"/>
              </w:rPr>
              <w:t>FCFE / owner-earnings</w:t>
            </w:r>
          </w:p>
        </w:tc>
        <w:tc>
          <w:tcPr>
            <w:tcW w:type="dxa" w:w="1872"/>
            <w:shd w:val="clear" w:fill="EFF3F1"/>
          </w:tcPr>
          <w:p>
            <w:pPr>
              <w:spacing w:after="20" w:before="20"/>
              <w:jc w:val="right"/>
            </w:pPr>
            <w:r/>
            <w:r>
              <w:rPr>
                <w:b w:val="0"/>
                <w:i w:val="0"/>
                <w:sz w:val="19"/>
              </w:rPr>
              <w:t>10%</w:t>
            </w:r>
          </w:p>
        </w:tc>
        <w:tc>
          <w:tcPr>
            <w:tcW w:type="dxa" w:w="1872"/>
            <w:shd w:val="clear" w:fill="EFF3F1"/>
          </w:tcPr>
          <w:p>
            <w:pPr>
              <w:spacing w:after="20" w:before="20"/>
              <w:jc w:val="right"/>
            </w:pPr>
            <w:r/>
            <w:r>
              <w:rPr>
                <w:b w:val="0"/>
                <w:i w:val="0"/>
                <w:sz w:val="19"/>
              </w:rPr>
              <w:t>22</w:t>
            </w:r>
          </w:p>
        </w:tc>
        <w:tc>
          <w:tcPr>
            <w:tcW w:type="dxa" w:w="1872"/>
            <w:shd w:val="clear" w:fill="EFF3F1"/>
          </w:tcPr>
          <w:p>
            <w:pPr>
              <w:spacing w:after="20" w:before="20"/>
              <w:jc w:val="right"/>
            </w:pPr>
            <w:r/>
            <w:r>
              <w:rPr>
                <w:b w:val="0"/>
                <w:i w:val="0"/>
                <w:sz w:val="19"/>
              </w:rPr>
              <w:t>32</w:t>
            </w:r>
          </w:p>
        </w:tc>
        <w:tc>
          <w:tcPr>
            <w:tcW w:type="dxa" w:w="1872"/>
            <w:shd w:val="clear" w:fill="EFF3F1"/>
          </w:tcPr>
          <w:p>
            <w:pPr>
              <w:spacing w:after="20" w:before="20"/>
              <w:jc w:val="right"/>
            </w:pPr>
            <w:r/>
            <w:r>
              <w:rPr>
                <w:b w:val="0"/>
                <w:i w:val="0"/>
                <w:sz w:val="19"/>
              </w:rPr>
              <w:t>44</w:t>
            </w:r>
          </w:p>
        </w:tc>
      </w:tr>
      <w:tr>
        <w:tc>
          <w:tcPr>
            <w:tcW w:type="dxa" w:w="1872"/>
          </w:tcPr>
          <w:p>
            <w:pPr>
              <w:spacing w:after="20" w:before="20"/>
            </w:pPr>
            <w:r/>
            <w:r>
              <w:rPr>
                <w:b w:val="0"/>
                <w:i w:val="0"/>
                <w:sz w:val="19"/>
              </w:rPr>
              <w:t>Asset / reproduction</w:t>
            </w:r>
          </w:p>
        </w:tc>
        <w:tc>
          <w:tcPr>
            <w:tcW w:type="dxa" w:w="1872"/>
          </w:tcPr>
          <w:p>
            <w:pPr>
              <w:spacing w:after="20" w:before="20"/>
              <w:jc w:val="right"/>
            </w:pPr>
            <w:r/>
            <w:r>
              <w:rPr>
                <w:b w:val="0"/>
                <w:i w:val="0"/>
                <w:sz w:val="19"/>
              </w:rPr>
              <w:t>15%</w:t>
            </w:r>
          </w:p>
        </w:tc>
        <w:tc>
          <w:tcPr>
            <w:tcW w:type="dxa" w:w="1872"/>
          </w:tcPr>
          <w:p>
            <w:pPr>
              <w:spacing w:after="20" w:before="20"/>
              <w:jc w:val="right"/>
            </w:pPr>
            <w:r/>
            <w:r>
              <w:rPr>
                <w:b w:val="0"/>
                <w:i w:val="0"/>
                <w:sz w:val="19"/>
              </w:rPr>
              <w:t>30</w:t>
            </w:r>
          </w:p>
        </w:tc>
        <w:tc>
          <w:tcPr>
            <w:tcW w:type="dxa" w:w="1872"/>
          </w:tcPr>
          <w:p>
            <w:pPr>
              <w:spacing w:after="20" w:before="20"/>
              <w:jc w:val="right"/>
            </w:pPr>
            <w:r/>
            <w:r>
              <w:rPr>
                <w:b w:val="0"/>
                <w:i w:val="0"/>
                <w:sz w:val="19"/>
              </w:rPr>
              <w:t>36</w:t>
            </w:r>
          </w:p>
        </w:tc>
        <w:tc>
          <w:tcPr>
            <w:tcW w:type="dxa" w:w="1872"/>
          </w:tcPr>
          <w:p>
            <w:pPr>
              <w:spacing w:after="20" w:before="20"/>
              <w:jc w:val="right"/>
            </w:pPr>
            <w:r/>
            <w:r>
              <w:rPr>
                <w:b w:val="0"/>
                <w:i w:val="0"/>
                <w:sz w:val="19"/>
              </w:rPr>
              <w:t>44</w:t>
            </w:r>
          </w:p>
        </w:tc>
      </w:tr>
      <w:tr>
        <w:tc>
          <w:tcPr>
            <w:tcW w:type="dxa" w:w="1872"/>
            <w:shd w:val="clear" w:fill="EFF3F1"/>
          </w:tcPr>
          <w:p>
            <w:pPr>
              <w:spacing w:after="20" w:before="20"/>
            </w:pPr>
            <w:r/>
            <w:r>
              <w:rPr>
                <w:b/>
                <w:i w:val="0"/>
                <w:sz w:val="19"/>
              </w:rPr>
              <w:t>Weighted central</w:t>
            </w:r>
          </w:p>
        </w:tc>
        <w:tc>
          <w:tcPr>
            <w:tcW w:type="dxa" w:w="1872"/>
            <w:shd w:val="clear" w:fill="EFF3F1"/>
          </w:tcPr>
          <w:p>
            <w:pPr>
              <w:spacing w:after="20" w:before="20"/>
              <w:jc w:val="right"/>
            </w:pPr>
            <w:r/>
          </w:p>
        </w:tc>
        <w:tc>
          <w:tcPr>
            <w:tcW w:type="dxa" w:w="1872"/>
            <w:shd w:val="clear" w:fill="EFF3F1"/>
          </w:tcPr>
          <w:p>
            <w:pPr>
              <w:spacing w:after="20" w:before="20"/>
              <w:jc w:val="right"/>
            </w:pPr>
            <w:r/>
            <w:r>
              <w:rPr>
                <w:b/>
                <w:i w:val="0"/>
                <w:sz w:val="19"/>
              </w:rPr>
              <w:t>26</w:t>
            </w:r>
          </w:p>
        </w:tc>
        <w:tc>
          <w:tcPr>
            <w:tcW w:type="dxa" w:w="1872"/>
            <w:shd w:val="clear" w:fill="EFF3F1"/>
          </w:tcPr>
          <w:p>
            <w:pPr>
              <w:spacing w:after="20" w:before="20"/>
              <w:jc w:val="right"/>
            </w:pPr>
            <w:r/>
            <w:r>
              <w:rPr>
                <w:b/>
                <w:i w:val="0"/>
                <w:sz w:val="19"/>
              </w:rPr>
              <w:t>37</w:t>
            </w:r>
          </w:p>
        </w:tc>
        <w:tc>
          <w:tcPr>
            <w:tcW w:type="dxa" w:w="1872"/>
            <w:shd w:val="clear" w:fill="EFF3F1"/>
          </w:tcPr>
          <w:p>
            <w:pPr>
              <w:spacing w:after="20" w:before="20"/>
              <w:jc w:val="right"/>
            </w:pPr>
            <w:r/>
            <w:r>
              <w:rPr>
                <w:b/>
                <w:i w:val="0"/>
                <w:sz w:val="19"/>
              </w:rPr>
              <w:t>51</w:t>
            </w:r>
          </w:p>
        </w:tc>
      </w:tr>
    </w:tbl>
    <w:p/>
    <w:p>
      <w:pPr>
        <w:jc w:val="center"/>
      </w:pPr>
      <w:r>
        <w:drawing>
          <wp:inline xmlns:a="http://schemas.openxmlformats.org/drawingml/2006/main" xmlns:pic="http://schemas.openxmlformats.org/drawingml/2006/picture">
            <wp:extent cx="5577840" cy="2930964"/>
            <wp:docPr id="1" name="Picture 1"/>
            <wp:cNvGraphicFramePr>
              <a:graphicFrameLocks noChangeAspect="1"/>
            </wp:cNvGraphicFramePr>
            <a:graphic>
              <a:graphicData uri="http://schemas.openxmlformats.org/drawingml/2006/picture">
                <pic:pic>
                  <pic:nvPicPr>
                    <pic:cNvPr id="0" name="fig1_football.png"/>
                    <pic:cNvPicPr/>
                  </pic:nvPicPr>
                  <pic:blipFill>
                    <a:blip r:embed="rId18"/>
                    <a:stretch>
                      <a:fillRect/>
                    </a:stretch>
                  </pic:blipFill>
                  <pic:spPr>
                    <a:xfrm>
                      <a:off x="0" y="0"/>
                      <a:ext cx="5577840" cy="2930964"/>
                    </a:xfrm>
                    <a:prstGeom prst="rect"/>
                  </pic:spPr>
                </pic:pic>
              </a:graphicData>
            </a:graphic>
          </wp:inline>
        </w:drawing>
      </w:r>
    </w:p>
    <w:p>
      <w:pPr>
        <w:jc w:val="center"/>
      </w:pPr>
      <w:r>
        <w:rPr>
          <w:i/>
          <w:color w:val="666666"/>
          <w:sz w:val="16"/>
        </w:rPr>
        <w:t>Figure 1 — Valuation football field. Bars span bear–bull per lens; the brass tick is each base case; the gold band is the blended central range; the dark line is spot.</w:t>
      </w:r>
    </w:p>
    <w:p>
      <w:r>
        <w:rPr>
          <w:b/>
          <w:i w:val="0"/>
        </w:rPr>
        <w:t>Central fair value ≈ EGP 37/share</w:t>
      </w:r>
      <w:r>
        <w:rPr>
          <w:b w:val="0"/>
          <w:i w:val="0"/>
        </w:rPr>
        <w:t xml:space="preserve">, about 26% above spot. The spread of the lenses (EGP 32 to 39 at base) is unusually tight — this is not a name where the methods disagree about </w:t>
      </w:r>
      <w:r>
        <w:rPr>
          <w:b w:val="0"/>
          <w:i/>
        </w:rPr>
        <w:t>what</w:t>
      </w:r>
      <w:r>
        <w:rPr>
          <w:b w:val="0"/>
          <w:i w:val="0"/>
        </w:rPr>
        <w:t xml:space="preserve"> the business is worth, but one where the market has priced a cyclical trough as permanent. The debate, as §1.6 and §1.7 show, is not the multiple; it is whether the earnings are real, in the sense of converting to cash.</w:t>
      </w:r>
    </w:p>
    <w:p>
      <w:pPr>
        <w:pStyle w:val="Heading2"/>
      </w:pPr>
      <w:r>
        <w:t>1.6  The segments and the balance sheet — a deeper look</w:t>
      </w:r>
    </w:p>
    <w:p>
      <w:r>
        <w:rPr>
          <w:b w:val="0"/>
          <w:i w:val="0"/>
        </w:rPr>
        <w:t xml:space="preserve">Lecico is three businesses under one roof, and the disclosed segment detail is unusually clean, so we use it directly rather than manufacture splits. </w:t>
      </w:r>
      <w:r>
        <w:rPr>
          <w:b/>
          <w:i w:val="0"/>
        </w:rPr>
        <w:t>Sanitary ware</w:t>
      </w:r>
      <w:r>
        <w:rPr>
          <w:b w:val="0"/>
          <w:i w:val="0"/>
        </w:rPr>
        <w:t xml:space="preserve"> (EGP 5,014.6m, 64.3% of revenue) is the engine: 81.4% of its volume is exported, chiefly to Europe and the Gulf, at a 26.1% gross margin — a genuine hard-currency earner reported in pounds. </w:t>
      </w:r>
      <w:r>
        <w:rPr>
          <w:b/>
          <w:i w:val="0"/>
        </w:rPr>
        <w:t>Tiles</w:t>
      </w:r>
      <w:r>
        <w:rPr>
          <w:b w:val="0"/>
          <w:i w:val="0"/>
        </w:rPr>
        <w:t xml:space="preserve"> (EGP 2,488.8m, 31.9%) are largely domestic (7.8% export) at a thinner 13.8% gross margin, geared to the Egyptian construction and consumer cycle. </w:t>
      </w:r>
      <w:r>
        <w:rPr>
          <w:b/>
          <w:i w:val="0"/>
        </w:rPr>
        <w:t>Brassware</w:t>
      </w:r>
      <w:r>
        <w:rPr>
          <w:b w:val="0"/>
          <w:i w:val="0"/>
        </w:rPr>
        <w:t xml:space="preserve"> (EGP 300.4m, 3.8%) is small but the richest at 44.1%. Across the group, ~55% of revenue is exported — the single most important structural fact for the valuation.</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560"/>
        <w:gridCol w:w="1560"/>
        <w:gridCol w:w="1560"/>
        <w:gridCol w:w="1560"/>
        <w:gridCol w:w="1560"/>
        <w:gridCol w:w="1560"/>
      </w:tblGrid>
      <w:tr>
        <w:tc>
          <w:tcPr>
            <w:tcW w:type="dxa" w:w="1560"/>
            <w:shd w:val="clear" w:fill="1C3A36"/>
          </w:tcPr>
          <w:p>
            <w:pPr>
              <w:spacing w:after="20" w:before="20"/>
            </w:pPr>
            <w:r/>
            <w:r>
              <w:rPr>
                <w:b/>
                <w:i w:val="0"/>
                <w:color w:val="FFFFFF"/>
                <w:sz w:val="19"/>
              </w:rPr>
              <w:t>Segment (FY2025)</w:t>
            </w:r>
          </w:p>
        </w:tc>
        <w:tc>
          <w:tcPr>
            <w:tcW w:type="dxa" w:w="1560"/>
            <w:shd w:val="clear" w:fill="1C3A36"/>
          </w:tcPr>
          <w:p>
            <w:pPr>
              <w:spacing w:after="20" w:before="20"/>
              <w:jc w:val="right"/>
            </w:pPr>
            <w:r/>
            <w:r>
              <w:rPr>
                <w:b/>
                <w:i w:val="0"/>
                <w:color w:val="FFFFFF"/>
                <w:sz w:val="19"/>
              </w:rPr>
              <w:t>Revenue (EGP m)</w:t>
            </w:r>
          </w:p>
        </w:tc>
        <w:tc>
          <w:tcPr>
            <w:tcW w:type="dxa" w:w="1560"/>
            <w:shd w:val="clear" w:fill="1C3A36"/>
          </w:tcPr>
          <w:p>
            <w:pPr>
              <w:spacing w:after="20" w:before="20"/>
              <w:jc w:val="right"/>
            </w:pPr>
            <w:r/>
            <w:r>
              <w:rPr>
                <w:b/>
                <w:i w:val="0"/>
                <w:color w:val="FFFFFF"/>
                <w:sz w:val="19"/>
              </w:rPr>
              <w:t>% of revenue</w:t>
            </w:r>
          </w:p>
        </w:tc>
        <w:tc>
          <w:tcPr>
            <w:tcW w:type="dxa" w:w="1560"/>
            <w:shd w:val="clear" w:fill="1C3A36"/>
          </w:tcPr>
          <w:p>
            <w:pPr>
              <w:spacing w:after="20" w:before="20"/>
              <w:jc w:val="right"/>
            </w:pPr>
            <w:r/>
            <w:r>
              <w:rPr>
                <w:b/>
                <w:i w:val="0"/>
                <w:color w:val="FFFFFF"/>
                <w:sz w:val="19"/>
              </w:rPr>
              <w:t>Export %</w:t>
            </w:r>
          </w:p>
        </w:tc>
        <w:tc>
          <w:tcPr>
            <w:tcW w:type="dxa" w:w="1560"/>
            <w:shd w:val="clear" w:fill="1C3A36"/>
          </w:tcPr>
          <w:p>
            <w:pPr>
              <w:spacing w:after="20" w:before="20"/>
              <w:jc w:val="right"/>
            </w:pPr>
            <w:r/>
            <w:r>
              <w:rPr>
                <w:b/>
                <w:i w:val="0"/>
                <w:color w:val="FFFFFF"/>
                <w:sz w:val="19"/>
              </w:rPr>
              <w:t>Gross margin</w:t>
            </w:r>
          </w:p>
        </w:tc>
        <w:tc>
          <w:tcPr>
            <w:tcW w:type="dxa" w:w="1560"/>
            <w:shd w:val="clear" w:fill="1C3A36"/>
          </w:tcPr>
          <w:p>
            <w:pPr>
              <w:spacing w:after="20" w:before="20"/>
              <w:jc w:val="right"/>
            </w:pPr>
            <w:r/>
            <w:r>
              <w:rPr>
                <w:b/>
                <w:i w:val="0"/>
                <w:color w:val="FFFFFF"/>
                <w:sz w:val="19"/>
              </w:rPr>
              <w:t>Swing role</w:t>
            </w:r>
          </w:p>
        </w:tc>
      </w:tr>
      <w:tr>
        <w:tc>
          <w:tcPr>
            <w:tcW w:type="dxa" w:w="1560"/>
          </w:tcPr>
          <w:p>
            <w:pPr>
              <w:spacing w:after="20" w:before="20"/>
            </w:pPr>
            <w:r/>
            <w:r>
              <w:rPr>
                <w:b w:val="0"/>
                <w:i w:val="0"/>
                <w:sz w:val="19"/>
              </w:rPr>
              <w:t>Sanitary ware</w:t>
            </w:r>
          </w:p>
        </w:tc>
        <w:tc>
          <w:tcPr>
            <w:tcW w:type="dxa" w:w="1560"/>
          </w:tcPr>
          <w:p>
            <w:pPr>
              <w:spacing w:after="20" w:before="20"/>
              <w:jc w:val="right"/>
            </w:pPr>
            <w:r/>
            <w:r>
              <w:rPr>
                <w:b w:val="0"/>
                <w:i w:val="0"/>
                <w:sz w:val="19"/>
              </w:rPr>
              <w:t>5,014.6</w:t>
            </w:r>
          </w:p>
        </w:tc>
        <w:tc>
          <w:tcPr>
            <w:tcW w:type="dxa" w:w="1560"/>
          </w:tcPr>
          <w:p>
            <w:pPr>
              <w:spacing w:after="20" w:before="20"/>
              <w:jc w:val="right"/>
            </w:pPr>
            <w:r/>
            <w:r>
              <w:rPr>
                <w:b w:val="0"/>
                <w:i w:val="0"/>
                <w:sz w:val="19"/>
              </w:rPr>
              <w:t>64.3%</w:t>
            </w:r>
          </w:p>
        </w:tc>
        <w:tc>
          <w:tcPr>
            <w:tcW w:type="dxa" w:w="1560"/>
          </w:tcPr>
          <w:p>
            <w:pPr>
              <w:spacing w:after="20" w:before="20"/>
              <w:jc w:val="right"/>
            </w:pPr>
            <w:r/>
            <w:r>
              <w:rPr>
                <w:b w:val="0"/>
                <w:i w:val="0"/>
                <w:sz w:val="19"/>
              </w:rPr>
              <w:t>81.4%</w:t>
            </w:r>
          </w:p>
        </w:tc>
        <w:tc>
          <w:tcPr>
            <w:tcW w:type="dxa" w:w="1560"/>
          </w:tcPr>
          <w:p>
            <w:pPr>
              <w:spacing w:after="20" w:before="20"/>
              <w:jc w:val="right"/>
            </w:pPr>
            <w:r/>
            <w:r>
              <w:rPr>
                <w:b w:val="0"/>
                <w:i w:val="0"/>
                <w:sz w:val="19"/>
              </w:rPr>
              <w:t>26.1%</w:t>
            </w:r>
          </w:p>
        </w:tc>
        <w:tc>
          <w:tcPr>
            <w:tcW w:type="dxa" w:w="1560"/>
          </w:tcPr>
          <w:p>
            <w:pPr>
              <w:spacing w:after="20" w:before="20"/>
              <w:jc w:val="right"/>
            </w:pPr>
            <w:r/>
            <w:r>
              <w:rPr>
                <w:b w:val="0"/>
                <w:i w:val="0"/>
                <w:sz w:val="19"/>
              </w:rPr>
              <w:t>Dominant · FX-geared</w:t>
            </w:r>
          </w:p>
        </w:tc>
      </w:tr>
      <w:tr>
        <w:tc>
          <w:tcPr>
            <w:tcW w:type="dxa" w:w="1560"/>
            <w:shd w:val="clear" w:fill="EFF3F1"/>
          </w:tcPr>
          <w:p>
            <w:pPr>
              <w:spacing w:after="20" w:before="20"/>
            </w:pPr>
            <w:r/>
            <w:r>
              <w:rPr>
                <w:b w:val="0"/>
                <w:i w:val="0"/>
                <w:sz w:val="19"/>
              </w:rPr>
              <w:t>Tiles</w:t>
            </w:r>
          </w:p>
        </w:tc>
        <w:tc>
          <w:tcPr>
            <w:tcW w:type="dxa" w:w="1560"/>
            <w:shd w:val="clear" w:fill="EFF3F1"/>
          </w:tcPr>
          <w:p>
            <w:pPr>
              <w:spacing w:after="20" w:before="20"/>
              <w:jc w:val="right"/>
            </w:pPr>
            <w:r/>
            <w:r>
              <w:rPr>
                <w:b w:val="0"/>
                <w:i w:val="0"/>
                <w:sz w:val="19"/>
              </w:rPr>
              <w:t>2,488.8</w:t>
            </w:r>
          </w:p>
        </w:tc>
        <w:tc>
          <w:tcPr>
            <w:tcW w:type="dxa" w:w="1560"/>
            <w:shd w:val="clear" w:fill="EFF3F1"/>
          </w:tcPr>
          <w:p>
            <w:pPr>
              <w:spacing w:after="20" w:before="20"/>
              <w:jc w:val="right"/>
            </w:pPr>
            <w:r/>
            <w:r>
              <w:rPr>
                <w:b w:val="0"/>
                <w:i w:val="0"/>
                <w:sz w:val="19"/>
              </w:rPr>
              <w:t>31.9%</w:t>
            </w:r>
          </w:p>
        </w:tc>
        <w:tc>
          <w:tcPr>
            <w:tcW w:type="dxa" w:w="1560"/>
            <w:shd w:val="clear" w:fill="EFF3F1"/>
          </w:tcPr>
          <w:p>
            <w:pPr>
              <w:spacing w:after="20" w:before="20"/>
              <w:jc w:val="right"/>
            </w:pPr>
            <w:r/>
            <w:r>
              <w:rPr>
                <w:b w:val="0"/>
                <w:i w:val="0"/>
                <w:sz w:val="19"/>
              </w:rPr>
              <w:t>7.8%</w:t>
            </w:r>
          </w:p>
        </w:tc>
        <w:tc>
          <w:tcPr>
            <w:tcW w:type="dxa" w:w="1560"/>
            <w:shd w:val="clear" w:fill="EFF3F1"/>
          </w:tcPr>
          <w:p>
            <w:pPr>
              <w:spacing w:after="20" w:before="20"/>
              <w:jc w:val="right"/>
            </w:pPr>
            <w:r/>
            <w:r>
              <w:rPr>
                <w:b w:val="0"/>
                <w:i w:val="0"/>
                <w:sz w:val="19"/>
              </w:rPr>
              <w:t>13.8%</w:t>
            </w:r>
          </w:p>
        </w:tc>
        <w:tc>
          <w:tcPr>
            <w:tcW w:type="dxa" w:w="1560"/>
            <w:shd w:val="clear" w:fill="EFF3F1"/>
          </w:tcPr>
          <w:p>
            <w:pPr>
              <w:spacing w:after="20" w:before="20"/>
              <w:jc w:val="right"/>
            </w:pPr>
            <w:r/>
            <w:r>
              <w:rPr>
                <w:b w:val="0"/>
                <w:i w:val="0"/>
                <w:sz w:val="19"/>
              </w:rPr>
              <w:t>Domestic-cycle anchor</w:t>
            </w:r>
          </w:p>
        </w:tc>
      </w:tr>
      <w:tr>
        <w:tc>
          <w:tcPr>
            <w:tcW w:type="dxa" w:w="1560"/>
          </w:tcPr>
          <w:p>
            <w:pPr>
              <w:spacing w:after="20" w:before="20"/>
            </w:pPr>
            <w:r/>
            <w:r>
              <w:rPr>
                <w:b w:val="0"/>
                <w:i w:val="0"/>
                <w:sz w:val="19"/>
              </w:rPr>
              <w:t>Brassware</w:t>
            </w:r>
          </w:p>
        </w:tc>
        <w:tc>
          <w:tcPr>
            <w:tcW w:type="dxa" w:w="1560"/>
          </w:tcPr>
          <w:p>
            <w:pPr>
              <w:spacing w:after="20" w:before="20"/>
              <w:jc w:val="right"/>
            </w:pPr>
            <w:r/>
            <w:r>
              <w:rPr>
                <w:b w:val="0"/>
                <w:i w:val="0"/>
                <w:sz w:val="19"/>
              </w:rPr>
              <w:t>300.4</w:t>
            </w:r>
          </w:p>
        </w:tc>
        <w:tc>
          <w:tcPr>
            <w:tcW w:type="dxa" w:w="1560"/>
          </w:tcPr>
          <w:p>
            <w:pPr>
              <w:spacing w:after="20" w:before="20"/>
              <w:jc w:val="right"/>
            </w:pPr>
            <w:r/>
            <w:r>
              <w:rPr>
                <w:b w:val="0"/>
                <w:i w:val="0"/>
                <w:sz w:val="19"/>
              </w:rPr>
              <w:t>3.8%</w:t>
            </w:r>
          </w:p>
        </w:tc>
        <w:tc>
          <w:tcPr>
            <w:tcW w:type="dxa" w:w="1560"/>
          </w:tcPr>
          <w:p>
            <w:pPr>
              <w:spacing w:after="20" w:before="20"/>
              <w:jc w:val="right"/>
            </w:pPr>
            <w:r/>
            <w:r>
              <w:rPr>
                <w:b w:val="0"/>
                <w:i w:val="0"/>
                <w:sz w:val="19"/>
              </w:rPr>
              <w:t>~0%</w:t>
            </w:r>
          </w:p>
        </w:tc>
        <w:tc>
          <w:tcPr>
            <w:tcW w:type="dxa" w:w="1560"/>
          </w:tcPr>
          <w:p>
            <w:pPr>
              <w:spacing w:after="20" w:before="20"/>
              <w:jc w:val="right"/>
            </w:pPr>
            <w:r/>
            <w:r>
              <w:rPr>
                <w:b w:val="0"/>
                <w:i w:val="0"/>
                <w:sz w:val="19"/>
              </w:rPr>
              <w:t>44.1%</w:t>
            </w:r>
          </w:p>
        </w:tc>
        <w:tc>
          <w:tcPr>
            <w:tcW w:type="dxa" w:w="1560"/>
          </w:tcPr>
          <w:p>
            <w:pPr>
              <w:spacing w:after="20" w:before="20"/>
              <w:jc w:val="right"/>
            </w:pPr>
            <w:r/>
            <w:r>
              <w:rPr>
                <w:b w:val="0"/>
                <w:i w:val="0"/>
                <w:sz w:val="19"/>
              </w:rPr>
              <w:t>Small · high-margin</w:t>
            </w:r>
          </w:p>
        </w:tc>
      </w:tr>
      <w:tr>
        <w:tc>
          <w:tcPr>
            <w:tcW w:type="dxa" w:w="1560"/>
            <w:shd w:val="clear" w:fill="EFF3F1"/>
          </w:tcPr>
          <w:p>
            <w:pPr>
              <w:spacing w:after="20" w:before="20"/>
            </w:pPr>
            <w:r/>
            <w:r>
              <w:rPr>
                <w:b/>
                <w:i w:val="0"/>
                <w:sz w:val="19"/>
              </w:rPr>
              <w:t>Total</w:t>
            </w:r>
          </w:p>
        </w:tc>
        <w:tc>
          <w:tcPr>
            <w:tcW w:type="dxa" w:w="1560"/>
            <w:shd w:val="clear" w:fill="EFF3F1"/>
          </w:tcPr>
          <w:p>
            <w:pPr>
              <w:spacing w:after="20" w:before="20"/>
              <w:jc w:val="right"/>
            </w:pPr>
            <w:r/>
            <w:r>
              <w:rPr>
                <w:b/>
                <w:i w:val="0"/>
                <w:sz w:val="19"/>
              </w:rPr>
              <w:t>7,803.7</w:t>
            </w:r>
          </w:p>
        </w:tc>
        <w:tc>
          <w:tcPr>
            <w:tcW w:type="dxa" w:w="1560"/>
            <w:shd w:val="clear" w:fill="EFF3F1"/>
          </w:tcPr>
          <w:p>
            <w:pPr>
              <w:spacing w:after="20" w:before="20"/>
              <w:jc w:val="right"/>
            </w:pPr>
            <w:r/>
            <w:r>
              <w:rPr>
                <w:b/>
                <w:i w:val="0"/>
                <w:sz w:val="19"/>
              </w:rPr>
              <w:t>100%</w:t>
            </w:r>
          </w:p>
        </w:tc>
        <w:tc>
          <w:tcPr>
            <w:tcW w:type="dxa" w:w="1560"/>
            <w:shd w:val="clear" w:fill="EFF3F1"/>
          </w:tcPr>
          <w:p>
            <w:pPr>
              <w:spacing w:after="20" w:before="20"/>
              <w:jc w:val="right"/>
            </w:pPr>
            <w:r/>
            <w:r>
              <w:rPr>
                <w:b/>
                <w:i w:val="0"/>
                <w:sz w:val="19"/>
              </w:rPr>
              <w:t>~55%</w:t>
            </w:r>
          </w:p>
        </w:tc>
        <w:tc>
          <w:tcPr>
            <w:tcW w:type="dxa" w:w="1560"/>
            <w:shd w:val="clear" w:fill="EFF3F1"/>
          </w:tcPr>
          <w:p>
            <w:pPr>
              <w:spacing w:after="20" w:before="20"/>
              <w:jc w:val="right"/>
            </w:pPr>
            <w:r/>
            <w:r>
              <w:rPr>
                <w:b/>
                <w:i w:val="0"/>
                <w:sz w:val="19"/>
              </w:rPr>
              <w:t>22.9%</w:t>
            </w:r>
          </w:p>
        </w:tc>
        <w:tc>
          <w:tcPr>
            <w:tcW w:type="dxa" w:w="1560"/>
            <w:shd w:val="clear" w:fill="EFF3F1"/>
          </w:tcPr>
          <w:p>
            <w:pPr>
              <w:spacing w:after="20" w:before="20"/>
              <w:jc w:val="right"/>
            </w:pPr>
            <w:r/>
          </w:p>
        </w:tc>
      </w:tr>
    </w:tbl>
    <w:p/>
    <w:p>
      <w:r>
        <w:rPr>
          <w:b w:val="0"/>
          <w:i w:val="0"/>
        </w:rPr>
        <w:t xml:space="preserve">The balance sheet is where the caution lives. Inventory (EGP 2,880m) and receivables (EGP 1,659m) together are EGP 4,539m — well over half of total assets of EGP 8,537m — and they </w:t>
      </w:r>
      <w:r>
        <w:rPr>
          <w:b w:val="0"/>
          <w:i/>
        </w:rPr>
        <w:t>grew</w:t>
      </w:r>
      <w:r>
        <w:rPr>
          <w:b w:val="0"/>
          <w:i w:val="0"/>
        </w:rPr>
        <w:t xml:space="preserve"> by EGP 564m in 2025, absorbing the year's profit. Net debt rose ~125% to EGP 1,270m, lifting net-debt/EBITDA to ~1.3× (from ~0.4× a year earlier). Book value is EGP 49.7 a share, so at EGP 29.45 the stock trades at 0.59× book — a level that itself argues an asset floor, provided the inventory and receivables realise. The scorecard below rates each part on the axes that matter.</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872"/>
        <w:gridCol w:w="1872"/>
        <w:gridCol w:w="1872"/>
        <w:gridCol w:w="1872"/>
        <w:gridCol w:w="1872"/>
      </w:tblGrid>
      <w:tr>
        <w:tc>
          <w:tcPr>
            <w:tcW w:type="dxa" w:w="1872"/>
            <w:shd w:val="clear" w:fill="1C3A36"/>
          </w:tcPr>
          <w:p>
            <w:pPr>
              <w:spacing w:after="20" w:before="20"/>
            </w:pPr>
            <w:r/>
            <w:r>
              <w:rPr>
                <w:b/>
                <w:i w:val="0"/>
                <w:color w:val="FFFFFF"/>
                <w:sz w:val="19"/>
              </w:rPr>
              <w:t>Part / axis</w:t>
            </w:r>
          </w:p>
        </w:tc>
        <w:tc>
          <w:tcPr>
            <w:tcW w:type="dxa" w:w="1872"/>
            <w:shd w:val="clear" w:fill="1C3A36"/>
          </w:tcPr>
          <w:p>
            <w:pPr>
              <w:spacing w:after="20" w:before="20"/>
              <w:jc w:val="right"/>
            </w:pPr>
            <w:r/>
            <w:r>
              <w:rPr>
                <w:b/>
                <w:i w:val="0"/>
                <w:color w:val="FFFFFF"/>
                <w:sz w:val="19"/>
              </w:rPr>
              <w:t>Cyclicality</w:t>
            </w:r>
          </w:p>
        </w:tc>
        <w:tc>
          <w:tcPr>
            <w:tcW w:type="dxa" w:w="1872"/>
            <w:shd w:val="clear" w:fill="1C3A36"/>
          </w:tcPr>
          <w:p>
            <w:pPr>
              <w:spacing w:after="20" w:before="20"/>
              <w:jc w:val="right"/>
            </w:pPr>
            <w:r/>
            <w:r>
              <w:rPr>
                <w:b/>
                <w:i w:val="0"/>
                <w:color w:val="FFFFFF"/>
                <w:sz w:val="19"/>
              </w:rPr>
              <w:t>Margin trend</w:t>
            </w:r>
          </w:p>
        </w:tc>
        <w:tc>
          <w:tcPr>
            <w:tcW w:type="dxa" w:w="1872"/>
            <w:shd w:val="clear" w:fill="1C3A36"/>
          </w:tcPr>
          <w:p>
            <w:pPr>
              <w:spacing w:after="20" w:before="20"/>
              <w:jc w:val="right"/>
            </w:pPr>
            <w:r/>
            <w:r>
              <w:rPr>
                <w:b/>
                <w:i w:val="0"/>
                <w:color w:val="FFFFFF"/>
                <w:sz w:val="19"/>
              </w:rPr>
              <w:t>Cash intensity</w:t>
            </w:r>
          </w:p>
        </w:tc>
        <w:tc>
          <w:tcPr>
            <w:tcW w:type="dxa" w:w="1872"/>
            <w:shd w:val="clear" w:fill="1C3A36"/>
          </w:tcPr>
          <w:p>
            <w:pPr>
              <w:spacing w:after="20" w:before="20"/>
              <w:jc w:val="right"/>
            </w:pPr>
            <w:r/>
            <w:r>
              <w:rPr>
                <w:b/>
                <w:i w:val="0"/>
                <w:color w:val="FFFFFF"/>
                <w:sz w:val="19"/>
              </w:rPr>
              <w:t>Read</w:t>
            </w:r>
          </w:p>
        </w:tc>
      </w:tr>
      <w:tr>
        <w:tc>
          <w:tcPr>
            <w:tcW w:type="dxa" w:w="1872"/>
          </w:tcPr>
          <w:p>
            <w:pPr>
              <w:spacing w:after="20" w:before="20"/>
            </w:pPr>
            <w:r/>
            <w:r>
              <w:rPr>
                <w:b w:val="0"/>
                <w:i w:val="0"/>
                <w:sz w:val="19"/>
              </w:rPr>
              <w:t>Sanitary ware (export)</w:t>
            </w:r>
          </w:p>
        </w:tc>
        <w:tc>
          <w:tcPr>
            <w:tcW w:type="dxa" w:w="1872"/>
          </w:tcPr>
          <w:p>
            <w:pPr>
              <w:spacing w:after="20" w:before="20"/>
              <w:jc w:val="right"/>
            </w:pPr>
            <w:r/>
            <w:r>
              <w:rPr>
                <w:b w:val="0"/>
                <w:i w:val="0"/>
                <w:sz w:val="19"/>
              </w:rPr>
              <w:t>Moderate</w:t>
            </w:r>
          </w:p>
        </w:tc>
        <w:tc>
          <w:tcPr>
            <w:tcW w:type="dxa" w:w="1872"/>
          </w:tcPr>
          <w:p>
            <w:pPr>
              <w:spacing w:after="20" w:before="20"/>
              <w:jc w:val="right"/>
            </w:pPr>
            <w:r/>
            <w:r>
              <w:rPr>
                <w:b w:val="0"/>
                <w:i w:val="0"/>
                <w:sz w:val="19"/>
              </w:rPr>
              <w:t>Trough → recovery on weaker EGP</w:t>
            </w:r>
          </w:p>
        </w:tc>
        <w:tc>
          <w:tcPr>
            <w:tcW w:type="dxa" w:w="1872"/>
          </w:tcPr>
          <w:p>
            <w:pPr>
              <w:spacing w:after="20" w:before="20"/>
              <w:jc w:val="right"/>
            </w:pPr>
            <w:r/>
            <w:r>
              <w:rPr>
                <w:b w:val="0"/>
                <w:i w:val="0"/>
                <w:sz w:val="19"/>
              </w:rPr>
              <w:t>High (WC)</w:t>
            </w:r>
          </w:p>
        </w:tc>
        <w:tc>
          <w:tcPr>
            <w:tcW w:type="dxa" w:w="1872"/>
          </w:tcPr>
          <w:p>
            <w:pPr>
              <w:spacing w:after="20" w:before="20"/>
              <w:jc w:val="right"/>
            </w:pPr>
            <w:r/>
            <w:r>
              <w:rPr>
                <w:b w:val="0"/>
                <w:i w:val="0"/>
                <w:sz w:val="19"/>
              </w:rPr>
              <w:t>The value engine</w:t>
            </w:r>
          </w:p>
        </w:tc>
      </w:tr>
      <w:tr>
        <w:tc>
          <w:tcPr>
            <w:tcW w:type="dxa" w:w="1872"/>
            <w:shd w:val="clear" w:fill="EFF3F1"/>
          </w:tcPr>
          <w:p>
            <w:pPr>
              <w:spacing w:after="20" w:before="20"/>
            </w:pPr>
            <w:r/>
            <w:r>
              <w:rPr>
                <w:b w:val="0"/>
                <w:i w:val="0"/>
                <w:sz w:val="19"/>
              </w:rPr>
              <w:t>Tiles (domestic)</w:t>
            </w:r>
          </w:p>
        </w:tc>
        <w:tc>
          <w:tcPr>
            <w:tcW w:type="dxa" w:w="1872"/>
            <w:shd w:val="clear" w:fill="EFF3F1"/>
          </w:tcPr>
          <w:p>
            <w:pPr>
              <w:spacing w:after="20" w:before="20"/>
              <w:jc w:val="right"/>
            </w:pPr>
            <w:r/>
            <w:r>
              <w:rPr>
                <w:b w:val="0"/>
                <w:i w:val="0"/>
                <w:sz w:val="19"/>
              </w:rPr>
              <w:t>Higher</w:t>
            </w:r>
          </w:p>
        </w:tc>
        <w:tc>
          <w:tcPr>
            <w:tcW w:type="dxa" w:w="1872"/>
            <w:shd w:val="clear" w:fill="EFF3F1"/>
          </w:tcPr>
          <w:p>
            <w:pPr>
              <w:spacing w:after="20" w:before="20"/>
              <w:jc w:val="right"/>
            </w:pPr>
            <w:r/>
            <w:r>
              <w:rPr>
                <w:b w:val="0"/>
                <w:i w:val="0"/>
                <w:sz w:val="19"/>
              </w:rPr>
              <w:t>Thin, demand-led</w:t>
            </w:r>
          </w:p>
        </w:tc>
        <w:tc>
          <w:tcPr>
            <w:tcW w:type="dxa" w:w="1872"/>
            <w:shd w:val="clear" w:fill="EFF3F1"/>
          </w:tcPr>
          <w:p>
            <w:pPr>
              <w:spacing w:after="20" w:before="20"/>
              <w:jc w:val="right"/>
            </w:pPr>
            <w:r/>
            <w:r>
              <w:rPr>
                <w:b w:val="0"/>
                <w:i w:val="0"/>
                <w:sz w:val="19"/>
              </w:rPr>
              <w:t>High (WC)</w:t>
            </w:r>
          </w:p>
        </w:tc>
        <w:tc>
          <w:tcPr>
            <w:tcW w:type="dxa" w:w="1872"/>
            <w:shd w:val="clear" w:fill="EFF3F1"/>
          </w:tcPr>
          <w:p>
            <w:pPr>
              <w:spacing w:after="20" w:before="20"/>
              <w:jc w:val="right"/>
            </w:pPr>
            <w:r/>
            <w:r>
              <w:rPr>
                <w:b w:val="0"/>
                <w:i w:val="0"/>
                <w:sz w:val="19"/>
              </w:rPr>
              <w:t>The cyclical leg</w:t>
            </w:r>
          </w:p>
        </w:tc>
      </w:tr>
      <w:tr>
        <w:tc>
          <w:tcPr>
            <w:tcW w:type="dxa" w:w="1872"/>
          </w:tcPr>
          <w:p>
            <w:pPr>
              <w:spacing w:after="20" w:before="20"/>
            </w:pPr>
            <w:r/>
            <w:r>
              <w:rPr>
                <w:b w:val="0"/>
                <w:i w:val="0"/>
                <w:sz w:val="19"/>
              </w:rPr>
              <w:t>Working capital</w:t>
            </w:r>
          </w:p>
        </w:tc>
        <w:tc>
          <w:tcPr>
            <w:tcW w:type="dxa" w:w="1872"/>
          </w:tcPr>
          <w:p>
            <w:pPr>
              <w:spacing w:after="20" w:before="20"/>
              <w:jc w:val="right"/>
            </w:pPr>
            <w:r/>
            <w:r>
              <w:rPr>
                <w:b w:val="0"/>
                <w:i w:val="0"/>
                <w:sz w:val="19"/>
              </w:rPr>
              <w:t>—</w:t>
            </w:r>
          </w:p>
        </w:tc>
        <w:tc>
          <w:tcPr>
            <w:tcW w:type="dxa" w:w="1872"/>
          </w:tcPr>
          <w:p>
            <w:pPr>
              <w:spacing w:after="20" w:before="20"/>
              <w:jc w:val="right"/>
            </w:pPr>
            <w:r/>
            <w:r>
              <w:rPr>
                <w:b w:val="0"/>
                <w:i w:val="0"/>
                <w:sz w:val="19"/>
              </w:rPr>
              <w:t>Absorbing cash</w:t>
            </w:r>
          </w:p>
        </w:tc>
        <w:tc>
          <w:tcPr>
            <w:tcW w:type="dxa" w:w="1872"/>
          </w:tcPr>
          <w:p>
            <w:pPr>
              <w:spacing w:after="20" w:before="20"/>
              <w:jc w:val="right"/>
            </w:pPr>
            <w:r/>
            <w:r>
              <w:rPr>
                <w:b w:val="0"/>
                <w:i w:val="0"/>
                <w:sz w:val="19"/>
              </w:rPr>
              <w:t>Very high</w:t>
            </w:r>
          </w:p>
        </w:tc>
        <w:tc>
          <w:tcPr>
            <w:tcW w:type="dxa" w:w="1872"/>
          </w:tcPr>
          <w:p>
            <w:pPr>
              <w:spacing w:after="20" w:before="20"/>
              <w:jc w:val="right"/>
            </w:pPr>
            <w:r/>
            <w:r>
              <w:rPr>
                <w:b w:val="0"/>
                <w:i w:val="0"/>
                <w:sz w:val="19"/>
              </w:rPr>
              <w:t>The crux risk</w:t>
            </w:r>
          </w:p>
        </w:tc>
      </w:tr>
      <w:tr>
        <w:tc>
          <w:tcPr>
            <w:tcW w:type="dxa" w:w="1872"/>
            <w:shd w:val="clear" w:fill="EFF3F1"/>
          </w:tcPr>
          <w:p>
            <w:pPr>
              <w:spacing w:after="20" w:before="20"/>
            </w:pPr>
            <w:r/>
            <w:r>
              <w:rPr>
                <w:b w:val="0"/>
                <w:i w:val="0"/>
                <w:sz w:val="19"/>
              </w:rPr>
              <w:t>Balance sheet</w:t>
            </w:r>
          </w:p>
        </w:tc>
        <w:tc>
          <w:tcPr>
            <w:tcW w:type="dxa" w:w="1872"/>
            <w:shd w:val="clear" w:fill="EFF3F1"/>
          </w:tcPr>
          <w:p>
            <w:pPr>
              <w:spacing w:after="20" w:before="20"/>
              <w:jc w:val="right"/>
            </w:pPr>
            <w:r/>
            <w:r>
              <w:rPr>
                <w:b w:val="0"/>
                <w:i w:val="0"/>
                <w:sz w:val="19"/>
              </w:rPr>
              <w:t>—</w:t>
            </w:r>
          </w:p>
        </w:tc>
        <w:tc>
          <w:tcPr>
            <w:tcW w:type="dxa" w:w="1872"/>
            <w:shd w:val="clear" w:fill="EFF3F1"/>
          </w:tcPr>
          <w:p>
            <w:pPr>
              <w:spacing w:after="20" w:before="20"/>
              <w:jc w:val="right"/>
            </w:pPr>
            <w:r/>
            <w:r>
              <w:rPr>
                <w:b w:val="0"/>
                <w:i w:val="0"/>
                <w:sz w:val="19"/>
              </w:rPr>
              <w:t>Debt rising</w:t>
            </w:r>
          </w:p>
        </w:tc>
        <w:tc>
          <w:tcPr>
            <w:tcW w:type="dxa" w:w="1872"/>
            <w:shd w:val="clear" w:fill="EFF3F1"/>
          </w:tcPr>
          <w:p>
            <w:pPr>
              <w:spacing w:after="20" w:before="20"/>
              <w:jc w:val="right"/>
            </w:pPr>
            <w:r/>
            <w:r>
              <w:rPr>
                <w:b w:val="0"/>
                <w:i w:val="0"/>
                <w:sz w:val="19"/>
              </w:rPr>
              <w:t>—</w:t>
            </w:r>
          </w:p>
        </w:tc>
        <w:tc>
          <w:tcPr>
            <w:tcW w:type="dxa" w:w="1872"/>
            <w:shd w:val="clear" w:fill="EFF3F1"/>
          </w:tcPr>
          <w:p>
            <w:pPr>
              <w:spacing w:after="20" w:before="20"/>
              <w:jc w:val="right"/>
            </w:pPr>
            <w:r/>
            <w:r>
              <w:rPr>
                <w:b w:val="0"/>
                <w:i w:val="0"/>
                <w:sz w:val="19"/>
              </w:rPr>
              <w:t>0.59× book = floor</w:t>
            </w:r>
          </w:p>
        </w:tc>
      </w:tr>
    </w:tbl>
    <w:p/>
    <w:p>
      <w:pPr>
        <w:pStyle w:val="Heading2"/>
      </w:pPr>
      <w:r>
        <w:t>1.7  The pound and cash conversion — the crux</w:t>
      </w:r>
    </w:p>
    <w:p>
      <w:r>
        <w:rPr>
          <w:b w:val="0"/>
          <w:i w:val="0"/>
        </w:rPr>
        <w:t xml:space="preserve">Two linked judgments drive the valuation more than any other, and both are best expressed in observable units rather than an abstract margin percentage (device A-1). First, </w:t>
      </w:r>
      <w:r>
        <w:rPr>
          <w:b/>
          <w:i w:val="0"/>
        </w:rPr>
        <w:t>the Egyptian pound</w:t>
      </w:r>
      <w:r>
        <w:rPr>
          <w:b w:val="0"/>
          <w:i w:val="0"/>
        </w:rPr>
        <w:t xml:space="preserve">. Lecico earns hard currency on the majority of its sanitary-ware volume but reports in pounds, so a </w:t>
      </w:r>
      <w:r>
        <w:rPr>
          <w:b w:val="0"/>
          <w:i/>
        </w:rPr>
        <w:t>stronger</w:t>
      </w:r>
      <w:r>
        <w:rPr>
          <w:b w:val="0"/>
          <w:i w:val="0"/>
        </w:rPr>
        <w:t xml:space="preserve"> pound mechanically compresses reported EGP revenue and margin on the export leg. The pound strengthened from ~50.8 per dollar at end-2024 to ~47 by mid-2026 — roughly 8% — and that, more than any operating failure, is what took the 2025 EBIT margin to 9.5% from 17.3%. The crux is therefore the </w:t>
      </w:r>
      <w:r>
        <w:rPr>
          <w:b/>
          <w:i w:val="0"/>
        </w:rPr>
        <w:t>EGP/USD path</w:t>
      </w:r>
      <w:r>
        <w:rPr>
          <w:b w:val="0"/>
          <w:i w:val="0"/>
        </w:rPr>
        <w:t xml:space="preserve">: consensus looks for a gradual resumption of depreciation toward EGP 52–54 by end-2026, which would lift export EGP revenue and margin; a pound that stays strong (or strengthens further on portfolio inflows) keeps the squeeze on. Second, </w:t>
      </w:r>
      <w:r>
        <w:rPr>
          <w:b/>
          <w:i w:val="0"/>
        </w:rPr>
        <w:t>cash conversion</w:t>
      </w:r>
      <w:r>
        <w:rPr>
          <w:b w:val="0"/>
          <w:i w:val="0"/>
        </w:rPr>
        <w:t xml:space="preserve">. 2025 operating cash flow was </w:t>
      </w:r>
      <w:r>
        <w:rPr>
          <w:b w:val="0"/>
          <w:i/>
        </w:rPr>
        <w:t>negative</w:t>
      </w:r>
      <w:r>
        <w:rPr>
          <w:b w:val="0"/>
          <w:i w:val="0"/>
        </w:rPr>
        <w:t xml:space="preserve"> EGP 196m — against positive EGP 537m in 2024 — because a EGP 706m working-capital absorption swallowed the profit; the company pays no dividend. Until that reverses, a cash-focused investor will discount the earnings heavily, which is precisely why the shares trade where they do.</w:t>
      </w:r>
    </w:p>
    <w:p>
      <w:r>
        <w:rPr>
          <w:b w:val="0"/>
          <w:i w:val="0"/>
        </w:rPr>
        <w:t xml:space="preserve">Read the two together and the investment question is clean: the multiple lenses say the shares are ~25% cheap </w:t>
      </w:r>
      <w:r>
        <w:rPr>
          <w:b w:val="0"/>
          <w:i/>
        </w:rPr>
        <w:t>if</w:t>
      </w:r>
      <w:r>
        <w:rPr>
          <w:b w:val="0"/>
          <w:i w:val="0"/>
        </w:rPr>
        <w:t xml:space="preserve"> the pound behaves and the cash comes; the market is pricing as if neither will. The bear case is not that the business is worth little — even the asset floor is above spot — but that the value stays trapped.</w:t>
      </w:r>
    </w:p>
    <w:p>
      <w:pPr>
        <w:pStyle w:val="Heading2"/>
      </w:pPr>
      <w:r>
        <w:t>1.8  Macro and country — the pound, rates, energy and tariffs</w:t>
      </w:r>
    </w:p>
    <w:p>
      <w:r>
        <w:rPr>
          <w:b w:val="0"/>
          <w:i w:val="0"/>
        </w:rPr>
        <w:t xml:space="preserve">Lecico is an Egyptian exporter, so its value is set as much by policy as by management. </w:t>
      </w:r>
      <w:r>
        <w:rPr>
          <w:b/>
          <w:i w:val="0"/>
        </w:rPr>
        <w:t>The pound</w:t>
      </w:r>
      <w:r>
        <w:rPr>
          <w:b w:val="0"/>
          <w:i w:val="0"/>
        </w:rPr>
        <w:t xml:space="preserve"> is the master variable, above; a weaker pound is, unusually, </w:t>
      </w:r>
      <w:r>
        <w:rPr>
          <w:b w:val="0"/>
          <w:i/>
        </w:rPr>
        <w:t>good</w:t>
      </w:r>
      <w:r>
        <w:rPr>
          <w:b w:val="0"/>
          <w:i w:val="0"/>
        </w:rPr>
        <w:t xml:space="preserve"> for reported margins here. </w:t>
      </w:r>
      <w:r>
        <w:rPr>
          <w:b/>
          <w:i w:val="0"/>
        </w:rPr>
        <w:t>Rates</w:t>
      </w:r>
      <w:r>
        <w:rPr>
          <w:b w:val="0"/>
          <w:i w:val="0"/>
        </w:rPr>
        <w:t xml:space="preserve">: the Central Bank of Egypt held its overnight deposit rate at 19% through the first half of 2026 (down from a ~27% peak), having paused its easing cycle amid regional tension and energy-cost shocks; a resumption of cuts would lower the carry on Lecico's heavy working capital and support domestic tile demand. </w:t>
      </w:r>
      <w:r>
        <w:rPr>
          <w:b/>
          <w:i w:val="0"/>
        </w:rPr>
        <w:t>Inflation</w:t>
      </w:r>
      <w:r>
        <w:rPr>
          <w:b w:val="0"/>
          <w:i w:val="0"/>
        </w:rPr>
        <w:t xml:space="preserve"> eased to ~14.6% by May 2026 from 30%-plus at the peak, which slows the nominal-revenue tailwind but also the input-cost pressure. </w:t>
      </w:r>
      <w:r>
        <w:rPr>
          <w:b/>
          <w:i w:val="0"/>
        </w:rPr>
        <w:t>Energy</w:t>
      </w:r>
      <w:r>
        <w:rPr>
          <w:b w:val="0"/>
          <w:i w:val="0"/>
        </w:rPr>
        <w:t xml:space="preserve"> is the direct cost channel: natural gas (kiln fuel) rose ~21% in September 2025, diesel ~13% in October 2025, and petroleum products a further 14–17% in March 2026 — a real margin drag for a gas-intensive ceramics maker. Trade and freight (Red Sea disruption raising the cost and time of European exports) are the tail risk to the export leg. These levers sit behind the bear and bull cases in §1.5 and the catalysts in §5.</w:t>
      </w:r>
    </w:p>
    <w:p>
      <w:pPr>
        <w:pStyle w:val="Heading2"/>
      </w:pPr>
      <w:r>
        <w:t>1.9  Primary-lens sensitivity — how WACC and terminal growth move the value</w:t>
      </w:r>
    </w:p>
    <w:p>
      <w:r>
        <w:rPr>
          <w:b w:val="0"/>
          <w:i w:val="0"/>
        </w:rPr>
        <w:t>Because the DCF's terminal value is ~78% of enterprise value, the fair value is genuinely sensitive to the discount rate and terminal growth. The grid re-prices the DCF across a WACC of 19–23% and terminal growth of 9–13%; the base case (WACC 21%, g 11%) sits at EGP 37, and the cells near spot are shaded.</w:t>
      </w:r>
    </w:p>
    <w:p>
      <w:pPr>
        <w:jc w:val="center"/>
      </w:pPr>
      <w:r>
        <w:drawing>
          <wp:inline xmlns:a="http://schemas.openxmlformats.org/drawingml/2006/main" xmlns:pic="http://schemas.openxmlformats.org/drawingml/2006/picture">
            <wp:extent cx="5577840" cy="3610446"/>
            <wp:docPr id="2" name="Picture 2"/>
            <wp:cNvGraphicFramePr>
              <a:graphicFrameLocks noChangeAspect="1"/>
            </wp:cNvGraphicFramePr>
            <a:graphic>
              <a:graphicData uri="http://schemas.openxmlformats.org/drawingml/2006/picture">
                <pic:pic>
                  <pic:nvPicPr>
                    <pic:cNvPr id="0" name="fig2_dcf_sens.png"/>
                    <pic:cNvPicPr/>
                  </pic:nvPicPr>
                  <pic:blipFill>
                    <a:blip r:embed="rId19"/>
                    <a:stretch>
                      <a:fillRect/>
                    </a:stretch>
                  </pic:blipFill>
                  <pic:spPr>
                    <a:xfrm>
                      <a:off x="0" y="0"/>
                      <a:ext cx="5577840" cy="3610446"/>
                    </a:xfrm>
                    <a:prstGeom prst="rect"/>
                  </pic:spPr>
                </pic:pic>
              </a:graphicData>
            </a:graphic>
          </wp:inline>
        </w:drawing>
      </w:r>
    </w:p>
    <w:p>
      <w:pPr>
        <w:jc w:val="center"/>
      </w:pPr>
      <w:r>
        <w:rPr>
          <w:i/>
          <w:color w:val="666666"/>
          <w:sz w:val="16"/>
        </w:rPr>
        <w:t>Figure 2 — DCF sensitivity: fair value (EGP/share) by WACC × terminal growth. Base case WACC 21% / g 11% = EGP 37.</w:t>
      </w:r>
    </w:p>
    <w:p>
      <w:r>
        <w:rPr>
          <w:b w:val="0"/>
          <w:i w:val="0"/>
        </w:rPr>
        <w:t xml:space="preserve">Read it as the bet you are taking: the market price of EGP 29.45 is broadly consistent with a WACC around 22–23% </w:t>
      </w:r>
      <w:r>
        <w:rPr>
          <w:b w:val="0"/>
          <w:i/>
        </w:rPr>
        <w:t>and</w:t>
      </w:r>
      <w:r>
        <w:rPr>
          <w:b w:val="0"/>
          <w:i w:val="0"/>
        </w:rPr>
        <w:t xml:space="preserve"> terminal growth at the low end — i.e. a market that demands a high real return and credits Lecico with little durable nominal growth. Our base sits one notch more constructive on both. We publish the cost of equity explicitly as rf + ERP and sensitise on this grid rather than presenting a single black-box WACC (§3.5-G).</w:t>
      </w:r>
    </w:p>
    <w:p>
      <w:pPr>
        <w:pStyle w:val="Heading1"/>
      </w:pPr>
      <w:r>
        <w:t>2  Technical and price structure</w:t>
      </w:r>
    </w:p>
    <w:p>
      <w:r>
        <w:rPr>
          <w:b w:val="0"/>
          <w:i w:val="0"/>
        </w:rPr>
        <w:t>The tape is constructive and, for once, does not contradict the fundamentals' direction. Lecico trades above all four major moving averages, the MACD histogram is positive, and RSI sits in the low-60s — firm but not yet overbought. The most recent session (6 July) closed up 3.66% on above-average volume, pushing the price to the top of its 52-week range. The structure is a steady grind higher off the EGP 22 area, with the 52-week high at EGP 29.72 as the immediate overhead level.</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3120"/>
        <w:gridCol w:w="3120"/>
        <w:gridCol w:w="3120"/>
      </w:tblGrid>
      <w:tr>
        <w:tc>
          <w:tcPr>
            <w:tcW w:type="dxa" w:w="3120"/>
            <w:shd w:val="clear" w:fill="1C3A36"/>
          </w:tcPr>
          <w:p>
            <w:pPr>
              <w:spacing w:after="20" w:before="20"/>
            </w:pPr>
            <w:r/>
            <w:r>
              <w:rPr>
                <w:b/>
                <w:i w:val="0"/>
                <w:color w:val="FFFFFF"/>
                <w:sz w:val="19"/>
              </w:rPr>
              <w:t>Indicator</w:t>
            </w:r>
          </w:p>
        </w:tc>
        <w:tc>
          <w:tcPr>
            <w:tcW w:type="dxa" w:w="3120"/>
            <w:shd w:val="clear" w:fill="1C3A36"/>
          </w:tcPr>
          <w:p>
            <w:pPr>
              <w:spacing w:after="20" w:before="20"/>
              <w:jc w:val="right"/>
            </w:pPr>
            <w:r/>
            <w:r>
              <w:rPr>
                <w:b/>
                <w:i w:val="0"/>
                <w:color w:val="FFFFFF"/>
                <w:sz w:val="19"/>
              </w:rPr>
              <w:t>Reading</w:t>
            </w:r>
          </w:p>
        </w:tc>
        <w:tc>
          <w:tcPr>
            <w:tcW w:type="dxa" w:w="3120"/>
            <w:shd w:val="clear" w:fill="1C3A36"/>
          </w:tcPr>
          <w:p>
            <w:pPr>
              <w:spacing w:after="20" w:before="20"/>
              <w:jc w:val="right"/>
            </w:pPr>
            <w:r/>
            <w:r>
              <w:rPr>
                <w:b/>
                <w:i w:val="0"/>
                <w:color w:val="FFFFFF"/>
                <w:sz w:val="19"/>
              </w:rPr>
              <w:t>Signal</w:t>
            </w:r>
          </w:p>
        </w:tc>
      </w:tr>
      <w:tr>
        <w:tc>
          <w:tcPr>
            <w:tcW w:type="dxa" w:w="3120"/>
          </w:tcPr>
          <w:p>
            <w:pPr>
              <w:spacing w:after="20" w:before="20"/>
            </w:pPr>
            <w:r/>
            <w:r>
              <w:rPr>
                <w:b w:val="0"/>
                <w:i w:val="0"/>
                <w:sz w:val="19"/>
              </w:rPr>
              <w:t>Spot</w:t>
            </w:r>
          </w:p>
        </w:tc>
        <w:tc>
          <w:tcPr>
            <w:tcW w:type="dxa" w:w="3120"/>
          </w:tcPr>
          <w:p>
            <w:pPr>
              <w:spacing w:after="20" w:before="20"/>
              <w:jc w:val="right"/>
            </w:pPr>
            <w:r/>
            <w:r>
              <w:rPr>
                <w:b w:val="0"/>
                <w:i w:val="0"/>
                <w:sz w:val="19"/>
              </w:rPr>
              <w:t>EGP 29.45</w:t>
            </w:r>
          </w:p>
        </w:tc>
        <w:tc>
          <w:tcPr>
            <w:tcW w:type="dxa" w:w="3120"/>
          </w:tcPr>
          <w:p>
            <w:pPr>
              <w:spacing w:after="20" w:before="20"/>
              <w:jc w:val="right"/>
            </w:pPr>
            <w:r/>
            <w:r>
              <w:rPr>
                <w:b w:val="0"/>
                <w:i w:val="0"/>
                <w:sz w:val="19"/>
              </w:rPr>
              <w:t>—</w:t>
            </w:r>
          </w:p>
        </w:tc>
      </w:tr>
      <w:tr>
        <w:tc>
          <w:tcPr>
            <w:tcW w:type="dxa" w:w="3120"/>
            <w:shd w:val="clear" w:fill="EFF3F1"/>
          </w:tcPr>
          <w:p>
            <w:pPr>
              <w:spacing w:after="20" w:before="20"/>
            </w:pPr>
            <w:r/>
            <w:r>
              <w:rPr>
                <w:b w:val="0"/>
                <w:i w:val="0"/>
                <w:sz w:val="19"/>
              </w:rPr>
              <w:t>SMA 20 / 50</w:t>
            </w:r>
          </w:p>
        </w:tc>
        <w:tc>
          <w:tcPr>
            <w:tcW w:type="dxa" w:w="3120"/>
            <w:shd w:val="clear" w:fill="EFF3F1"/>
          </w:tcPr>
          <w:p>
            <w:pPr>
              <w:spacing w:after="20" w:before="20"/>
              <w:jc w:val="right"/>
            </w:pPr>
            <w:r/>
            <w:r>
              <w:rPr>
                <w:b w:val="0"/>
                <w:i w:val="0"/>
                <w:sz w:val="19"/>
              </w:rPr>
              <w:t>27.63 / 27.22</w:t>
            </w:r>
          </w:p>
        </w:tc>
        <w:tc>
          <w:tcPr>
            <w:tcW w:type="dxa" w:w="3120"/>
            <w:shd w:val="clear" w:fill="EFF3F1"/>
          </w:tcPr>
          <w:p>
            <w:pPr>
              <w:spacing w:after="20" w:before="20"/>
              <w:jc w:val="right"/>
            </w:pPr>
            <w:r/>
            <w:r>
              <w:rPr>
                <w:b w:val="0"/>
                <w:i w:val="0"/>
                <w:sz w:val="19"/>
              </w:rPr>
              <w:t>Above both — short-term up</w:t>
            </w:r>
          </w:p>
        </w:tc>
      </w:tr>
      <w:tr>
        <w:tc>
          <w:tcPr>
            <w:tcW w:type="dxa" w:w="3120"/>
          </w:tcPr>
          <w:p>
            <w:pPr>
              <w:spacing w:after="20" w:before="20"/>
            </w:pPr>
            <w:r/>
            <w:r>
              <w:rPr>
                <w:b w:val="0"/>
                <w:i w:val="0"/>
                <w:sz w:val="19"/>
              </w:rPr>
              <w:t>SMA 100 / 200</w:t>
            </w:r>
          </w:p>
        </w:tc>
        <w:tc>
          <w:tcPr>
            <w:tcW w:type="dxa" w:w="3120"/>
          </w:tcPr>
          <w:p>
            <w:pPr>
              <w:spacing w:after="20" w:before="20"/>
              <w:jc w:val="right"/>
            </w:pPr>
            <w:r/>
            <w:r>
              <w:rPr>
                <w:b w:val="0"/>
                <w:i w:val="0"/>
                <w:sz w:val="19"/>
              </w:rPr>
              <w:t>26.31 / 26.03</w:t>
            </w:r>
          </w:p>
        </w:tc>
        <w:tc>
          <w:tcPr>
            <w:tcW w:type="dxa" w:w="3120"/>
          </w:tcPr>
          <w:p>
            <w:pPr>
              <w:spacing w:after="20" w:before="20"/>
              <w:jc w:val="right"/>
            </w:pPr>
            <w:r/>
            <w:r>
              <w:rPr>
                <w:b w:val="0"/>
                <w:i w:val="0"/>
                <w:sz w:val="19"/>
              </w:rPr>
              <w:t>Above both — trend up</w:t>
            </w:r>
          </w:p>
        </w:tc>
      </w:tr>
      <w:tr>
        <w:tc>
          <w:tcPr>
            <w:tcW w:type="dxa" w:w="3120"/>
            <w:shd w:val="clear" w:fill="EFF3F1"/>
          </w:tcPr>
          <w:p>
            <w:pPr>
              <w:spacing w:after="20" w:before="20"/>
            </w:pPr>
            <w:r/>
            <w:r>
              <w:rPr>
                <w:b w:val="0"/>
                <w:i w:val="0"/>
                <w:sz w:val="19"/>
              </w:rPr>
              <w:t>RSI (14)</w:t>
            </w:r>
          </w:p>
        </w:tc>
        <w:tc>
          <w:tcPr>
            <w:tcW w:type="dxa" w:w="3120"/>
            <w:shd w:val="clear" w:fill="EFF3F1"/>
          </w:tcPr>
          <w:p>
            <w:pPr>
              <w:spacing w:after="20" w:before="20"/>
              <w:jc w:val="right"/>
            </w:pPr>
            <w:r/>
            <w:r>
              <w:rPr>
                <w:b w:val="0"/>
                <w:i w:val="0"/>
                <w:sz w:val="19"/>
              </w:rPr>
              <w:t>61.4</w:t>
            </w:r>
          </w:p>
        </w:tc>
        <w:tc>
          <w:tcPr>
            <w:tcW w:type="dxa" w:w="3120"/>
            <w:shd w:val="clear" w:fill="EFF3F1"/>
          </w:tcPr>
          <w:p>
            <w:pPr>
              <w:spacing w:after="20" w:before="20"/>
              <w:jc w:val="right"/>
            </w:pPr>
            <w:r/>
            <w:r>
              <w:rPr>
                <w:b w:val="0"/>
                <w:i w:val="0"/>
                <w:sz w:val="19"/>
              </w:rPr>
              <w:t>Firm, not overbought</w:t>
            </w:r>
          </w:p>
        </w:tc>
      </w:tr>
      <w:tr>
        <w:tc>
          <w:tcPr>
            <w:tcW w:type="dxa" w:w="3120"/>
          </w:tcPr>
          <w:p>
            <w:pPr>
              <w:spacing w:after="20" w:before="20"/>
            </w:pPr>
            <w:r/>
            <w:r>
              <w:rPr>
                <w:b w:val="0"/>
                <w:i w:val="0"/>
                <w:sz w:val="19"/>
              </w:rPr>
              <w:t>MACD (12,26,9)</w:t>
            </w:r>
          </w:p>
        </w:tc>
        <w:tc>
          <w:tcPr>
            <w:tcW w:type="dxa" w:w="3120"/>
          </w:tcPr>
          <w:p>
            <w:pPr>
              <w:spacing w:after="20" w:before="20"/>
              <w:jc w:val="right"/>
            </w:pPr>
            <w:r/>
            <w:r>
              <w:rPr>
                <w:b w:val="0"/>
                <w:i w:val="0"/>
                <w:sz w:val="19"/>
              </w:rPr>
              <w:t>+0.44 line / +0.32 signal / +0.12 hist</w:t>
            </w:r>
          </w:p>
        </w:tc>
        <w:tc>
          <w:tcPr>
            <w:tcW w:type="dxa" w:w="3120"/>
          </w:tcPr>
          <w:p>
            <w:pPr>
              <w:spacing w:after="20" w:before="20"/>
              <w:jc w:val="right"/>
            </w:pPr>
            <w:r/>
            <w:r>
              <w:rPr>
                <w:b w:val="0"/>
                <w:i w:val="0"/>
                <w:sz w:val="19"/>
              </w:rPr>
              <w:t>Bullish, positive momentum</w:t>
            </w:r>
          </w:p>
        </w:tc>
      </w:tr>
      <w:tr>
        <w:tc>
          <w:tcPr>
            <w:tcW w:type="dxa" w:w="3120"/>
            <w:shd w:val="clear" w:fill="EFF3F1"/>
          </w:tcPr>
          <w:p>
            <w:pPr>
              <w:spacing w:after="20" w:before="20"/>
            </w:pPr>
            <w:r/>
            <w:r>
              <w:rPr>
                <w:b w:val="0"/>
                <w:i w:val="0"/>
                <w:sz w:val="19"/>
              </w:rPr>
              <w:t>52-week range</w:t>
            </w:r>
          </w:p>
        </w:tc>
        <w:tc>
          <w:tcPr>
            <w:tcW w:type="dxa" w:w="3120"/>
            <w:shd w:val="clear" w:fill="EFF3F1"/>
          </w:tcPr>
          <w:p>
            <w:pPr>
              <w:spacing w:after="20" w:before="20"/>
              <w:jc w:val="right"/>
            </w:pPr>
            <w:r/>
            <w:r>
              <w:rPr>
                <w:b w:val="0"/>
                <w:i w:val="0"/>
                <w:sz w:val="19"/>
              </w:rPr>
              <w:t>EGP 22.40 – 29.72</w:t>
            </w:r>
          </w:p>
        </w:tc>
        <w:tc>
          <w:tcPr>
            <w:tcW w:type="dxa" w:w="3120"/>
            <w:shd w:val="clear" w:fill="EFF3F1"/>
          </w:tcPr>
          <w:p>
            <w:pPr>
              <w:spacing w:after="20" w:before="20"/>
              <w:jc w:val="right"/>
            </w:pPr>
            <w:r/>
            <w:r>
              <w:rPr>
                <w:b w:val="0"/>
                <w:i w:val="0"/>
                <w:sz w:val="19"/>
              </w:rPr>
              <w:t>Upper end of range</w:t>
            </w:r>
          </w:p>
        </w:tc>
      </w:tr>
      <w:tr>
        <w:tc>
          <w:tcPr>
            <w:tcW w:type="dxa" w:w="3120"/>
          </w:tcPr>
          <w:p>
            <w:pPr>
              <w:spacing w:after="20" w:before="20"/>
            </w:pPr>
            <w:r/>
            <w:r>
              <w:rPr>
                <w:b w:val="0"/>
                <w:i w:val="0"/>
                <w:sz w:val="19"/>
              </w:rPr>
              <w:t>Realized vol (252d)</w:t>
            </w:r>
          </w:p>
        </w:tc>
        <w:tc>
          <w:tcPr>
            <w:tcW w:type="dxa" w:w="3120"/>
          </w:tcPr>
          <w:p>
            <w:pPr>
              <w:spacing w:after="20" w:before="20"/>
              <w:jc w:val="right"/>
            </w:pPr>
            <w:r/>
            <w:r>
              <w:rPr>
                <w:b w:val="0"/>
                <w:i w:val="0"/>
                <w:sz w:val="19"/>
              </w:rPr>
              <w:t>~30%</w:t>
            </w:r>
          </w:p>
        </w:tc>
        <w:tc>
          <w:tcPr>
            <w:tcW w:type="dxa" w:w="3120"/>
          </w:tcPr>
          <w:p>
            <w:pPr>
              <w:spacing w:after="20" w:before="20"/>
              <w:jc w:val="right"/>
            </w:pPr>
            <w:r/>
            <w:r>
              <w:rPr>
                <w:b w:val="0"/>
                <w:i w:val="0"/>
                <w:sz w:val="19"/>
              </w:rPr>
              <w:t>Moderate, calmer than history</w:t>
            </w:r>
          </w:p>
        </w:tc>
      </w:tr>
    </w:tbl>
    <w:p/>
    <w:p>
      <w:pPr>
        <w:jc w:val="center"/>
      </w:pPr>
      <w:r>
        <w:drawing>
          <wp:inline xmlns:a="http://schemas.openxmlformats.org/drawingml/2006/main" xmlns:pic="http://schemas.openxmlformats.org/drawingml/2006/picture">
            <wp:extent cx="5577840" cy="3011349"/>
            <wp:docPr id="3" name="Picture 3"/>
            <wp:cNvGraphicFramePr>
              <a:graphicFrameLocks noChangeAspect="1"/>
            </wp:cNvGraphicFramePr>
            <a:graphic>
              <a:graphicData uri="http://schemas.openxmlformats.org/drawingml/2006/picture">
                <pic:pic>
                  <pic:nvPicPr>
                    <pic:cNvPr id="0" name="fig3_ma_stack.png"/>
                    <pic:cNvPicPr/>
                  </pic:nvPicPr>
                  <pic:blipFill>
                    <a:blip r:embed="rId20"/>
                    <a:stretch>
                      <a:fillRect/>
                    </a:stretch>
                  </pic:blipFill>
                  <pic:spPr>
                    <a:xfrm>
                      <a:off x="0" y="0"/>
                      <a:ext cx="5577840" cy="3011349"/>
                    </a:xfrm>
                    <a:prstGeom prst="rect"/>
                  </pic:spPr>
                </pic:pic>
              </a:graphicData>
            </a:graphic>
          </wp:inline>
        </w:drawing>
      </w:r>
    </w:p>
    <w:p>
      <w:pPr>
        <w:jc w:val="center"/>
      </w:pPr>
      <w:r>
        <w:rPr>
          <w:i/>
          <w:color w:val="666666"/>
          <w:sz w:val="16"/>
        </w:rPr>
        <w:t>Figure 3 — Price versus the moving-average stack, last 260 sessions.</w:t>
      </w:r>
    </w:p>
    <w:p>
      <w:r>
        <w:rPr>
          <w:b w:val="0"/>
          <w:i w:val="0"/>
        </w:rPr>
        <w:t>For the probabilistic work this matters in one way: an above-trend tape with positive momentum tilts the near-term distribution modestly to the upside, consistent with — but not the cause of — the fundamental undervaluation. Momentum is context, not a trigger, and it says nothing about value; §6 reads the resulting probability zones without forcing the two into a single story.</w:t>
      </w:r>
    </w:p>
    <w:p>
      <w:pPr>
        <w:pStyle w:val="Heading1"/>
      </w:pPr>
      <w:r>
        <w:t>3  Monte Carlo — a probabilistic price map</w:t>
      </w:r>
    </w:p>
    <w:p>
      <w:pPr>
        <w:pStyle w:val="Heading2"/>
      </w:pPr>
      <w:r>
        <w:t>The probability read</w:t>
      </w:r>
    </w:p>
    <w:p>
      <w:r>
        <w:rPr>
          <w:b w:val="0"/>
          <w:i w:val="0"/>
        </w:rPr>
        <w:t>Before the paths, the five-row summary of where they land — computed from the same 50,000 three-month paths that draw the cone below, and presentation-only (it never feeds the drift or the width).</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4680"/>
        <w:gridCol w:w="4680"/>
      </w:tblGrid>
      <w:tr>
        <w:tc>
          <w:tcPr>
            <w:tcW w:type="dxa" w:w="4680"/>
            <w:shd w:val="clear" w:fill="1C3A36"/>
          </w:tcPr>
          <w:p>
            <w:pPr>
              <w:spacing w:after="20" w:before="20"/>
            </w:pPr>
            <w:r/>
            <w:r>
              <w:rPr>
                <w:b/>
                <w:i w:val="0"/>
                <w:color w:val="FFFFFF"/>
                <w:sz w:val="19"/>
              </w:rPr>
              <w:t>Probability read (T+60)</w:t>
            </w:r>
          </w:p>
        </w:tc>
        <w:tc>
          <w:tcPr>
            <w:tcW w:type="dxa" w:w="4680"/>
            <w:shd w:val="clear" w:fill="1C3A36"/>
          </w:tcPr>
          <w:p>
            <w:pPr>
              <w:spacing w:after="20" w:before="20"/>
              <w:jc w:val="right"/>
            </w:pPr>
            <w:r/>
            <w:r>
              <w:rPr>
                <w:b/>
                <w:i w:val="0"/>
                <w:color w:val="FFFFFF"/>
                <w:sz w:val="19"/>
              </w:rPr>
              <w:t>Value</w:t>
            </w:r>
          </w:p>
        </w:tc>
      </w:tr>
      <w:tr>
        <w:tc>
          <w:tcPr>
            <w:tcW w:type="dxa" w:w="4680"/>
          </w:tcPr>
          <w:p>
            <w:pPr>
              <w:spacing w:after="20" w:before="20"/>
            </w:pPr>
            <w:r/>
            <w:r>
              <w:rPr>
                <w:b w:val="0"/>
                <w:i w:val="0"/>
                <w:sz w:val="19"/>
              </w:rPr>
              <w:t>P(price above spot)</w:t>
            </w:r>
          </w:p>
        </w:tc>
        <w:tc>
          <w:tcPr>
            <w:tcW w:type="dxa" w:w="4680"/>
          </w:tcPr>
          <w:p>
            <w:pPr>
              <w:spacing w:after="20" w:before="20"/>
              <w:jc w:val="right"/>
            </w:pPr>
            <w:r/>
            <w:r>
              <w:rPr>
                <w:b w:val="0"/>
                <w:i w:val="0"/>
                <w:sz w:val="19"/>
              </w:rPr>
              <w:t>60%</w:t>
            </w:r>
          </w:p>
        </w:tc>
      </w:tr>
      <w:tr>
        <w:tc>
          <w:tcPr>
            <w:tcW w:type="dxa" w:w="4680"/>
            <w:shd w:val="clear" w:fill="EFF3F1"/>
          </w:tcPr>
          <w:p>
            <w:pPr>
              <w:spacing w:after="20" w:before="20"/>
            </w:pPr>
            <w:r/>
            <w:r>
              <w:rPr>
                <w:b w:val="0"/>
                <w:i w:val="0"/>
                <w:sz w:val="19"/>
              </w:rPr>
              <w:t>P(+10%) vs P(−10%)</w:t>
            </w:r>
          </w:p>
        </w:tc>
        <w:tc>
          <w:tcPr>
            <w:tcW w:type="dxa" w:w="4680"/>
            <w:shd w:val="clear" w:fill="EFF3F1"/>
          </w:tcPr>
          <w:p>
            <w:pPr>
              <w:spacing w:after="20" w:before="20"/>
              <w:jc w:val="right"/>
            </w:pPr>
            <w:r/>
            <w:r>
              <w:rPr>
                <w:b w:val="0"/>
                <w:i w:val="0"/>
                <w:sz w:val="19"/>
              </w:rPr>
              <w:t>42% vs 22%  (odds ~1.9 : 1)</w:t>
            </w:r>
          </w:p>
        </w:tc>
      </w:tr>
      <w:tr>
        <w:tc>
          <w:tcPr>
            <w:tcW w:type="dxa" w:w="4680"/>
          </w:tcPr>
          <w:p>
            <w:pPr>
              <w:spacing w:after="20" w:before="20"/>
            </w:pPr>
            <w:r/>
            <w:r>
              <w:rPr>
                <w:b w:val="0"/>
                <w:i w:val="0"/>
                <w:sz w:val="19"/>
              </w:rPr>
              <w:t>Median level / % move</w:t>
            </w:r>
          </w:p>
        </w:tc>
        <w:tc>
          <w:tcPr>
            <w:tcW w:type="dxa" w:w="4680"/>
          </w:tcPr>
          <w:p>
            <w:pPr>
              <w:spacing w:after="20" w:before="20"/>
              <w:jc w:val="right"/>
            </w:pPr>
            <w:r/>
            <w:r>
              <w:rPr>
                <w:b w:val="0"/>
                <w:i w:val="0"/>
                <w:sz w:val="19"/>
              </w:rPr>
              <w:t>EGP 31.0  (+5.3%)</w:t>
            </w:r>
          </w:p>
        </w:tc>
      </w:tr>
      <w:tr>
        <w:tc>
          <w:tcPr>
            <w:tcW w:type="dxa" w:w="4680"/>
            <w:shd w:val="clear" w:fill="EFF3F1"/>
          </w:tcPr>
          <w:p>
            <w:pPr>
              <w:spacing w:after="20" w:before="20"/>
            </w:pPr>
            <w:r/>
            <w:r>
              <w:rPr>
                <w:b w:val="0"/>
                <w:i w:val="0"/>
                <w:sz w:val="19"/>
              </w:rPr>
              <w:t>50% band (25th–75th)</w:t>
            </w:r>
          </w:p>
        </w:tc>
        <w:tc>
          <w:tcPr>
            <w:tcW w:type="dxa" w:w="4680"/>
            <w:shd w:val="clear" w:fill="EFF3F1"/>
          </w:tcPr>
          <w:p>
            <w:pPr>
              <w:spacing w:after="20" w:before="20"/>
              <w:jc w:val="right"/>
            </w:pPr>
            <w:r/>
            <w:r>
              <w:rPr>
                <w:b w:val="0"/>
                <w:i w:val="0"/>
                <w:sz w:val="19"/>
              </w:rPr>
              <w:t>EGP 27.1 – 35.5  (≈29% of spot)</w:t>
            </w:r>
          </w:p>
        </w:tc>
      </w:tr>
      <w:tr>
        <w:tc>
          <w:tcPr>
            <w:tcW w:type="dxa" w:w="4680"/>
          </w:tcPr>
          <w:p>
            <w:pPr>
              <w:spacing w:after="20" w:before="20"/>
            </w:pPr>
            <w:r/>
            <w:r>
              <w:rPr>
                <w:b w:val="0"/>
                <w:i w:val="0"/>
                <w:sz w:val="19"/>
              </w:rPr>
              <w:t>Touch(+10%) / touch(−10%)</w:t>
            </w:r>
          </w:p>
        </w:tc>
        <w:tc>
          <w:tcPr>
            <w:tcW w:type="dxa" w:w="4680"/>
          </w:tcPr>
          <w:p>
            <w:pPr>
              <w:spacing w:after="20" w:before="20"/>
              <w:jc w:val="right"/>
            </w:pPr>
            <w:r/>
            <w:r>
              <w:rPr>
                <w:b w:val="0"/>
                <w:i w:val="0"/>
                <w:sz w:val="19"/>
              </w:rPr>
              <w:t>66% / 46%</w:t>
            </w:r>
          </w:p>
        </w:tc>
      </w:tr>
    </w:tbl>
    <w:p/>
    <w:p>
      <w:r>
        <w:rPr>
          <w:b w:val="0"/>
          <w:i w:val="0"/>
        </w:rPr>
        <w:t xml:space="preserve">The read shows a </w:t>
      </w:r>
      <w:r>
        <w:rPr>
          <w:b/>
          <w:i w:val="0"/>
        </w:rPr>
        <w:t>modest upward tilt</w:t>
      </w:r>
      <w:r>
        <w:rPr>
          <w:b w:val="0"/>
          <w:i w:val="0"/>
        </w:rPr>
        <w:t xml:space="preserve"> — a 60% chance of finishing above spot and roughly 1.9-to-1 odds on a +10% move versus a −10% move — that is the honest reflection of Lecico's own calibrated secular drift, not the fundamental value gap, which is deliberately kept out of the drift. The direction shown is only ever what survived the Step 0 backtest.</w:t>
      </w:r>
    </w:p>
    <w:p>
      <w:pPr>
        <w:pStyle w:val="Heading2"/>
      </w:pPr>
      <w:r>
        <w:t>The engine and the factors</w:t>
      </w:r>
    </w:p>
    <w:p>
      <w:r>
        <w:rPr>
          <w:b w:val="0"/>
          <w:i w:val="0"/>
        </w:rPr>
        <w:t xml:space="preserve">We simulate 50,000 three-month price paths (seed 42) with the YZ-HAR engine: the diffusion width is the regime-conditional volatility projected by a log-HAR cascade on a gap-aware Yang-Zhang variance proxy (annualized ≈42%, materially calmer than the five-year average because the tape has settled); the innovations are unit-variance Student-t(5), for a tight interquartile body and honest tails; and the drift is Lecico's own Step-0-calibrated secular drift of ≈+19% a year (a regime-dampened half of the raw five-year nominal mean). On top of this diffusion sit sixteen factors: seven continuous macro/operating drivers contributing a small net forward drift (≈+2.2% over the quarter), and nine discrete events that each fire with a probability and an impact. </w:t>
      </w:r>
      <w:r>
        <w:rPr>
          <w:b/>
          <w:i w:val="0"/>
        </w:rPr>
        <w:t>By design the paths diffuse from spot, and the §1 value gap is kept out of the drift</w:t>
      </w:r>
      <w:r>
        <w:rPr>
          <w:b w:val="0"/>
          <w:i w:val="0"/>
        </w:rPr>
        <w:t xml:space="preserve"> — §3 maps where price could go from today, not where value sits.</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872"/>
        <w:gridCol w:w="1872"/>
        <w:gridCol w:w="1872"/>
        <w:gridCol w:w="1872"/>
        <w:gridCol w:w="1872"/>
      </w:tblGrid>
      <w:tr>
        <w:tc>
          <w:tcPr>
            <w:tcW w:type="dxa" w:w="1872"/>
            <w:shd w:val="clear" w:fill="1C3A36"/>
          </w:tcPr>
          <w:p>
            <w:pPr>
              <w:spacing w:after="20" w:before="20"/>
            </w:pPr>
            <w:r/>
            <w:r>
              <w:rPr>
                <w:b/>
                <w:i w:val="0"/>
                <w:color w:val="FFFFFF"/>
                <w:sz w:val="19"/>
              </w:rPr>
              <w:t>Continuous factor (7)</w:t>
            </w:r>
          </w:p>
        </w:tc>
        <w:tc>
          <w:tcPr>
            <w:tcW w:type="dxa" w:w="1872"/>
            <w:shd w:val="clear" w:fill="1C3A36"/>
          </w:tcPr>
          <w:p>
            <w:pPr>
              <w:spacing w:after="20" w:before="20"/>
              <w:jc w:val="right"/>
            </w:pPr>
            <w:r/>
            <w:r>
              <w:rPr>
                <w:b/>
                <w:i w:val="0"/>
                <w:color w:val="FFFFFF"/>
                <w:sz w:val="19"/>
              </w:rPr>
              <w:t>Dir.</w:t>
            </w:r>
          </w:p>
        </w:tc>
        <w:tc>
          <w:tcPr>
            <w:tcW w:type="dxa" w:w="1872"/>
            <w:shd w:val="clear" w:fill="1C3A36"/>
          </w:tcPr>
          <w:p>
            <w:pPr>
              <w:spacing w:after="20" w:before="20"/>
              <w:jc w:val="right"/>
            </w:pPr>
            <w:r/>
            <w:r>
              <w:rPr>
                <w:b/>
                <w:i w:val="0"/>
                <w:color w:val="FFFFFF"/>
                <w:sz w:val="19"/>
              </w:rPr>
              <w:t>Discrete event (9)</w:t>
            </w:r>
          </w:p>
        </w:tc>
        <w:tc>
          <w:tcPr>
            <w:tcW w:type="dxa" w:w="1872"/>
            <w:shd w:val="clear" w:fill="1C3A36"/>
          </w:tcPr>
          <w:p>
            <w:pPr>
              <w:spacing w:after="20" w:before="20"/>
              <w:jc w:val="right"/>
            </w:pPr>
            <w:r/>
            <w:r>
              <w:rPr>
                <w:b/>
                <w:i w:val="0"/>
                <w:color w:val="FFFFFF"/>
                <w:sz w:val="19"/>
              </w:rPr>
              <w:t>Prob.</w:t>
            </w:r>
          </w:p>
        </w:tc>
        <w:tc>
          <w:tcPr>
            <w:tcW w:type="dxa" w:w="1872"/>
            <w:shd w:val="clear" w:fill="1C3A36"/>
          </w:tcPr>
          <w:p>
            <w:pPr>
              <w:spacing w:after="20" w:before="20"/>
              <w:jc w:val="right"/>
            </w:pPr>
            <w:r/>
            <w:r>
              <w:rPr>
                <w:b/>
                <w:i w:val="0"/>
                <w:color w:val="FFFFFF"/>
                <w:sz w:val="19"/>
              </w:rPr>
              <w:t>Mean impact</w:t>
            </w:r>
          </w:p>
        </w:tc>
      </w:tr>
      <w:tr>
        <w:tc>
          <w:tcPr>
            <w:tcW w:type="dxa" w:w="1872"/>
          </w:tcPr>
          <w:p>
            <w:pPr>
              <w:spacing w:after="20" w:before="20"/>
            </w:pPr>
            <w:r/>
            <w:r>
              <w:rPr>
                <w:b w:val="0"/>
                <w:i w:val="0"/>
                <w:sz w:val="19"/>
              </w:rPr>
              <w:t>EGP/USD (weaker lifts export EGP revenue)</w:t>
            </w:r>
          </w:p>
        </w:tc>
        <w:tc>
          <w:tcPr>
            <w:tcW w:type="dxa" w:w="1872"/>
          </w:tcPr>
          <w:p>
            <w:pPr>
              <w:spacing w:after="20" w:before="20"/>
              <w:jc w:val="right"/>
            </w:pPr>
            <w:r/>
            <w:r>
              <w:rPr>
                <w:b w:val="0"/>
                <w:i w:val="0"/>
                <w:sz w:val="19"/>
              </w:rPr>
              <w:t>+</w:t>
            </w:r>
          </w:p>
        </w:tc>
        <w:tc>
          <w:tcPr>
            <w:tcW w:type="dxa" w:w="1872"/>
          </w:tcPr>
          <w:p>
            <w:pPr>
              <w:spacing w:after="20" w:before="20"/>
              <w:jc w:val="right"/>
            </w:pPr>
            <w:r/>
            <w:r>
              <w:rPr>
                <w:b w:val="0"/>
                <w:i w:val="0"/>
                <w:sz w:val="19"/>
              </w:rPr>
              <w:t>H1-2026 results print (~Aug)</w:t>
            </w:r>
          </w:p>
        </w:tc>
        <w:tc>
          <w:tcPr>
            <w:tcW w:type="dxa" w:w="1872"/>
          </w:tcPr>
          <w:p>
            <w:pPr>
              <w:spacing w:after="20" w:before="20"/>
              <w:jc w:val="right"/>
            </w:pPr>
            <w:r/>
            <w:r>
              <w:rPr>
                <w:b w:val="0"/>
                <w:i w:val="0"/>
                <w:sz w:val="19"/>
              </w:rPr>
              <w:t>55%</w:t>
            </w:r>
          </w:p>
        </w:tc>
        <w:tc>
          <w:tcPr>
            <w:tcW w:type="dxa" w:w="1872"/>
          </w:tcPr>
          <w:p>
            <w:pPr>
              <w:spacing w:after="20" w:before="20"/>
              <w:jc w:val="right"/>
            </w:pPr>
            <w:r/>
            <w:r>
              <w:rPr>
                <w:b w:val="0"/>
                <w:i w:val="0"/>
                <w:sz w:val="19"/>
              </w:rPr>
              <w:t>+1.0%</w:t>
            </w:r>
          </w:p>
        </w:tc>
      </w:tr>
      <w:tr>
        <w:tc>
          <w:tcPr>
            <w:tcW w:type="dxa" w:w="1872"/>
            <w:shd w:val="clear" w:fill="EFF3F1"/>
          </w:tcPr>
          <w:p>
            <w:pPr>
              <w:spacing w:after="20" w:before="20"/>
            </w:pPr>
            <w:r/>
            <w:r>
              <w:rPr>
                <w:b w:val="0"/>
                <w:i w:val="0"/>
                <w:sz w:val="19"/>
              </w:rPr>
              <w:t>Natural gas &amp; diesel energy cost</w:t>
            </w:r>
          </w:p>
        </w:tc>
        <w:tc>
          <w:tcPr>
            <w:tcW w:type="dxa" w:w="1872"/>
            <w:shd w:val="clear" w:fill="EFF3F1"/>
          </w:tcPr>
          <w:p>
            <w:pPr>
              <w:spacing w:after="20" w:before="20"/>
              <w:jc w:val="right"/>
            </w:pPr>
            <w:r/>
            <w:r>
              <w:rPr>
                <w:b w:val="0"/>
                <w:i w:val="0"/>
                <w:sz w:val="19"/>
              </w:rPr>
              <w:t>−</w:t>
            </w:r>
          </w:p>
        </w:tc>
        <w:tc>
          <w:tcPr>
            <w:tcW w:type="dxa" w:w="1872"/>
            <w:shd w:val="clear" w:fill="EFF3F1"/>
          </w:tcPr>
          <w:p>
            <w:pPr>
              <w:spacing w:after="20" w:before="20"/>
              <w:jc w:val="right"/>
            </w:pPr>
            <w:r/>
            <w:r>
              <w:rPr>
                <w:b w:val="0"/>
                <w:i w:val="0"/>
                <w:sz w:val="19"/>
              </w:rPr>
              <w:t>EGP devaluation step / sharp FX move</w:t>
            </w:r>
          </w:p>
        </w:tc>
        <w:tc>
          <w:tcPr>
            <w:tcW w:type="dxa" w:w="1872"/>
            <w:shd w:val="clear" w:fill="EFF3F1"/>
          </w:tcPr>
          <w:p>
            <w:pPr>
              <w:spacing w:after="20" w:before="20"/>
              <w:jc w:val="right"/>
            </w:pPr>
            <w:r/>
            <w:r>
              <w:rPr>
                <w:b w:val="0"/>
                <w:i w:val="0"/>
                <w:sz w:val="19"/>
              </w:rPr>
              <w:t>30%</w:t>
            </w:r>
          </w:p>
        </w:tc>
        <w:tc>
          <w:tcPr>
            <w:tcW w:type="dxa" w:w="1872"/>
            <w:shd w:val="clear" w:fill="EFF3F1"/>
          </w:tcPr>
          <w:p>
            <w:pPr>
              <w:spacing w:after="20" w:before="20"/>
              <w:jc w:val="right"/>
            </w:pPr>
            <w:r/>
            <w:r>
              <w:rPr>
                <w:b w:val="0"/>
                <w:i w:val="0"/>
                <w:sz w:val="19"/>
              </w:rPr>
              <w:t>+4.0%</w:t>
            </w:r>
          </w:p>
        </w:tc>
      </w:tr>
      <w:tr>
        <w:tc>
          <w:tcPr>
            <w:tcW w:type="dxa" w:w="1872"/>
          </w:tcPr>
          <w:p>
            <w:pPr>
              <w:spacing w:after="20" w:before="20"/>
            </w:pPr>
            <w:r/>
            <w:r>
              <w:rPr>
                <w:b w:val="0"/>
                <w:i w:val="0"/>
                <w:sz w:val="19"/>
              </w:rPr>
              <w:t>Egypt construction / consumer demand</w:t>
            </w:r>
          </w:p>
        </w:tc>
        <w:tc>
          <w:tcPr>
            <w:tcW w:type="dxa" w:w="1872"/>
          </w:tcPr>
          <w:p>
            <w:pPr>
              <w:spacing w:after="20" w:before="20"/>
              <w:jc w:val="right"/>
            </w:pPr>
            <w:r/>
            <w:r>
              <w:rPr>
                <w:b w:val="0"/>
                <w:i w:val="0"/>
                <w:sz w:val="19"/>
              </w:rPr>
              <w:t>+</w:t>
            </w:r>
          </w:p>
        </w:tc>
        <w:tc>
          <w:tcPr>
            <w:tcW w:type="dxa" w:w="1872"/>
          </w:tcPr>
          <w:p>
            <w:pPr>
              <w:spacing w:after="20" w:before="20"/>
              <w:jc w:val="right"/>
            </w:pPr>
            <w:r/>
            <w:r>
              <w:rPr>
                <w:b w:val="0"/>
                <w:i w:val="0"/>
                <w:sz w:val="19"/>
              </w:rPr>
              <w:t>Energy / gas price reset (further hike)</w:t>
            </w:r>
          </w:p>
        </w:tc>
        <w:tc>
          <w:tcPr>
            <w:tcW w:type="dxa" w:w="1872"/>
          </w:tcPr>
          <w:p>
            <w:pPr>
              <w:spacing w:after="20" w:before="20"/>
              <w:jc w:val="right"/>
            </w:pPr>
            <w:r/>
            <w:r>
              <w:rPr>
                <w:b w:val="0"/>
                <w:i w:val="0"/>
                <w:sz w:val="19"/>
              </w:rPr>
              <w:t>30%</w:t>
            </w:r>
          </w:p>
        </w:tc>
        <w:tc>
          <w:tcPr>
            <w:tcW w:type="dxa" w:w="1872"/>
          </w:tcPr>
          <w:p>
            <w:pPr>
              <w:spacing w:after="20" w:before="20"/>
              <w:jc w:val="right"/>
            </w:pPr>
            <w:r/>
            <w:r>
              <w:rPr>
                <w:b w:val="0"/>
                <w:i w:val="0"/>
                <w:sz w:val="19"/>
              </w:rPr>
              <w:t>−4.5%</w:t>
            </w:r>
          </w:p>
        </w:tc>
      </w:tr>
      <w:tr>
        <w:tc>
          <w:tcPr>
            <w:tcW w:type="dxa" w:w="1872"/>
            <w:shd w:val="clear" w:fill="EFF3F1"/>
          </w:tcPr>
          <w:p>
            <w:pPr>
              <w:spacing w:after="20" w:before="20"/>
            </w:pPr>
            <w:r/>
            <w:r>
              <w:rPr>
                <w:b w:val="0"/>
                <w:i w:val="0"/>
                <w:sz w:val="19"/>
              </w:rPr>
              <w:t>European / export-market demand</w:t>
            </w:r>
          </w:p>
        </w:tc>
        <w:tc>
          <w:tcPr>
            <w:tcW w:type="dxa" w:w="1872"/>
            <w:shd w:val="clear" w:fill="EFF3F1"/>
          </w:tcPr>
          <w:p>
            <w:pPr>
              <w:spacing w:after="20" w:before="20"/>
              <w:jc w:val="right"/>
            </w:pPr>
            <w:r/>
            <w:r>
              <w:rPr>
                <w:b w:val="0"/>
                <w:i w:val="0"/>
                <w:sz w:val="19"/>
              </w:rPr>
              <w:t>+</w:t>
            </w:r>
          </w:p>
        </w:tc>
        <w:tc>
          <w:tcPr>
            <w:tcW w:type="dxa" w:w="1872"/>
            <w:shd w:val="clear" w:fill="EFF3F1"/>
          </w:tcPr>
          <w:p>
            <w:pPr>
              <w:spacing w:after="20" w:before="20"/>
              <w:jc w:val="right"/>
            </w:pPr>
            <w:r/>
            <w:r>
              <w:rPr>
                <w:b w:val="0"/>
                <w:i w:val="0"/>
                <w:sz w:val="19"/>
              </w:rPr>
              <w:t>New US / Asia export-channel ramp</w:t>
            </w:r>
          </w:p>
        </w:tc>
        <w:tc>
          <w:tcPr>
            <w:tcW w:type="dxa" w:w="1872"/>
            <w:shd w:val="clear" w:fill="EFF3F1"/>
          </w:tcPr>
          <w:p>
            <w:pPr>
              <w:spacing w:after="20" w:before="20"/>
              <w:jc w:val="right"/>
            </w:pPr>
            <w:r/>
            <w:r>
              <w:rPr>
                <w:b w:val="0"/>
                <w:i w:val="0"/>
                <w:sz w:val="19"/>
              </w:rPr>
              <w:t>45%</w:t>
            </w:r>
          </w:p>
        </w:tc>
        <w:tc>
          <w:tcPr>
            <w:tcW w:type="dxa" w:w="1872"/>
            <w:shd w:val="clear" w:fill="EFF3F1"/>
          </w:tcPr>
          <w:p>
            <w:pPr>
              <w:spacing w:after="20" w:before="20"/>
              <w:jc w:val="right"/>
            </w:pPr>
            <w:r/>
            <w:r>
              <w:rPr>
                <w:b w:val="0"/>
                <w:i w:val="0"/>
                <w:sz w:val="19"/>
              </w:rPr>
              <w:t>+4.5%</w:t>
            </w:r>
          </w:p>
        </w:tc>
      </w:tr>
      <w:tr>
        <w:tc>
          <w:tcPr>
            <w:tcW w:type="dxa" w:w="1872"/>
          </w:tcPr>
          <w:p>
            <w:pPr>
              <w:spacing w:after="20" w:before="20"/>
            </w:pPr>
            <w:r/>
            <w:r>
              <w:rPr>
                <w:b w:val="0"/>
                <w:i w:val="0"/>
                <w:sz w:val="19"/>
              </w:rPr>
              <w:t>CBE policy-rate path</w:t>
            </w:r>
          </w:p>
        </w:tc>
        <w:tc>
          <w:tcPr>
            <w:tcW w:type="dxa" w:w="1872"/>
          </w:tcPr>
          <w:p>
            <w:pPr>
              <w:spacing w:after="20" w:before="20"/>
              <w:jc w:val="right"/>
            </w:pPr>
            <w:r/>
            <w:r>
              <w:rPr>
                <w:b w:val="0"/>
                <w:i w:val="0"/>
                <w:sz w:val="19"/>
              </w:rPr>
              <w:t>+</w:t>
            </w:r>
          </w:p>
        </w:tc>
        <w:tc>
          <w:tcPr>
            <w:tcW w:type="dxa" w:w="1872"/>
          </w:tcPr>
          <w:p>
            <w:pPr>
              <w:spacing w:after="20" w:before="20"/>
              <w:jc w:val="right"/>
            </w:pPr>
            <w:r/>
            <w:r>
              <w:rPr>
                <w:b w:val="0"/>
                <w:i w:val="0"/>
                <w:sz w:val="19"/>
              </w:rPr>
              <w:t>Geopolitical / Red Sea freight shock</w:t>
            </w:r>
          </w:p>
        </w:tc>
        <w:tc>
          <w:tcPr>
            <w:tcW w:type="dxa" w:w="1872"/>
          </w:tcPr>
          <w:p>
            <w:pPr>
              <w:spacing w:after="20" w:before="20"/>
              <w:jc w:val="right"/>
            </w:pPr>
            <w:r/>
            <w:r>
              <w:rPr>
                <w:b w:val="0"/>
                <w:i w:val="0"/>
                <w:sz w:val="19"/>
              </w:rPr>
              <w:t>30%</w:t>
            </w:r>
          </w:p>
        </w:tc>
        <w:tc>
          <w:tcPr>
            <w:tcW w:type="dxa" w:w="1872"/>
          </w:tcPr>
          <w:p>
            <w:pPr>
              <w:spacing w:after="20" w:before="20"/>
              <w:jc w:val="right"/>
            </w:pPr>
            <w:r/>
            <w:r>
              <w:rPr>
                <w:b w:val="0"/>
                <w:i w:val="0"/>
                <w:sz w:val="19"/>
              </w:rPr>
              <w:t>−5.5%</w:t>
            </w:r>
          </w:p>
        </w:tc>
      </w:tr>
      <w:tr>
        <w:tc>
          <w:tcPr>
            <w:tcW w:type="dxa" w:w="1872"/>
            <w:shd w:val="clear" w:fill="EFF3F1"/>
          </w:tcPr>
          <w:p>
            <w:pPr>
              <w:spacing w:after="20" w:before="20"/>
            </w:pPr>
            <w:r/>
            <w:r>
              <w:rPr>
                <w:b w:val="0"/>
                <w:i w:val="0"/>
                <w:sz w:val="19"/>
              </w:rPr>
              <w:t>EGX30 &amp; foreign flows</w:t>
            </w:r>
          </w:p>
        </w:tc>
        <w:tc>
          <w:tcPr>
            <w:tcW w:type="dxa" w:w="1872"/>
            <w:shd w:val="clear" w:fill="EFF3F1"/>
          </w:tcPr>
          <w:p>
            <w:pPr>
              <w:spacing w:after="20" w:before="20"/>
              <w:jc w:val="right"/>
            </w:pPr>
            <w:r/>
            <w:r>
              <w:rPr>
                <w:b w:val="0"/>
                <w:i w:val="0"/>
                <w:sz w:val="19"/>
              </w:rPr>
              <w:t>+</w:t>
            </w:r>
          </w:p>
        </w:tc>
        <w:tc>
          <w:tcPr>
            <w:tcW w:type="dxa" w:w="1872"/>
            <w:shd w:val="clear" w:fill="EFF3F1"/>
          </w:tcPr>
          <w:p>
            <w:pPr>
              <w:spacing w:after="20" w:before="20"/>
              <w:jc w:val="right"/>
            </w:pPr>
            <w:r/>
            <w:r>
              <w:rPr>
                <w:b w:val="0"/>
                <w:i w:val="0"/>
                <w:sz w:val="19"/>
              </w:rPr>
              <w:t>CBE rate-cut resumption</w:t>
            </w:r>
          </w:p>
        </w:tc>
        <w:tc>
          <w:tcPr>
            <w:tcW w:type="dxa" w:w="1872"/>
            <w:shd w:val="clear" w:fill="EFF3F1"/>
          </w:tcPr>
          <w:p>
            <w:pPr>
              <w:spacing w:after="20" w:before="20"/>
              <w:jc w:val="right"/>
            </w:pPr>
            <w:r/>
            <w:r>
              <w:rPr>
                <w:b w:val="0"/>
                <w:i w:val="0"/>
                <w:sz w:val="19"/>
              </w:rPr>
              <w:t>35%</w:t>
            </w:r>
          </w:p>
        </w:tc>
        <w:tc>
          <w:tcPr>
            <w:tcW w:type="dxa" w:w="1872"/>
            <w:shd w:val="clear" w:fill="EFF3F1"/>
          </w:tcPr>
          <w:p>
            <w:pPr>
              <w:spacing w:after="20" w:before="20"/>
              <w:jc w:val="right"/>
            </w:pPr>
            <w:r/>
            <w:r>
              <w:rPr>
                <w:b w:val="0"/>
                <w:i w:val="0"/>
                <w:sz w:val="19"/>
              </w:rPr>
              <w:t>+2.5%</w:t>
            </w:r>
          </w:p>
        </w:tc>
      </w:tr>
      <w:tr>
        <w:tc>
          <w:tcPr>
            <w:tcW w:type="dxa" w:w="1872"/>
          </w:tcPr>
          <w:p>
            <w:pPr>
              <w:spacing w:after="20" w:before="20"/>
            </w:pPr>
            <w:r/>
            <w:r>
              <w:rPr>
                <w:b w:val="0"/>
                <w:i w:val="0"/>
                <w:sz w:val="19"/>
              </w:rPr>
              <w:t>Egyptian inflation (CPI)</w:t>
            </w:r>
          </w:p>
        </w:tc>
        <w:tc>
          <w:tcPr>
            <w:tcW w:type="dxa" w:w="1872"/>
          </w:tcPr>
          <w:p>
            <w:pPr>
              <w:spacing w:after="20" w:before="20"/>
              <w:jc w:val="right"/>
            </w:pPr>
            <w:r/>
            <w:r>
              <w:rPr>
                <w:b w:val="0"/>
                <w:i w:val="0"/>
                <w:sz w:val="19"/>
              </w:rPr>
              <w:t>±</w:t>
            </w:r>
          </w:p>
        </w:tc>
        <w:tc>
          <w:tcPr>
            <w:tcW w:type="dxa" w:w="1872"/>
          </w:tcPr>
          <w:p>
            <w:pPr>
              <w:spacing w:after="20" w:before="20"/>
              <w:jc w:val="right"/>
            </w:pPr>
            <w:r/>
            <w:r>
              <w:rPr>
                <w:b w:val="0"/>
                <w:i w:val="0"/>
                <w:sz w:val="19"/>
              </w:rPr>
              <w:t>Lebanon / Poland restructuring charge</w:t>
            </w:r>
          </w:p>
        </w:tc>
        <w:tc>
          <w:tcPr>
            <w:tcW w:type="dxa" w:w="1872"/>
          </w:tcPr>
          <w:p>
            <w:pPr>
              <w:spacing w:after="20" w:before="20"/>
              <w:jc w:val="right"/>
            </w:pPr>
            <w:r/>
            <w:r>
              <w:rPr>
                <w:b w:val="0"/>
                <w:i w:val="0"/>
                <w:sz w:val="19"/>
              </w:rPr>
              <w:t>25%</w:t>
            </w:r>
          </w:p>
        </w:tc>
        <w:tc>
          <w:tcPr>
            <w:tcW w:type="dxa" w:w="1872"/>
          </w:tcPr>
          <w:p>
            <w:pPr>
              <w:spacing w:after="20" w:before="20"/>
              <w:jc w:val="right"/>
            </w:pPr>
            <w:r/>
            <w:r>
              <w:rPr>
                <w:b w:val="0"/>
                <w:i w:val="0"/>
                <w:sz w:val="19"/>
              </w:rPr>
              <w:t>−2.0%</w:t>
            </w:r>
          </w:p>
        </w:tc>
      </w:tr>
      <w:tr>
        <w:tc>
          <w:tcPr>
            <w:tcW w:type="dxa" w:w="1872"/>
            <w:shd w:val="clear" w:fill="EFF3F1"/>
          </w:tcPr>
          <w:p>
            <w:pPr>
              <w:spacing w:after="20" w:before="20"/>
            </w:pPr>
            <w:r/>
          </w:p>
        </w:tc>
        <w:tc>
          <w:tcPr>
            <w:tcW w:type="dxa" w:w="1872"/>
            <w:shd w:val="clear" w:fill="EFF3F1"/>
          </w:tcPr>
          <w:p>
            <w:pPr>
              <w:spacing w:after="20" w:before="20"/>
              <w:jc w:val="right"/>
            </w:pPr>
            <w:r/>
          </w:p>
        </w:tc>
        <w:tc>
          <w:tcPr>
            <w:tcW w:type="dxa" w:w="1872"/>
            <w:shd w:val="clear" w:fill="EFF3F1"/>
          </w:tcPr>
          <w:p>
            <w:pPr>
              <w:spacing w:after="20" w:before="20"/>
              <w:jc w:val="right"/>
            </w:pPr>
            <w:r/>
            <w:r>
              <w:rPr>
                <w:b w:val="0"/>
                <w:i w:val="0"/>
                <w:sz w:val="19"/>
              </w:rPr>
              <w:t>Receivables / payment-terms event</w:t>
            </w:r>
          </w:p>
        </w:tc>
        <w:tc>
          <w:tcPr>
            <w:tcW w:type="dxa" w:w="1872"/>
            <w:shd w:val="clear" w:fill="EFF3F1"/>
          </w:tcPr>
          <w:p>
            <w:pPr>
              <w:spacing w:after="20" w:before="20"/>
              <w:jc w:val="right"/>
            </w:pPr>
            <w:r/>
            <w:r>
              <w:rPr>
                <w:b w:val="0"/>
                <w:i w:val="0"/>
                <w:sz w:val="19"/>
              </w:rPr>
              <w:t>30%</w:t>
            </w:r>
          </w:p>
        </w:tc>
        <w:tc>
          <w:tcPr>
            <w:tcW w:type="dxa" w:w="1872"/>
            <w:shd w:val="clear" w:fill="EFF3F1"/>
          </w:tcPr>
          <w:p>
            <w:pPr>
              <w:spacing w:after="20" w:before="20"/>
              <w:jc w:val="right"/>
            </w:pPr>
            <w:r/>
            <w:r>
              <w:rPr>
                <w:b w:val="0"/>
                <w:i w:val="0"/>
                <w:sz w:val="19"/>
              </w:rPr>
              <w:t>−2.0%</w:t>
            </w:r>
          </w:p>
        </w:tc>
      </w:tr>
      <w:tr>
        <w:tc>
          <w:tcPr>
            <w:tcW w:type="dxa" w:w="1872"/>
          </w:tcPr>
          <w:p>
            <w:pPr>
              <w:spacing w:after="20" w:before="20"/>
            </w:pPr>
            <w:r/>
          </w:p>
        </w:tc>
        <w:tc>
          <w:tcPr>
            <w:tcW w:type="dxa" w:w="1872"/>
          </w:tcPr>
          <w:p>
            <w:pPr>
              <w:spacing w:after="20" w:before="20"/>
              <w:jc w:val="right"/>
            </w:pPr>
            <w:r/>
          </w:p>
        </w:tc>
        <w:tc>
          <w:tcPr>
            <w:tcW w:type="dxa" w:w="1872"/>
          </w:tcPr>
          <w:p>
            <w:pPr>
              <w:spacing w:after="20" w:before="20"/>
              <w:jc w:val="right"/>
            </w:pPr>
            <w:r/>
            <w:r>
              <w:rPr>
                <w:b w:val="0"/>
                <w:i w:val="0"/>
                <w:sz w:val="19"/>
              </w:rPr>
              <w:t>Index / foreign-flow rebalancing</w:t>
            </w:r>
          </w:p>
        </w:tc>
        <w:tc>
          <w:tcPr>
            <w:tcW w:type="dxa" w:w="1872"/>
          </w:tcPr>
          <w:p>
            <w:pPr>
              <w:spacing w:after="20" w:before="20"/>
              <w:jc w:val="right"/>
            </w:pPr>
            <w:r/>
            <w:r>
              <w:rPr>
                <w:b w:val="0"/>
                <w:i w:val="0"/>
                <w:sz w:val="19"/>
              </w:rPr>
              <w:t>25%</w:t>
            </w:r>
          </w:p>
        </w:tc>
        <w:tc>
          <w:tcPr>
            <w:tcW w:type="dxa" w:w="1872"/>
          </w:tcPr>
          <w:p>
            <w:pPr>
              <w:spacing w:after="20" w:before="20"/>
              <w:jc w:val="right"/>
            </w:pPr>
            <w:r/>
            <w:r>
              <w:rPr>
                <w:b w:val="0"/>
                <w:i w:val="0"/>
                <w:sz w:val="19"/>
              </w:rPr>
              <w:t>+2.0%</w:t>
            </w:r>
          </w:p>
        </w:tc>
      </w:tr>
    </w:tbl>
    <w:p/>
    <w:p>
      <w:r>
        <w:rPr>
          <w:b/>
          <w:i w:val="0"/>
        </w:rPr>
        <w:t>Percentile map (EGP/share):</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560"/>
        <w:gridCol w:w="1560"/>
        <w:gridCol w:w="1560"/>
        <w:gridCol w:w="1560"/>
        <w:gridCol w:w="1560"/>
        <w:gridCol w:w="1560"/>
      </w:tblGrid>
      <w:tr>
        <w:tc>
          <w:tcPr>
            <w:tcW w:type="dxa" w:w="1560"/>
            <w:shd w:val="clear" w:fill="1C3A36"/>
          </w:tcPr>
          <w:p>
            <w:pPr>
              <w:spacing w:after="20" w:before="20"/>
            </w:pPr>
            <w:r/>
            <w:r>
              <w:rPr>
                <w:b/>
                <w:i w:val="0"/>
                <w:color w:val="FFFFFF"/>
                <w:sz w:val="19"/>
              </w:rPr>
              <w:t>Horizon</w:t>
            </w:r>
          </w:p>
        </w:tc>
        <w:tc>
          <w:tcPr>
            <w:tcW w:type="dxa" w:w="1560"/>
            <w:shd w:val="clear" w:fill="1C3A36"/>
          </w:tcPr>
          <w:p>
            <w:pPr>
              <w:spacing w:after="20" w:before="20"/>
              <w:jc w:val="right"/>
            </w:pPr>
            <w:r/>
            <w:r>
              <w:rPr>
                <w:b/>
                <w:i w:val="0"/>
                <w:color w:val="FFFFFF"/>
                <w:sz w:val="19"/>
              </w:rPr>
              <w:t>p5</w:t>
            </w:r>
          </w:p>
        </w:tc>
        <w:tc>
          <w:tcPr>
            <w:tcW w:type="dxa" w:w="1560"/>
            <w:shd w:val="clear" w:fill="1C3A36"/>
          </w:tcPr>
          <w:p>
            <w:pPr>
              <w:spacing w:after="20" w:before="20"/>
              <w:jc w:val="right"/>
            </w:pPr>
            <w:r/>
            <w:r>
              <w:rPr>
                <w:b/>
                <w:i w:val="0"/>
                <w:color w:val="FFFFFF"/>
                <w:sz w:val="19"/>
              </w:rPr>
              <w:t>p25</w:t>
            </w:r>
          </w:p>
        </w:tc>
        <w:tc>
          <w:tcPr>
            <w:tcW w:type="dxa" w:w="1560"/>
            <w:shd w:val="clear" w:fill="1C3A36"/>
          </w:tcPr>
          <w:p>
            <w:pPr>
              <w:spacing w:after="20" w:before="20"/>
              <w:jc w:val="right"/>
            </w:pPr>
            <w:r/>
            <w:r>
              <w:rPr>
                <w:b/>
                <w:i w:val="0"/>
                <w:color w:val="FFFFFF"/>
                <w:sz w:val="19"/>
              </w:rPr>
              <w:t>p50</w:t>
            </w:r>
          </w:p>
        </w:tc>
        <w:tc>
          <w:tcPr>
            <w:tcW w:type="dxa" w:w="1560"/>
            <w:shd w:val="clear" w:fill="1C3A36"/>
          </w:tcPr>
          <w:p>
            <w:pPr>
              <w:spacing w:after="20" w:before="20"/>
              <w:jc w:val="right"/>
            </w:pPr>
            <w:r/>
            <w:r>
              <w:rPr>
                <w:b/>
                <w:i w:val="0"/>
                <w:color w:val="FFFFFF"/>
                <w:sz w:val="19"/>
              </w:rPr>
              <w:t>p75</w:t>
            </w:r>
          </w:p>
        </w:tc>
        <w:tc>
          <w:tcPr>
            <w:tcW w:type="dxa" w:w="1560"/>
            <w:shd w:val="clear" w:fill="1C3A36"/>
          </w:tcPr>
          <w:p>
            <w:pPr>
              <w:spacing w:after="20" w:before="20"/>
              <w:jc w:val="right"/>
            </w:pPr>
            <w:r/>
            <w:r>
              <w:rPr>
                <w:b/>
                <w:i w:val="0"/>
                <w:color w:val="FFFFFF"/>
                <w:sz w:val="19"/>
              </w:rPr>
              <w:t>p95</w:t>
            </w:r>
          </w:p>
        </w:tc>
      </w:tr>
      <w:tr>
        <w:tc>
          <w:tcPr>
            <w:tcW w:type="dxa" w:w="1560"/>
          </w:tcPr>
          <w:p>
            <w:pPr>
              <w:spacing w:after="20" w:before="20"/>
            </w:pPr>
            <w:r/>
            <w:r>
              <w:rPr>
                <w:b w:val="0"/>
                <w:i w:val="0"/>
                <w:sz w:val="19"/>
              </w:rPr>
              <w:t>T+20 sessions</w:t>
            </w:r>
          </w:p>
        </w:tc>
        <w:tc>
          <w:tcPr>
            <w:tcW w:type="dxa" w:w="1560"/>
          </w:tcPr>
          <w:p>
            <w:pPr>
              <w:spacing w:after="20" w:before="20"/>
              <w:jc w:val="right"/>
            </w:pPr>
            <w:r/>
            <w:r>
              <w:rPr>
                <w:b w:val="0"/>
                <w:i w:val="0"/>
                <w:sz w:val="19"/>
              </w:rPr>
              <w:t>24.3</w:t>
            </w:r>
          </w:p>
        </w:tc>
        <w:tc>
          <w:tcPr>
            <w:tcW w:type="dxa" w:w="1560"/>
          </w:tcPr>
          <w:p>
            <w:pPr>
              <w:spacing w:after="20" w:before="20"/>
              <w:jc w:val="right"/>
            </w:pPr>
            <w:r/>
            <w:r>
              <w:rPr>
                <w:b w:val="0"/>
                <w:i w:val="0"/>
                <w:sz w:val="19"/>
              </w:rPr>
              <w:t>27.8</w:t>
            </w:r>
          </w:p>
        </w:tc>
        <w:tc>
          <w:tcPr>
            <w:tcW w:type="dxa" w:w="1560"/>
          </w:tcPr>
          <w:p>
            <w:pPr>
              <w:spacing w:after="20" w:before="20"/>
              <w:jc w:val="right"/>
            </w:pPr>
            <w:r/>
            <w:r>
              <w:rPr>
                <w:b w:val="0"/>
                <w:i w:val="0"/>
                <w:sz w:val="19"/>
              </w:rPr>
              <w:t>30.0</w:t>
            </w:r>
          </w:p>
        </w:tc>
        <w:tc>
          <w:tcPr>
            <w:tcW w:type="dxa" w:w="1560"/>
          </w:tcPr>
          <w:p>
            <w:pPr>
              <w:spacing w:after="20" w:before="20"/>
              <w:jc w:val="right"/>
            </w:pPr>
            <w:r/>
            <w:r>
              <w:rPr>
                <w:b w:val="0"/>
                <w:i w:val="0"/>
                <w:sz w:val="19"/>
              </w:rPr>
              <w:t>32.4</w:t>
            </w:r>
          </w:p>
        </w:tc>
        <w:tc>
          <w:tcPr>
            <w:tcW w:type="dxa" w:w="1560"/>
          </w:tcPr>
          <w:p>
            <w:pPr>
              <w:spacing w:after="20" w:before="20"/>
              <w:jc w:val="right"/>
            </w:pPr>
            <w:r/>
            <w:r>
              <w:rPr>
                <w:b w:val="0"/>
                <w:i w:val="0"/>
                <w:sz w:val="19"/>
              </w:rPr>
              <w:t>37.0</w:t>
            </w:r>
          </w:p>
        </w:tc>
      </w:tr>
      <w:tr>
        <w:tc>
          <w:tcPr>
            <w:tcW w:type="dxa" w:w="1560"/>
            <w:shd w:val="clear" w:fill="EFF3F1"/>
          </w:tcPr>
          <w:p>
            <w:pPr>
              <w:spacing w:after="20" w:before="20"/>
            </w:pPr>
            <w:r/>
            <w:r>
              <w:rPr>
                <w:b w:val="0"/>
                <w:i w:val="0"/>
                <w:sz w:val="19"/>
              </w:rPr>
              <w:t>T+60 sessions</w:t>
            </w:r>
          </w:p>
        </w:tc>
        <w:tc>
          <w:tcPr>
            <w:tcW w:type="dxa" w:w="1560"/>
            <w:shd w:val="clear" w:fill="EFF3F1"/>
          </w:tcPr>
          <w:p>
            <w:pPr>
              <w:spacing w:after="20" w:before="20"/>
              <w:jc w:val="right"/>
            </w:pPr>
            <w:r/>
            <w:r>
              <w:rPr>
                <w:b w:val="0"/>
                <w:i w:val="0"/>
                <w:sz w:val="19"/>
              </w:rPr>
              <w:t>21.7</w:t>
            </w:r>
          </w:p>
        </w:tc>
        <w:tc>
          <w:tcPr>
            <w:tcW w:type="dxa" w:w="1560"/>
            <w:shd w:val="clear" w:fill="EFF3F1"/>
          </w:tcPr>
          <w:p>
            <w:pPr>
              <w:spacing w:after="20" w:before="20"/>
              <w:jc w:val="right"/>
            </w:pPr>
            <w:r/>
            <w:r>
              <w:rPr>
                <w:b w:val="0"/>
                <w:i w:val="0"/>
                <w:sz w:val="19"/>
              </w:rPr>
              <w:t>27.1</w:t>
            </w:r>
          </w:p>
        </w:tc>
        <w:tc>
          <w:tcPr>
            <w:tcW w:type="dxa" w:w="1560"/>
            <w:shd w:val="clear" w:fill="EFF3F1"/>
          </w:tcPr>
          <w:p>
            <w:pPr>
              <w:spacing w:after="20" w:before="20"/>
              <w:jc w:val="right"/>
            </w:pPr>
            <w:r/>
            <w:r>
              <w:rPr>
                <w:b w:val="0"/>
                <w:i w:val="0"/>
                <w:sz w:val="19"/>
              </w:rPr>
              <w:t>31.0</w:t>
            </w:r>
          </w:p>
        </w:tc>
        <w:tc>
          <w:tcPr>
            <w:tcW w:type="dxa" w:w="1560"/>
            <w:shd w:val="clear" w:fill="EFF3F1"/>
          </w:tcPr>
          <w:p>
            <w:pPr>
              <w:spacing w:after="20" w:before="20"/>
              <w:jc w:val="right"/>
            </w:pPr>
            <w:r/>
            <w:r>
              <w:rPr>
                <w:b w:val="0"/>
                <w:i w:val="0"/>
                <w:sz w:val="19"/>
              </w:rPr>
              <w:t>35.5</w:t>
            </w:r>
          </w:p>
        </w:tc>
        <w:tc>
          <w:tcPr>
            <w:tcW w:type="dxa" w:w="1560"/>
            <w:shd w:val="clear" w:fill="EFF3F1"/>
          </w:tcPr>
          <w:p>
            <w:pPr>
              <w:spacing w:after="20" w:before="20"/>
              <w:jc w:val="right"/>
            </w:pPr>
            <w:r/>
            <w:r>
              <w:rPr>
                <w:b w:val="0"/>
                <w:i w:val="0"/>
                <w:sz w:val="19"/>
              </w:rPr>
              <w:t>44.4</w:t>
            </w:r>
          </w:p>
        </w:tc>
      </w:tr>
    </w:tbl>
    <w:p/>
    <w:p>
      <w:pPr>
        <w:jc w:val="center"/>
      </w:pPr>
      <w:r>
        <w:drawing>
          <wp:inline xmlns:a="http://schemas.openxmlformats.org/drawingml/2006/main" xmlns:pic="http://schemas.openxmlformats.org/drawingml/2006/picture">
            <wp:extent cx="5577840" cy="3277503"/>
            <wp:docPr id="4" name="Picture 4"/>
            <wp:cNvGraphicFramePr>
              <a:graphicFrameLocks noChangeAspect="1"/>
            </wp:cNvGraphicFramePr>
            <a:graphic>
              <a:graphicData uri="http://schemas.openxmlformats.org/drawingml/2006/picture">
                <pic:pic>
                  <pic:nvPicPr>
                    <pic:cNvPr id="0" name="fig4_fan.png"/>
                    <pic:cNvPicPr/>
                  </pic:nvPicPr>
                  <pic:blipFill>
                    <a:blip r:embed="rId21"/>
                    <a:stretch>
                      <a:fillRect/>
                    </a:stretch>
                  </pic:blipFill>
                  <pic:spPr>
                    <a:xfrm>
                      <a:off x="0" y="0"/>
                      <a:ext cx="5577840" cy="3277503"/>
                    </a:xfrm>
                    <a:prstGeom prst="rect"/>
                  </pic:spPr>
                </pic:pic>
              </a:graphicData>
            </a:graphic>
          </wp:inline>
        </w:drawing>
      </w:r>
    </w:p>
    <w:p>
      <w:pPr>
        <w:jc w:val="center"/>
      </w:pPr>
      <w:r>
        <w:rPr>
          <w:i/>
          <w:color w:val="666666"/>
          <w:sz w:val="16"/>
        </w:rPr>
        <w:t>Figure 4 — Forward price cone to T+60. Median tracks modestly above spot; the brass dotted line marks the EGP 37 fundamental central value, deliberately above the cone.</w:t>
      </w:r>
    </w:p>
    <w:p>
      <w:pPr>
        <w:jc w:val="center"/>
      </w:pPr>
      <w:r>
        <w:drawing>
          <wp:inline xmlns:a="http://schemas.openxmlformats.org/drawingml/2006/main" xmlns:pic="http://schemas.openxmlformats.org/drawingml/2006/picture">
            <wp:extent cx="5577840" cy="3431508"/>
            <wp:docPr id="5" name="Picture 5"/>
            <wp:cNvGraphicFramePr>
              <a:graphicFrameLocks noChangeAspect="1"/>
            </wp:cNvGraphicFramePr>
            <a:graphic>
              <a:graphicData uri="http://schemas.openxmlformats.org/drawingml/2006/picture">
                <pic:pic>
                  <pic:nvPicPr>
                    <pic:cNvPr id="0" name="fig5_dist_t20.png"/>
                    <pic:cNvPicPr/>
                  </pic:nvPicPr>
                  <pic:blipFill>
                    <a:blip r:embed="rId22"/>
                    <a:stretch>
                      <a:fillRect/>
                    </a:stretch>
                  </pic:blipFill>
                  <pic:spPr>
                    <a:xfrm>
                      <a:off x="0" y="0"/>
                      <a:ext cx="5577840" cy="3431508"/>
                    </a:xfrm>
                    <a:prstGeom prst="rect"/>
                  </pic:spPr>
                </pic:pic>
              </a:graphicData>
            </a:graphic>
          </wp:inline>
        </w:drawing>
      </w:r>
    </w:p>
    <w:p>
      <w:pPr>
        <w:jc w:val="center"/>
      </w:pPr>
      <w:r>
        <w:rPr>
          <w:i/>
          <w:color w:val="666666"/>
          <w:sz w:val="16"/>
        </w:rPr>
        <w:t>Figure 5 — Price distribution at T+20.</w:t>
      </w:r>
    </w:p>
    <w:p>
      <w:pPr>
        <w:jc w:val="center"/>
      </w:pPr>
      <w:r>
        <w:drawing>
          <wp:inline xmlns:a="http://schemas.openxmlformats.org/drawingml/2006/main" xmlns:pic="http://schemas.openxmlformats.org/drawingml/2006/picture">
            <wp:extent cx="5577840" cy="3431508"/>
            <wp:docPr id="6" name="Picture 6"/>
            <wp:cNvGraphicFramePr>
              <a:graphicFrameLocks noChangeAspect="1"/>
            </wp:cNvGraphicFramePr>
            <a:graphic>
              <a:graphicData uri="http://schemas.openxmlformats.org/drawingml/2006/picture">
                <pic:pic>
                  <pic:nvPicPr>
                    <pic:cNvPr id="0" name="fig6_dist_t60.png"/>
                    <pic:cNvPicPr/>
                  </pic:nvPicPr>
                  <pic:blipFill>
                    <a:blip r:embed="rId23"/>
                    <a:stretch>
                      <a:fillRect/>
                    </a:stretch>
                  </pic:blipFill>
                  <pic:spPr>
                    <a:xfrm>
                      <a:off x="0" y="0"/>
                      <a:ext cx="5577840" cy="3431508"/>
                    </a:xfrm>
                    <a:prstGeom prst="rect"/>
                  </pic:spPr>
                </pic:pic>
              </a:graphicData>
            </a:graphic>
          </wp:inline>
        </w:drawing>
      </w:r>
    </w:p>
    <w:p>
      <w:pPr>
        <w:jc w:val="center"/>
      </w:pPr>
      <w:r>
        <w:rPr>
          <w:i/>
          <w:color w:val="666666"/>
          <w:sz w:val="16"/>
        </w:rPr>
        <w:t>Figure 6 — Price distribution at T+60.</w:t>
      </w:r>
    </w:p>
    <w:p>
      <w:r>
        <w:rPr>
          <w:b/>
          <w:i w:val="0"/>
        </w:rPr>
        <w:t>Level-touch ladder</w:t>
      </w:r>
      <w:r>
        <w:rPr>
          <w:b w:val="0"/>
          <w:i w:val="0"/>
        </w:rPr>
        <w:t xml:space="preserve"> — the probability that price touches a level at any point by the horizon (running max for upside, running min for downside):</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2340"/>
        <w:gridCol w:w="2340"/>
        <w:gridCol w:w="2340"/>
        <w:gridCol w:w="2340"/>
      </w:tblGrid>
      <w:tr>
        <w:tc>
          <w:tcPr>
            <w:tcW w:type="dxa" w:w="2340"/>
            <w:shd w:val="clear" w:fill="1C3A36"/>
          </w:tcPr>
          <w:p>
            <w:pPr>
              <w:spacing w:after="20" w:before="20"/>
            </w:pPr>
            <w:r/>
            <w:r>
              <w:rPr>
                <w:b/>
                <w:i w:val="0"/>
                <w:color w:val="FFFFFF"/>
                <w:sz w:val="19"/>
              </w:rPr>
              <w:t>Level (EGP)</w:t>
            </w:r>
          </w:p>
        </w:tc>
        <w:tc>
          <w:tcPr>
            <w:tcW w:type="dxa" w:w="2340"/>
            <w:shd w:val="clear" w:fill="1C3A36"/>
          </w:tcPr>
          <w:p>
            <w:pPr>
              <w:spacing w:after="20" w:before="20"/>
              <w:jc w:val="right"/>
            </w:pPr>
            <w:r/>
            <w:r>
              <w:rPr>
                <w:b/>
                <w:i w:val="0"/>
                <w:color w:val="FFFFFF"/>
                <w:sz w:val="19"/>
              </w:rPr>
              <w:t>T+20 touch</w:t>
            </w:r>
          </w:p>
        </w:tc>
        <w:tc>
          <w:tcPr>
            <w:tcW w:type="dxa" w:w="2340"/>
            <w:shd w:val="clear" w:fill="1C3A36"/>
          </w:tcPr>
          <w:p>
            <w:pPr>
              <w:spacing w:after="20" w:before="20"/>
              <w:jc w:val="right"/>
            </w:pPr>
            <w:r/>
            <w:r>
              <w:rPr>
                <w:b/>
                <w:i w:val="0"/>
                <w:color w:val="FFFFFF"/>
                <w:sz w:val="19"/>
              </w:rPr>
              <w:t>T+60 touch</w:t>
            </w:r>
          </w:p>
        </w:tc>
        <w:tc>
          <w:tcPr>
            <w:tcW w:type="dxa" w:w="2340"/>
            <w:shd w:val="clear" w:fill="1C3A36"/>
          </w:tcPr>
          <w:p>
            <w:pPr>
              <w:spacing w:after="20" w:before="20"/>
              <w:jc w:val="right"/>
            </w:pPr>
            <w:r/>
            <w:r>
              <w:rPr>
                <w:b/>
                <w:i w:val="0"/>
                <w:color w:val="FFFFFF"/>
                <w:sz w:val="19"/>
              </w:rPr>
              <w:t>Note</w:t>
            </w:r>
          </w:p>
        </w:tc>
      </w:tr>
      <w:tr>
        <w:tc>
          <w:tcPr>
            <w:tcW w:type="dxa" w:w="2340"/>
          </w:tcPr>
          <w:p>
            <w:pPr>
              <w:spacing w:after="20" w:before="20"/>
            </w:pPr>
            <w:r/>
            <w:r>
              <w:rPr>
                <w:b w:val="0"/>
                <w:i w:val="0"/>
                <w:sz w:val="19"/>
              </w:rPr>
              <w:t>35.3</w:t>
            </w:r>
          </w:p>
        </w:tc>
        <w:tc>
          <w:tcPr>
            <w:tcW w:type="dxa" w:w="2340"/>
          </w:tcPr>
          <w:p>
            <w:pPr>
              <w:spacing w:after="20" w:before="20"/>
              <w:jc w:val="right"/>
            </w:pPr>
            <w:r/>
            <w:r>
              <w:rPr>
                <w:b w:val="0"/>
                <w:i w:val="0"/>
                <w:sz w:val="19"/>
              </w:rPr>
              <w:t>14%</w:t>
            </w:r>
          </w:p>
        </w:tc>
        <w:tc>
          <w:tcPr>
            <w:tcW w:type="dxa" w:w="2340"/>
          </w:tcPr>
          <w:p>
            <w:pPr>
              <w:spacing w:after="20" w:before="20"/>
              <w:jc w:val="right"/>
            </w:pPr>
            <w:r/>
            <w:r>
              <w:rPr>
                <w:b w:val="0"/>
                <w:i w:val="0"/>
                <w:sz w:val="19"/>
              </w:rPr>
              <w:t>41%</w:t>
            </w:r>
          </w:p>
        </w:tc>
        <w:tc>
          <w:tcPr>
            <w:tcW w:type="dxa" w:w="2340"/>
          </w:tcPr>
          <w:p>
            <w:pPr>
              <w:spacing w:after="20" w:before="20"/>
              <w:jc w:val="right"/>
            </w:pPr>
            <w:r/>
            <w:r>
              <w:rPr>
                <w:b w:val="0"/>
                <w:i w:val="0"/>
                <w:sz w:val="19"/>
              </w:rPr>
              <w:t>Toward the normalized/DCF cluster</w:t>
            </w:r>
          </w:p>
        </w:tc>
      </w:tr>
      <w:tr>
        <w:tc>
          <w:tcPr>
            <w:tcW w:type="dxa" w:w="2340"/>
            <w:shd w:val="clear" w:fill="EFF3F1"/>
          </w:tcPr>
          <w:p>
            <w:pPr>
              <w:spacing w:after="20" w:before="20"/>
            </w:pPr>
            <w:r/>
            <w:r>
              <w:rPr>
                <w:b w:val="0"/>
                <w:i w:val="0"/>
                <w:sz w:val="19"/>
              </w:rPr>
              <w:t>33.0</w:t>
            </w:r>
          </w:p>
        </w:tc>
        <w:tc>
          <w:tcPr>
            <w:tcW w:type="dxa" w:w="2340"/>
            <w:shd w:val="clear" w:fill="EFF3F1"/>
          </w:tcPr>
          <w:p>
            <w:pPr>
              <w:spacing w:after="20" w:before="20"/>
              <w:jc w:val="right"/>
            </w:pPr>
            <w:r/>
            <w:r>
              <w:rPr>
                <w:b w:val="0"/>
                <w:i w:val="0"/>
                <w:sz w:val="19"/>
              </w:rPr>
              <w:t>32%</w:t>
            </w:r>
          </w:p>
        </w:tc>
        <w:tc>
          <w:tcPr>
            <w:tcW w:type="dxa" w:w="2340"/>
            <w:shd w:val="clear" w:fill="EFF3F1"/>
          </w:tcPr>
          <w:p>
            <w:pPr>
              <w:spacing w:after="20" w:before="20"/>
              <w:jc w:val="right"/>
            </w:pPr>
            <w:r/>
            <w:r>
              <w:rPr>
                <w:b w:val="0"/>
                <w:i w:val="0"/>
                <w:sz w:val="19"/>
              </w:rPr>
              <w:t>61%</w:t>
            </w:r>
          </w:p>
        </w:tc>
        <w:tc>
          <w:tcPr>
            <w:tcW w:type="dxa" w:w="2340"/>
            <w:shd w:val="clear" w:fill="EFF3F1"/>
          </w:tcPr>
          <w:p>
            <w:pPr>
              <w:spacing w:after="20" w:before="20"/>
              <w:jc w:val="right"/>
            </w:pPr>
            <w:r/>
            <w:r>
              <w:rPr>
                <w:b w:val="0"/>
                <w:i w:val="0"/>
                <w:sz w:val="19"/>
              </w:rPr>
              <w:t>Above the 52-week high</w:t>
            </w:r>
          </w:p>
        </w:tc>
      </w:tr>
      <w:tr>
        <w:tc>
          <w:tcPr>
            <w:tcW w:type="dxa" w:w="2340"/>
          </w:tcPr>
          <w:p>
            <w:pPr>
              <w:spacing w:after="20" w:before="20"/>
            </w:pPr>
            <w:r/>
            <w:r>
              <w:rPr>
                <w:b w:val="0"/>
                <w:i w:val="0"/>
                <w:sz w:val="19"/>
              </w:rPr>
              <w:t>30.9</w:t>
            </w:r>
          </w:p>
        </w:tc>
        <w:tc>
          <w:tcPr>
            <w:tcW w:type="dxa" w:w="2340"/>
          </w:tcPr>
          <w:p>
            <w:pPr>
              <w:spacing w:after="20" w:before="20"/>
              <w:jc w:val="right"/>
            </w:pPr>
            <w:r/>
            <w:r>
              <w:rPr>
                <w:b w:val="0"/>
                <w:i w:val="0"/>
                <w:sz w:val="19"/>
              </w:rPr>
              <w:t>62%</w:t>
            </w:r>
          </w:p>
        </w:tc>
        <w:tc>
          <w:tcPr>
            <w:tcW w:type="dxa" w:w="2340"/>
          </w:tcPr>
          <w:p>
            <w:pPr>
              <w:spacing w:after="20" w:before="20"/>
              <w:jc w:val="right"/>
            </w:pPr>
            <w:r/>
            <w:r>
              <w:rPr>
                <w:b w:val="0"/>
                <w:i w:val="0"/>
                <w:sz w:val="19"/>
              </w:rPr>
              <w:t>80%</w:t>
            </w:r>
          </w:p>
        </w:tc>
        <w:tc>
          <w:tcPr>
            <w:tcW w:type="dxa" w:w="2340"/>
          </w:tcPr>
          <w:p>
            <w:pPr>
              <w:spacing w:after="20" w:before="20"/>
              <w:jc w:val="right"/>
            </w:pPr>
            <w:r/>
            <w:r>
              <w:rPr>
                <w:b w:val="0"/>
                <w:i w:val="0"/>
                <w:sz w:val="19"/>
              </w:rPr>
              <w:t>Just above spot</w:t>
            </w:r>
          </w:p>
        </w:tc>
      </w:tr>
      <w:tr>
        <w:tc>
          <w:tcPr>
            <w:tcW w:type="dxa" w:w="2340"/>
            <w:shd w:val="clear" w:fill="EFF3F1"/>
          </w:tcPr>
          <w:p>
            <w:pPr>
              <w:spacing w:after="20" w:before="20"/>
            </w:pPr>
            <w:r/>
            <w:r>
              <w:rPr>
                <w:b w:val="0"/>
                <w:i w:val="0"/>
                <w:sz w:val="19"/>
              </w:rPr>
              <w:t>28.9</w:t>
            </w:r>
          </w:p>
        </w:tc>
        <w:tc>
          <w:tcPr>
            <w:tcW w:type="dxa" w:w="2340"/>
            <w:shd w:val="clear" w:fill="EFF3F1"/>
          </w:tcPr>
          <w:p>
            <w:pPr>
              <w:spacing w:after="20" w:before="20"/>
              <w:jc w:val="right"/>
            </w:pPr>
            <w:r/>
            <w:r>
              <w:rPr>
                <w:b w:val="0"/>
                <w:i w:val="0"/>
                <w:sz w:val="19"/>
              </w:rPr>
              <w:t>70%</w:t>
            </w:r>
          </w:p>
        </w:tc>
        <w:tc>
          <w:tcPr>
            <w:tcW w:type="dxa" w:w="2340"/>
            <w:shd w:val="clear" w:fill="EFF3F1"/>
          </w:tcPr>
          <w:p>
            <w:pPr>
              <w:spacing w:after="20" w:before="20"/>
              <w:jc w:val="right"/>
            </w:pPr>
            <w:r/>
            <w:r>
              <w:rPr>
                <w:b w:val="0"/>
                <w:i w:val="0"/>
                <w:sz w:val="19"/>
              </w:rPr>
              <w:t>80%</w:t>
            </w:r>
          </w:p>
        </w:tc>
        <w:tc>
          <w:tcPr>
            <w:tcW w:type="dxa" w:w="2340"/>
            <w:shd w:val="clear" w:fill="EFF3F1"/>
          </w:tcPr>
          <w:p>
            <w:pPr>
              <w:spacing w:after="20" w:before="20"/>
              <w:jc w:val="right"/>
            </w:pPr>
            <w:r/>
            <w:r>
              <w:rPr>
                <w:b w:val="0"/>
                <w:i w:val="0"/>
                <w:sz w:val="19"/>
              </w:rPr>
              <w:t>Just below spot</w:t>
            </w:r>
          </w:p>
        </w:tc>
      </w:tr>
      <w:tr>
        <w:tc>
          <w:tcPr>
            <w:tcW w:type="dxa" w:w="2340"/>
          </w:tcPr>
          <w:p>
            <w:pPr>
              <w:spacing w:after="20" w:before="20"/>
            </w:pPr>
            <w:r/>
            <w:r>
              <w:rPr>
                <w:b w:val="0"/>
                <w:i w:val="0"/>
                <w:sz w:val="19"/>
              </w:rPr>
              <w:t>26.5</w:t>
            </w:r>
          </w:p>
        </w:tc>
        <w:tc>
          <w:tcPr>
            <w:tcW w:type="dxa" w:w="2340"/>
          </w:tcPr>
          <w:p>
            <w:pPr>
              <w:spacing w:after="20" w:before="20"/>
              <w:jc w:val="right"/>
            </w:pPr>
            <w:r/>
            <w:r>
              <w:rPr>
                <w:b w:val="0"/>
                <w:i w:val="0"/>
                <w:sz w:val="19"/>
              </w:rPr>
              <w:t>26%</w:t>
            </w:r>
          </w:p>
        </w:tc>
        <w:tc>
          <w:tcPr>
            <w:tcW w:type="dxa" w:w="2340"/>
          </w:tcPr>
          <w:p>
            <w:pPr>
              <w:spacing w:after="20" w:before="20"/>
              <w:jc w:val="right"/>
            </w:pPr>
            <w:r/>
            <w:r>
              <w:rPr>
                <w:b w:val="0"/>
                <w:i w:val="0"/>
                <w:sz w:val="19"/>
              </w:rPr>
              <w:t>46%</w:t>
            </w:r>
          </w:p>
        </w:tc>
        <w:tc>
          <w:tcPr>
            <w:tcW w:type="dxa" w:w="2340"/>
          </w:tcPr>
          <w:p>
            <w:pPr>
              <w:spacing w:after="20" w:before="20"/>
              <w:jc w:val="right"/>
            </w:pPr>
            <w:r/>
            <w:r>
              <w:rPr>
                <w:b w:val="0"/>
                <w:i w:val="0"/>
                <w:sz w:val="19"/>
              </w:rPr>
              <w:t>Mid downside</w:t>
            </w:r>
          </w:p>
        </w:tc>
      </w:tr>
      <w:tr>
        <w:tc>
          <w:tcPr>
            <w:tcW w:type="dxa" w:w="2340"/>
            <w:shd w:val="clear" w:fill="EFF3F1"/>
          </w:tcPr>
          <w:p>
            <w:pPr>
              <w:spacing w:after="20" w:before="20"/>
            </w:pPr>
            <w:r/>
            <w:r>
              <w:rPr>
                <w:b w:val="0"/>
                <w:i w:val="0"/>
                <w:sz w:val="19"/>
              </w:rPr>
              <w:t>24.4</w:t>
            </w:r>
          </w:p>
        </w:tc>
        <w:tc>
          <w:tcPr>
            <w:tcW w:type="dxa" w:w="2340"/>
            <w:shd w:val="clear" w:fill="EFF3F1"/>
          </w:tcPr>
          <w:p>
            <w:pPr>
              <w:spacing w:after="20" w:before="20"/>
              <w:jc w:val="right"/>
            </w:pPr>
            <w:r/>
            <w:r>
              <w:rPr>
                <w:b w:val="0"/>
                <w:i w:val="0"/>
                <w:sz w:val="19"/>
              </w:rPr>
              <w:t>9%</w:t>
            </w:r>
          </w:p>
        </w:tc>
        <w:tc>
          <w:tcPr>
            <w:tcW w:type="dxa" w:w="2340"/>
            <w:shd w:val="clear" w:fill="EFF3F1"/>
          </w:tcPr>
          <w:p>
            <w:pPr>
              <w:spacing w:after="20" w:before="20"/>
              <w:jc w:val="right"/>
            </w:pPr>
            <w:r/>
            <w:r>
              <w:rPr>
                <w:b w:val="0"/>
                <w:i w:val="0"/>
                <w:sz w:val="19"/>
              </w:rPr>
              <w:t>25%</w:t>
            </w:r>
          </w:p>
        </w:tc>
        <w:tc>
          <w:tcPr>
            <w:tcW w:type="dxa" w:w="2340"/>
            <w:shd w:val="clear" w:fill="EFF3F1"/>
          </w:tcPr>
          <w:p>
            <w:pPr>
              <w:spacing w:after="20" w:before="20"/>
              <w:jc w:val="right"/>
            </w:pPr>
            <w:r/>
            <w:r>
              <w:rPr>
                <w:b w:val="0"/>
                <w:i w:val="0"/>
                <w:sz w:val="19"/>
              </w:rPr>
              <w:t>Toward the 52-week low</w:t>
            </w:r>
          </w:p>
        </w:tc>
      </w:tr>
      <w:tr>
        <w:tc>
          <w:tcPr>
            <w:tcW w:type="dxa" w:w="2340"/>
          </w:tcPr>
          <w:p>
            <w:pPr>
              <w:spacing w:after="20" w:before="20"/>
            </w:pPr>
            <w:r/>
            <w:r>
              <w:rPr>
                <w:b w:val="0"/>
                <w:i w:val="0"/>
                <w:sz w:val="19"/>
              </w:rPr>
              <w:t>22.1</w:t>
            </w:r>
          </w:p>
        </w:tc>
        <w:tc>
          <w:tcPr>
            <w:tcW w:type="dxa" w:w="2340"/>
          </w:tcPr>
          <w:p>
            <w:pPr>
              <w:spacing w:after="20" w:before="20"/>
              <w:jc w:val="right"/>
            </w:pPr>
            <w:r/>
            <w:r>
              <w:rPr>
                <w:b w:val="0"/>
                <w:i w:val="0"/>
                <w:sz w:val="19"/>
              </w:rPr>
              <w:t>2%</w:t>
            </w:r>
          </w:p>
        </w:tc>
        <w:tc>
          <w:tcPr>
            <w:tcW w:type="dxa" w:w="2340"/>
          </w:tcPr>
          <w:p>
            <w:pPr>
              <w:spacing w:after="20" w:before="20"/>
              <w:jc w:val="right"/>
            </w:pPr>
            <w:r/>
            <w:r>
              <w:rPr>
                <w:b w:val="0"/>
                <w:i w:val="0"/>
                <w:sz w:val="19"/>
              </w:rPr>
              <w:t>11%</w:t>
            </w:r>
          </w:p>
        </w:tc>
        <w:tc>
          <w:tcPr>
            <w:tcW w:type="dxa" w:w="2340"/>
          </w:tcPr>
          <w:p>
            <w:pPr>
              <w:spacing w:after="20" w:before="20"/>
              <w:jc w:val="right"/>
            </w:pPr>
            <w:r/>
            <w:r>
              <w:rPr>
                <w:b w:val="0"/>
                <w:i w:val="0"/>
                <w:sz w:val="19"/>
              </w:rPr>
              <w:t>The 52-week low zone</w:t>
            </w:r>
          </w:p>
        </w:tc>
      </w:tr>
    </w:tbl>
    <w:p/>
    <w:p>
      <w:pPr>
        <w:jc w:val="center"/>
      </w:pPr>
      <w:r>
        <w:drawing>
          <wp:inline xmlns:a="http://schemas.openxmlformats.org/drawingml/2006/main" xmlns:pic="http://schemas.openxmlformats.org/drawingml/2006/picture">
            <wp:extent cx="5577840" cy="3334445"/>
            <wp:docPr id="7" name="Picture 7"/>
            <wp:cNvGraphicFramePr>
              <a:graphicFrameLocks noChangeAspect="1"/>
            </wp:cNvGraphicFramePr>
            <a:graphic>
              <a:graphicData uri="http://schemas.openxmlformats.org/drawingml/2006/picture">
                <pic:pic>
                  <pic:nvPicPr>
                    <pic:cNvPr id="0" name="fig7_touch.png"/>
                    <pic:cNvPicPr/>
                  </pic:nvPicPr>
                  <pic:blipFill>
                    <a:blip r:embed="rId24"/>
                    <a:stretch>
                      <a:fillRect/>
                    </a:stretch>
                  </pic:blipFill>
                  <pic:spPr>
                    <a:xfrm>
                      <a:off x="0" y="0"/>
                      <a:ext cx="5577840" cy="3334445"/>
                    </a:xfrm>
                    <a:prstGeom prst="rect"/>
                  </pic:spPr>
                </pic:pic>
              </a:graphicData>
            </a:graphic>
          </wp:inline>
        </w:drawing>
      </w:r>
    </w:p>
    <w:p>
      <w:pPr>
        <w:jc w:val="center"/>
      </w:pPr>
      <w:r>
        <w:rPr>
          <w:i/>
          <w:color w:val="666666"/>
          <w:sz w:val="16"/>
        </w:rPr>
        <w:t>Figure 7 — Level-touch ladder (running max for upside, running min for downside).</w:t>
      </w:r>
    </w:p>
    <w:p>
      <w:pPr>
        <w:pStyle w:val="Heading1"/>
      </w:pPr>
      <w:r>
        <w:t>4  Comparison of the lenses, and a verdict</w:t>
      </w:r>
    </w:p>
    <w:p>
      <w:r>
        <w:rPr>
          <w:b w:val="0"/>
          <w:i w:val="0"/>
        </w:rPr>
        <w:t xml:space="preserve">Three readings sit side by side. The </w:t>
      </w:r>
      <w:r>
        <w:rPr>
          <w:b/>
          <w:i w:val="0"/>
        </w:rPr>
        <w:t>fundamental</w:t>
      </w:r>
      <w:r>
        <w:rPr>
          <w:b w:val="0"/>
          <w:i w:val="0"/>
        </w:rPr>
        <w:t xml:space="preserve"> lenses cluster tightly at EGP 32–39 with a central EGP 37 — meaningfully above spot, contingent on the pound and cash conversion. The </w:t>
      </w:r>
      <w:r>
        <w:rPr>
          <w:b/>
          <w:i w:val="0"/>
        </w:rPr>
        <w:t>technical</w:t>
      </w:r>
      <w:r>
        <w:rPr>
          <w:b w:val="0"/>
          <w:i w:val="0"/>
        </w:rPr>
        <w:t xml:space="preserve"> picture agrees in direction for once: a firm short-term uptrend, above all moving averages, with the 52-week high at EGP 29.72 as the immediate hurdle. The </w:t>
      </w:r>
      <w:r>
        <w:rPr>
          <w:b/>
          <w:i w:val="0"/>
        </w:rPr>
        <w:t>probabilistic</w:t>
      </w:r>
      <w:r>
        <w:rPr>
          <w:b w:val="0"/>
          <w:i w:val="0"/>
        </w:rPr>
        <w:t xml:space="preserve"> map says that over three months price is modestly right-skewed around spot with a wide ±~30% band — the median is EGP 31, above spot but well below the EGP 37 fundamental central, because the simulation does not assume the value gap closes inside the quarter.</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3120"/>
        <w:gridCol w:w="3120"/>
        <w:gridCol w:w="3120"/>
      </w:tblGrid>
      <w:tr>
        <w:tc>
          <w:tcPr>
            <w:tcW w:type="dxa" w:w="3120"/>
            <w:shd w:val="clear" w:fill="1C3A36"/>
          </w:tcPr>
          <w:p>
            <w:pPr>
              <w:spacing w:after="20" w:before="20"/>
            </w:pPr>
            <w:r/>
            <w:r>
              <w:rPr>
                <w:b/>
                <w:i w:val="0"/>
                <w:color w:val="FFFFFF"/>
                <w:sz w:val="19"/>
              </w:rPr>
              <w:t>Lens</w:t>
            </w:r>
          </w:p>
        </w:tc>
        <w:tc>
          <w:tcPr>
            <w:tcW w:type="dxa" w:w="3120"/>
            <w:shd w:val="clear" w:fill="1C3A36"/>
          </w:tcPr>
          <w:p>
            <w:pPr>
              <w:spacing w:after="20" w:before="20"/>
              <w:jc w:val="right"/>
            </w:pPr>
            <w:r/>
            <w:r>
              <w:rPr>
                <w:b/>
                <w:i w:val="0"/>
                <w:color w:val="FFFFFF"/>
                <w:sz w:val="19"/>
              </w:rPr>
              <w:t>Reads</w:t>
            </w:r>
          </w:p>
        </w:tc>
        <w:tc>
          <w:tcPr>
            <w:tcW w:type="dxa" w:w="3120"/>
            <w:shd w:val="clear" w:fill="1C3A36"/>
          </w:tcPr>
          <w:p>
            <w:pPr>
              <w:spacing w:after="20" w:before="20"/>
              <w:jc w:val="right"/>
            </w:pPr>
            <w:r/>
            <w:r>
              <w:rPr>
                <w:b/>
                <w:i w:val="0"/>
                <w:color w:val="FFFFFF"/>
                <w:sz w:val="19"/>
              </w:rPr>
              <w:t>Central / implication</w:t>
            </w:r>
          </w:p>
        </w:tc>
      </w:tr>
      <w:tr>
        <w:tc>
          <w:tcPr>
            <w:tcW w:type="dxa" w:w="3120"/>
          </w:tcPr>
          <w:p>
            <w:pPr>
              <w:spacing w:after="20" w:before="20"/>
            </w:pPr>
            <w:r/>
            <w:r>
              <w:rPr>
                <w:b w:val="0"/>
                <w:i w:val="0"/>
                <w:sz w:val="19"/>
              </w:rPr>
              <w:t>Fundamental (5-lens)</w:t>
            </w:r>
          </w:p>
        </w:tc>
        <w:tc>
          <w:tcPr>
            <w:tcW w:type="dxa" w:w="3120"/>
          </w:tcPr>
          <w:p>
            <w:pPr>
              <w:spacing w:after="20" w:before="20"/>
              <w:jc w:val="right"/>
            </w:pPr>
            <w:r/>
            <w:r>
              <w:rPr>
                <w:b w:val="0"/>
                <w:i w:val="0"/>
                <w:sz w:val="19"/>
              </w:rPr>
              <w:t>Meaningfully cheap</w:t>
            </w:r>
          </w:p>
        </w:tc>
        <w:tc>
          <w:tcPr>
            <w:tcW w:type="dxa" w:w="3120"/>
          </w:tcPr>
          <w:p>
            <w:pPr>
              <w:spacing w:after="20" w:before="20"/>
              <w:jc w:val="right"/>
            </w:pPr>
            <w:r/>
            <w:r>
              <w:rPr>
                <w:b w:val="0"/>
                <w:i w:val="0"/>
                <w:sz w:val="19"/>
              </w:rPr>
              <w:t>EGP 37 (~+26%)</w:t>
            </w:r>
          </w:p>
        </w:tc>
      </w:tr>
      <w:tr>
        <w:tc>
          <w:tcPr>
            <w:tcW w:type="dxa" w:w="3120"/>
            <w:shd w:val="clear" w:fill="EFF3F1"/>
          </w:tcPr>
          <w:p>
            <w:pPr>
              <w:spacing w:after="20" w:before="20"/>
            </w:pPr>
            <w:r/>
            <w:r>
              <w:rPr>
                <w:b w:val="0"/>
                <w:i w:val="0"/>
                <w:sz w:val="19"/>
              </w:rPr>
              <w:t>Technical</w:t>
            </w:r>
          </w:p>
        </w:tc>
        <w:tc>
          <w:tcPr>
            <w:tcW w:type="dxa" w:w="3120"/>
            <w:shd w:val="clear" w:fill="EFF3F1"/>
          </w:tcPr>
          <w:p>
            <w:pPr>
              <w:spacing w:after="20" w:before="20"/>
              <w:jc w:val="right"/>
            </w:pPr>
            <w:r/>
            <w:r>
              <w:rPr>
                <w:b w:val="0"/>
                <w:i w:val="0"/>
                <w:sz w:val="19"/>
              </w:rPr>
              <w:t>Firm uptrend</w:t>
            </w:r>
          </w:p>
        </w:tc>
        <w:tc>
          <w:tcPr>
            <w:tcW w:type="dxa" w:w="3120"/>
            <w:shd w:val="clear" w:fill="EFF3F1"/>
          </w:tcPr>
          <w:p>
            <w:pPr>
              <w:spacing w:after="20" w:before="20"/>
              <w:jc w:val="right"/>
            </w:pPr>
            <w:r/>
            <w:r>
              <w:rPr>
                <w:b w:val="0"/>
                <w:i w:val="0"/>
                <w:sz w:val="19"/>
              </w:rPr>
              <w:t>Support at the MA stack EGP 26–28; resistance at EGP 29.7</w:t>
            </w:r>
          </w:p>
        </w:tc>
      </w:tr>
      <w:tr>
        <w:tc>
          <w:tcPr>
            <w:tcW w:type="dxa" w:w="3120"/>
          </w:tcPr>
          <w:p>
            <w:pPr>
              <w:spacing w:after="20" w:before="20"/>
            </w:pPr>
            <w:r/>
            <w:r>
              <w:rPr>
                <w:b w:val="0"/>
                <w:i w:val="0"/>
                <w:sz w:val="19"/>
              </w:rPr>
              <w:t>Monte Carlo (3-month)</w:t>
            </w:r>
          </w:p>
        </w:tc>
        <w:tc>
          <w:tcPr>
            <w:tcW w:type="dxa" w:w="3120"/>
          </w:tcPr>
          <w:p>
            <w:pPr>
              <w:spacing w:after="20" w:before="20"/>
              <w:jc w:val="right"/>
            </w:pPr>
            <w:r/>
            <w:r>
              <w:rPr>
                <w:b w:val="0"/>
                <w:i w:val="0"/>
                <w:sz w:val="19"/>
              </w:rPr>
              <w:t>Modestly right-skewed</w:t>
            </w:r>
          </w:p>
        </w:tc>
        <w:tc>
          <w:tcPr>
            <w:tcW w:type="dxa" w:w="3120"/>
          </w:tcPr>
          <w:p>
            <w:pPr>
              <w:spacing w:after="20" w:before="20"/>
              <w:jc w:val="right"/>
            </w:pPr>
            <w:r/>
            <w:r>
              <w:rPr>
                <w:b w:val="0"/>
                <w:i w:val="0"/>
                <w:sz w:val="19"/>
              </w:rPr>
              <w:t>Median EGP 31; p5–p95 EGP 22–44</w:t>
            </w:r>
          </w:p>
        </w:tc>
      </w:tr>
    </w:tbl>
    <w:p/>
    <w:p>
      <w:r>
        <w:rPr>
          <w:b/>
          <w:i w:val="0"/>
        </w:rPr>
        <w:t>Verdict (a fair-value read, not a recommendation).</w:t>
      </w:r>
      <w:r>
        <w:rPr>
          <w:b w:val="0"/>
          <w:i w:val="0"/>
        </w:rPr>
        <w:t xml:space="preserve"> Lecico looks meaningfully cheap on fundamentals, with an unusually tight cluster of lenses and two clear, observable swing factors: the pound and cash conversion. Unlike a typical value name, the technical tape is not fighting the thesis — it is trending higher — but the three-month distribution still centres nearer spot than fair value, because a re-rating requires operating proof (a weaker pound feeding margins, a working-capital reversal feeding cash) that plays out over quarters, not weeks. The honest summary is a value about a quarter above price, a near-term distribution tilted modestly up, and an outcome that hinges on two things the company only partly controls — which is why the bear–bull span (EGP 26–51) is wide even though the base-case lenses agree. Readers should weigh the lenses themselves; we publish the distribution, not a target.</w:t>
      </w:r>
    </w:p>
    <w:p>
      <w:pPr>
        <w:pStyle w:val="Heading1"/>
      </w:pPr>
      <w:r>
        <w:t>5  Catalysts to watch</w:t>
      </w:r>
    </w:p>
    <w:p>
      <w:pPr>
        <w:pStyle w:val="ListParagraph"/>
        <w:ind w:left="360"/>
      </w:pPr>
      <w:r>
        <w:rPr>
          <w:b w:val="0"/>
          <w:i w:val="0"/>
        </w:rPr>
        <w:t xml:space="preserve">•  </w:t>
      </w:r>
      <w:r>
        <w:rPr>
          <w:b/>
          <w:i w:val="0"/>
        </w:rPr>
        <w:t>H1-2026 results (≈ August 2026).</w:t>
      </w:r>
      <w:r>
        <w:rPr>
          <w:b w:val="0"/>
          <w:i w:val="0"/>
        </w:rPr>
        <w:t xml:space="preserve"> The first clean read on whether the margin is stabilising and, critically, whether operating cash flow has turned positive as working capital normalises.</w:t>
      </w:r>
    </w:p>
    <w:p>
      <w:pPr>
        <w:pStyle w:val="ListParagraph"/>
        <w:ind w:left="360"/>
      </w:pPr>
      <w:r>
        <w:rPr>
          <w:b w:val="0"/>
          <w:i w:val="0"/>
        </w:rPr>
        <w:t xml:space="preserve">•  </w:t>
      </w:r>
      <w:r>
        <w:rPr>
          <w:b/>
          <w:i w:val="0"/>
        </w:rPr>
        <w:t>The Egyptian pound.</w:t>
      </w:r>
      <w:r>
        <w:rPr>
          <w:b w:val="0"/>
          <w:i w:val="0"/>
        </w:rPr>
        <w:t xml:space="preserve"> Any resumption of gradual depreciation toward EGP 52–54/USD lifts export EGP revenue and margin directly; renewed strength keeps the squeeze on. This is the single most important external lever.</w:t>
      </w:r>
    </w:p>
    <w:p>
      <w:pPr>
        <w:pStyle w:val="ListParagraph"/>
        <w:ind w:left="360"/>
      </w:pPr>
      <w:r>
        <w:rPr>
          <w:b w:val="0"/>
          <w:i w:val="0"/>
        </w:rPr>
        <w:t xml:space="preserve">•  </w:t>
      </w:r>
      <w:r>
        <w:rPr>
          <w:b/>
          <w:i w:val="0"/>
        </w:rPr>
        <w:t>Energy tariffs.</w:t>
      </w:r>
      <w:r>
        <w:rPr>
          <w:b w:val="0"/>
          <w:i w:val="0"/>
        </w:rPr>
        <w:t xml:space="preserve"> Further natural-gas or diesel price resets raise kiln and transport costs; a pause or subsidy adjustment would relieve the cost line.</w:t>
      </w:r>
    </w:p>
    <w:p>
      <w:pPr>
        <w:pStyle w:val="ListParagraph"/>
        <w:ind w:left="360"/>
      </w:pPr>
      <w:r>
        <w:rPr>
          <w:b w:val="0"/>
          <w:i w:val="0"/>
        </w:rPr>
        <w:t xml:space="preserve">•  </w:t>
      </w:r>
      <w:r>
        <w:rPr>
          <w:b/>
          <w:i w:val="0"/>
        </w:rPr>
        <w:t>CBE rate path.</w:t>
      </w:r>
      <w:r>
        <w:rPr>
          <w:b w:val="0"/>
          <w:i w:val="0"/>
        </w:rPr>
        <w:t xml:space="preserve"> A resumption of rate cuts lowers the carry on Lecico's heavy working capital and supports domestic tile demand.</w:t>
      </w:r>
    </w:p>
    <w:p>
      <w:pPr>
        <w:pStyle w:val="ListParagraph"/>
        <w:ind w:left="360"/>
      </w:pPr>
      <w:r>
        <w:rPr>
          <w:b w:val="0"/>
          <w:i w:val="0"/>
        </w:rPr>
        <w:t xml:space="preserve">•  </w:t>
      </w:r>
      <w:r>
        <w:rPr>
          <w:b/>
          <w:i w:val="0"/>
        </w:rPr>
        <w:t>New export channels.</w:t>
      </w:r>
      <w:r>
        <w:rPr>
          <w:b w:val="0"/>
          <w:i w:val="0"/>
        </w:rPr>
        <w:t xml:space="preserve"> Evidence of the US/Asia sanitary-ware volume ramp converting into revenue and utilisation.</w:t>
      </w:r>
    </w:p>
    <w:p>
      <w:pPr>
        <w:pStyle w:val="ListParagraph"/>
        <w:ind w:left="360"/>
      </w:pPr>
      <w:r>
        <w:rPr>
          <w:b w:val="0"/>
          <w:i w:val="0"/>
        </w:rPr>
        <w:t xml:space="preserve">•  </w:t>
      </w:r>
      <w:r>
        <w:rPr>
          <w:b/>
          <w:i w:val="0"/>
        </w:rPr>
        <w:t>Working-capital and the balance sheet.</w:t>
      </w:r>
      <w:r>
        <w:rPr>
          <w:b w:val="0"/>
          <w:i w:val="0"/>
        </w:rPr>
        <w:t xml:space="preserve"> A reversal of the 2025 inventory/receivables build — the difference between reported profit and real cash — and any move toward reinstating a dividend once accumulated losses clear.</w:t>
      </w:r>
    </w:p>
    <w:p>
      <w:pPr>
        <w:pStyle w:val="Heading1"/>
      </w:pPr>
      <w:r>
        <w:t>6  Reading the probability zones</w:t>
      </w:r>
    </w:p>
    <w:p>
      <w:r>
        <w:rPr>
          <w:b w:val="0"/>
          <w:i w:val="0"/>
        </w:rPr>
        <w:t>Translating the three-month distribution into plain zones, anchored on spot EGP 29.45 and the fair-value cluster:</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2340"/>
        <w:gridCol w:w="2340"/>
        <w:gridCol w:w="2340"/>
        <w:gridCol w:w="2340"/>
      </w:tblGrid>
      <w:tr>
        <w:tc>
          <w:tcPr>
            <w:tcW w:type="dxa" w:w="2340"/>
            <w:shd w:val="clear" w:fill="1C3A36"/>
          </w:tcPr>
          <w:p>
            <w:pPr>
              <w:spacing w:after="20" w:before="20"/>
            </w:pPr>
            <w:r/>
            <w:r>
              <w:rPr>
                <w:b/>
                <w:i w:val="0"/>
                <w:color w:val="FFFFFF"/>
                <w:sz w:val="19"/>
              </w:rPr>
              <w:t>Zone (T+60)</w:t>
            </w:r>
          </w:p>
        </w:tc>
        <w:tc>
          <w:tcPr>
            <w:tcW w:type="dxa" w:w="2340"/>
            <w:shd w:val="clear" w:fill="1C3A36"/>
          </w:tcPr>
          <w:p>
            <w:pPr>
              <w:spacing w:after="20" w:before="20"/>
              <w:jc w:val="right"/>
            </w:pPr>
            <w:r/>
            <w:r>
              <w:rPr>
                <w:b/>
                <w:i w:val="0"/>
                <w:color w:val="FFFFFF"/>
                <w:sz w:val="19"/>
              </w:rPr>
              <w:t>Range</w:t>
            </w:r>
          </w:p>
        </w:tc>
        <w:tc>
          <w:tcPr>
            <w:tcW w:type="dxa" w:w="2340"/>
            <w:shd w:val="clear" w:fill="1C3A36"/>
          </w:tcPr>
          <w:p>
            <w:pPr>
              <w:spacing w:after="20" w:before="20"/>
              <w:jc w:val="right"/>
            </w:pPr>
            <w:r/>
            <w:r>
              <w:rPr>
                <w:b/>
                <w:i w:val="0"/>
                <w:color w:val="FFFFFF"/>
                <w:sz w:val="19"/>
              </w:rPr>
              <w:t>Approx. probability</w:t>
            </w:r>
          </w:p>
        </w:tc>
        <w:tc>
          <w:tcPr>
            <w:tcW w:type="dxa" w:w="2340"/>
            <w:shd w:val="clear" w:fill="1C3A36"/>
          </w:tcPr>
          <w:p>
            <w:pPr>
              <w:spacing w:after="20" w:before="20"/>
              <w:jc w:val="right"/>
            </w:pPr>
            <w:r/>
            <w:r>
              <w:rPr>
                <w:b/>
                <w:i w:val="0"/>
                <w:color w:val="FFFFFF"/>
                <w:sz w:val="19"/>
              </w:rPr>
              <w:t>What it would mean</w:t>
            </w:r>
          </w:p>
        </w:tc>
      </w:tr>
      <w:tr>
        <w:tc>
          <w:tcPr>
            <w:tcW w:type="dxa" w:w="2340"/>
          </w:tcPr>
          <w:p>
            <w:pPr>
              <w:spacing w:after="20" w:before="20"/>
            </w:pPr>
            <w:r/>
            <w:r>
              <w:rPr>
                <w:b w:val="0"/>
                <w:i w:val="0"/>
                <w:sz w:val="19"/>
              </w:rPr>
              <w:t>Deep downside</w:t>
            </w:r>
          </w:p>
        </w:tc>
        <w:tc>
          <w:tcPr>
            <w:tcW w:type="dxa" w:w="2340"/>
          </w:tcPr>
          <w:p>
            <w:pPr>
              <w:spacing w:after="20" w:before="20"/>
              <w:jc w:val="right"/>
            </w:pPr>
            <w:r/>
            <w:r>
              <w:rPr>
                <w:b w:val="0"/>
                <w:i w:val="0"/>
                <w:sz w:val="19"/>
              </w:rPr>
              <w:t>&lt; EGP 24</w:t>
            </w:r>
          </w:p>
        </w:tc>
        <w:tc>
          <w:tcPr>
            <w:tcW w:type="dxa" w:w="2340"/>
          </w:tcPr>
          <w:p>
            <w:pPr>
              <w:spacing w:after="20" w:before="20"/>
              <w:jc w:val="right"/>
            </w:pPr>
            <w:r/>
            <w:r>
              <w:rPr>
                <w:b w:val="0"/>
                <w:i w:val="0"/>
                <w:sz w:val="19"/>
              </w:rPr>
              <w:t>~11%</w:t>
            </w:r>
          </w:p>
        </w:tc>
        <w:tc>
          <w:tcPr>
            <w:tcW w:type="dxa" w:w="2340"/>
          </w:tcPr>
          <w:p>
            <w:pPr>
              <w:spacing w:after="20" w:before="20"/>
              <w:jc w:val="right"/>
            </w:pPr>
            <w:r/>
            <w:r>
              <w:rPr>
                <w:b w:val="0"/>
                <w:i w:val="0"/>
                <w:sz w:val="19"/>
              </w:rPr>
              <w:t>Pound strengthens / risk-off; tests the 52-week low</w:t>
            </w:r>
          </w:p>
        </w:tc>
      </w:tr>
      <w:tr>
        <w:tc>
          <w:tcPr>
            <w:tcW w:type="dxa" w:w="2340"/>
            <w:shd w:val="clear" w:fill="EFF3F1"/>
          </w:tcPr>
          <w:p>
            <w:pPr>
              <w:spacing w:after="20" w:before="20"/>
            </w:pPr>
            <w:r/>
            <w:r>
              <w:rPr>
                <w:b w:val="0"/>
                <w:i w:val="0"/>
                <w:sz w:val="19"/>
              </w:rPr>
              <w:t>Lower band</w:t>
            </w:r>
          </w:p>
        </w:tc>
        <w:tc>
          <w:tcPr>
            <w:tcW w:type="dxa" w:w="2340"/>
            <w:shd w:val="clear" w:fill="EFF3F1"/>
          </w:tcPr>
          <w:p>
            <w:pPr>
              <w:spacing w:after="20" w:before="20"/>
              <w:jc w:val="right"/>
            </w:pPr>
            <w:r/>
            <w:r>
              <w:rPr>
                <w:b w:val="0"/>
                <w:i w:val="0"/>
                <w:sz w:val="19"/>
              </w:rPr>
              <w:t>EGP 24–28</w:t>
            </w:r>
          </w:p>
        </w:tc>
        <w:tc>
          <w:tcPr>
            <w:tcW w:type="dxa" w:w="2340"/>
            <w:shd w:val="clear" w:fill="EFF3F1"/>
          </w:tcPr>
          <w:p>
            <w:pPr>
              <w:spacing w:after="20" w:before="20"/>
              <w:jc w:val="right"/>
            </w:pPr>
            <w:r/>
            <w:r>
              <w:rPr>
                <w:b w:val="0"/>
                <w:i w:val="0"/>
                <w:sz w:val="19"/>
              </w:rPr>
              <w:t>~19%</w:t>
            </w:r>
          </w:p>
        </w:tc>
        <w:tc>
          <w:tcPr>
            <w:tcW w:type="dxa" w:w="2340"/>
            <w:shd w:val="clear" w:fill="EFF3F1"/>
          </w:tcPr>
          <w:p>
            <w:pPr>
              <w:spacing w:after="20" w:before="20"/>
              <w:jc w:val="right"/>
            </w:pPr>
            <w:r/>
            <w:r>
              <w:rPr>
                <w:b w:val="0"/>
                <w:i w:val="0"/>
                <w:sz w:val="19"/>
              </w:rPr>
              <w:t>Trough persists; cash-conversion worry dominates</w:t>
            </w:r>
          </w:p>
        </w:tc>
      </w:tr>
      <w:tr>
        <w:tc>
          <w:tcPr>
            <w:tcW w:type="dxa" w:w="2340"/>
          </w:tcPr>
          <w:p>
            <w:pPr>
              <w:spacing w:after="20" w:before="20"/>
            </w:pPr>
            <w:r/>
            <w:r>
              <w:rPr>
                <w:b w:val="0"/>
                <w:i w:val="0"/>
                <w:sz w:val="19"/>
              </w:rPr>
              <w:t>Around spot</w:t>
            </w:r>
          </w:p>
        </w:tc>
        <w:tc>
          <w:tcPr>
            <w:tcW w:type="dxa" w:w="2340"/>
          </w:tcPr>
          <w:p>
            <w:pPr>
              <w:spacing w:after="20" w:before="20"/>
              <w:jc w:val="right"/>
            </w:pPr>
            <w:r/>
            <w:r>
              <w:rPr>
                <w:b w:val="0"/>
                <w:i w:val="0"/>
                <w:sz w:val="19"/>
              </w:rPr>
              <w:t>EGP 28–34</w:t>
            </w:r>
          </w:p>
        </w:tc>
        <w:tc>
          <w:tcPr>
            <w:tcW w:type="dxa" w:w="2340"/>
          </w:tcPr>
          <w:p>
            <w:pPr>
              <w:spacing w:after="20" w:before="20"/>
              <w:jc w:val="right"/>
            </w:pPr>
            <w:r/>
            <w:r>
              <w:rPr>
                <w:b w:val="0"/>
                <w:i w:val="0"/>
                <w:sz w:val="19"/>
              </w:rPr>
              <w:t>~37%</w:t>
            </w:r>
          </w:p>
        </w:tc>
        <w:tc>
          <w:tcPr>
            <w:tcW w:type="dxa" w:w="2340"/>
          </w:tcPr>
          <w:p>
            <w:pPr>
              <w:spacing w:after="20" w:before="20"/>
              <w:jc w:val="right"/>
            </w:pPr>
            <w:r/>
            <w:r>
              <w:rPr>
                <w:b w:val="0"/>
                <w:i w:val="0"/>
                <w:sz w:val="19"/>
              </w:rPr>
              <w:t>Status quo; value gap unclosed</w:t>
            </w:r>
          </w:p>
        </w:tc>
      </w:tr>
      <w:tr>
        <w:tc>
          <w:tcPr>
            <w:tcW w:type="dxa" w:w="2340"/>
            <w:shd w:val="clear" w:fill="EFF3F1"/>
          </w:tcPr>
          <w:p>
            <w:pPr>
              <w:spacing w:after="20" w:before="20"/>
            </w:pPr>
            <w:r/>
            <w:r>
              <w:rPr>
                <w:b w:val="0"/>
                <w:i w:val="0"/>
                <w:sz w:val="19"/>
              </w:rPr>
              <w:t>Upper band</w:t>
            </w:r>
          </w:p>
        </w:tc>
        <w:tc>
          <w:tcPr>
            <w:tcW w:type="dxa" w:w="2340"/>
            <w:shd w:val="clear" w:fill="EFF3F1"/>
          </w:tcPr>
          <w:p>
            <w:pPr>
              <w:spacing w:after="20" w:before="20"/>
              <w:jc w:val="right"/>
            </w:pPr>
            <w:r/>
            <w:r>
              <w:rPr>
                <w:b w:val="0"/>
                <w:i w:val="0"/>
                <w:sz w:val="19"/>
              </w:rPr>
              <w:t>EGP 34–40</w:t>
            </w:r>
          </w:p>
        </w:tc>
        <w:tc>
          <w:tcPr>
            <w:tcW w:type="dxa" w:w="2340"/>
            <w:shd w:val="clear" w:fill="EFF3F1"/>
          </w:tcPr>
          <w:p>
            <w:pPr>
              <w:spacing w:after="20" w:before="20"/>
              <w:jc w:val="right"/>
            </w:pPr>
            <w:r/>
            <w:r>
              <w:rPr>
                <w:b w:val="0"/>
                <w:i w:val="0"/>
                <w:sz w:val="19"/>
              </w:rPr>
              <w:t>~21%</w:t>
            </w:r>
          </w:p>
        </w:tc>
        <w:tc>
          <w:tcPr>
            <w:tcW w:type="dxa" w:w="2340"/>
            <w:shd w:val="clear" w:fill="EFF3F1"/>
          </w:tcPr>
          <w:p>
            <w:pPr>
              <w:spacing w:after="20" w:before="20"/>
              <w:jc w:val="right"/>
            </w:pPr>
            <w:r/>
            <w:r>
              <w:rPr>
                <w:b w:val="0"/>
                <w:i w:val="0"/>
                <w:sz w:val="19"/>
              </w:rPr>
              <w:t>Recovery credited; toward the DCF/normalized cluster</w:t>
            </w:r>
          </w:p>
        </w:tc>
      </w:tr>
      <w:tr>
        <w:tc>
          <w:tcPr>
            <w:tcW w:type="dxa" w:w="2340"/>
          </w:tcPr>
          <w:p>
            <w:pPr>
              <w:spacing w:after="20" w:before="20"/>
            </w:pPr>
            <w:r/>
            <w:r>
              <w:rPr>
                <w:b w:val="0"/>
                <w:i w:val="0"/>
                <w:sz w:val="19"/>
              </w:rPr>
              <w:t>Strong upside</w:t>
            </w:r>
          </w:p>
        </w:tc>
        <w:tc>
          <w:tcPr>
            <w:tcW w:type="dxa" w:w="2340"/>
          </w:tcPr>
          <w:p>
            <w:pPr>
              <w:spacing w:after="20" w:before="20"/>
              <w:jc w:val="right"/>
            </w:pPr>
            <w:r/>
            <w:r>
              <w:rPr>
                <w:b w:val="0"/>
                <w:i w:val="0"/>
                <w:sz w:val="19"/>
              </w:rPr>
              <w:t>&gt; EGP 40</w:t>
            </w:r>
          </w:p>
        </w:tc>
        <w:tc>
          <w:tcPr>
            <w:tcW w:type="dxa" w:w="2340"/>
          </w:tcPr>
          <w:p>
            <w:pPr>
              <w:spacing w:after="20" w:before="20"/>
              <w:jc w:val="right"/>
            </w:pPr>
            <w:r/>
            <w:r>
              <w:rPr>
                <w:b w:val="0"/>
                <w:i w:val="0"/>
                <w:sz w:val="19"/>
              </w:rPr>
              <w:t>~11%</w:t>
            </w:r>
          </w:p>
        </w:tc>
        <w:tc>
          <w:tcPr>
            <w:tcW w:type="dxa" w:w="2340"/>
          </w:tcPr>
          <w:p>
            <w:pPr>
              <w:spacing w:after="20" w:before="20"/>
              <w:jc w:val="right"/>
            </w:pPr>
            <w:r/>
            <w:r>
              <w:rPr>
                <w:b w:val="0"/>
                <w:i w:val="0"/>
                <w:sz w:val="19"/>
              </w:rPr>
              <w:t>Weaker pound + cash reversal together</w:t>
            </w:r>
          </w:p>
        </w:tc>
      </w:tr>
    </w:tbl>
    <w:p/>
    <w:p>
      <w:r>
        <w:rPr>
          <w:b w:val="0"/>
          <w:i w:val="0"/>
        </w:rPr>
        <w:t>The distribution is right-skewed, with a heavier upper tail from the calibrated secular drift and the discrete upside events (a devaluation step, a new export channel, rate cuts). It is not a forecast; it is the spread of outcomes consistent with the stock's own volatility and the factor stack.</w:t>
      </w:r>
    </w:p>
    <w:p>
      <w:pPr>
        <w:pStyle w:val="Heading1"/>
      </w:pPr>
      <w:r>
        <w:t>7  Caveats and what would change our mind</w:t>
      </w:r>
    </w:p>
    <w:p>
      <w:pPr>
        <w:pStyle w:val="ListParagraph"/>
        <w:ind w:left="360"/>
      </w:pPr>
      <w:r>
        <w:rPr>
          <w:b w:val="0"/>
          <w:i w:val="0"/>
        </w:rPr>
        <w:t xml:space="preserve">•  </w:t>
      </w:r>
      <w:r>
        <w:rPr>
          <w:b/>
          <w:i w:val="0"/>
        </w:rPr>
        <w:t>The pound cuts both ways.</w:t>
      </w:r>
      <w:r>
        <w:rPr>
          <w:b w:val="0"/>
          <w:i w:val="0"/>
        </w:rPr>
        <w:t xml:space="preserve"> The central case assumes a gradual resumption of depreciation; a structurally stronger pound (persistent portfolio inflows, a firmer external position) would keep the export margin squeezed and pull the central value toward — or below — spot. This is a mechanical, not an operating, risk.</w:t>
      </w:r>
    </w:p>
    <w:p>
      <w:pPr>
        <w:pStyle w:val="ListParagraph"/>
        <w:ind w:left="360"/>
      </w:pPr>
      <w:r>
        <w:rPr>
          <w:b w:val="0"/>
          <w:i w:val="0"/>
        </w:rPr>
        <w:t xml:space="preserve">•  </w:t>
      </w:r>
      <w:r>
        <w:rPr>
          <w:b/>
          <w:i w:val="0"/>
        </w:rPr>
        <w:t>Cash conversion is the real test.</w:t>
      </w:r>
      <w:r>
        <w:rPr>
          <w:b w:val="0"/>
          <w:i w:val="0"/>
        </w:rPr>
        <w:t xml:space="preserve"> If the working-capital absorption proves structural rather than cyclical, the earnings never become cash, the balance sheet keeps levering, and the FCFE lens (EGP 32) — not the DCF (EGP 37) — is the right anchor. Watch the operating-cash-flow line above all.</w:t>
      </w:r>
    </w:p>
    <w:p>
      <w:pPr>
        <w:pStyle w:val="ListParagraph"/>
        <w:ind w:left="360"/>
      </w:pPr>
      <w:r>
        <w:rPr>
          <w:b w:val="0"/>
          <w:i w:val="0"/>
        </w:rPr>
        <w:t xml:space="preserve">•  </w:t>
      </w:r>
      <w:r>
        <w:rPr>
          <w:b/>
          <w:i w:val="0"/>
        </w:rPr>
        <w:t>The DCF is terminal-heavy.</w:t>
      </w:r>
      <w:r>
        <w:rPr>
          <w:b w:val="0"/>
          <w:i w:val="0"/>
        </w:rPr>
        <w:t xml:space="preserve"> With ~78% of enterprise value in the terminal, the fair value is a terminal-growth-versus-WACC bet; §1.9 sensitises it, but a single point of WACC or a point of terminal growth moves the answer materially.</w:t>
      </w:r>
    </w:p>
    <w:p>
      <w:pPr>
        <w:pStyle w:val="ListParagraph"/>
        <w:ind w:left="360"/>
      </w:pPr>
      <w:r>
        <w:rPr>
          <w:b w:val="0"/>
          <w:i w:val="0"/>
        </w:rPr>
        <w:t xml:space="preserve">•  </w:t>
      </w:r>
      <w:r>
        <w:rPr>
          <w:b/>
          <w:i w:val="0"/>
        </w:rPr>
        <w:t>Energy and freight.</w:t>
      </w:r>
      <w:r>
        <w:rPr>
          <w:b w:val="0"/>
          <w:i w:val="0"/>
        </w:rPr>
        <w:t xml:space="preserve"> Further gas/diesel hikes, or a prolonged Red Sea disruption to European exports, are direct margin and volume risks not fully in the base case.</w:t>
      </w:r>
    </w:p>
    <w:p>
      <w:pPr>
        <w:pStyle w:val="ListParagraph"/>
        <w:ind w:left="360"/>
      </w:pPr>
      <w:r>
        <w:rPr>
          <w:b w:val="0"/>
          <w:i w:val="0"/>
        </w:rPr>
        <w:t xml:space="preserve">•  </w:t>
      </w:r>
      <w:r>
        <w:rPr>
          <w:b/>
          <w:i w:val="0"/>
        </w:rPr>
        <w:t>Disclosure and accounting.</w:t>
      </w:r>
      <w:r>
        <w:rPr>
          <w:b w:val="0"/>
          <w:i w:val="0"/>
        </w:rPr>
        <w:t xml:space="preserve"> Lecico's accounts carry audit matters around hyperinflation accounting (IAS 29) and the Lebanon wind-down; reported book value and margins should be read with that in mind.</w:t>
      </w:r>
    </w:p>
    <w:p>
      <w:pPr>
        <w:pStyle w:val="ListParagraph"/>
        <w:ind w:left="360"/>
      </w:pPr>
      <w:r>
        <w:rPr>
          <w:b w:val="0"/>
          <w:i w:val="0"/>
        </w:rPr>
        <w:t xml:space="preserve">•  </w:t>
      </w:r>
      <w:r>
        <w:rPr>
          <w:b/>
          <w:i w:val="0"/>
        </w:rPr>
        <w:t>Technical / momentum reminder.</w:t>
      </w:r>
      <w:r>
        <w:rPr>
          <w:b w:val="0"/>
          <w:i w:val="0"/>
        </w:rPr>
        <w:t xml:space="preserve"> The tape is above trend and could persist or reverse; momentum is context, not a trigger, and says nothing about value.</w:t>
      </w:r>
    </w:p>
    <w:p>
      <w:pPr>
        <w:pStyle w:val="Heading1"/>
      </w:pPr>
      <w:r>
        <w:t>Appendix A  Financial statements</w:t>
      </w:r>
    </w:p>
    <w:p>
      <w:r>
        <w:rPr>
          <w:b w:val="0"/>
          <w:i w:val="0"/>
        </w:rPr>
        <w:t>Selected consolidated figures, as reported (FY2025 results, 28 February 2026; Q1-2026 filing). All figures in EGP million unless stated. FY2025 is a margin trough, driven by the stronger pound against a majority-export cost base and by domestic energy-cost hikes. Forecast years are the preparer's estimates, driven by the Assumptions layer of the companion model.</w:t>
      </w:r>
    </w:p>
    <w:p>
      <w:pPr>
        <w:pStyle w:val="Heading2"/>
      </w:pPr>
      <w:r>
        <w:t>A.1  Income statement (consolidated, EGP m)</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040"/>
        <w:gridCol w:w="1040"/>
        <w:gridCol w:w="1040"/>
        <w:gridCol w:w="1040"/>
        <w:gridCol w:w="1040"/>
        <w:gridCol w:w="1040"/>
        <w:gridCol w:w="1040"/>
        <w:gridCol w:w="1040"/>
        <w:gridCol w:w="1040"/>
      </w:tblGrid>
      <w:tr>
        <w:tc>
          <w:tcPr>
            <w:tcW w:type="dxa" w:w="1040"/>
            <w:shd w:val="clear" w:fill="1C3A36"/>
          </w:tcPr>
          <w:p>
            <w:pPr>
              <w:spacing w:after="20" w:before="20"/>
            </w:pPr>
            <w:r/>
            <w:r>
              <w:rPr>
                <w:b/>
                <w:i w:val="0"/>
                <w:color w:val="FFFFFF"/>
                <w:sz w:val="19"/>
              </w:rPr>
              <w:t>Line</w:t>
            </w:r>
          </w:p>
        </w:tc>
        <w:tc>
          <w:tcPr>
            <w:tcW w:type="dxa" w:w="1040"/>
            <w:shd w:val="clear" w:fill="1C3A36"/>
          </w:tcPr>
          <w:p>
            <w:pPr>
              <w:spacing w:after="20" w:before="20"/>
              <w:jc w:val="right"/>
            </w:pPr>
            <w:r/>
            <w:r>
              <w:rPr>
                <w:b/>
                <w:i w:val="0"/>
                <w:color w:val="FFFFFF"/>
                <w:sz w:val="19"/>
              </w:rPr>
              <w:t>2023A</w:t>
            </w:r>
          </w:p>
        </w:tc>
        <w:tc>
          <w:tcPr>
            <w:tcW w:type="dxa" w:w="1040"/>
            <w:shd w:val="clear" w:fill="1C3A36"/>
          </w:tcPr>
          <w:p>
            <w:pPr>
              <w:spacing w:after="20" w:before="20"/>
              <w:jc w:val="right"/>
            </w:pPr>
            <w:r/>
            <w:r>
              <w:rPr>
                <w:b/>
                <w:i w:val="0"/>
                <w:color w:val="FFFFFF"/>
                <w:sz w:val="19"/>
              </w:rPr>
              <w:t>2024A</w:t>
            </w:r>
          </w:p>
        </w:tc>
        <w:tc>
          <w:tcPr>
            <w:tcW w:type="dxa" w:w="1040"/>
            <w:shd w:val="clear" w:fill="1C3A36"/>
          </w:tcPr>
          <w:p>
            <w:pPr>
              <w:spacing w:after="20" w:before="20"/>
              <w:jc w:val="right"/>
            </w:pPr>
            <w:r/>
            <w:r>
              <w:rPr>
                <w:b/>
                <w:i w:val="0"/>
                <w:color w:val="FFFFFF"/>
                <w:sz w:val="19"/>
              </w:rPr>
              <w:t>2025A</w:t>
            </w:r>
          </w:p>
        </w:tc>
        <w:tc>
          <w:tcPr>
            <w:tcW w:type="dxa" w:w="1040"/>
            <w:shd w:val="clear" w:fill="1C3A36"/>
          </w:tcPr>
          <w:p>
            <w:pPr>
              <w:spacing w:after="20" w:before="20"/>
              <w:jc w:val="right"/>
            </w:pPr>
            <w:r/>
            <w:r>
              <w:rPr>
                <w:b/>
                <w:i w:val="0"/>
                <w:color w:val="FFFFFF"/>
                <w:sz w:val="19"/>
              </w:rPr>
              <w:t>2026E</w:t>
            </w:r>
          </w:p>
        </w:tc>
        <w:tc>
          <w:tcPr>
            <w:tcW w:type="dxa" w:w="1040"/>
            <w:shd w:val="clear" w:fill="1C3A36"/>
          </w:tcPr>
          <w:p>
            <w:pPr>
              <w:spacing w:after="20" w:before="20"/>
              <w:jc w:val="right"/>
            </w:pPr>
            <w:r/>
            <w:r>
              <w:rPr>
                <w:b/>
                <w:i w:val="0"/>
                <w:color w:val="FFFFFF"/>
                <w:sz w:val="19"/>
              </w:rPr>
              <w:t>2027E</w:t>
            </w:r>
          </w:p>
        </w:tc>
        <w:tc>
          <w:tcPr>
            <w:tcW w:type="dxa" w:w="1040"/>
            <w:shd w:val="clear" w:fill="1C3A36"/>
          </w:tcPr>
          <w:p>
            <w:pPr>
              <w:spacing w:after="20" w:before="20"/>
              <w:jc w:val="right"/>
            </w:pPr>
            <w:r/>
            <w:r>
              <w:rPr>
                <w:b/>
                <w:i w:val="0"/>
                <w:color w:val="FFFFFF"/>
                <w:sz w:val="19"/>
              </w:rPr>
              <w:t>2028E</w:t>
            </w:r>
          </w:p>
        </w:tc>
        <w:tc>
          <w:tcPr>
            <w:tcW w:type="dxa" w:w="1040"/>
            <w:shd w:val="clear" w:fill="1C3A36"/>
          </w:tcPr>
          <w:p>
            <w:pPr>
              <w:spacing w:after="20" w:before="20"/>
              <w:jc w:val="right"/>
            </w:pPr>
            <w:r/>
            <w:r>
              <w:rPr>
                <w:b/>
                <w:i w:val="0"/>
                <w:color w:val="FFFFFF"/>
                <w:sz w:val="19"/>
              </w:rPr>
              <w:t>2029E</w:t>
            </w:r>
          </w:p>
        </w:tc>
        <w:tc>
          <w:tcPr>
            <w:tcW w:type="dxa" w:w="1040"/>
            <w:shd w:val="clear" w:fill="1C3A36"/>
          </w:tcPr>
          <w:p>
            <w:pPr>
              <w:spacing w:after="20" w:before="20"/>
              <w:jc w:val="right"/>
            </w:pPr>
            <w:r/>
            <w:r>
              <w:rPr>
                <w:b/>
                <w:i w:val="0"/>
                <w:color w:val="FFFFFF"/>
                <w:sz w:val="19"/>
              </w:rPr>
              <w:t>2030E</w:t>
            </w:r>
          </w:p>
        </w:tc>
      </w:tr>
      <w:tr>
        <w:tc>
          <w:tcPr>
            <w:tcW w:type="dxa" w:w="1040"/>
          </w:tcPr>
          <w:p>
            <w:pPr>
              <w:spacing w:after="20" w:before="20"/>
            </w:pPr>
            <w:r/>
            <w:r>
              <w:rPr>
                <w:b w:val="0"/>
                <w:i w:val="0"/>
                <w:sz w:val="19"/>
              </w:rPr>
              <w:t>Revenue</w:t>
            </w:r>
          </w:p>
        </w:tc>
        <w:tc>
          <w:tcPr>
            <w:tcW w:type="dxa" w:w="1040"/>
          </w:tcPr>
          <w:p>
            <w:pPr>
              <w:spacing w:after="20" w:before="20"/>
              <w:jc w:val="right"/>
            </w:pPr>
            <w:r/>
            <w:r>
              <w:rPr>
                <w:b w:val="0"/>
                <w:i w:val="0"/>
                <w:sz w:val="19"/>
              </w:rPr>
              <w:t>4,844</w:t>
            </w:r>
          </w:p>
        </w:tc>
        <w:tc>
          <w:tcPr>
            <w:tcW w:type="dxa" w:w="1040"/>
          </w:tcPr>
          <w:p>
            <w:pPr>
              <w:spacing w:after="20" w:before="20"/>
              <w:jc w:val="right"/>
            </w:pPr>
            <w:r/>
            <w:r>
              <w:rPr>
                <w:b w:val="0"/>
                <w:i w:val="0"/>
                <w:sz w:val="19"/>
              </w:rPr>
              <w:t>6,645</w:t>
            </w:r>
          </w:p>
        </w:tc>
        <w:tc>
          <w:tcPr>
            <w:tcW w:type="dxa" w:w="1040"/>
          </w:tcPr>
          <w:p>
            <w:pPr>
              <w:spacing w:after="20" w:before="20"/>
              <w:jc w:val="right"/>
            </w:pPr>
            <w:r/>
            <w:r>
              <w:rPr>
                <w:b w:val="0"/>
                <w:i w:val="0"/>
                <w:sz w:val="19"/>
              </w:rPr>
              <w:t>7,804</w:t>
            </w:r>
          </w:p>
        </w:tc>
        <w:tc>
          <w:tcPr>
            <w:tcW w:type="dxa" w:w="1040"/>
          </w:tcPr>
          <w:p>
            <w:pPr>
              <w:spacing w:after="20" w:before="20"/>
              <w:jc w:val="right"/>
            </w:pPr>
            <w:r/>
            <w:r>
              <w:rPr>
                <w:b w:val="0"/>
                <w:i w:val="0"/>
                <w:sz w:val="19"/>
              </w:rPr>
              <w:t>8,740</w:t>
            </w:r>
          </w:p>
        </w:tc>
        <w:tc>
          <w:tcPr>
            <w:tcW w:type="dxa" w:w="1040"/>
          </w:tcPr>
          <w:p>
            <w:pPr>
              <w:spacing w:after="20" w:before="20"/>
              <w:jc w:val="right"/>
            </w:pPr>
            <w:r/>
            <w:r>
              <w:rPr>
                <w:b w:val="0"/>
                <w:i w:val="0"/>
                <w:sz w:val="19"/>
              </w:rPr>
              <w:t>9,876</w:t>
            </w:r>
          </w:p>
        </w:tc>
        <w:tc>
          <w:tcPr>
            <w:tcW w:type="dxa" w:w="1040"/>
          </w:tcPr>
          <w:p>
            <w:pPr>
              <w:spacing w:after="20" w:before="20"/>
              <w:jc w:val="right"/>
            </w:pPr>
            <w:r/>
            <w:r>
              <w:rPr>
                <w:b w:val="0"/>
                <w:i w:val="0"/>
                <w:sz w:val="19"/>
              </w:rPr>
              <w:t>11,062</w:t>
            </w:r>
          </w:p>
        </w:tc>
        <w:tc>
          <w:tcPr>
            <w:tcW w:type="dxa" w:w="1040"/>
          </w:tcPr>
          <w:p>
            <w:pPr>
              <w:spacing w:after="20" w:before="20"/>
              <w:jc w:val="right"/>
            </w:pPr>
            <w:r/>
            <w:r>
              <w:rPr>
                <w:b w:val="0"/>
                <w:i w:val="0"/>
                <w:sz w:val="19"/>
              </w:rPr>
              <w:t>12,278</w:t>
            </w:r>
          </w:p>
        </w:tc>
        <w:tc>
          <w:tcPr>
            <w:tcW w:type="dxa" w:w="1040"/>
          </w:tcPr>
          <w:p>
            <w:pPr>
              <w:spacing w:after="20" w:before="20"/>
              <w:jc w:val="right"/>
            </w:pPr>
            <w:r/>
            <w:r>
              <w:rPr>
                <w:b w:val="0"/>
                <w:i w:val="0"/>
                <w:sz w:val="19"/>
              </w:rPr>
              <w:t>13,506</w:t>
            </w:r>
          </w:p>
        </w:tc>
      </w:tr>
      <w:tr>
        <w:tc>
          <w:tcPr>
            <w:tcW w:type="dxa" w:w="1040"/>
            <w:shd w:val="clear" w:fill="EFF3F1"/>
          </w:tcPr>
          <w:p>
            <w:pPr>
              <w:spacing w:after="20" w:before="20"/>
            </w:pPr>
            <w:r/>
            <w:r>
              <w:rPr>
                <w:b w:val="0"/>
                <w:i w:val="0"/>
                <w:sz w:val="19"/>
              </w:rPr>
              <w:t>EBITDA</w:t>
            </w:r>
          </w:p>
        </w:tc>
        <w:tc>
          <w:tcPr>
            <w:tcW w:type="dxa" w:w="1040"/>
            <w:shd w:val="clear" w:fill="EFF3F1"/>
          </w:tcPr>
          <w:p>
            <w:pPr>
              <w:spacing w:after="20" w:before="20"/>
              <w:jc w:val="right"/>
            </w:pPr>
            <w:r/>
            <w:r>
              <w:rPr>
                <w:b w:val="0"/>
                <w:i w:val="0"/>
                <w:sz w:val="19"/>
              </w:rPr>
              <w:t>—</w:t>
            </w:r>
          </w:p>
        </w:tc>
        <w:tc>
          <w:tcPr>
            <w:tcW w:type="dxa" w:w="1040"/>
            <w:shd w:val="clear" w:fill="EFF3F1"/>
          </w:tcPr>
          <w:p>
            <w:pPr>
              <w:spacing w:after="20" w:before="20"/>
              <w:jc w:val="right"/>
            </w:pPr>
            <w:r/>
            <w:r>
              <w:rPr>
                <w:b w:val="0"/>
                <w:i w:val="0"/>
                <w:sz w:val="19"/>
              </w:rPr>
              <w:t>1,330</w:t>
            </w:r>
          </w:p>
        </w:tc>
        <w:tc>
          <w:tcPr>
            <w:tcW w:type="dxa" w:w="1040"/>
            <w:shd w:val="clear" w:fill="EFF3F1"/>
          </w:tcPr>
          <w:p>
            <w:pPr>
              <w:spacing w:after="20" w:before="20"/>
              <w:jc w:val="right"/>
            </w:pPr>
            <w:r/>
            <w:r>
              <w:rPr>
                <w:b w:val="0"/>
                <w:i w:val="0"/>
                <w:sz w:val="19"/>
              </w:rPr>
              <w:t>981</w:t>
            </w:r>
          </w:p>
        </w:tc>
        <w:tc>
          <w:tcPr>
            <w:tcW w:type="dxa" w:w="1040"/>
            <w:shd w:val="clear" w:fill="EFF3F1"/>
          </w:tcPr>
          <w:p>
            <w:pPr>
              <w:spacing w:after="20" w:before="20"/>
              <w:jc w:val="right"/>
            </w:pPr>
            <w:r/>
            <w:r>
              <w:rPr>
                <w:b w:val="0"/>
                <w:i w:val="0"/>
                <w:sz w:val="19"/>
              </w:rPr>
              <w:t>1,005</w:t>
            </w:r>
          </w:p>
        </w:tc>
        <w:tc>
          <w:tcPr>
            <w:tcW w:type="dxa" w:w="1040"/>
            <w:shd w:val="clear" w:fill="EFF3F1"/>
          </w:tcPr>
          <w:p>
            <w:pPr>
              <w:spacing w:after="20" w:before="20"/>
              <w:jc w:val="right"/>
            </w:pPr>
            <w:r/>
            <w:r>
              <w:rPr>
                <w:b w:val="0"/>
                <w:i w:val="0"/>
                <w:sz w:val="19"/>
              </w:rPr>
              <w:t>1,234</w:t>
            </w:r>
          </w:p>
        </w:tc>
        <w:tc>
          <w:tcPr>
            <w:tcW w:type="dxa" w:w="1040"/>
            <w:shd w:val="clear" w:fill="EFF3F1"/>
          </w:tcPr>
          <w:p>
            <w:pPr>
              <w:spacing w:after="20" w:before="20"/>
              <w:jc w:val="right"/>
            </w:pPr>
            <w:r/>
            <w:r>
              <w:rPr>
                <w:b w:val="0"/>
                <w:i w:val="0"/>
                <w:sz w:val="19"/>
              </w:rPr>
              <w:t>1,493</w:t>
            </w:r>
          </w:p>
        </w:tc>
        <w:tc>
          <w:tcPr>
            <w:tcW w:type="dxa" w:w="1040"/>
            <w:shd w:val="clear" w:fill="EFF3F1"/>
          </w:tcPr>
          <w:p>
            <w:pPr>
              <w:spacing w:after="20" w:before="20"/>
              <w:jc w:val="right"/>
            </w:pPr>
            <w:r/>
            <w:r>
              <w:rPr>
                <w:b w:val="0"/>
                <w:i w:val="0"/>
                <w:sz w:val="19"/>
              </w:rPr>
              <w:t>1,719</w:t>
            </w:r>
          </w:p>
        </w:tc>
        <w:tc>
          <w:tcPr>
            <w:tcW w:type="dxa" w:w="1040"/>
            <w:shd w:val="clear" w:fill="EFF3F1"/>
          </w:tcPr>
          <w:p>
            <w:pPr>
              <w:spacing w:after="20" w:before="20"/>
              <w:jc w:val="right"/>
            </w:pPr>
            <w:r/>
            <w:r>
              <w:rPr>
                <w:b w:val="0"/>
                <w:i w:val="0"/>
                <w:sz w:val="19"/>
              </w:rPr>
              <w:t>1,958</w:t>
            </w:r>
          </w:p>
        </w:tc>
      </w:tr>
      <w:tr>
        <w:tc>
          <w:tcPr>
            <w:tcW w:type="dxa" w:w="1040"/>
          </w:tcPr>
          <w:p>
            <w:pPr>
              <w:spacing w:after="20" w:before="20"/>
            </w:pPr>
            <w:r/>
            <w:r>
              <w:rPr>
                <w:b w:val="0"/>
                <w:i w:val="0"/>
                <w:sz w:val="19"/>
              </w:rPr>
              <w:t>D&amp;A</w:t>
            </w:r>
          </w:p>
        </w:tc>
        <w:tc>
          <w:tcPr>
            <w:tcW w:type="dxa" w:w="1040"/>
          </w:tcPr>
          <w:p>
            <w:pPr>
              <w:spacing w:after="20" w:before="20"/>
              <w:jc w:val="right"/>
            </w:pPr>
            <w:r/>
            <w:r>
              <w:rPr>
                <w:b w:val="0"/>
                <w:i w:val="0"/>
                <w:sz w:val="19"/>
              </w:rPr>
              <w:t>—</w:t>
            </w:r>
          </w:p>
        </w:tc>
        <w:tc>
          <w:tcPr>
            <w:tcW w:type="dxa" w:w="1040"/>
          </w:tcPr>
          <w:p>
            <w:pPr>
              <w:spacing w:after="20" w:before="20"/>
              <w:jc w:val="right"/>
            </w:pPr>
            <w:r/>
            <w:r>
              <w:rPr>
                <w:b w:val="0"/>
                <w:i w:val="0"/>
                <w:sz w:val="19"/>
              </w:rPr>
              <w:t>179</w:t>
            </w:r>
          </w:p>
        </w:tc>
        <w:tc>
          <w:tcPr>
            <w:tcW w:type="dxa" w:w="1040"/>
          </w:tcPr>
          <w:p>
            <w:pPr>
              <w:spacing w:after="20" w:before="20"/>
              <w:jc w:val="right"/>
            </w:pPr>
            <w:r/>
            <w:r>
              <w:rPr>
                <w:b w:val="0"/>
                <w:i w:val="0"/>
                <w:sz w:val="19"/>
              </w:rPr>
              <w:t>238</w:t>
            </w:r>
          </w:p>
        </w:tc>
        <w:tc>
          <w:tcPr>
            <w:tcW w:type="dxa" w:w="1040"/>
          </w:tcPr>
          <w:p>
            <w:pPr>
              <w:spacing w:after="20" w:before="20"/>
              <w:jc w:val="right"/>
            </w:pPr>
            <w:r/>
            <w:r>
              <w:rPr>
                <w:b w:val="0"/>
                <w:i w:val="0"/>
                <w:sz w:val="19"/>
              </w:rPr>
              <w:t>265</w:t>
            </w:r>
          </w:p>
        </w:tc>
        <w:tc>
          <w:tcPr>
            <w:tcW w:type="dxa" w:w="1040"/>
          </w:tcPr>
          <w:p>
            <w:pPr>
              <w:spacing w:after="20" w:before="20"/>
              <w:jc w:val="right"/>
            </w:pPr>
            <w:r/>
            <w:r>
              <w:rPr>
                <w:b w:val="0"/>
                <w:i w:val="0"/>
                <w:sz w:val="19"/>
              </w:rPr>
              <w:t>300</w:t>
            </w:r>
          </w:p>
        </w:tc>
        <w:tc>
          <w:tcPr>
            <w:tcW w:type="dxa" w:w="1040"/>
          </w:tcPr>
          <w:p>
            <w:pPr>
              <w:spacing w:after="20" w:before="20"/>
              <w:jc w:val="right"/>
            </w:pPr>
            <w:r/>
            <w:r>
              <w:rPr>
                <w:b w:val="0"/>
                <w:i w:val="0"/>
                <w:sz w:val="19"/>
              </w:rPr>
              <w:t>340</w:t>
            </w:r>
          </w:p>
        </w:tc>
        <w:tc>
          <w:tcPr>
            <w:tcW w:type="dxa" w:w="1040"/>
          </w:tcPr>
          <w:p>
            <w:pPr>
              <w:spacing w:after="20" w:before="20"/>
              <w:jc w:val="right"/>
            </w:pPr>
            <w:r/>
            <w:r>
              <w:rPr>
                <w:b w:val="0"/>
                <w:i w:val="0"/>
                <w:sz w:val="19"/>
              </w:rPr>
              <w:t>380</w:t>
            </w:r>
          </w:p>
        </w:tc>
        <w:tc>
          <w:tcPr>
            <w:tcW w:type="dxa" w:w="1040"/>
          </w:tcPr>
          <w:p>
            <w:pPr>
              <w:spacing w:after="20" w:before="20"/>
              <w:jc w:val="right"/>
            </w:pPr>
            <w:r/>
            <w:r>
              <w:rPr>
                <w:b w:val="0"/>
                <w:i w:val="0"/>
                <w:sz w:val="19"/>
              </w:rPr>
              <w:t>420</w:t>
            </w:r>
          </w:p>
        </w:tc>
      </w:tr>
      <w:tr>
        <w:tc>
          <w:tcPr>
            <w:tcW w:type="dxa" w:w="1040"/>
            <w:shd w:val="clear" w:fill="EFF3F1"/>
          </w:tcPr>
          <w:p>
            <w:pPr>
              <w:spacing w:after="20" w:before="20"/>
            </w:pPr>
            <w:r/>
            <w:r>
              <w:rPr>
                <w:b w:val="0"/>
                <w:i w:val="0"/>
                <w:sz w:val="19"/>
              </w:rPr>
              <w:t>EBIT</w:t>
            </w:r>
          </w:p>
        </w:tc>
        <w:tc>
          <w:tcPr>
            <w:tcW w:type="dxa" w:w="1040"/>
            <w:shd w:val="clear" w:fill="EFF3F1"/>
          </w:tcPr>
          <w:p>
            <w:pPr>
              <w:spacing w:after="20" w:before="20"/>
              <w:jc w:val="right"/>
            </w:pPr>
            <w:r/>
            <w:r>
              <w:rPr>
                <w:b w:val="0"/>
                <w:i w:val="0"/>
                <w:sz w:val="19"/>
              </w:rPr>
              <w:t>941</w:t>
            </w:r>
          </w:p>
        </w:tc>
        <w:tc>
          <w:tcPr>
            <w:tcW w:type="dxa" w:w="1040"/>
            <w:shd w:val="clear" w:fill="EFF3F1"/>
          </w:tcPr>
          <w:p>
            <w:pPr>
              <w:spacing w:after="20" w:before="20"/>
              <w:jc w:val="right"/>
            </w:pPr>
            <w:r/>
            <w:r>
              <w:rPr>
                <w:b w:val="0"/>
                <w:i w:val="0"/>
                <w:sz w:val="19"/>
              </w:rPr>
              <w:t>1,151</w:t>
            </w:r>
          </w:p>
        </w:tc>
        <w:tc>
          <w:tcPr>
            <w:tcW w:type="dxa" w:w="1040"/>
            <w:shd w:val="clear" w:fill="EFF3F1"/>
          </w:tcPr>
          <w:p>
            <w:pPr>
              <w:spacing w:after="20" w:before="20"/>
              <w:jc w:val="right"/>
            </w:pPr>
            <w:r/>
            <w:r>
              <w:rPr>
                <w:b w:val="0"/>
                <w:i w:val="0"/>
                <w:sz w:val="19"/>
              </w:rPr>
              <w:t>743</w:t>
            </w:r>
          </w:p>
        </w:tc>
        <w:tc>
          <w:tcPr>
            <w:tcW w:type="dxa" w:w="1040"/>
            <w:shd w:val="clear" w:fill="EFF3F1"/>
          </w:tcPr>
          <w:p>
            <w:pPr>
              <w:spacing w:after="20" w:before="20"/>
              <w:jc w:val="right"/>
            </w:pPr>
            <w:r/>
            <w:r>
              <w:rPr>
                <w:b w:val="0"/>
                <w:i w:val="0"/>
                <w:sz w:val="19"/>
              </w:rPr>
              <w:t>740</w:t>
            </w:r>
          </w:p>
        </w:tc>
        <w:tc>
          <w:tcPr>
            <w:tcW w:type="dxa" w:w="1040"/>
            <w:shd w:val="clear" w:fill="EFF3F1"/>
          </w:tcPr>
          <w:p>
            <w:pPr>
              <w:spacing w:after="20" w:before="20"/>
              <w:jc w:val="right"/>
            </w:pPr>
            <w:r/>
            <w:r>
              <w:rPr>
                <w:b w:val="0"/>
                <w:i w:val="0"/>
                <w:sz w:val="19"/>
              </w:rPr>
              <w:t>934</w:t>
            </w:r>
          </w:p>
        </w:tc>
        <w:tc>
          <w:tcPr>
            <w:tcW w:type="dxa" w:w="1040"/>
            <w:shd w:val="clear" w:fill="EFF3F1"/>
          </w:tcPr>
          <w:p>
            <w:pPr>
              <w:spacing w:after="20" w:before="20"/>
              <w:jc w:val="right"/>
            </w:pPr>
            <w:r/>
            <w:r>
              <w:rPr>
                <w:b w:val="0"/>
                <w:i w:val="0"/>
                <w:sz w:val="19"/>
              </w:rPr>
              <w:t>1,153</w:t>
            </w:r>
          </w:p>
        </w:tc>
        <w:tc>
          <w:tcPr>
            <w:tcW w:type="dxa" w:w="1040"/>
            <w:shd w:val="clear" w:fill="EFF3F1"/>
          </w:tcPr>
          <w:p>
            <w:pPr>
              <w:spacing w:after="20" w:before="20"/>
              <w:jc w:val="right"/>
            </w:pPr>
            <w:r/>
            <w:r>
              <w:rPr>
                <w:b w:val="0"/>
                <w:i w:val="0"/>
                <w:sz w:val="19"/>
              </w:rPr>
              <w:t>1,339</w:t>
            </w:r>
          </w:p>
        </w:tc>
        <w:tc>
          <w:tcPr>
            <w:tcW w:type="dxa" w:w="1040"/>
            <w:shd w:val="clear" w:fill="EFF3F1"/>
          </w:tcPr>
          <w:p>
            <w:pPr>
              <w:spacing w:after="20" w:before="20"/>
              <w:jc w:val="right"/>
            </w:pPr>
            <w:r/>
            <w:r>
              <w:rPr>
                <w:b w:val="0"/>
                <w:i w:val="0"/>
                <w:sz w:val="19"/>
              </w:rPr>
              <w:t>1,538</w:t>
            </w:r>
          </w:p>
        </w:tc>
      </w:tr>
      <w:tr>
        <w:tc>
          <w:tcPr>
            <w:tcW w:type="dxa" w:w="1040"/>
          </w:tcPr>
          <w:p>
            <w:pPr>
              <w:spacing w:after="20" w:before="20"/>
            </w:pPr>
            <w:r/>
            <w:r>
              <w:rPr>
                <w:b w:val="0"/>
                <w:i w:val="0"/>
                <w:sz w:val="19"/>
              </w:rPr>
              <w:t>Net finance &amp; other</w:t>
            </w:r>
          </w:p>
        </w:tc>
        <w:tc>
          <w:tcPr>
            <w:tcW w:type="dxa" w:w="1040"/>
          </w:tcPr>
          <w:p>
            <w:pPr>
              <w:spacing w:after="20" w:before="20"/>
              <w:jc w:val="right"/>
            </w:pPr>
            <w:r/>
            <w:r>
              <w:rPr>
                <w:b w:val="0"/>
                <w:i w:val="0"/>
                <w:sz w:val="19"/>
              </w:rPr>
              <w:t>—</w:t>
            </w:r>
          </w:p>
        </w:tc>
        <w:tc>
          <w:tcPr>
            <w:tcW w:type="dxa" w:w="1040"/>
          </w:tcPr>
          <w:p>
            <w:pPr>
              <w:spacing w:after="20" w:before="20"/>
              <w:jc w:val="right"/>
            </w:pPr>
            <w:r/>
            <w:r>
              <w:rPr>
                <w:b w:val="0"/>
                <w:i w:val="0"/>
                <w:sz w:val="19"/>
              </w:rPr>
              <w:t>82</w:t>
            </w:r>
          </w:p>
        </w:tc>
        <w:tc>
          <w:tcPr>
            <w:tcW w:type="dxa" w:w="1040"/>
          </w:tcPr>
          <w:p>
            <w:pPr>
              <w:spacing w:after="20" w:before="20"/>
              <w:jc w:val="right"/>
            </w:pPr>
            <w:r/>
            <w:r>
              <w:rPr>
                <w:b w:val="0"/>
                <w:i w:val="0"/>
                <w:sz w:val="19"/>
              </w:rPr>
              <w:t>(281)</w:t>
            </w:r>
          </w:p>
        </w:tc>
        <w:tc>
          <w:tcPr>
            <w:tcW w:type="dxa" w:w="1040"/>
          </w:tcPr>
          <w:p>
            <w:pPr>
              <w:spacing w:after="20" w:before="20"/>
              <w:jc w:val="right"/>
            </w:pPr>
            <w:r/>
            <w:r>
              <w:rPr>
                <w:b w:val="0"/>
                <w:i w:val="0"/>
                <w:sz w:val="19"/>
              </w:rPr>
              <w:t>(260)</w:t>
            </w:r>
          </w:p>
        </w:tc>
        <w:tc>
          <w:tcPr>
            <w:tcW w:type="dxa" w:w="1040"/>
          </w:tcPr>
          <w:p>
            <w:pPr>
              <w:spacing w:after="20" w:before="20"/>
              <w:jc w:val="right"/>
            </w:pPr>
            <w:r/>
            <w:r>
              <w:rPr>
                <w:b w:val="0"/>
                <w:i w:val="0"/>
                <w:sz w:val="19"/>
              </w:rPr>
              <w:t>(252)</w:t>
            </w:r>
          </w:p>
        </w:tc>
        <w:tc>
          <w:tcPr>
            <w:tcW w:type="dxa" w:w="1040"/>
          </w:tcPr>
          <w:p>
            <w:pPr>
              <w:spacing w:after="20" w:before="20"/>
              <w:jc w:val="right"/>
            </w:pPr>
            <w:r/>
            <w:r>
              <w:rPr>
                <w:b w:val="0"/>
                <w:i w:val="0"/>
                <w:sz w:val="19"/>
              </w:rPr>
              <w:t>(244)</w:t>
            </w:r>
          </w:p>
        </w:tc>
        <w:tc>
          <w:tcPr>
            <w:tcW w:type="dxa" w:w="1040"/>
          </w:tcPr>
          <w:p>
            <w:pPr>
              <w:spacing w:after="20" w:before="20"/>
              <w:jc w:val="right"/>
            </w:pPr>
            <w:r/>
            <w:r>
              <w:rPr>
                <w:b w:val="0"/>
                <w:i w:val="0"/>
                <w:sz w:val="19"/>
              </w:rPr>
              <w:t>(236)</w:t>
            </w:r>
          </w:p>
        </w:tc>
        <w:tc>
          <w:tcPr>
            <w:tcW w:type="dxa" w:w="1040"/>
          </w:tcPr>
          <w:p>
            <w:pPr>
              <w:spacing w:after="20" w:before="20"/>
              <w:jc w:val="right"/>
            </w:pPr>
            <w:r/>
            <w:r>
              <w:rPr>
                <w:b w:val="0"/>
                <w:i w:val="0"/>
                <w:sz w:val="19"/>
              </w:rPr>
              <w:t>(228)</w:t>
            </w:r>
          </w:p>
        </w:tc>
      </w:tr>
      <w:tr>
        <w:tc>
          <w:tcPr>
            <w:tcW w:type="dxa" w:w="1040"/>
            <w:shd w:val="clear" w:fill="EFF3F1"/>
          </w:tcPr>
          <w:p>
            <w:pPr>
              <w:spacing w:after="20" w:before="20"/>
            </w:pPr>
            <w:r/>
            <w:r>
              <w:rPr>
                <w:b w:val="0"/>
                <w:i w:val="0"/>
                <w:sz w:val="19"/>
              </w:rPr>
              <w:t>Profit before tax</w:t>
            </w:r>
          </w:p>
        </w:tc>
        <w:tc>
          <w:tcPr>
            <w:tcW w:type="dxa" w:w="1040"/>
            <w:shd w:val="clear" w:fill="EFF3F1"/>
          </w:tcPr>
          <w:p>
            <w:pPr>
              <w:spacing w:after="20" w:before="20"/>
              <w:jc w:val="right"/>
            </w:pPr>
            <w:r/>
            <w:r>
              <w:rPr>
                <w:b w:val="0"/>
                <w:i w:val="0"/>
                <w:sz w:val="19"/>
              </w:rPr>
              <w:t>—</w:t>
            </w:r>
          </w:p>
        </w:tc>
        <w:tc>
          <w:tcPr>
            <w:tcW w:type="dxa" w:w="1040"/>
            <w:shd w:val="clear" w:fill="EFF3F1"/>
          </w:tcPr>
          <w:p>
            <w:pPr>
              <w:spacing w:after="20" w:before="20"/>
              <w:jc w:val="right"/>
            </w:pPr>
            <w:r/>
            <w:r>
              <w:rPr>
                <w:b w:val="0"/>
                <w:i w:val="0"/>
                <w:sz w:val="19"/>
              </w:rPr>
              <w:t>1,232</w:t>
            </w:r>
          </w:p>
        </w:tc>
        <w:tc>
          <w:tcPr>
            <w:tcW w:type="dxa" w:w="1040"/>
            <w:shd w:val="clear" w:fill="EFF3F1"/>
          </w:tcPr>
          <w:p>
            <w:pPr>
              <w:spacing w:after="20" w:before="20"/>
              <w:jc w:val="right"/>
            </w:pPr>
            <w:r/>
            <w:r>
              <w:rPr>
                <w:b w:val="0"/>
                <w:i w:val="0"/>
                <w:sz w:val="19"/>
              </w:rPr>
              <w:t>462</w:t>
            </w:r>
          </w:p>
        </w:tc>
        <w:tc>
          <w:tcPr>
            <w:tcW w:type="dxa" w:w="1040"/>
            <w:shd w:val="clear" w:fill="EFF3F1"/>
          </w:tcPr>
          <w:p>
            <w:pPr>
              <w:spacing w:after="20" w:before="20"/>
              <w:jc w:val="right"/>
            </w:pPr>
            <w:r/>
            <w:r>
              <w:rPr>
                <w:b w:val="0"/>
                <w:i w:val="0"/>
                <w:sz w:val="19"/>
              </w:rPr>
              <w:t>480</w:t>
            </w:r>
          </w:p>
        </w:tc>
        <w:tc>
          <w:tcPr>
            <w:tcW w:type="dxa" w:w="1040"/>
            <w:shd w:val="clear" w:fill="EFF3F1"/>
          </w:tcPr>
          <w:p>
            <w:pPr>
              <w:spacing w:after="20" w:before="20"/>
              <w:jc w:val="right"/>
            </w:pPr>
            <w:r/>
            <w:r>
              <w:rPr>
                <w:b w:val="0"/>
                <w:i w:val="0"/>
                <w:sz w:val="19"/>
              </w:rPr>
              <w:t>682</w:t>
            </w:r>
          </w:p>
        </w:tc>
        <w:tc>
          <w:tcPr>
            <w:tcW w:type="dxa" w:w="1040"/>
            <w:shd w:val="clear" w:fill="EFF3F1"/>
          </w:tcPr>
          <w:p>
            <w:pPr>
              <w:spacing w:after="20" w:before="20"/>
              <w:jc w:val="right"/>
            </w:pPr>
            <w:r/>
            <w:r>
              <w:rPr>
                <w:b w:val="0"/>
                <w:i w:val="0"/>
                <w:sz w:val="19"/>
              </w:rPr>
              <w:t>909</w:t>
            </w:r>
          </w:p>
        </w:tc>
        <w:tc>
          <w:tcPr>
            <w:tcW w:type="dxa" w:w="1040"/>
            <w:shd w:val="clear" w:fill="EFF3F1"/>
          </w:tcPr>
          <w:p>
            <w:pPr>
              <w:spacing w:after="20" w:before="20"/>
              <w:jc w:val="right"/>
            </w:pPr>
            <w:r/>
            <w:r>
              <w:rPr>
                <w:b w:val="0"/>
                <w:i w:val="0"/>
                <w:sz w:val="19"/>
              </w:rPr>
              <w:t>1,103</w:t>
            </w:r>
          </w:p>
        </w:tc>
        <w:tc>
          <w:tcPr>
            <w:tcW w:type="dxa" w:w="1040"/>
            <w:shd w:val="clear" w:fill="EFF3F1"/>
          </w:tcPr>
          <w:p>
            <w:pPr>
              <w:spacing w:after="20" w:before="20"/>
              <w:jc w:val="right"/>
            </w:pPr>
            <w:r/>
            <w:r>
              <w:rPr>
                <w:b w:val="0"/>
                <w:i w:val="0"/>
                <w:sz w:val="19"/>
              </w:rPr>
              <w:t>1,310</w:t>
            </w:r>
          </w:p>
        </w:tc>
      </w:tr>
      <w:tr>
        <w:tc>
          <w:tcPr>
            <w:tcW w:type="dxa" w:w="1040"/>
          </w:tcPr>
          <w:p>
            <w:pPr>
              <w:spacing w:after="20" w:before="20"/>
            </w:pPr>
            <w:r/>
            <w:r>
              <w:rPr>
                <w:b w:val="0"/>
                <w:i w:val="0"/>
                <w:sz w:val="19"/>
              </w:rPr>
              <w:t>Tax</w:t>
            </w:r>
          </w:p>
        </w:tc>
        <w:tc>
          <w:tcPr>
            <w:tcW w:type="dxa" w:w="1040"/>
          </w:tcPr>
          <w:p>
            <w:pPr>
              <w:spacing w:after="20" w:before="20"/>
              <w:jc w:val="right"/>
            </w:pPr>
            <w:r/>
            <w:r>
              <w:rPr>
                <w:b w:val="0"/>
                <w:i w:val="0"/>
                <w:sz w:val="19"/>
              </w:rPr>
              <w:t>—</w:t>
            </w:r>
          </w:p>
        </w:tc>
        <w:tc>
          <w:tcPr>
            <w:tcW w:type="dxa" w:w="1040"/>
          </w:tcPr>
          <w:p>
            <w:pPr>
              <w:spacing w:after="20" w:before="20"/>
              <w:jc w:val="right"/>
            </w:pPr>
            <w:r/>
            <w:r>
              <w:rPr>
                <w:b w:val="0"/>
                <w:i w:val="0"/>
                <w:sz w:val="19"/>
              </w:rPr>
              <w:t>(313)</w:t>
            </w:r>
          </w:p>
        </w:tc>
        <w:tc>
          <w:tcPr>
            <w:tcW w:type="dxa" w:w="1040"/>
          </w:tcPr>
          <w:p>
            <w:pPr>
              <w:spacing w:after="20" w:before="20"/>
              <w:jc w:val="right"/>
            </w:pPr>
            <w:r/>
            <w:r>
              <w:rPr>
                <w:b w:val="0"/>
                <w:i w:val="0"/>
                <w:sz w:val="19"/>
              </w:rPr>
              <w:t>(202)</w:t>
            </w:r>
          </w:p>
        </w:tc>
        <w:tc>
          <w:tcPr>
            <w:tcW w:type="dxa" w:w="1040"/>
          </w:tcPr>
          <w:p>
            <w:pPr>
              <w:spacing w:after="20" w:before="20"/>
              <w:jc w:val="right"/>
            </w:pPr>
            <w:r/>
            <w:r>
              <w:rPr>
                <w:b w:val="0"/>
                <w:i w:val="0"/>
                <w:sz w:val="19"/>
              </w:rPr>
              <w:t>(108)</w:t>
            </w:r>
          </w:p>
        </w:tc>
        <w:tc>
          <w:tcPr>
            <w:tcW w:type="dxa" w:w="1040"/>
          </w:tcPr>
          <w:p>
            <w:pPr>
              <w:spacing w:after="20" w:before="20"/>
              <w:jc w:val="right"/>
            </w:pPr>
            <w:r/>
            <w:r>
              <w:rPr>
                <w:b w:val="0"/>
                <w:i w:val="0"/>
                <w:sz w:val="19"/>
              </w:rPr>
              <w:t>(154)</w:t>
            </w:r>
          </w:p>
        </w:tc>
        <w:tc>
          <w:tcPr>
            <w:tcW w:type="dxa" w:w="1040"/>
          </w:tcPr>
          <w:p>
            <w:pPr>
              <w:spacing w:after="20" w:before="20"/>
              <w:jc w:val="right"/>
            </w:pPr>
            <w:r/>
            <w:r>
              <w:rPr>
                <w:b w:val="0"/>
                <w:i w:val="0"/>
                <w:sz w:val="19"/>
              </w:rPr>
              <w:t>(205)</w:t>
            </w:r>
          </w:p>
        </w:tc>
        <w:tc>
          <w:tcPr>
            <w:tcW w:type="dxa" w:w="1040"/>
          </w:tcPr>
          <w:p>
            <w:pPr>
              <w:spacing w:after="20" w:before="20"/>
              <w:jc w:val="right"/>
            </w:pPr>
            <w:r/>
            <w:r>
              <w:rPr>
                <w:b w:val="0"/>
                <w:i w:val="0"/>
                <w:sz w:val="19"/>
              </w:rPr>
              <w:t>(248)</w:t>
            </w:r>
          </w:p>
        </w:tc>
        <w:tc>
          <w:tcPr>
            <w:tcW w:type="dxa" w:w="1040"/>
          </w:tcPr>
          <w:p>
            <w:pPr>
              <w:spacing w:after="20" w:before="20"/>
              <w:jc w:val="right"/>
            </w:pPr>
            <w:r/>
            <w:r>
              <w:rPr>
                <w:b w:val="0"/>
                <w:i w:val="0"/>
                <w:sz w:val="19"/>
              </w:rPr>
              <w:t>(295)</w:t>
            </w:r>
          </w:p>
        </w:tc>
      </w:tr>
      <w:tr>
        <w:tc>
          <w:tcPr>
            <w:tcW w:type="dxa" w:w="1040"/>
            <w:shd w:val="clear" w:fill="EFF3F1"/>
          </w:tcPr>
          <w:p>
            <w:pPr>
              <w:spacing w:after="20" w:before="20"/>
            </w:pPr>
            <w:r/>
            <w:r>
              <w:rPr>
                <w:b w:val="0"/>
                <w:i w:val="0"/>
                <w:sz w:val="19"/>
              </w:rPr>
              <w:t>Net profit after tax</w:t>
            </w:r>
          </w:p>
        </w:tc>
        <w:tc>
          <w:tcPr>
            <w:tcW w:type="dxa" w:w="1040"/>
            <w:shd w:val="clear" w:fill="EFF3F1"/>
          </w:tcPr>
          <w:p>
            <w:pPr>
              <w:spacing w:after="20" w:before="20"/>
              <w:jc w:val="right"/>
            </w:pPr>
            <w:r/>
            <w:r>
              <w:rPr>
                <w:b w:val="0"/>
                <w:i w:val="0"/>
                <w:sz w:val="19"/>
              </w:rPr>
              <w:t>—</w:t>
            </w:r>
          </w:p>
        </w:tc>
        <w:tc>
          <w:tcPr>
            <w:tcW w:type="dxa" w:w="1040"/>
            <w:shd w:val="clear" w:fill="EFF3F1"/>
          </w:tcPr>
          <w:p>
            <w:pPr>
              <w:spacing w:after="20" w:before="20"/>
              <w:jc w:val="right"/>
            </w:pPr>
            <w:r/>
            <w:r>
              <w:rPr>
                <w:b w:val="0"/>
                <w:i w:val="0"/>
                <w:sz w:val="19"/>
              </w:rPr>
              <w:t>919</w:t>
            </w:r>
          </w:p>
        </w:tc>
        <w:tc>
          <w:tcPr>
            <w:tcW w:type="dxa" w:w="1040"/>
            <w:shd w:val="clear" w:fill="EFF3F1"/>
          </w:tcPr>
          <w:p>
            <w:pPr>
              <w:spacing w:after="20" w:before="20"/>
              <w:jc w:val="right"/>
            </w:pPr>
            <w:r/>
            <w:r>
              <w:rPr>
                <w:b w:val="0"/>
                <w:i w:val="0"/>
                <w:sz w:val="19"/>
              </w:rPr>
              <w:t>259</w:t>
            </w:r>
          </w:p>
        </w:tc>
        <w:tc>
          <w:tcPr>
            <w:tcW w:type="dxa" w:w="1040"/>
            <w:shd w:val="clear" w:fill="EFF3F1"/>
          </w:tcPr>
          <w:p>
            <w:pPr>
              <w:spacing w:after="20" w:before="20"/>
              <w:jc w:val="right"/>
            </w:pPr>
            <w:r/>
            <w:r>
              <w:rPr>
                <w:b w:val="0"/>
                <w:i w:val="0"/>
                <w:sz w:val="19"/>
              </w:rPr>
              <w:t>372</w:t>
            </w:r>
          </w:p>
        </w:tc>
        <w:tc>
          <w:tcPr>
            <w:tcW w:type="dxa" w:w="1040"/>
            <w:shd w:val="clear" w:fill="EFF3F1"/>
          </w:tcPr>
          <w:p>
            <w:pPr>
              <w:spacing w:after="20" w:before="20"/>
              <w:jc w:val="right"/>
            </w:pPr>
            <w:r/>
            <w:r>
              <w:rPr>
                <w:b w:val="0"/>
                <w:i w:val="0"/>
                <w:sz w:val="19"/>
              </w:rPr>
              <w:t>528</w:t>
            </w:r>
          </w:p>
        </w:tc>
        <w:tc>
          <w:tcPr>
            <w:tcW w:type="dxa" w:w="1040"/>
            <w:shd w:val="clear" w:fill="EFF3F1"/>
          </w:tcPr>
          <w:p>
            <w:pPr>
              <w:spacing w:after="20" w:before="20"/>
              <w:jc w:val="right"/>
            </w:pPr>
            <w:r/>
            <w:r>
              <w:rPr>
                <w:b w:val="0"/>
                <w:i w:val="0"/>
                <w:sz w:val="19"/>
              </w:rPr>
              <w:t>705</w:t>
            </w:r>
          </w:p>
        </w:tc>
        <w:tc>
          <w:tcPr>
            <w:tcW w:type="dxa" w:w="1040"/>
            <w:shd w:val="clear" w:fill="EFF3F1"/>
          </w:tcPr>
          <w:p>
            <w:pPr>
              <w:spacing w:after="20" w:before="20"/>
              <w:jc w:val="right"/>
            </w:pPr>
            <w:r/>
            <w:r>
              <w:rPr>
                <w:b w:val="0"/>
                <w:i w:val="0"/>
                <w:sz w:val="19"/>
              </w:rPr>
              <w:t>855</w:t>
            </w:r>
          </w:p>
        </w:tc>
        <w:tc>
          <w:tcPr>
            <w:tcW w:type="dxa" w:w="1040"/>
            <w:shd w:val="clear" w:fill="EFF3F1"/>
          </w:tcPr>
          <w:p>
            <w:pPr>
              <w:spacing w:after="20" w:before="20"/>
              <w:jc w:val="right"/>
            </w:pPr>
            <w:r/>
            <w:r>
              <w:rPr>
                <w:b w:val="0"/>
                <w:i w:val="0"/>
                <w:sz w:val="19"/>
              </w:rPr>
              <w:t>1,015</w:t>
            </w:r>
          </w:p>
        </w:tc>
      </w:tr>
      <w:tr>
        <w:tc>
          <w:tcPr>
            <w:tcW w:type="dxa" w:w="1040"/>
          </w:tcPr>
          <w:p>
            <w:pPr>
              <w:spacing w:after="20" w:before="20"/>
            </w:pPr>
            <w:r/>
            <w:r>
              <w:rPr>
                <w:b w:val="0"/>
                <w:i w:val="0"/>
                <w:sz w:val="19"/>
              </w:rPr>
              <w:t>Minority interest</w:t>
            </w:r>
          </w:p>
        </w:tc>
        <w:tc>
          <w:tcPr>
            <w:tcW w:type="dxa" w:w="1040"/>
          </w:tcPr>
          <w:p>
            <w:pPr>
              <w:spacing w:after="20" w:before="20"/>
              <w:jc w:val="right"/>
            </w:pPr>
            <w:r/>
            <w:r>
              <w:rPr>
                <w:b w:val="0"/>
                <w:i w:val="0"/>
                <w:sz w:val="19"/>
              </w:rPr>
              <w:t>—</w:t>
            </w:r>
          </w:p>
        </w:tc>
        <w:tc>
          <w:tcPr>
            <w:tcW w:type="dxa" w:w="1040"/>
          </w:tcPr>
          <w:p>
            <w:pPr>
              <w:spacing w:after="20" w:before="20"/>
              <w:jc w:val="right"/>
            </w:pPr>
            <w:r/>
            <w:r>
              <w:rPr>
                <w:b w:val="0"/>
                <w:i w:val="0"/>
                <w:sz w:val="19"/>
              </w:rPr>
              <w:t>(29)</w:t>
            </w:r>
          </w:p>
        </w:tc>
        <w:tc>
          <w:tcPr>
            <w:tcW w:type="dxa" w:w="1040"/>
          </w:tcPr>
          <w:p>
            <w:pPr>
              <w:spacing w:after="20" w:before="20"/>
              <w:jc w:val="right"/>
            </w:pPr>
            <w:r/>
            <w:r>
              <w:rPr>
                <w:b w:val="0"/>
                <w:i w:val="0"/>
                <w:sz w:val="19"/>
              </w:rPr>
              <w:t>(15)</w:t>
            </w:r>
          </w:p>
        </w:tc>
        <w:tc>
          <w:tcPr>
            <w:tcW w:type="dxa" w:w="1040"/>
          </w:tcPr>
          <w:p>
            <w:pPr>
              <w:spacing w:after="20" w:before="20"/>
              <w:jc w:val="right"/>
            </w:pPr>
            <w:r/>
            <w:r>
              <w:rPr>
                <w:b w:val="0"/>
                <w:i w:val="0"/>
                <w:sz w:val="19"/>
              </w:rPr>
              <w:t>(19)</w:t>
            </w:r>
          </w:p>
        </w:tc>
        <w:tc>
          <w:tcPr>
            <w:tcW w:type="dxa" w:w="1040"/>
          </w:tcPr>
          <w:p>
            <w:pPr>
              <w:spacing w:after="20" w:before="20"/>
              <w:jc w:val="right"/>
            </w:pPr>
            <w:r/>
            <w:r>
              <w:rPr>
                <w:b w:val="0"/>
                <w:i w:val="0"/>
                <w:sz w:val="19"/>
              </w:rPr>
              <w:t>(26)</w:t>
            </w:r>
          </w:p>
        </w:tc>
        <w:tc>
          <w:tcPr>
            <w:tcW w:type="dxa" w:w="1040"/>
          </w:tcPr>
          <w:p>
            <w:pPr>
              <w:spacing w:after="20" w:before="20"/>
              <w:jc w:val="right"/>
            </w:pPr>
            <w:r/>
            <w:r>
              <w:rPr>
                <w:b w:val="0"/>
                <w:i w:val="0"/>
                <w:sz w:val="19"/>
              </w:rPr>
              <w:t>(35)</w:t>
            </w:r>
          </w:p>
        </w:tc>
        <w:tc>
          <w:tcPr>
            <w:tcW w:type="dxa" w:w="1040"/>
          </w:tcPr>
          <w:p>
            <w:pPr>
              <w:spacing w:after="20" w:before="20"/>
              <w:jc w:val="right"/>
            </w:pPr>
            <w:r/>
            <w:r>
              <w:rPr>
                <w:b w:val="0"/>
                <w:i w:val="0"/>
                <w:sz w:val="19"/>
              </w:rPr>
              <w:t>(43)</w:t>
            </w:r>
          </w:p>
        </w:tc>
        <w:tc>
          <w:tcPr>
            <w:tcW w:type="dxa" w:w="1040"/>
          </w:tcPr>
          <w:p>
            <w:pPr>
              <w:spacing w:after="20" w:before="20"/>
              <w:jc w:val="right"/>
            </w:pPr>
            <w:r/>
            <w:r>
              <w:rPr>
                <w:b w:val="0"/>
                <w:i w:val="0"/>
                <w:sz w:val="19"/>
              </w:rPr>
              <w:t>(51)</w:t>
            </w:r>
          </w:p>
        </w:tc>
      </w:tr>
      <w:tr>
        <w:tc>
          <w:tcPr>
            <w:tcW w:type="dxa" w:w="1040"/>
            <w:shd w:val="clear" w:fill="EFF3F1"/>
          </w:tcPr>
          <w:p>
            <w:pPr>
              <w:spacing w:after="20" w:before="20"/>
            </w:pPr>
            <w:r/>
            <w:r>
              <w:rPr>
                <w:b/>
                <w:i w:val="0"/>
                <w:sz w:val="19"/>
              </w:rPr>
              <w:t>Net profit attributable</w:t>
            </w:r>
          </w:p>
        </w:tc>
        <w:tc>
          <w:tcPr>
            <w:tcW w:type="dxa" w:w="1040"/>
            <w:shd w:val="clear" w:fill="EFF3F1"/>
          </w:tcPr>
          <w:p>
            <w:pPr>
              <w:spacing w:after="20" w:before="20"/>
              <w:jc w:val="right"/>
            </w:pPr>
            <w:r/>
            <w:r>
              <w:rPr>
                <w:b/>
                <w:i w:val="0"/>
                <w:sz w:val="19"/>
              </w:rPr>
              <w:t>446</w:t>
            </w:r>
          </w:p>
        </w:tc>
        <w:tc>
          <w:tcPr>
            <w:tcW w:type="dxa" w:w="1040"/>
            <w:shd w:val="clear" w:fill="EFF3F1"/>
          </w:tcPr>
          <w:p>
            <w:pPr>
              <w:spacing w:after="20" w:before="20"/>
              <w:jc w:val="right"/>
            </w:pPr>
            <w:r/>
            <w:r>
              <w:rPr>
                <w:b/>
                <w:i w:val="0"/>
                <w:sz w:val="19"/>
              </w:rPr>
              <w:t>890</w:t>
            </w:r>
          </w:p>
        </w:tc>
        <w:tc>
          <w:tcPr>
            <w:tcW w:type="dxa" w:w="1040"/>
            <w:shd w:val="clear" w:fill="EFF3F1"/>
          </w:tcPr>
          <w:p>
            <w:pPr>
              <w:spacing w:after="20" w:before="20"/>
              <w:jc w:val="right"/>
            </w:pPr>
            <w:r/>
            <w:r>
              <w:rPr>
                <w:b/>
                <w:i w:val="0"/>
                <w:sz w:val="19"/>
              </w:rPr>
              <w:t>244</w:t>
            </w:r>
          </w:p>
        </w:tc>
        <w:tc>
          <w:tcPr>
            <w:tcW w:type="dxa" w:w="1040"/>
            <w:shd w:val="clear" w:fill="EFF3F1"/>
          </w:tcPr>
          <w:p>
            <w:pPr>
              <w:spacing w:after="20" w:before="20"/>
              <w:jc w:val="right"/>
            </w:pPr>
            <w:r/>
            <w:r>
              <w:rPr>
                <w:b/>
                <w:i w:val="0"/>
                <w:sz w:val="19"/>
              </w:rPr>
              <w:t>353</w:t>
            </w:r>
          </w:p>
        </w:tc>
        <w:tc>
          <w:tcPr>
            <w:tcW w:type="dxa" w:w="1040"/>
            <w:shd w:val="clear" w:fill="EFF3F1"/>
          </w:tcPr>
          <w:p>
            <w:pPr>
              <w:spacing w:after="20" w:before="20"/>
              <w:jc w:val="right"/>
            </w:pPr>
            <w:r/>
            <w:r>
              <w:rPr>
                <w:b/>
                <w:i w:val="0"/>
                <w:sz w:val="19"/>
              </w:rPr>
              <w:t>502</w:t>
            </w:r>
          </w:p>
        </w:tc>
        <w:tc>
          <w:tcPr>
            <w:tcW w:type="dxa" w:w="1040"/>
            <w:shd w:val="clear" w:fill="EFF3F1"/>
          </w:tcPr>
          <w:p>
            <w:pPr>
              <w:spacing w:after="20" w:before="20"/>
              <w:jc w:val="right"/>
            </w:pPr>
            <w:r/>
            <w:r>
              <w:rPr>
                <w:b/>
                <w:i w:val="0"/>
                <w:sz w:val="19"/>
              </w:rPr>
              <w:t>669</w:t>
            </w:r>
          </w:p>
        </w:tc>
        <w:tc>
          <w:tcPr>
            <w:tcW w:type="dxa" w:w="1040"/>
            <w:shd w:val="clear" w:fill="EFF3F1"/>
          </w:tcPr>
          <w:p>
            <w:pPr>
              <w:spacing w:after="20" w:before="20"/>
              <w:jc w:val="right"/>
            </w:pPr>
            <w:r/>
            <w:r>
              <w:rPr>
                <w:b/>
                <w:i w:val="0"/>
                <w:sz w:val="19"/>
              </w:rPr>
              <w:t>812</w:t>
            </w:r>
          </w:p>
        </w:tc>
        <w:tc>
          <w:tcPr>
            <w:tcW w:type="dxa" w:w="1040"/>
            <w:shd w:val="clear" w:fill="EFF3F1"/>
          </w:tcPr>
          <w:p>
            <w:pPr>
              <w:spacing w:after="20" w:before="20"/>
              <w:jc w:val="right"/>
            </w:pPr>
            <w:r/>
            <w:r>
              <w:rPr>
                <w:b/>
                <w:i w:val="0"/>
                <w:sz w:val="19"/>
              </w:rPr>
              <w:t>965</w:t>
            </w:r>
          </w:p>
        </w:tc>
      </w:tr>
      <w:tr>
        <w:tc>
          <w:tcPr>
            <w:tcW w:type="dxa" w:w="1040"/>
          </w:tcPr>
          <w:p>
            <w:pPr>
              <w:spacing w:after="20" w:before="20"/>
            </w:pPr>
            <w:r/>
            <w:r>
              <w:rPr>
                <w:b w:val="0"/>
                <w:i w:val="0"/>
                <w:sz w:val="19"/>
              </w:rPr>
              <w:t>EPS (EGP)</w:t>
            </w:r>
          </w:p>
        </w:tc>
        <w:tc>
          <w:tcPr>
            <w:tcW w:type="dxa" w:w="1040"/>
          </w:tcPr>
          <w:p>
            <w:pPr>
              <w:spacing w:after="20" w:before="20"/>
              <w:jc w:val="right"/>
            </w:pPr>
            <w:r/>
            <w:r>
              <w:rPr>
                <w:b w:val="0"/>
                <w:i w:val="0"/>
                <w:sz w:val="19"/>
              </w:rPr>
              <w:t>5.58</w:t>
            </w:r>
          </w:p>
        </w:tc>
        <w:tc>
          <w:tcPr>
            <w:tcW w:type="dxa" w:w="1040"/>
          </w:tcPr>
          <w:p>
            <w:pPr>
              <w:spacing w:after="20" w:before="20"/>
              <w:jc w:val="right"/>
            </w:pPr>
            <w:r/>
            <w:r>
              <w:rPr>
                <w:b w:val="0"/>
                <w:i w:val="0"/>
                <w:sz w:val="19"/>
              </w:rPr>
              <w:t>11.13</w:t>
            </w:r>
          </w:p>
        </w:tc>
        <w:tc>
          <w:tcPr>
            <w:tcW w:type="dxa" w:w="1040"/>
          </w:tcPr>
          <w:p>
            <w:pPr>
              <w:spacing w:after="20" w:before="20"/>
              <w:jc w:val="right"/>
            </w:pPr>
            <w:r/>
            <w:r>
              <w:rPr>
                <w:b w:val="0"/>
                <w:i w:val="0"/>
                <w:sz w:val="19"/>
              </w:rPr>
              <w:t>3.05</w:t>
            </w:r>
          </w:p>
        </w:tc>
        <w:tc>
          <w:tcPr>
            <w:tcW w:type="dxa" w:w="1040"/>
          </w:tcPr>
          <w:p>
            <w:pPr>
              <w:spacing w:after="20" w:before="20"/>
              <w:jc w:val="right"/>
            </w:pPr>
            <w:r/>
            <w:r>
              <w:rPr>
                <w:b w:val="0"/>
                <w:i w:val="0"/>
                <w:sz w:val="19"/>
              </w:rPr>
              <w:t>4.42</w:t>
            </w:r>
          </w:p>
        </w:tc>
        <w:tc>
          <w:tcPr>
            <w:tcW w:type="dxa" w:w="1040"/>
          </w:tcPr>
          <w:p>
            <w:pPr>
              <w:spacing w:after="20" w:before="20"/>
              <w:jc w:val="right"/>
            </w:pPr>
            <w:r/>
            <w:r>
              <w:rPr>
                <w:b w:val="0"/>
                <w:i w:val="0"/>
                <w:sz w:val="19"/>
              </w:rPr>
              <w:t>6.27</w:t>
            </w:r>
          </w:p>
        </w:tc>
        <w:tc>
          <w:tcPr>
            <w:tcW w:type="dxa" w:w="1040"/>
          </w:tcPr>
          <w:p>
            <w:pPr>
              <w:spacing w:after="20" w:before="20"/>
              <w:jc w:val="right"/>
            </w:pPr>
            <w:r/>
            <w:r>
              <w:rPr>
                <w:b w:val="0"/>
                <w:i w:val="0"/>
                <w:sz w:val="19"/>
              </w:rPr>
              <w:t>8.37</w:t>
            </w:r>
          </w:p>
        </w:tc>
        <w:tc>
          <w:tcPr>
            <w:tcW w:type="dxa" w:w="1040"/>
          </w:tcPr>
          <w:p>
            <w:pPr>
              <w:spacing w:after="20" w:before="20"/>
              <w:jc w:val="right"/>
            </w:pPr>
            <w:r/>
            <w:r>
              <w:rPr>
                <w:b w:val="0"/>
                <w:i w:val="0"/>
                <w:sz w:val="19"/>
              </w:rPr>
              <w:t>10.15</w:t>
            </w:r>
          </w:p>
        </w:tc>
        <w:tc>
          <w:tcPr>
            <w:tcW w:type="dxa" w:w="1040"/>
          </w:tcPr>
          <w:p>
            <w:pPr>
              <w:spacing w:after="20" w:before="20"/>
              <w:jc w:val="right"/>
            </w:pPr>
            <w:r/>
            <w:r>
              <w:rPr>
                <w:b w:val="0"/>
                <w:i w:val="0"/>
                <w:sz w:val="19"/>
              </w:rPr>
              <w:t>12.06</w:t>
            </w:r>
          </w:p>
        </w:tc>
      </w:tr>
    </w:tbl>
    <w:p/>
    <w:p>
      <w:r>
        <w:rPr>
          <w:b w:val="0"/>
          <w:i/>
        </w:rPr>
        <w:t>Note: FY2024 net finance income includes ~EGP 362m of devaluation/FX gains, so 2024 attributable profit is not a clean run-rate. Forecast below EBIT uses the statutory 22.5% tax rate and ~5% minority; the elevated 2025 effective tax (~44%) reflects non-deductible items and loss-making subsidiaries.</w:t>
      </w:r>
    </w:p>
    <w:p>
      <w:pPr>
        <w:pStyle w:val="Heading2"/>
      </w:pPr>
      <w:r>
        <w:t>A.2  Balance sheet (consolidated, EGP m)</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040"/>
        <w:gridCol w:w="1040"/>
        <w:gridCol w:w="1040"/>
        <w:gridCol w:w="1040"/>
        <w:gridCol w:w="1040"/>
        <w:gridCol w:w="1040"/>
        <w:gridCol w:w="1040"/>
        <w:gridCol w:w="1040"/>
        <w:gridCol w:w="1040"/>
      </w:tblGrid>
      <w:tr>
        <w:tc>
          <w:tcPr>
            <w:tcW w:type="dxa" w:w="1040"/>
            <w:shd w:val="clear" w:fill="1C3A36"/>
          </w:tcPr>
          <w:p>
            <w:pPr>
              <w:spacing w:after="20" w:before="20"/>
            </w:pPr>
            <w:r/>
            <w:r>
              <w:rPr>
                <w:b/>
                <w:i w:val="0"/>
                <w:color w:val="FFFFFF"/>
                <w:sz w:val="19"/>
              </w:rPr>
              <w:t>Line</w:t>
            </w:r>
          </w:p>
        </w:tc>
        <w:tc>
          <w:tcPr>
            <w:tcW w:type="dxa" w:w="1040"/>
            <w:shd w:val="clear" w:fill="1C3A36"/>
          </w:tcPr>
          <w:p>
            <w:pPr>
              <w:spacing w:after="20" w:before="20"/>
              <w:jc w:val="right"/>
            </w:pPr>
            <w:r/>
            <w:r>
              <w:rPr>
                <w:b/>
                <w:i w:val="0"/>
                <w:color w:val="FFFFFF"/>
                <w:sz w:val="19"/>
              </w:rPr>
              <w:t>2023A</w:t>
            </w:r>
          </w:p>
        </w:tc>
        <w:tc>
          <w:tcPr>
            <w:tcW w:type="dxa" w:w="1040"/>
            <w:shd w:val="clear" w:fill="1C3A36"/>
          </w:tcPr>
          <w:p>
            <w:pPr>
              <w:spacing w:after="20" w:before="20"/>
              <w:jc w:val="right"/>
            </w:pPr>
            <w:r/>
            <w:r>
              <w:rPr>
                <w:b/>
                <w:i w:val="0"/>
                <w:color w:val="FFFFFF"/>
                <w:sz w:val="19"/>
              </w:rPr>
              <w:t>2024A</w:t>
            </w:r>
          </w:p>
        </w:tc>
        <w:tc>
          <w:tcPr>
            <w:tcW w:type="dxa" w:w="1040"/>
            <w:shd w:val="clear" w:fill="1C3A36"/>
          </w:tcPr>
          <w:p>
            <w:pPr>
              <w:spacing w:after="20" w:before="20"/>
              <w:jc w:val="right"/>
            </w:pPr>
            <w:r/>
            <w:r>
              <w:rPr>
                <w:b/>
                <w:i w:val="0"/>
                <w:color w:val="FFFFFF"/>
                <w:sz w:val="19"/>
              </w:rPr>
              <w:t>2025A</w:t>
            </w:r>
          </w:p>
        </w:tc>
        <w:tc>
          <w:tcPr>
            <w:tcW w:type="dxa" w:w="1040"/>
            <w:shd w:val="clear" w:fill="1C3A36"/>
          </w:tcPr>
          <w:p>
            <w:pPr>
              <w:spacing w:after="20" w:before="20"/>
              <w:jc w:val="right"/>
            </w:pPr>
            <w:r/>
            <w:r>
              <w:rPr>
                <w:b/>
                <w:i w:val="0"/>
                <w:color w:val="FFFFFF"/>
                <w:sz w:val="19"/>
              </w:rPr>
              <w:t>2026E</w:t>
            </w:r>
          </w:p>
        </w:tc>
        <w:tc>
          <w:tcPr>
            <w:tcW w:type="dxa" w:w="1040"/>
            <w:shd w:val="clear" w:fill="1C3A36"/>
          </w:tcPr>
          <w:p>
            <w:pPr>
              <w:spacing w:after="20" w:before="20"/>
              <w:jc w:val="right"/>
            </w:pPr>
            <w:r/>
            <w:r>
              <w:rPr>
                <w:b/>
                <w:i w:val="0"/>
                <w:color w:val="FFFFFF"/>
                <w:sz w:val="19"/>
              </w:rPr>
              <w:t>2027E</w:t>
            </w:r>
          </w:p>
        </w:tc>
        <w:tc>
          <w:tcPr>
            <w:tcW w:type="dxa" w:w="1040"/>
            <w:shd w:val="clear" w:fill="1C3A36"/>
          </w:tcPr>
          <w:p>
            <w:pPr>
              <w:spacing w:after="20" w:before="20"/>
              <w:jc w:val="right"/>
            </w:pPr>
            <w:r/>
            <w:r>
              <w:rPr>
                <w:b/>
                <w:i w:val="0"/>
                <w:color w:val="FFFFFF"/>
                <w:sz w:val="19"/>
              </w:rPr>
              <w:t>2028E</w:t>
            </w:r>
          </w:p>
        </w:tc>
        <w:tc>
          <w:tcPr>
            <w:tcW w:type="dxa" w:w="1040"/>
            <w:shd w:val="clear" w:fill="1C3A36"/>
          </w:tcPr>
          <w:p>
            <w:pPr>
              <w:spacing w:after="20" w:before="20"/>
              <w:jc w:val="right"/>
            </w:pPr>
            <w:r/>
            <w:r>
              <w:rPr>
                <w:b/>
                <w:i w:val="0"/>
                <w:color w:val="FFFFFF"/>
                <w:sz w:val="19"/>
              </w:rPr>
              <w:t>2029E</w:t>
            </w:r>
          </w:p>
        </w:tc>
        <w:tc>
          <w:tcPr>
            <w:tcW w:type="dxa" w:w="1040"/>
            <w:shd w:val="clear" w:fill="1C3A36"/>
          </w:tcPr>
          <w:p>
            <w:pPr>
              <w:spacing w:after="20" w:before="20"/>
              <w:jc w:val="right"/>
            </w:pPr>
            <w:r/>
            <w:r>
              <w:rPr>
                <w:b/>
                <w:i w:val="0"/>
                <w:color w:val="FFFFFF"/>
                <w:sz w:val="19"/>
              </w:rPr>
              <w:t>2030E</w:t>
            </w:r>
          </w:p>
        </w:tc>
      </w:tr>
      <w:tr>
        <w:tc>
          <w:tcPr>
            <w:tcW w:type="dxa" w:w="1040"/>
          </w:tcPr>
          <w:p>
            <w:pPr>
              <w:spacing w:after="20" w:before="20"/>
            </w:pPr>
            <w:r/>
            <w:r>
              <w:rPr>
                <w:b w:val="0"/>
                <w:i w:val="0"/>
                <w:sz w:val="19"/>
              </w:rPr>
              <w:t>Cash &amp; equivalents</w:t>
            </w:r>
          </w:p>
        </w:tc>
        <w:tc>
          <w:tcPr>
            <w:tcW w:type="dxa" w:w="1040"/>
          </w:tcPr>
          <w:p>
            <w:pPr>
              <w:spacing w:after="20" w:before="20"/>
              <w:jc w:val="right"/>
            </w:pPr>
            <w:r/>
            <w:r>
              <w:rPr>
                <w:b w:val="0"/>
                <w:i w:val="0"/>
                <w:sz w:val="19"/>
              </w:rPr>
              <w:t>—</w:t>
            </w:r>
          </w:p>
        </w:tc>
        <w:tc>
          <w:tcPr>
            <w:tcW w:type="dxa" w:w="1040"/>
          </w:tcPr>
          <w:p>
            <w:pPr>
              <w:spacing w:after="20" w:before="20"/>
              <w:jc w:val="right"/>
            </w:pPr>
            <w:r/>
            <w:r>
              <w:rPr>
                <w:b w:val="0"/>
                <w:i w:val="0"/>
                <w:sz w:val="19"/>
              </w:rPr>
              <w:t>352</w:t>
            </w:r>
          </w:p>
        </w:tc>
        <w:tc>
          <w:tcPr>
            <w:tcW w:type="dxa" w:w="1040"/>
          </w:tcPr>
          <w:p>
            <w:pPr>
              <w:spacing w:after="20" w:before="20"/>
              <w:jc w:val="right"/>
            </w:pPr>
            <w:r/>
            <w:r>
              <w:rPr>
                <w:b w:val="0"/>
                <w:i w:val="0"/>
                <w:sz w:val="19"/>
              </w:rPr>
              <w:t>314</w:t>
            </w:r>
          </w:p>
        </w:tc>
        <w:tc>
          <w:tcPr>
            <w:tcW w:type="dxa" w:w="1040"/>
          </w:tcPr>
          <w:p>
            <w:pPr>
              <w:spacing w:after="20" w:before="20"/>
              <w:jc w:val="right"/>
            </w:pPr>
            <w:r/>
            <w:r>
              <w:rPr>
                <w:b w:val="0"/>
                <w:i w:val="0"/>
                <w:sz w:val="19"/>
              </w:rPr>
              <w:t>320</w:t>
            </w:r>
          </w:p>
        </w:tc>
        <w:tc>
          <w:tcPr>
            <w:tcW w:type="dxa" w:w="1040"/>
          </w:tcPr>
          <w:p>
            <w:pPr>
              <w:spacing w:after="20" w:before="20"/>
              <w:jc w:val="right"/>
            </w:pPr>
            <w:r/>
            <w:r>
              <w:rPr>
                <w:b w:val="0"/>
                <w:i w:val="0"/>
                <w:sz w:val="19"/>
              </w:rPr>
              <w:t>360</w:t>
            </w:r>
          </w:p>
        </w:tc>
        <w:tc>
          <w:tcPr>
            <w:tcW w:type="dxa" w:w="1040"/>
          </w:tcPr>
          <w:p>
            <w:pPr>
              <w:spacing w:after="20" w:before="20"/>
              <w:jc w:val="right"/>
            </w:pPr>
            <w:r/>
            <w:r>
              <w:rPr>
                <w:b w:val="0"/>
                <w:i w:val="0"/>
                <w:sz w:val="19"/>
              </w:rPr>
              <w:t>400</w:t>
            </w:r>
          </w:p>
        </w:tc>
        <w:tc>
          <w:tcPr>
            <w:tcW w:type="dxa" w:w="1040"/>
          </w:tcPr>
          <w:p>
            <w:pPr>
              <w:spacing w:after="20" w:before="20"/>
              <w:jc w:val="right"/>
            </w:pPr>
            <w:r/>
            <w:r>
              <w:rPr>
                <w:b w:val="0"/>
                <w:i w:val="0"/>
                <w:sz w:val="19"/>
              </w:rPr>
              <w:t>440</w:t>
            </w:r>
          </w:p>
        </w:tc>
        <w:tc>
          <w:tcPr>
            <w:tcW w:type="dxa" w:w="1040"/>
          </w:tcPr>
          <w:p>
            <w:pPr>
              <w:spacing w:after="20" w:before="20"/>
              <w:jc w:val="right"/>
            </w:pPr>
            <w:r/>
            <w:r>
              <w:rPr>
                <w:b w:val="0"/>
                <w:i w:val="0"/>
                <w:sz w:val="19"/>
              </w:rPr>
              <w:t>480</w:t>
            </w:r>
          </w:p>
        </w:tc>
      </w:tr>
      <w:tr>
        <w:tc>
          <w:tcPr>
            <w:tcW w:type="dxa" w:w="1040"/>
            <w:shd w:val="clear" w:fill="EFF3F1"/>
          </w:tcPr>
          <w:p>
            <w:pPr>
              <w:spacing w:after="20" w:before="20"/>
            </w:pPr>
            <w:r/>
            <w:r>
              <w:rPr>
                <w:b w:val="0"/>
                <w:i w:val="0"/>
                <w:sz w:val="19"/>
              </w:rPr>
              <w:t>Inventory</w:t>
            </w:r>
          </w:p>
        </w:tc>
        <w:tc>
          <w:tcPr>
            <w:tcW w:type="dxa" w:w="1040"/>
            <w:shd w:val="clear" w:fill="EFF3F1"/>
          </w:tcPr>
          <w:p>
            <w:pPr>
              <w:spacing w:after="20" w:before="20"/>
              <w:jc w:val="right"/>
            </w:pPr>
            <w:r/>
            <w:r>
              <w:rPr>
                <w:b w:val="0"/>
                <w:i w:val="0"/>
                <w:sz w:val="19"/>
              </w:rPr>
              <w:t>—</w:t>
            </w:r>
          </w:p>
        </w:tc>
        <w:tc>
          <w:tcPr>
            <w:tcW w:type="dxa" w:w="1040"/>
            <w:shd w:val="clear" w:fill="EFF3F1"/>
          </w:tcPr>
          <w:p>
            <w:pPr>
              <w:spacing w:after="20" w:before="20"/>
              <w:jc w:val="right"/>
            </w:pPr>
            <w:r/>
            <w:r>
              <w:rPr>
                <w:b w:val="0"/>
                <w:i w:val="0"/>
                <w:sz w:val="19"/>
              </w:rPr>
              <w:t>2,543</w:t>
            </w:r>
          </w:p>
        </w:tc>
        <w:tc>
          <w:tcPr>
            <w:tcW w:type="dxa" w:w="1040"/>
            <w:shd w:val="clear" w:fill="EFF3F1"/>
          </w:tcPr>
          <w:p>
            <w:pPr>
              <w:spacing w:after="20" w:before="20"/>
              <w:jc w:val="right"/>
            </w:pPr>
            <w:r/>
            <w:r>
              <w:rPr>
                <w:b w:val="0"/>
                <w:i w:val="0"/>
                <w:sz w:val="19"/>
              </w:rPr>
              <w:t>2,880</w:t>
            </w:r>
          </w:p>
        </w:tc>
        <w:tc>
          <w:tcPr>
            <w:tcW w:type="dxa" w:w="1040"/>
            <w:shd w:val="clear" w:fill="EFF3F1"/>
          </w:tcPr>
          <w:p>
            <w:pPr>
              <w:spacing w:after="20" w:before="20"/>
              <w:jc w:val="right"/>
            </w:pPr>
            <w:r/>
            <w:r>
              <w:rPr>
                <w:b w:val="0"/>
                <w:i w:val="0"/>
                <w:sz w:val="19"/>
              </w:rPr>
              <w:t>3,226</w:t>
            </w:r>
          </w:p>
        </w:tc>
        <w:tc>
          <w:tcPr>
            <w:tcW w:type="dxa" w:w="1040"/>
            <w:shd w:val="clear" w:fill="EFF3F1"/>
          </w:tcPr>
          <w:p>
            <w:pPr>
              <w:spacing w:after="20" w:before="20"/>
              <w:jc w:val="right"/>
            </w:pPr>
            <w:r/>
            <w:r>
              <w:rPr>
                <w:b w:val="0"/>
                <w:i w:val="0"/>
                <w:sz w:val="19"/>
              </w:rPr>
              <w:t>3,645</w:t>
            </w:r>
          </w:p>
        </w:tc>
        <w:tc>
          <w:tcPr>
            <w:tcW w:type="dxa" w:w="1040"/>
            <w:shd w:val="clear" w:fill="EFF3F1"/>
          </w:tcPr>
          <w:p>
            <w:pPr>
              <w:spacing w:after="20" w:before="20"/>
              <w:jc w:val="right"/>
            </w:pPr>
            <w:r/>
            <w:r>
              <w:rPr>
                <w:b w:val="0"/>
                <w:i w:val="0"/>
                <w:sz w:val="19"/>
              </w:rPr>
              <w:t>4,083</w:t>
            </w:r>
          </w:p>
        </w:tc>
        <w:tc>
          <w:tcPr>
            <w:tcW w:type="dxa" w:w="1040"/>
            <w:shd w:val="clear" w:fill="EFF3F1"/>
          </w:tcPr>
          <w:p>
            <w:pPr>
              <w:spacing w:after="20" w:before="20"/>
              <w:jc w:val="right"/>
            </w:pPr>
            <w:r/>
            <w:r>
              <w:rPr>
                <w:b w:val="0"/>
                <w:i w:val="0"/>
                <w:sz w:val="19"/>
              </w:rPr>
              <w:t>4,532</w:t>
            </w:r>
          </w:p>
        </w:tc>
        <w:tc>
          <w:tcPr>
            <w:tcW w:type="dxa" w:w="1040"/>
            <w:shd w:val="clear" w:fill="EFF3F1"/>
          </w:tcPr>
          <w:p>
            <w:pPr>
              <w:spacing w:after="20" w:before="20"/>
              <w:jc w:val="right"/>
            </w:pPr>
            <w:r/>
            <w:r>
              <w:rPr>
                <w:b w:val="0"/>
                <w:i w:val="0"/>
                <w:sz w:val="19"/>
              </w:rPr>
              <w:t>4,986</w:t>
            </w:r>
          </w:p>
        </w:tc>
      </w:tr>
      <w:tr>
        <w:tc>
          <w:tcPr>
            <w:tcW w:type="dxa" w:w="1040"/>
          </w:tcPr>
          <w:p>
            <w:pPr>
              <w:spacing w:after="20" w:before="20"/>
            </w:pPr>
            <w:r/>
            <w:r>
              <w:rPr>
                <w:b w:val="0"/>
                <w:i w:val="0"/>
                <w:sz w:val="19"/>
              </w:rPr>
              <w:t>Receivables</w:t>
            </w:r>
          </w:p>
        </w:tc>
        <w:tc>
          <w:tcPr>
            <w:tcW w:type="dxa" w:w="1040"/>
          </w:tcPr>
          <w:p>
            <w:pPr>
              <w:spacing w:after="20" w:before="20"/>
              <w:jc w:val="right"/>
            </w:pPr>
            <w:r/>
            <w:r>
              <w:rPr>
                <w:b w:val="0"/>
                <w:i w:val="0"/>
                <w:sz w:val="19"/>
              </w:rPr>
              <w:t>—</w:t>
            </w:r>
          </w:p>
        </w:tc>
        <w:tc>
          <w:tcPr>
            <w:tcW w:type="dxa" w:w="1040"/>
          </w:tcPr>
          <w:p>
            <w:pPr>
              <w:spacing w:after="20" w:before="20"/>
              <w:jc w:val="right"/>
            </w:pPr>
            <w:r/>
            <w:r>
              <w:rPr>
                <w:b w:val="0"/>
                <w:i w:val="0"/>
                <w:sz w:val="19"/>
              </w:rPr>
              <w:t>1,444</w:t>
            </w:r>
          </w:p>
        </w:tc>
        <w:tc>
          <w:tcPr>
            <w:tcW w:type="dxa" w:w="1040"/>
          </w:tcPr>
          <w:p>
            <w:pPr>
              <w:spacing w:after="20" w:before="20"/>
              <w:jc w:val="right"/>
            </w:pPr>
            <w:r/>
            <w:r>
              <w:rPr>
                <w:b w:val="0"/>
                <w:i w:val="0"/>
                <w:sz w:val="19"/>
              </w:rPr>
              <w:t>1,659</w:t>
            </w:r>
          </w:p>
        </w:tc>
        <w:tc>
          <w:tcPr>
            <w:tcW w:type="dxa" w:w="1040"/>
          </w:tcPr>
          <w:p>
            <w:pPr>
              <w:spacing w:after="20" w:before="20"/>
              <w:jc w:val="right"/>
            </w:pPr>
            <w:r/>
            <w:r>
              <w:rPr>
                <w:b w:val="0"/>
                <w:i w:val="0"/>
                <w:sz w:val="19"/>
              </w:rPr>
              <w:t>1,858</w:t>
            </w:r>
          </w:p>
        </w:tc>
        <w:tc>
          <w:tcPr>
            <w:tcW w:type="dxa" w:w="1040"/>
          </w:tcPr>
          <w:p>
            <w:pPr>
              <w:spacing w:after="20" w:before="20"/>
              <w:jc w:val="right"/>
            </w:pPr>
            <w:r/>
            <w:r>
              <w:rPr>
                <w:b w:val="0"/>
                <w:i w:val="0"/>
                <w:sz w:val="19"/>
              </w:rPr>
              <w:t>2,100</w:t>
            </w:r>
          </w:p>
        </w:tc>
        <w:tc>
          <w:tcPr>
            <w:tcW w:type="dxa" w:w="1040"/>
          </w:tcPr>
          <w:p>
            <w:pPr>
              <w:spacing w:after="20" w:before="20"/>
              <w:jc w:val="right"/>
            </w:pPr>
            <w:r/>
            <w:r>
              <w:rPr>
                <w:b w:val="0"/>
                <w:i w:val="0"/>
                <w:sz w:val="19"/>
              </w:rPr>
              <w:t>2,352</w:t>
            </w:r>
          </w:p>
        </w:tc>
        <w:tc>
          <w:tcPr>
            <w:tcW w:type="dxa" w:w="1040"/>
          </w:tcPr>
          <w:p>
            <w:pPr>
              <w:spacing w:after="20" w:before="20"/>
              <w:jc w:val="right"/>
            </w:pPr>
            <w:r/>
            <w:r>
              <w:rPr>
                <w:b w:val="0"/>
                <w:i w:val="0"/>
                <w:sz w:val="19"/>
              </w:rPr>
              <w:t>2,611</w:t>
            </w:r>
          </w:p>
        </w:tc>
        <w:tc>
          <w:tcPr>
            <w:tcW w:type="dxa" w:w="1040"/>
          </w:tcPr>
          <w:p>
            <w:pPr>
              <w:spacing w:after="20" w:before="20"/>
              <w:jc w:val="right"/>
            </w:pPr>
            <w:r/>
            <w:r>
              <w:rPr>
                <w:b w:val="0"/>
                <w:i w:val="0"/>
                <w:sz w:val="19"/>
              </w:rPr>
              <w:t>2,872</w:t>
            </w:r>
          </w:p>
        </w:tc>
      </w:tr>
      <w:tr>
        <w:tc>
          <w:tcPr>
            <w:tcW w:type="dxa" w:w="1040"/>
            <w:shd w:val="clear" w:fill="EFF3F1"/>
          </w:tcPr>
          <w:p>
            <w:pPr>
              <w:spacing w:after="20" w:before="20"/>
            </w:pPr>
            <w:r/>
            <w:r>
              <w:rPr>
                <w:b w:val="0"/>
                <w:i w:val="0"/>
                <w:sz w:val="19"/>
              </w:rPr>
              <w:t>Total current assets</w:t>
            </w:r>
          </w:p>
        </w:tc>
        <w:tc>
          <w:tcPr>
            <w:tcW w:type="dxa" w:w="1040"/>
            <w:shd w:val="clear" w:fill="EFF3F1"/>
          </w:tcPr>
          <w:p>
            <w:pPr>
              <w:spacing w:after="20" w:before="20"/>
              <w:jc w:val="right"/>
            </w:pPr>
            <w:r/>
            <w:r>
              <w:rPr>
                <w:b w:val="0"/>
                <w:i w:val="0"/>
                <w:sz w:val="19"/>
              </w:rPr>
              <w:t>—</w:t>
            </w:r>
          </w:p>
        </w:tc>
        <w:tc>
          <w:tcPr>
            <w:tcW w:type="dxa" w:w="1040"/>
            <w:shd w:val="clear" w:fill="EFF3F1"/>
          </w:tcPr>
          <w:p>
            <w:pPr>
              <w:spacing w:after="20" w:before="20"/>
              <w:jc w:val="right"/>
            </w:pPr>
            <w:r/>
            <w:r>
              <w:rPr>
                <w:b w:val="0"/>
                <w:i w:val="0"/>
                <w:sz w:val="19"/>
              </w:rPr>
              <w:t>4,340</w:t>
            </w:r>
          </w:p>
        </w:tc>
        <w:tc>
          <w:tcPr>
            <w:tcW w:type="dxa" w:w="1040"/>
            <w:shd w:val="clear" w:fill="EFF3F1"/>
          </w:tcPr>
          <w:p>
            <w:pPr>
              <w:spacing w:after="20" w:before="20"/>
              <w:jc w:val="right"/>
            </w:pPr>
            <w:r/>
            <w:r>
              <w:rPr>
                <w:b w:val="0"/>
                <w:i w:val="0"/>
                <w:sz w:val="19"/>
              </w:rPr>
              <w:t>4,854</w:t>
            </w:r>
          </w:p>
        </w:tc>
        <w:tc>
          <w:tcPr>
            <w:tcW w:type="dxa" w:w="1040"/>
            <w:shd w:val="clear" w:fill="EFF3F1"/>
          </w:tcPr>
          <w:p>
            <w:pPr>
              <w:spacing w:after="20" w:before="20"/>
              <w:jc w:val="right"/>
            </w:pPr>
            <w:r/>
            <w:r>
              <w:rPr>
                <w:b w:val="0"/>
                <w:i w:val="0"/>
                <w:sz w:val="19"/>
              </w:rPr>
              <w:t>5,404</w:t>
            </w:r>
          </w:p>
        </w:tc>
        <w:tc>
          <w:tcPr>
            <w:tcW w:type="dxa" w:w="1040"/>
            <w:shd w:val="clear" w:fill="EFF3F1"/>
          </w:tcPr>
          <w:p>
            <w:pPr>
              <w:spacing w:after="20" w:before="20"/>
              <w:jc w:val="right"/>
            </w:pPr>
            <w:r/>
            <w:r>
              <w:rPr>
                <w:b w:val="0"/>
                <w:i w:val="0"/>
                <w:sz w:val="19"/>
              </w:rPr>
              <w:t>6,105</w:t>
            </w:r>
          </w:p>
        </w:tc>
        <w:tc>
          <w:tcPr>
            <w:tcW w:type="dxa" w:w="1040"/>
            <w:shd w:val="clear" w:fill="EFF3F1"/>
          </w:tcPr>
          <w:p>
            <w:pPr>
              <w:spacing w:after="20" w:before="20"/>
              <w:jc w:val="right"/>
            </w:pPr>
            <w:r/>
            <w:r>
              <w:rPr>
                <w:b w:val="0"/>
                <w:i w:val="0"/>
                <w:sz w:val="19"/>
              </w:rPr>
              <w:t>6,835</w:t>
            </w:r>
          </w:p>
        </w:tc>
        <w:tc>
          <w:tcPr>
            <w:tcW w:type="dxa" w:w="1040"/>
            <w:shd w:val="clear" w:fill="EFF3F1"/>
          </w:tcPr>
          <w:p>
            <w:pPr>
              <w:spacing w:after="20" w:before="20"/>
              <w:jc w:val="right"/>
            </w:pPr>
            <w:r/>
            <w:r>
              <w:rPr>
                <w:b w:val="0"/>
                <w:i w:val="0"/>
                <w:sz w:val="19"/>
              </w:rPr>
              <w:t>7,583</w:t>
            </w:r>
          </w:p>
        </w:tc>
        <w:tc>
          <w:tcPr>
            <w:tcW w:type="dxa" w:w="1040"/>
            <w:shd w:val="clear" w:fill="EFF3F1"/>
          </w:tcPr>
          <w:p>
            <w:pPr>
              <w:spacing w:after="20" w:before="20"/>
              <w:jc w:val="right"/>
            </w:pPr>
            <w:r/>
            <w:r>
              <w:rPr>
                <w:b w:val="0"/>
                <w:i w:val="0"/>
                <w:sz w:val="19"/>
              </w:rPr>
              <w:t>8,338</w:t>
            </w:r>
          </w:p>
        </w:tc>
      </w:tr>
      <w:tr>
        <w:tc>
          <w:tcPr>
            <w:tcW w:type="dxa" w:w="1040"/>
          </w:tcPr>
          <w:p>
            <w:pPr>
              <w:spacing w:after="20" w:before="20"/>
            </w:pPr>
            <w:r/>
            <w:r>
              <w:rPr>
                <w:b w:val="0"/>
                <w:i w:val="0"/>
                <w:sz w:val="19"/>
              </w:rPr>
              <w:t>PP&amp;E</w:t>
            </w:r>
          </w:p>
        </w:tc>
        <w:tc>
          <w:tcPr>
            <w:tcW w:type="dxa" w:w="1040"/>
          </w:tcPr>
          <w:p>
            <w:pPr>
              <w:spacing w:after="20" w:before="20"/>
              <w:jc w:val="right"/>
            </w:pPr>
            <w:r/>
            <w:r>
              <w:rPr>
                <w:b w:val="0"/>
                <w:i w:val="0"/>
                <w:sz w:val="19"/>
              </w:rPr>
              <w:t>—</w:t>
            </w:r>
          </w:p>
        </w:tc>
        <w:tc>
          <w:tcPr>
            <w:tcW w:type="dxa" w:w="1040"/>
          </w:tcPr>
          <w:p>
            <w:pPr>
              <w:spacing w:after="20" w:before="20"/>
              <w:jc w:val="right"/>
            </w:pPr>
            <w:r/>
            <w:r>
              <w:rPr>
                <w:b w:val="0"/>
                <w:i w:val="0"/>
                <w:sz w:val="19"/>
              </w:rPr>
              <w:t>3,322</w:t>
            </w:r>
          </w:p>
        </w:tc>
        <w:tc>
          <w:tcPr>
            <w:tcW w:type="dxa" w:w="1040"/>
          </w:tcPr>
          <w:p>
            <w:pPr>
              <w:spacing w:after="20" w:before="20"/>
              <w:jc w:val="right"/>
            </w:pPr>
            <w:r/>
            <w:r>
              <w:rPr>
                <w:b w:val="0"/>
                <w:i w:val="0"/>
                <w:sz w:val="19"/>
              </w:rPr>
              <w:t>3,586</w:t>
            </w:r>
          </w:p>
        </w:tc>
        <w:tc>
          <w:tcPr>
            <w:tcW w:type="dxa" w:w="1040"/>
          </w:tcPr>
          <w:p>
            <w:pPr>
              <w:spacing w:after="20" w:before="20"/>
              <w:jc w:val="right"/>
            </w:pPr>
            <w:r/>
            <w:r>
              <w:rPr>
                <w:b w:val="0"/>
                <w:i w:val="0"/>
                <w:sz w:val="19"/>
              </w:rPr>
              <w:t>3,971</w:t>
            </w:r>
          </w:p>
        </w:tc>
        <w:tc>
          <w:tcPr>
            <w:tcW w:type="dxa" w:w="1040"/>
          </w:tcPr>
          <w:p>
            <w:pPr>
              <w:spacing w:after="20" w:before="20"/>
              <w:jc w:val="right"/>
            </w:pPr>
            <w:r/>
            <w:r>
              <w:rPr>
                <w:b w:val="0"/>
                <w:i w:val="0"/>
                <w:sz w:val="19"/>
              </w:rPr>
              <w:t>4,171</w:t>
            </w:r>
          </w:p>
        </w:tc>
        <w:tc>
          <w:tcPr>
            <w:tcW w:type="dxa" w:w="1040"/>
          </w:tcPr>
          <w:p>
            <w:pPr>
              <w:spacing w:after="20" w:before="20"/>
              <w:jc w:val="right"/>
            </w:pPr>
            <w:r/>
            <w:r>
              <w:rPr>
                <w:b w:val="0"/>
                <w:i w:val="0"/>
                <w:sz w:val="19"/>
              </w:rPr>
              <w:t>4,311</w:t>
            </w:r>
          </w:p>
        </w:tc>
        <w:tc>
          <w:tcPr>
            <w:tcW w:type="dxa" w:w="1040"/>
          </w:tcPr>
          <w:p>
            <w:pPr>
              <w:spacing w:after="20" w:before="20"/>
              <w:jc w:val="right"/>
            </w:pPr>
            <w:r/>
            <w:r>
              <w:rPr>
                <w:b w:val="0"/>
                <w:i w:val="0"/>
                <w:sz w:val="19"/>
              </w:rPr>
              <w:t>4,431</w:t>
            </w:r>
          </w:p>
        </w:tc>
        <w:tc>
          <w:tcPr>
            <w:tcW w:type="dxa" w:w="1040"/>
          </w:tcPr>
          <w:p>
            <w:pPr>
              <w:spacing w:after="20" w:before="20"/>
              <w:jc w:val="right"/>
            </w:pPr>
            <w:r/>
            <w:r>
              <w:rPr>
                <w:b w:val="0"/>
                <w:i w:val="0"/>
                <w:sz w:val="19"/>
              </w:rPr>
              <w:t>4,531</w:t>
            </w:r>
          </w:p>
        </w:tc>
      </w:tr>
      <w:tr>
        <w:tc>
          <w:tcPr>
            <w:tcW w:type="dxa" w:w="1040"/>
            <w:shd w:val="clear" w:fill="EFF3F1"/>
          </w:tcPr>
          <w:p>
            <w:pPr>
              <w:spacing w:after="20" w:before="20"/>
            </w:pPr>
            <w:r/>
            <w:r>
              <w:rPr>
                <w:b w:val="0"/>
                <w:i w:val="0"/>
                <w:sz w:val="19"/>
              </w:rPr>
              <w:t>Total assets</w:t>
            </w:r>
          </w:p>
        </w:tc>
        <w:tc>
          <w:tcPr>
            <w:tcW w:type="dxa" w:w="1040"/>
            <w:shd w:val="clear" w:fill="EFF3F1"/>
          </w:tcPr>
          <w:p>
            <w:pPr>
              <w:spacing w:after="20" w:before="20"/>
              <w:jc w:val="right"/>
            </w:pPr>
            <w:r/>
            <w:r>
              <w:rPr>
                <w:b w:val="0"/>
                <w:i w:val="0"/>
                <w:sz w:val="19"/>
              </w:rPr>
              <w:t>—</w:t>
            </w:r>
          </w:p>
        </w:tc>
        <w:tc>
          <w:tcPr>
            <w:tcW w:type="dxa" w:w="1040"/>
            <w:shd w:val="clear" w:fill="EFF3F1"/>
          </w:tcPr>
          <w:p>
            <w:pPr>
              <w:spacing w:after="20" w:before="20"/>
              <w:jc w:val="right"/>
            </w:pPr>
            <w:r/>
            <w:r>
              <w:rPr>
                <w:b w:val="0"/>
                <w:i w:val="0"/>
                <w:sz w:val="19"/>
              </w:rPr>
              <w:t>7,747</w:t>
            </w:r>
          </w:p>
        </w:tc>
        <w:tc>
          <w:tcPr>
            <w:tcW w:type="dxa" w:w="1040"/>
            <w:shd w:val="clear" w:fill="EFF3F1"/>
          </w:tcPr>
          <w:p>
            <w:pPr>
              <w:spacing w:after="20" w:before="20"/>
              <w:jc w:val="right"/>
            </w:pPr>
            <w:r/>
            <w:r>
              <w:rPr>
                <w:b w:val="0"/>
                <w:i w:val="0"/>
                <w:sz w:val="19"/>
              </w:rPr>
              <w:t>8,537</w:t>
            </w:r>
          </w:p>
        </w:tc>
        <w:tc>
          <w:tcPr>
            <w:tcW w:type="dxa" w:w="1040"/>
            <w:shd w:val="clear" w:fill="EFF3F1"/>
          </w:tcPr>
          <w:p>
            <w:pPr>
              <w:spacing w:after="20" w:before="20"/>
              <w:jc w:val="right"/>
            </w:pPr>
            <w:r/>
            <w:r>
              <w:rPr>
                <w:b w:val="0"/>
                <w:i w:val="0"/>
                <w:sz w:val="19"/>
              </w:rPr>
              <w:t>9,473</w:t>
            </w:r>
          </w:p>
        </w:tc>
        <w:tc>
          <w:tcPr>
            <w:tcW w:type="dxa" w:w="1040"/>
            <w:shd w:val="clear" w:fill="EFF3F1"/>
          </w:tcPr>
          <w:p>
            <w:pPr>
              <w:spacing w:after="20" w:before="20"/>
              <w:jc w:val="right"/>
            </w:pPr>
            <w:r/>
            <w:r>
              <w:rPr>
                <w:b w:val="0"/>
                <w:i w:val="0"/>
                <w:sz w:val="19"/>
              </w:rPr>
              <w:t>10,373</w:t>
            </w:r>
          </w:p>
        </w:tc>
        <w:tc>
          <w:tcPr>
            <w:tcW w:type="dxa" w:w="1040"/>
            <w:shd w:val="clear" w:fill="EFF3F1"/>
          </w:tcPr>
          <w:p>
            <w:pPr>
              <w:spacing w:after="20" w:before="20"/>
              <w:jc w:val="right"/>
            </w:pPr>
            <w:r/>
            <w:r>
              <w:rPr>
                <w:b w:val="0"/>
                <w:i w:val="0"/>
                <w:sz w:val="19"/>
              </w:rPr>
              <w:t>11,244</w:t>
            </w:r>
          </w:p>
        </w:tc>
        <w:tc>
          <w:tcPr>
            <w:tcW w:type="dxa" w:w="1040"/>
            <w:shd w:val="clear" w:fill="EFF3F1"/>
          </w:tcPr>
          <w:p>
            <w:pPr>
              <w:spacing w:after="20" w:before="20"/>
              <w:jc w:val="right"/>
            </w:pPr>
            <w:r/>
            <w:r>
              <w:rPr>
                <w:b w:val="0"/>
                <w:i w:val="0"/>
                <w:sz w:val="19"/>
              </w:rPr>
              <w:t>12,111</w:t>
            </w:r>
          </w:p>
        </w:tc>
        <w:tc>
          <w:tcPr>
            <w:tcW w:type="dxa" w:w="1040"/>
            <w:shd w:val="clear" w:fill="EFF3F1"/>
          </w:tcPr>
          <w:p>
            <w:pPr>
              <w:spacing w:after="20" w:before="20"/>
              <w:jc w:val="right"/>
            </w:pPr>
            <w:r/>
            <w:r>
              <w:rPr>
                <w:b w:val="0"/>
                <w:i w:val="0"/>
                <w:sz w:val="19"/>
              </w:rPr>
              <w:t>12,966</w:t>
            </w:r>
          </w:p>
        </w:tc>
      </w:tr>
      <w:tr>
        <w:tc>
          <w:tcPr>
            <w:tcW w:type="dxa" w:w="1040"/>
          </w:tcPr>
          <w:p>
            <w:pPr>
              <w:spacing w:after="20" w:before="20"/>
            </w:pPr>
            <w:r/>
            <w:r>
              <w:rPr>
                <w:b w:val="0"/>
                <w:i w:val="0"/>
                <w:sz w:val="19"/>
              </w:rPr>
              <w:t>Bank facilities + current loans</w:t>
            </w:r>
          </w:p>
        </w:tc>
        <w:tc>
          <w:tcPr>
            <w:tcW w:type="dxa" w:w="1040"/>
          </w:tcPr>
          <w:p>
            <w:pPr>
              <w:spacing w:after="20" w:before="20"/>
              <w:jc w:val="right"/>
            </w:pPr>
            <w:r/>
            <w:r>
              <w:rPr>
                <w:b w:val="0"/>
                <w:i w:val="0"/>
                <w:sz w:val="19"/>
              </w:rPr>
              <w:t>—</w:t>
            </w:r>
          </w:p>
        </w:tc>
        <w:tc>
          <w:tcPr>
            <w:tcW w:type="dxa" w:w="1040"/>
          </w:tcPr>
          <w:p>
            <w:pPr>
              <w:spacing w:after="20" w:before="20"/>
              <w:jc w:val="right"/>
            </w:pPr>
            <w:r/>
            <w:r>
              <w:rPr>
                <w:b w:val="0"/>
                <w:i w:val="0"/>
                <w:sz w:val="19"/>
              </w:rPr>
              <w:t>954</w:t>
            </w:r>
          </w:p>
        </w:tc>
        <w:tc>
          <w:tcPr>
            <w:tcW w:type="dxa" w:w="1040"/>
          </w:tcPr>
          <w:p>
            <w:pPr>
              <w:spacing w:after="20" w:before="20"/>
              <w:jc w:val="right"/>
            </w:pPr>
            <w:r/>
            <w:r>
              <w:rPr>
                <w:b w:val="0"/>
                <w:i w:val="0"/>
                <w:sz w:val="19"/>
              </w:rPr>
              <w:t>1,628</w:t>
            </w:r>
          </w:p>
        </w:tc>
        <w:tc>
          <w:tcPr>
            <w:tcW w:type="dxa" w:w="1040"/>
          </w:tcPr>
          <w:p>
            <w:pPr>
              <w:spacing w:after="20" w:before="20"/>
              <w:jc w:val="right"/>
            </w:pPr>
            <w:r/>
            <w:r>
              <w:rPr>
                <w:b w:val="0"/>
                <w:i w:val="0"/>
                <w:sz w:val="19"/>
              </w:rPr>
              <w:t>1,628</w:t>
            </w:r>
          </w:p>
        </w:tc>
        <w:tc>
          <w:tcPr>
            <w:tcW w:type="dxa" w:w="1040"/>
          </w:tcPr>
          <w:p>
            <w:pPr>
              <w:spacing w:after="20" w:before="20"/>
              <w:jc w:val="right"/>
            </w:pPr>
            <w:r/>
            <w:r>
              <w:rPr>
                <w:b w:val="0"/>
                <w:i w:val="0"/>
                <w:sz w:val="19"/>
              </w:rPr>
              <w:t>1,628</w:t>
            </w:r>
          </w:p>
        </w:tc>
        <w:tc>
          <w:tcPr>
            <w:tcW w:type="dxa" w:w="1040"/>
          </w:tcPr>
          <w:p>
            <w:pPr>
              <w:spacing w:after="20" w:before="20"/>
              <w:jc w:val="right"/>
            </w:pPr>
            <w:r/>
            <w:r>
              <w:rPr>
                <w:b w:val="0"/>
                <w:i w:val="0"/>
                <w:sz w:val="19"/>
              </w:rPr>
              <w:t>1,628</w:t>
            </w:r>
          </w:p>
        </w:tc>
        <w:tc>
          <w:tcPr>
            <w:tcW w:type="dxa" w:w="1040"/>
          </w:tcPr>
          <w:p>
            <w:pPr>
              <w:spacing w:after="20" w:before="20"/>
              <w:jc w:val="right"/>
            </w:pPr>
            <w:r/>
            <w:r>
              <w:rPr>
                <w:b w:val="0"/>
                <w:i w:val="0"/>
                <w:sz w:val="19"/>
              </w:rPr>
              <w:t>1,628</w:t>
            </w:r>
          </w:p>
        </w:tc>
        <w:tc>
          <w:tcPr>
            <w:tcW w:type="dxa" w:w="1040"/>
          </w:tcPr>
          <w:p>
            <w:pPr>
              <w:spacing w:after="20" w:before="20"/>
              <w:jc w:val="right"/>
            </w:pPr>
            <w:r/>
            <w:r>
              <w:rPr>
                <w:b w:val="0"/>
                <w:i w:val="0"/>
                <w:sz w:val="19"/>
              </w:rPr>
              <w:t>1,628</w:t>
            </w:r>
          </w:p>
        </w:tc>
      </w:tr>
      <w:tr>
        <w:tc>
          <w:tcPr>
            <w:tcW w:type="dxa" w:w="1040"/>
            <w:shd w:val="clear" w:fill="EFF3F1"/>
          </w:tcPr>
          <w:p>
            <w:pPr>
              <w:spacing w:after="20" w:before="20"/>
            </w:pPr>
            <w:r/>
            <w:r>
              <w:rPr>
                <w:b w:val="0"/>
                <w:i w:val="0"/>
                <w:sz w:val="19"/>
              </w:rPr>
              <w:t>Total liabilities</w:t>
            </w:r>
          </w:p>
        </w:tc>
        <w:tc>
          <w:tcPr>
            <w:tcW w:type="dxa" w:w="1040"/>
            <w:shd w:val="clear" w:fill="EFF3F1"/>
          </w:tcPr>
          <w:p>
            <w:pPr>
              <w:spacing w:after="20" w:before="20"/>
              <w:jc w:val="right"/>
            </w:pPr>
            <w:r/>
            <w:r>
              <w:rPr>
                <w:b w:val="0"/>
                <w:i w:val="0"/>
                <w:sz w:val="19"/>
              </w:rPr>
              <w:t>—</w:t>
            </w:r>
          </w:p>
        </w:tc>
        <w:tc>
          <w:tcPr>
            <w:tcW w:type="dxa" w:w="1040"/>
            <w:shd w:val="clear" w:fill="EFF3F1"/>
          </w:tcPr>
          <w:p>
            <w:pPr>
              <w:spacing w:after="20" w:before="20"/>
              <w:jc w:val="right"/>
            </w:pPr>
            <w:r/>
            <w:r>
              <w:rPr>
                <w:b w:val="0"/>
                <w:i w:val="0"/>
                <w:sz w:val="19"/>
              </w:rPr>
              <w:t>3,891</w:t>
            </w:r>
          </w:p>
        </w:tc>
        <w:tc>
          <w:tcPr>
            <w:tcW w:type="dxa" w:w="1040"/>
            <w:shd w:val="clear" w:fill="EFF3F1"/>
          </w:tcPr>
          <w:p>
            <w:pPr>
              <w:spacing w:after="20" w:before="20"/>
              <w:jc w:val="right"/>
            </w:pPr>
            <w:r/>
            <w:r>
              <w:rPr>
                <w:b w:val="0"/>
                <w:i w:val="0"/>
                <w:sz w:val="19"/>
              </w:rPr>
              <w:t>4,431</w:t>
            </w:r>
          </w:p>
        </w:tc>
        <w:tc>
          <w:tcPr>
            <w:tcW w:type="dxa" w:w="1040"/>
            <w:shd w:val="clear" w:fill="EFF3F1"/>
          </w:tcPr>
          <w:p>
            <w:pPr>
              <w:spacing w:after="20" w:before="20"/>
              <w:jc w:val="right"/>
            </w:pPr>
            <w:r/>
            <w:r>
              <w:rPr>
                <w:b w:val="0"/>
                <w:i w:val="0"/>
                <w:sz w:val="19"/>
              </w:rPr>
              <w:t>4,556</w:t>
            </w:r>
          </w:p>
        </w:tc>
        <w:tc>
          <w:tcPr>
            <w:tcW w:type="dxa" w:w="1040"/>
            <w:shd w:val="clear" w:fill="EFF3F1"/>
          </w:tcPr>
          <w:p>
            <w:pPr>
              <w:spacing w:after="20" w:before="20"/>
              <w:jc w:val="right"/>
            </w:pPr>
            <w:r/>
            <w:r>
              <w:rPr>
                <w:b w:val="0"/>
                <w:i w:val="0"/>
                <w:sz w:val="19"/>
              </w:rPr>
              <w:t>4,703</w:t>
            </w:r>
          </w:p>
        </w:tc>
        <w:tc>
          <w:tcPr>
            <w:tcW w:type="dxa" w:w="1040"/>
            <w:shd w:val="clear" w:fill="EFF3F1"/>
          </w:tcPr>
          <w:p>
            <w:pPr>
              <w:spacing w:after="20" w:before="20"/>
              <w:jc w:val="right"/>
            </w:pPr>
            <w:r/>
            <w:r>
              <w:rPr>
                <w:b w:val="0"/>
                <w:i w:val="0"/>
                <w:sz w:val="19"/>
              </w:rPr>
              <w:t>4,858</w:t>
            </w:r>
          </w:p>
        </w:tc>
        <w:tc>
          <w:tcPr>
            <w:tcW w:type="dxa" w:w="1040"/>
            <w:shd w:val="clear" w:fill="EFF3F1"/>
          </w:tcPr>
          <w:p>
            <w:pPr>
              <w:spacing w:after="20" w:before="20"/>
              <w:jc w:val="right"/>
            </w:pPr>
            <w:r/>
            <w:r>
              <w:rPr>
                <w:b w:val="0"/>
                <w:i w:val="0"/>
                <w:sz w:val="19"/>
              </w:rPr>
              <w:t>5,020</w:t>
            </w:r>
          </w:p>
        </w:tc>
        <w:tc>
          <w:tcPr>
            <w:tcW w:type="dxa" w:w="1040"/>
            <w:shd w:val="clear" w:fill="EFF3F1"/>
          </w:tcPr>
          <w:p>
            <w:pPr>
              <w:spacing w:after="20" w:before="20"/>
              <w:jc w:val="right"/>
            </w:pPr>
            <w:r/>
            <w:r>
              <w:rPr>
                <w:b w:val="0"/>
                <w:i w:val="0"/>
                <w:sz w:val="19"/>
              </w:rPr>
              <w:t>5,190</w:t>
            </w:r>
          </w:p>
        </w:tc>
      </w:tr>
      <w:tr>
        <w:tc>
          <w:tcPr>
            <w:tcW w:type="dxa" w:w="1040"/>
          </w:tcPr>
          <w:p>
            <w:pPr>
              <w:spacing w:after="20" w:before="20"/>
            </w:pPr>
            <w:r/>
            <w:r>
              <w:rPr>
                <w:b w:val="0"/>
                <w:i w:val="0"/>
                <w:sz w:val="19"/>
              </w:rPr>
              <w:t>Non-controlling interest</w:t>
            </w:r>
          </w:p>
        </w:tc>
        <w:tc>
          <w:tcPr>
            <w:tcW w:type="dxa" w:w="1040"/>
          </w:tcPr>
          <w:p>
            <w:pPr>
              <w:spacing w:after="20" w:before="20"/>
              <w:jc w:val="right"/>
            </w:pPr>
            <w:r/>
            <w:r>
              <w:rPr>
                <w:b w:val="0"/>
                <w:i w:val="0"/>
                <w:sz w:val="19"/>
              </w:rPr>
              <w:t>—</w:t>
            </w:r>
          </w:p>
        </w:tc>
        <w:tc>
          <w:tcPr>
            <w:tcW w:type="dxa" w:w="1040"/>
          </w:tcPr>
          <w:p>
            <w:pPr>
              <w:spacing w:after="20" w:before="20"/>
              <w:jc w:val="right"/>
            </w:pPr>
            <w:r/>
            <w:r>
              <w:rPr>
                <w:b w:val="0"/>
                <w:i w:val="0"/>
                <w:sz w:val="19"/>
              </w:rPr>
              <w:t>122</w:t>
            </w:r>
          </w:p>
        </w:tc>
        <w:tc>
          <w:tcPr>
            <w:tcW w:type="dxa" w:w="1040"/>
          </w:tcPr>
          <w:p>
            <w:pPr>
              <w:spacing w:after="20" w:before="20"/>
              <w:jc w:val="right"/>
            </w:pPr>
            <w:r/>
            <w:r>
              <w:rPr>
                <w:b w:val="0"/>
                <w:i w:val="0"/>
                <w:sz w:val="19"/>
              </w:rPr>
              <w:t>128</w:t>
            </w:r>
          </w:p>
        </w:tc>
        <w:tc>
          <w:tcPr>
            <w:tcW w:type="dxa" w:w="1040"/>
          </w:tcPr>
          <w:p>
            <w:pPr>
              <w:spacing w:after="20" w:before="20"/>
              <w:jc w:val="right"/>
            </w:pPr>
            <w:r/>
            <w:r>
              <w:rPr>
                <w:b w:val="0"/>
                <w:i w:val="0"/>
                <w:sz w:val="19"/>
              </w:rPr>
              <w:t>128</w:t>
            </w:r>
          </w:p>
        </w:tc>
        <w:tc>
          <w:tcPr>
            <w:tcW w:type="dxa" w:w="1040"/>
          </w:tcPr>
          <w:p>
            <w:pPr>
              <w:spacing w:after="20" w:before="20"/>
              <w:jc w:val="right"/>
            </w:pPr>
            <w:r/>
            <w:r>
              <w:rPr>
                <w:b w:val="0"/>
                <w:i w:val="0"/>
                <w:sz w:val="19"/>
              </w:rPr>
              <w:t>128</w:t>
            </w:r>
          </w:p>
        </w:tc>
        <w:tc>
          <w:tcPr>
            <w:tcW w:type="dxa" w:w="1040"/>
          </w:tcPr>
          <w:p>
            <w:pPr>
              <w:spacing w:after="20" w:before="20"/>
              <w:jc w:val="right"/>
            </w:pPr>
            <w:r/>
            <w:r>
              <w:rPr>
                <w:b w:val="0"/>
                <w:i w:val="0"/>
                <w:sz w:val="19"/>
              </w:rPr>
              <w:t>128</w:t>
            </w:r>
          </w:p>
        </w:tc>
        <w:tc>
          <w:tcPr>
            <w:tcW w:type="dxa" w:w="1040"/>
          </w:tcPr>
          <w:p>
            <w:pPr>
              <w:spacing w:after="20" w:before="20"/>
              <w:jc w:val="right"/>
            </w:pPr>
            <w:r/>
            <w:r>
              <w:rPr>
                <w:b w:val="0"/>
                <w:i w:val="0"/>
                <w:sz w:val="19"/>
              </w:rPr>
              <w:t>128</w:t>
            </w:r>
          </w:p>
        </w:tc>
        <w:tc>
          <w:tcPr>
            <w:tcW w:type="dxa" w:w="1040"/>
          </w:tcPr>
          <w:p>
            <w:pPr>
              <w:spacing w:after="20" w:before="20"/>
              <w:jc w:val="right"/>
            </w:pPr>
            <w:r/>
            <w:r>
              <w:rPr>
                <w:b w:val="0"/>
                <w:i w:val="0"/>
                <w:sz w:val="19"/>
              </w:rPr>
              <w:t>128</w:t>
            </w:r>
          </w:p>
        </w:tc>
      </w:tr>
      <w:tr>
        <w:tc>
          <w:tcPr>
            <w:tcW w:type="dxa" w:w="1040"/>
            <w:shd w:val="clear" w:fill="EFF3F1"/>
          </w:tcPr>
          <w:p>
            <w:pPr>
              <w:spacing w:after="20" w:before="20"/>
            </w:pPr>
            <w:r/>
            <w:r>
              <w:rPr>
                <w:b/>
                <w:i w:val="0"/>
                <w:sz w:val="19"/>
              </w:rPr>
              <w:t>Total equity (attributable)</w:t>
            </w:r>
          </w:p>
        </w:tc>
        <w:tc>
          <w:tcPr>
            <w:tcW w:type="dxa" w:w="1040"/>
            <w:shd w:val="clear" w:fill="EFF3F1"/>
          </w:tcPr>
          <w:p>
            <w:pPr>
              <w:spacing w:after="20" w:before="20"/>
              <w:jc w:val="right"/>
            </w:pPr>
            <w:r/>
            <w:r>
              <w:rPr>
                <w:b/>
                <w:i w:val="0"/>
                <w:sz w:val="19"/>
              </w:rPr>
              <w:t>3,200</w:t>
            </w:r>
          </w:p>
        </w:tc>
        <w:tc>
          <w:tcPr>
            <w:tcW w:type="dxa" w:w="1040"/>
            <w:shd w:val="clear" w:fill="EFF3F1"/>
          </w:tcPr>
          <w:p>
            <w:pPr>
              <w:spacing w:after="20" w:before="20"/>
              <w:jc w:val="right"/>
            </w:pPr>
            <w:r/>
            <w:r>
              <w:rPr>
                <w:b/>
                <w:i w:val="0"/>
                <w:sz w:val="19"/>
              </w:rPr>
              <w:t>3,735</w:t>
            </w:r>
          </w:p>
        </w:tc>
        <w:tc>
          <w:tcPr>
            <w:tcW w:type="dxa" w:w="1040"/>
            <w:shd w:val="clear" w:fill="EFF3F1"/>
          </w:tcPr>
          <w:p>
            <w:pPr>
              <w:spacing w:after="20" w:before="20"/>
              <w:jc w:val="right"/>
            </w:pPr>
            <w:r/>
            <w:r>
              <w:rPr>
                <w:b/>
                <w:i w:val="0"/>
                <w:sz w:val="19"/>
              </w:rPr>
              <w:t>3,978</w:t>
            </w:r>
          </w:p>
        </w:tc>
        <w:tc>
          <w:tcPr>
            <w:tcW w:type="dxa" w:w="1040"/>
            <w:shd w:val="clear" w:fill="EFF3F1"/>
          </w:tcPr>
          <w:p>
            <w:pPr>
              <w:spacing w:after="20" w:before="20"/>
              <w:jc w:val="right"/>
            </w:pPr>
            <w:r/>
            <w:r>
              <w:rPr>
                <w:b/>
                <w:i w:val="0"/>
                <w:sz w:val="19"/>
              </w:rPr>
              <w:t>4,331</w:t>
            </w:r>
          </w:p>
        </w:tc>
        <w:tc>
          <w:tcPr>
            <w:tcW w:type="dxa" w:w="1040"/>
            <w:shd w:val="clear" w:fill="EFF3F1"/>
          </w:tcPr>
          <w:p>
            <w:pPr>
              <w:spacing w:after="20" w:before="20"/>
              <w:jc w:val="right"/>
            </w:pPr>
            <w:r/>
            <w:r>
              <w:rPr>
                <w:b/>
                <w:i w:val="0"/>
                <w:sz w:val="19"/>
              </w:rPr>
              <w:t>4,833</w:t>
            </w:r>
          </w:p>
        </w:tc>
        <w:tc>
          <w:tcPr>
            <w:tcW w:type="dxa" w:w="1040"/>
            <w:shd w:val="clear" w:fill="EFF3F1"/>
          </w:tcPr>
          <w:p>
            <w:pPr>
              <w:spacing w:after="20" w:before="20"/>
              <w:jc w:val="right"/>
            </w:pPr>
            <w:r/>
            <w:r>
              <w:rPr>
                <w:b/>
                <w:i w:val="0"/>
                <w:sz w:val="19"/>
              </w:rPr>
              <w:t>5,502</w:t>
            </w:r>
          </w:p>
        </w:tc>
        <w:tc>
          <w:tcPr>
            <w:tcW w:type="dxa" w:w="1040"/>
            <w:shd w:val="clear" w:fill="EFF3F1"/>
          </w:tcPr>
          <w:p>
            <w:pPr>
              <w:spacing w:after="20" w:before="20"/>
              <w:jc w:val="right"/>
            </w:pPr>
            <w:r/>
            <w:r>
              <w:rPr>
                <w:b/>
                <w:i w:val="0"/>
                <w:sz w:val="19"/>
              </w:rPr>
              <w:t>6,314</w:t>
            </w:r>
          </w:p>
        </w:tc>
        <w:tc>
          <w:tcPr>
            <w:tcW w:type="dxa" w:w="1040"/>
            <w:shd w:val="clear" w:fill="EFF3F1"/>
          </w:tcPr>
          <w:p>
            <w:pPr>
              <w:spacing w:after="20" w:before="20"/>
              <w:jc w:val="right"/>
            </w:pPr>
            <w:r/>
            <w:r>
              <w:rPr>
                <w:b/>
                <w:i w:val="0"/>
                <w:sz w:val="19"/>
              </w:rPr>
              <w:t>7,278</w:t>
            </w:r>
          </w:p>
        </w:tc>
      </w:tr>
    </w:tbl>
    <w:p/>
    <w:p>
      <w:r>
        <w:rPr>
          <w:b w:val="0"/>
          <w:i/>
        </w:rPr>
        <w:t>Forecast balance sheet is indicative: cash and interest-bearing debt are held roughly flat as inputs, working-capital lines scale with revenue, PP&amp;E rolls forward at capex less D&amp;A, and equity rolls forward with retained net income. It illustrates the working-capital intensity rather than a fully-articulated three-statement tie-out.</w:t>
      </w:r>
    </w:p>
    <w:p>
      <w:pPr>
        <w:pStyle w:val="Heading2"/>
      </w:pPr>
      <w:r>
        <w:t>A.3  Cash flow (consolidated, EGP m)</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170"/>
        <w:gridCol w:w="1170"/>
        <w:gridCol w:w="1170"/>
        <w:gridCol w:w="1170"/>
        <w:gridCol w:w="1170"/>
        <w:gridCol w:w="1170"/>
        <w:gridCol w:w="1170"/>
        <w:gridCol w:w="1170"/>
      </w:tblGrid>
      <w:tr>
        <w:tc>
          <w:tcPr>
            <w:tcW w:type="dxa" w:w="1170"/>
            <w:shd w:val="clear" w:fill="1C3A36"/>
          </w:tcPr>
          <w:p>
            <w:pPr>
              <w:spacing w:after="20" w:before="20"/>
            </w:pPr>
            <w:r/>
            <w:r>
              <w:rPr>
                <w:b/>
                <w:i w:val="0"/>
                <w:color w:val="FFFFFF"/>
                <w:sz w:val="19"/>
              </w:rPr>
              <w:t>Line</w:t>
            </w:r>
          </w:p>
        </w:tc>
        <w:tc>
          <w:tcPr>
            <w:tcW w:type="dxa" w:w="1170"/>
            <w:shd w:val="clear" w:fill="1C3A36"/>
          </w:tcPr>
          <w:p>
            <w:pPr>
              <w:spacing w:after="20" w:before="20"/>
              <w:jc w:val="right"/>
            </w:pPr>
            <w:r/>
            <w:r>
              <w:rPr>
                <w:b/>
                <w:i w:val="0"/>
                <w:color w:val="FFFFFF"/>
                <w:sz w:val="19"/>
              </w:rPr>
              <w:t>2024A</w:t>
            </w:r>
          </w:p>
        </w:tc>
        <w:tc>
          <w:tcPr>
            <w:tcW w:type="dxa" w:w="1170"/>
            <w:shd w:val="clear" w:fill="1C3A36"/>
          </w:tcPr>
          <w:p>
            <w:pPr>
              <w:spacing w:after="20" w:before="20"/>
              <w:jc w:val="right"/>
            </w:pPr>
            <w:r/>
            <w:r>
              <w:rPr>
                <w:b/>
                <w:i w:val="0"/>
                <w:color w:val="FFFFFF"/>
                <w:sz w:val="19"/>
              </w:rPr>
              <w:t>2025A</w:t>
            </w:r>
          </w:p>
        </w:tc>
        <w:tc>
          <w:tcPr>
            <w:tcW w:type="dxa" w:w="1170"/>
            <w:shd w:val="clear" w:fill="1C3A36"/>
          </w:tcPr>
          <w:p>
            <w:pPr>
              <w:spacing w:after="20" w:before="20"/>
              <w:jc w:val="right"/>
            </w:pPr>
            <w:r/>
            <w:r>
              <w:rPr>
                <w:b/>
                <w:i w:val="0"/>
                <w:color w:val="FFFFFF"/>
                <w:sz w:val="19"/>
              </w:rPr>
              <w:t>2026E</w:t>
            </w:r>
          </w:p>
        </w:tc>
        <w:tc>
          <w:tcPr>
            <w:tcW w:type="dxa" w:w="1170"/>
            <w:shd w:val="clear" w:fill="1C3A36"/>
          </w:tcPr>
          <w:p>
            <w:pPr>
              <w:spacing w:after="20" w:before="20"/>
              <w:jc w:val="right"/>
            </w:pPr>
            <w:r/>
            <w:r>
              <w:rPr>
                <w:b/>
                <w:i w:val="0"/>
                <w:color w:val="FFFFFF"/>
                <w:sz w:val="19"/>
              </w:rPr>
              <w:t>2027E</w:t>
            </w:r>
          </w:p>
        </w:tc>
        <w:tc>
          <w:tcPr>
            <w:tcW w:type="dxa" w:w="1170"/>
            <w:shd w:val="clear" w:fill="1C3A36"/>
          </w:tcPr>
          <w:p>
            <w:pPr>
              <w:spacing w:after="20" w:before="20"/>
              <w:jc w:val="right"/>
            </w:pPr>
            <w:r/>
            <w:r>
              <w:rPr>
                <w:b/>
                <w:i w:val="0"/>
                <w:color w:val="FFFFFF"/>
                <w:sz w:val="19"/>
              </w:rPr>
              <w:t>2028E</w:t>
            </w:r>
          </w:p>
        </w:tc>
        <w:tc>
          <w:tcPr>
            <w:tcW w:type="dxa" w:w="1170"/>
            <w:shd w:val="clear" w:fill="1C3A36"/>
          </w:tcPr>
          <w:p>
            <w:pPr>
              <w:spacing w:after="20" w:before="20"/>
              <w:jc w:val="right"/>
            </w:pPr>
            <w:r/>
            <w:r>
              <w:rPr>
                <w:b/>
                <w:i w:val="0"/>
                <w:color w:val="FFFFFF"/>
                <w:sz w:val="19"/>
              </w:rPr>
              <w:t>2029E</w:t>
            </w:r>
          </w:p>
        </w:tc>
        <w:tc>
          <w:tcPr>
            <w:tcW w:type="dxa" w:w="1170"/>
            <w:shd w:val="clear" w:fill="1C3A36"/>
          </w:tcPr>
          <w:p>
            <w:pPr>
              <w:spacing w:after="20" w:before="20"/>
              <w:jc w:val="right"/>
            </w:pPr>
            <w:r/>
            <w:r>
              <w:rPr>
                <w:b/>
                <w:i w:val="0"/>
                <w:color w:val="FFFFFF"/>
                <w:sz w:val="19"/>
              </w:rPr>
              <w:t>2030E</w:t>
            </w:r>
          </w:p>
        </w:tc>
      </w:tr>
      <w:tr>
        <w:tc>
          <w:tcPr>
            <w:tcW w:type="dxa" w:w="1170"/>
          </w:tcPr>
          <w:p>
            <w:pPr>
              <w:spacing w:after="20" w:before="20"/>
            </w:pPr>
            <w:r/>
            <w:r>
              <w:rPr>
                <w:b w:val="0"/>
                <w:i w:val="0"/>
                <w:sz w:val="19"/>
              </w:rPr>
              <w:t>EBITDA</w:t>
            </w:r>
          </w:p>
        </w:tc>
        <w:tc>
          <w:tcPr>
            <w:tcW w:type="dxa" w:w="1170"/>
          </w:tcPr>
          <w:p>
            <w:pPr>
              <w:spacing w:after="20" w:before="20"/>
              <w:jc w:val="right"/>
            </w:pPr>
            <w:r/>
            <w:r>
              <w:rPr>
                <w:b w:val="0"/>
                <w:i w:val="0"/>
                <w:sz w:val="19"/>
              </w:rPr>
              <w:t>1,330</w:t>
            </w:r>
          </w:p>
        </w:tc>
        <w:tc>
          <w:tcPr>
            <w:tcW w:type="dxa" w:w="1170"/>
          </w:tcPr>
          <w:p>
            <w:pPr>
              <w:spacing w:after="20" w:before="20"/>
              <w:jc w:val="right"/>
            </w:pPr>
            <w:r/>
            <w:r>
              <w:rPr>
                <w:b w:val="0"/>
                <w:i w:val="0"/>
                <w:sz w:val="19"/>
              </w:rPr>
              <w:t>981</w:t>
            </w:r>
          </w:p>
        </w:tc>
        <w:tc>
          <w:tcPr>
            <w:tcW w:type="dxa" w:w="1170"/>
          </w:tcPr>
          <w:p>
            <w:pPr>
              <w:spacing w:after="20" w:before="20"/>
              <w:jc w:val="right"/>
            </w:pPr>
            <w:r/>
            <w:r>
              <w:rPr>
                <w:b w:val="0"/>
                <w:i w:val="0"/>
                <w:sz w:val="19"/>
              </w:rPr>
              <w:t>1,005</w:t>
            </w:r>
          </w:p>
        </w:tc>
        <w:tc>
          <w:tcPr>
            <w:tcW w:type="dxa" w:w="1170"/>
          </w:tcPr>
          <w:p>
            <w:pPr>
              <w:spacing w:after="20" w:before="20"/>
              <w:jc w:val="right"/>
            </w:pPr>
            <w:r/>
            <w:r>
              <w:rPr>
                <w:b w:val="0"/>
                <w:i w:val="0"/>
                <w:sz w:val="19"/>
              </w:rPr>
              <w:t>1,234</w:t>
            </w:r>
          </w:p>
        </w:tc>
        <w:tc>
          <w:tcPr>
            <w:tcW w:type="dxa" w:w="1170"/>
          </w:tcPr>
          <w:p>
            <w:pPr>
              <w:spacing w:after="20" w:before="20"/>
              <w:jc w:val="right"/>
            </w:pPr>
            <w:r/>
            <w:r>
              <w:rPr>
                <w:b w:val="0"/>
                <w:i w:val="0"/>
                <w:sz w:val="19"/>
              </w:rPr>
              <w:t>1,493</w:t>
            </w:r>
          </w:p>
        </w:tc>
        <w:tc>
          <w:tcPr>
            <w:tcW w:type="dxa" w:w="1170"/>
          </w:tcPr>
          <w:p>
            <w:pPr>
              <w:spacing w:after="20" w:before="20"/>
              <w:jc w:val="right"/>
            </w:pPr>
            <w:r/>
            <w:r>
              <w:rPr>
                <w:b w:val="0"/>
                <w:i w:val="0"/>
                <w:sz w:val="19"/>
              </w:rPr>
              <w:t>1,719</w:t>
            </w:r>
          </w:p>
        </w:tc>
        <w:tc>
          <w:tcPr>
            <w:tcW w:type="dxa" w:w="1170"/>
          </w:tcPr>
          <w:p>
            <w:pPr>
              <w:spacing w:after="20" w:before="20"/>
              <w:jc w:val="right"/>
            </w:pPr>
            <w:r/>
            <w:r>
              <w:rPr>
                <w:b w:val="0"/>
                <w:i w:val="0"/>
                <w:sz w:val="19"/>
              </w:rPr>
              <w:t>1,958</w:t>
            </w:r>
          </w:p>
        </w:tc>
      </w:tr>
      <w:tr>
        <w:tc>
          <w:tcPr>
            <w:tcW w:type="dxa" w:w="1170"/>
            <w:shd w:val="clear" w:fill="EFF3F1"/>
          </w:tcPr>
          <w:p>
            <w:pPr>
              <w:spacing w:after="20" w:before="20"/>
            </w:pPr>
            <w:r/>
            <w:r>
              <w:rPr>
                <w:b w:val="0"/>
                <w:i w:val="0"/>
                <w:sz w:val="19"/>
              </w:rPr>
              <w:t>Δ working capital</w:t>
            </w:r>
          </w:p>
        </w:tc>
        <w:tc>
          <w:tcPr>
            <w:tcW w:type="dxa" w:w="1170"/>
            <w:shd w:val="clear" w:fill="EFF3F1"/>
          </w:tcPr>
          <w:p>
            <w:pPr>
              <w:spacing w:after="20" w:before="20"/>
              <w:jc w:val="right"/>
            </w:pPr>
            <w:r/>
            <w:r>
              <w:rPr>
                <w:b w:val="0"/>
                <w:i w:val="0"/>
                <w:sz w:val="19"/>
              </w:rPr>
              <w:t>(318)</w:t>
            </w:r>
          </w:p>
        </w:tc>
        <w:tc>
          <w:tcPr>
            <w:tcW w:type="dxa" w:w="1170"/>
            <w:shd w:val="clear" w:fill="EFF3F1"/>
          </w:tcPr>
          <w:p>
            <w:pPr>
              <w:spacing w:after="20" w:before="20"/>
              <w:jc w:val="right"/>
            </w:pPr>
            <w:r/>
            <w:r>
              <w:rPr>
                <w:b w:val="0"/>
                <w:i w:val="0"/>
                <w:sz w:val="19"/>
              </w:rPr>
              <w:t>(706)</w:t>
            </w:r>
          </w:p>
        </w:tc>
        <w:tc>
          <w:tcPr>
            <w:tcW w:type="dxa" w:w="1170"/>
            <w:shd w:val="clear" w:fill="EFF3F1"/>
          </w:tcPr>
          <w:p>
            <w:pPr>
              <w:spacing w:after="20" w:before="20"/>
              <w:jc w:val="right"/>
            </w:pPr>
            <w:r/>
            <w:r>
              <w:rPr>
                <w:b w:val="0"/>
                <w:i w:val="0"/>
                <w:sz w:val="19"/>
              </w:rPr>
              <w:t>(250)</w:t>
            </w:r>
          </w:p>
        </w:tc>
        <w:tc>
          <w:tcPr>
            <w:tcW w:type="dxa" w:w="1170"/>
            <w:shd w:val="clear" w:fill="EFF3F1"/>
          </w:tcPr>
          <w:p>
            <w:pPr>
              <w:spacing w:after="20" w:before="20"/>
              <w:jc w:val="right"/>
            </w:pPr>
            <w:r/>
            <w:r>
              <w:rPr>
                <w:b w:val="0"/>
                <w:i w:val="0"/>
                <w:sz w:val="19"/>
              </w:rPr>
              <w:t>(300)</w:t>
            </w:r>
          </w:p>
        </w:tc>
        <w:tc>
          <w:tcPr>
            <w:tcW w:type="dxa" w:w="1170"/>
            <w:shd w:val="clear" w:fill="EFF3F1"/>
          </w:tcPr>
          <w:p>
            <w:pPr>
              <w:spacing w:after="20" w:before="20"/>
              <w:jc w:val="right"/>
            </w:pPr>
            <w:r/>
            <w:r>
              <w:rPr>
                <w:b w:val="0"/>
                <w:i w:val="0"/>
                <w:sz w:val="19"/>
              </w:rPr>
              <w:t>(310)</w:t>
            </w:r>
          </w:p>
        </w:tc>
        <w:tc>
          <w:tcPr>
            <w:tcW w:type="dxa" w:w="1170"/>
            <w:shd w:val="clear" w:fill="EFF3F1"/>
          </w:tcPr>
          <w:p>
            <w:pPr>
              <w:spacing w:after="20" w:before="20"/>
              <w:jc w:val="right"/>
            </w:pPr>
            <w:r/>
            <w:r>
              <w:rPr>
                <w:b w:val="0"/>
                <w:i w:val="0"/>
                <w:sz w:val="19"/>
              </w:rPr>
              <w:t>(320)</w:t>
            </w:r>
          </w:p>
        </w:tc>
        <w:tc>
          <w:tcPr>
            <w:tcW w:type="dxa" w:w="1170"/>
            <w:shd w:val="clear" w:fill="EFF3F1"/>
          </w:tcPr>
          <w:p>
            <w:pPr>
              <w:spacing w:after="20" w:before="20"/>
              <w:jc w:val="right"/>
            </w:pPr>
            <w:r/>
            <w:r>
              <w:rPr>
                <w:b w:val="0"/>
                <w:i w:val="0"/>
                <w:sz w:val="19"/>
              </w:rPr>
              <w:t>(320)</w:t>
            </w:r>
          </w:p>
        </w:tc>
      </w:tr>
      <w:tr>
        <w:tc>
          <w:tcPr>
            <w:tcW w:type="dxa" w:w="1170"/>
          </w:tcPr>
          <w:p>
            <w:pPr>
              <w:spacing w:after="20" w:before="20"/>
            </w:pPr>
            <w:r/>
            <w:r>
              <w:rPr>
                <w:b w:val="0"/>
                <w:i w:val="0"/>
                <w:sz w:val="19"/>
              </w:rPr>
              <w:t>Tax paid</w:t>
            </w:r>
          </w:p>
        </w:tc>
        <w:tc>
          <w:tcPr>
            <w:tcW w:type="dxa" w:w="1170"/>
          </w:tcPr>
          <w:p>
            <w:pPr>
              <w:spacing w:after="20" w:before="20"/>
              <w:jc w:val="right"/>
            </w:pPr>
            <w:r/>
            <w:r>
              <w:rPr>
                <w:b w:val="0"/>
                <w:i w:val="0"/>
                <w:sz w:val="19"/>
              </w:rPr>
              <w:t>(201)</w:t>
            </w:r>
          </w:p>
        </w:tc>
        <w:tc>
          <w:tcPr>
            <w:tcW w:type="dxa" w:w="1170"/>
          </w:tcPr>
          <w:p>
            <w:pPr>
              <w:spacing w:after="20" w:before="20"/>
              <w:jc w:val="right"/>
            </w:pPr>
            <w:r/>
            <w:r>
              <w:rPr>
                <w:b w:val="0"/>
                <w:i w:val="0"/>
                <w:sz w:val="19"/>
              </w:rPr>
              <w:t>(328)</w:t>
            </w:r>
          </w:p>
        </w:tc>
        <w:tc>
          <w:tcPr>
            <w:tcW w:type="dxa" w:w="1170"/>
          </w:tcPr>
          <w:p>
            <w:pPr>
              <w:spacing w:after="20" w:before="20"/>
              <w:jc w:val="right"/>
            </w:pPr>
            <w:r/>
            <w:r>
              <w:rPr>
                <w:b w:val="0"/>
                <w:i w:val="0"/>
                <w:sz w:val="19"/>
              </w:rPr>
              <w:t>(108)</w:t>
            </w:r>
          </w:p>
        </w:tc>
        <w:tc>
          <w:tcPr>
            <w:tcW w:type="dxa" w:w="1170"/>
          </w:tcPr>
          <w:p>
            <w:pPr>
              <w:spacing w:after="20" w:before="20"/>
              <w:jc w:val="right"/>
            </w:pPr>
            <w:r/>
            <w:r>
              <w:rPr>
                <w:b w:val="0"/>
                <w:i w:val="0"/>
                <w:sz w:val="19"/>
              </w:rPr>
              <w:t>(154)</w:t>
            </w:r>
          </w:p>
        </w:tc>
        <w:tc>
          <w:tcPr>
            <w:tcW w:type="dxa" w:w="1170"/>
          </w:tcPr>
          <w:p>
            <w:pPr>
              <w:spacing w:after="20" w:before="20"/>
              <w:jc w:val="right"/>
            </w:pPr>
            <w:r/>
            <w:r>
              <w:rPr>
                <w:b w:val="0"/>
                <w:i w:val="0"/>
                <w:sz w:val="19"/>
              </w:rPr>
              <w:t>(205)</w:t>
            </w:r>
          </w:p>
        </w:tc>
        <w:tc>
          <w:tcPr>
            <w:tcW w:type="dxa" w:w="1170"/>
          </w:tcPr>
          <w:p>
            <w:pPr>
              <w:spacing w:after="20" w:before="20"/>
              <w:jc w:val="right"/>
            </w:pPr>
            <w:r/>
            <w:r>
              <w:rPr>
                <w:b w:val="0"/>
                <w:i w:val="0"/>
                <w:sz w:val="19"/>
              </w:rPr>
              <w:t>(248)</w:t>
            </w:r>
          </w:p>
        </w:tc>
        <w:tc>
          <w:tcPr>
            <w:tcW w:type="dxa" w:w="1170"/>
          </w:tcPr>
          <w:p>
            <w:pPr>
              <w:spacing w:after="20" w:before="20"/>
              <w:jc w:val="right"/>
            </w:pPr>
            <w:r/>
            <w:r>
              <w:rPr>
                <w:b w:val="0"/>
                <w:i w:val="0"/>
                <w:sz w:val="19"/>
              </w:rPr>
              <w:t>(295)</w:t>
            </w:r>
          </w:p>
        </w:tc>
      </w:tr>
      <w:tr>
        <w:tc>
          <w:tcPr>
            <w:tcW w:type="dxa" w:w="1170"/>
            <w:shd w:val="clear" w:fill="EFF3F1"/>
          </w:tcPr>
          <w:p>
            <w:pPr>
              <w:spacing w:after="20" w:before="20"/>
            </w:pPr>
            <w:r/>
            <w:r>
              <w:rPr>
                <w:b w:val="0"/>
                <w:i w:val="0"/>
                <w:sz w:val="19"/>
              </w:rPr>
              <w:t>Interest paid</w:t>
            </w:r>
          </w:p>
        </w:tc>
        <w:tc>
          <w:tcPr>
            <w:tcW w:type="dxa" w:w="1170"/>
            <w:shd w:val="clear" w:fill="EFF3F1"/>
          </w:tcPr>
          <w:p>
            <w:pPr>
              <w:spacing w:after="20" w:before="20"/>
              <w:jc w:val="right"/>
            </w:pPr>
            <w:r/>
            <w:r>
              <w:rPr>
                <w:b w:val="0"/>
                <w:i w:val="0"/>
                <w:sz w:val="19"/>
              </w:rPr>
              <w:t>(282)</w:t>
            </w:r>
          </w:p>
        </w:tc>
        <w:tc>
          <w:tcPr>
            <w:tcW w:type="dxa" w:w="1170"/>
            <w:shd w:val="clear" w:fill="EFF3F1"/>
          </w:tcPr>
          <w:p>
            <w:pPr>
              <w:spacing w:after="20" w:before="20"/>
              <w:jc w:val="right"/>
            </w:pPr>
            <w:r/>
            <w:r>
              <w:rPr>
                <w:b w:val="0"/>
                <w:i w:val="0"/>
                <w:sz w:val="19"/>
              </w:rPr>
              <w:t>(299)</w:t>
            </w:r>
          </w:p>
        </w:tc>
        <w:tc>
          <w:tcPr>
            <w:tcW w:type="dxa" w:w="1170"/>
            <w:shd w:val="clear" w:fill="EFF3F1"/>
          </w:tcPr>
          <w:p>
            <w:pPr>
              <w:spacing w:after="20" w:before="20"/>
              <w:jc w:val="right"/>
            </w:pPr>
            <w:r/>
            <w:r>
              <w:rPr>
                <w:b w:val="0"/>
                <w:i w:val="0"/>
                <w:sz w:val="19"/>
              </w:rPr>
              <w:t>(260)</w:t>
            </w:r>
          </w:p>
        </w:tc>
        <w:tc>
          <w:tcPr>
            <w:tcW w:type="dxa" w:w="1170"/>
            <w:shd w:val="clear" w:fill="EFF3F1"/>
          </w:tcPr>
          <w:p>
            <w:pPr>
              <w:spacing w:after="20" w:before="20"/>
              <w:jc w:val="right"/>
            </w:pPr>
            <w:r/>
            <w:r>
              <w:rPr>
                <w:b w:val="0"/>
                <w:i w:val="0"/>
                <w:sz w:val="19"/>
              </w:rPr>
              <w:t>(252)</w:t>
            </w:r>
          </w:p>
        </w:tc>
        <w:tc>
          <w:tcPr>
            <w:tcW w:type="dxa" w:w="1170"/>
            <w:shd w:val="clear" w:fill="EFF3F1"/>
          </w:tcPr>
          <w:p>
            <w:pPr>
              <w:spacing w:after="20" w:before="20"/>
              <w:jc w:val="right"/>
            </w:pPr>
            <w:r/>
            <w:r>
              <w:rPr>
                <w:b w:val="0"/>
                <w:i w:val="0"/>
                <w:sz w:val="19"/>
              </w:rPr>
              <w:t>(244)</w:t>
            </w:r>
          </w:p>
        </w:tc>
        <w:tc>
          <w:tcPr>
            <w:tcW w:type="dxa" w:w="1170"/>
            <w:shd w:val="clear" w:fill="EFF3F1"/>
          </w:tcPr>
          <w:p>
            <w:pPr>
              <w:spacing w:after="20" w:before="20"/>
              <w:jc w:val="right"/>
            </w:pPr>
            <w:r/>
            <w:r>
              <w:rPr>
                <w:b w:val="0"/>
                <w:i w:val="0"/>
                <w:sz w:val="19"/>
              </w:rPr>
              <w:t>(236)</w:t>
            </w:r>
          </w:p>
        </w:tc>
        <w:tc>
          <w:tcPr>
            <w:tcW w:type="dxa" w:w="1170"/>
            <w:shd w:val="clear" w:fill="EFF3F1"/>
          </w:tcPr>
          <w:p>
            <w:pPr>
              <w:spacing w:after="20" w:before="20"/>
              <w:jc w:val="right"/>
            </w:pPr>
            <w:r/>
            <w:r>
              <w:rPr>
                <w:b w:val="0"/>
                <w:i w:val="0"/>
                <w:sz w:val="19"/>
              </w:rPr>
              <w:t>(228)</w:t>
            </w:r>
          </w:p>
        </w:tc>
      </w:tr>
      <w:tr>
        <w:tc>
          <w:tcPr>
            <w:tcW w:type="dxa" w:w="1170"/>
          </w:tcPr>
          <w:p>
            <w:pPr>
              <w:spacing w:after="20" w:before="20"/>
            </w:pPr>
            <w:r/>
            <w:r>
              <w:rPr>
                <w:b/>
                <w:i w:val="0"/>
                <w:sz w:val="19"/>
              </w:rPr>
              <w:t>Operating cash flow</w:t>
            </w:r>
          </w:p>
        </w:tc>
        <w:tc>
          <w:tcPr>
            <w:tcW w:type="dxa" w:w="1170"/>
          </w:tcPr>
          <w:p>
            <w:pPr>
              <w:spacing w:after="20" w:before="20"/>
              <w:jc w:val="right"/>
            </w:pPr>
            <w:r/>
            <w:r>
              <w:rPr>
                <w:b/>
                <w:i w:val="0"/>
                <w:sz w:val="19"/>
              </w:rPr>
              <w:t>537</w:t>
            </w:r>
          </w:p>
        </w:tc>
        <w:tc>
          <w:tcPr>
            <w:tcW w:type="dxa" w:w="1170"/>
          </w:tcPr>
          <w:p>
            <w:pPr>
              <w:spacing w:after="20" w:before="20"/>
              <w:jc w:val="right"/>
            </w:pPr>
            <w:r/>
            <w:r>
              <w:rPr>
                <w:b/>
                <w:i w:val="0"/>
                <w:sz w:val="19"/>
              </w:rPr>
              <w:t>(196)</w:t>
            </w:r>
          </w:p>
        </w:tc>
        <w:tc>
          <w:tcPr>
            <w:tcW w:type="dxa" w:w="1170"/>
          </w:tcPr>
          <w:p>
            <w:pPr>
              <w:spacing w:after="20" w:before="20"/>
              <w:jc w:val="right"/>
            </w:pPr>
            <w:r/>
            <w:r>
              <w:rPr>
                <w:b/>
                <w:i w:val="0"/>
                <w:sz w:val="19"/>
              </w:rPr>
              <w:t>387</w:t>
            </w:r>
          </w:p>
        </w:tc>
        <w:tc>
          <w:tcPr>
            <w:tcW w:type="dxa" w:w="1170"/>
          </w:tcPr>
          <w:p>
            <w:pPr>
              <w:spacing w:after="20" w:before="20"/>
              <w:jc w:val="right"/>
            </w:pPr>
            <w:r/>
            <w:r>
              <w:rPr>
                <w:b/>
                <w:i w:val="0"/>
                <w:sz w:val="19"/>
              </w:rPr>
              <w:t>528</w:t>
            </w:r>
          </w:p>
        </w:tc>
        <w:tc>
          <w:tcPr>
            <w:tcW w:type="dxa" w:w="1170"/>
          </w:tcPr>
          <w:p>
            <w:pPr>
              <w:spacing w:after="20" w:before="20"/>
              <w:jc w:val="right"/>
            </w:pPr>
            <w:r/>
            <w:r>
              <w:rPr>
                <w:b/>
                <w:i w:val="0"/>
                <w:sz w:val="19"/>
              </w:rPr>
              <w:t>734</w:t>
            </w:r>
          </w:p>
        </w:tc>
        <w:tc>
          <w:tcPr>
            <w:tcW w:type="dxa" w:w="1170"/>
          </w:tcPr>
          <w:p>
            <w:pPr>
              <w:spacing w:after="20" w:before="20"/>
              <w:jc w:val="right"/>
            </w:pPr>
            <w:r/>
            <w:r>
              <w:rPr>
                <w:b/>
                <w:i w:val="0"/>
                <w:sz w:val="19"/>
              </w:rPr>
              <w:t>915</w:t>
            </w:r>
          </w:p>
        </w:tc>
        <w:tc>
          <w:tcPr>
            <w:tcW w:type="dxa" w:w="1170"/>
          </w:tcPr>
          <w:p>
            <w:pPr>
              <w:spacing w:after="20" w:before="20"/>
              <w:jc w:val="right"/>
            </w:pPr>
            <w:r/>
            <w:r>
              <w:rPr>
                <w:b/>
                <w:i w:val="0"/>
                <w:sz w:val="19"/>
              </w:rPr>
              <w:t>1,115</w:t>
            </w:r>
          </w:p>
        </w:tc>
      </w:tr>
      <w:tr>
        <w:tc>
          <w:tcPr>
            <w:tcW w:type="dxa" w:w="1170"/>
            <w:shd w:val="clear" w:fill="EFF3F1"/>
          </w:tcPr>
          <w:p>
            <w:pPr>
              <w:spacing w:after="20" w:before="20"/>
            </w:pPr>
            <w:r/>
            <w:r>
              <w:rPr>
                <w:b w:val="0"/>
                <w:i w:val="0"/>
                <w:sz w:val="19"/>
              </w:rPr>
              <w:t>Capex</w:t>
            </w:r>
          </w:p>
        </w:tc>
        <w:tc>
          <w:tcPr>
            <w:tcW w:type="dxa" w:w="1170"/>
            <w:shd w:val="clear" w:fill="EFF3F1"/>
          </w:tcPr>
          <w:p>
            <w:pPr>
              <w:spacing w:after="20" w:before="20"/>
              <w:jc w:val="right"/>
            </w:pPr>
            <w:r/>
            <w:r>
              <w:rPr>
                <w:b w:val="0"/>
                <w:i w:val="0"/>
                <w:sz w:val="19"/>
              </w:rPr>
              <w:t>(285)</w:t>
            </w:r>
          </w:p>
        </w:tc>
        <w:tc>
          <w:tcPr>
            <w:tcW w:type="dxa" w:w="1170"/>
            <w:shd w:val="clear" w:fill="EFF3F1"/>
          </w:tcPr>
          <w:p>
            <w:pPr>
              <w:spacing w:after="20" w:before="20"/>
              <w:jc w:val="right"/>
            </w:pPr>
            <w:r/>
            <w:r>
              <w:rPr>
                <w:b w:val="0"/>
                <w:i w:val="0"/>
                <w:sz w:val="19"/>
              </w:rPr>
              <w:t>(467)</w:t>
            </w:r>
          </w:p>
        </w:tc>
        <w:tc>
          <w:tcPr>
            <w:tcW w:type="dxa" w:w="1170"/>
            <w:shd w:val="clear" w:fill="EFF3F1"/>
          </w:tcPr>
          <w:p>
            <w:pPr>
              <w:spacing w:after="20" w:before="20"/>
              <w:jc w:val="right"/>
            </w:pPr>
            <w:r/>
            <w:r>
              <w:rPr>
                <w:b w:val="0"/>
                <w:i w:val="0"/>
                <w:sz w:val="19"/>
              </w:rPr>
              <w:t>(650)</w:t>
            </w:r>
          </w:p>
        </w:tc>
        <w:tc>
          <w:tcPr>
            <w:tcW w:type="dxa" w:w="1170"/>
            <w:shd w:val="clear" w:fill="EFF3F1"/>
          </w:tcPr>
          <w:p>
            <w:pPr>
              <w:spacing w:after="20" w:before="20"/>
              <w:jc w:val="right"/>
            </w:pPr>
            <w:r/>
            <w:r>
              <w:rPr>
                <w:b w:val="0"/>
                <w:i w:val="0"/>
                <w:sz w:val="19"/>
              </w:rPr>
              <w:t>(500)</w:t>
            </w:r>
          </w:p>
        </w:tc>
        <w:tc>
          <w:tcPr>
            <w:tcW w:type="dxa" w:w="1170"/>
            <w:shd w:val="clear" w:fill="EFF3F1"/>
          </w:tcPr>
          <w:p>
            <w:pPr>
              <w:spacing w:after="20" w:before="20"/>
              <w:jc w:val="right"/>
            </w:pPr>
            <w:r/>
            <w:r>
              <w:rPr>
                <w:b w:val="0"/>
                <w:i w:val="0"/>
                <w:sz w:val="19"/>
              </w:rPr>
              <w:t>(480)</w:t>
            </w:r>
          </w:p>
        </w:tc>
        <w:tc>
          <w:tcPr>
            <w:tcW w:type="dxa" w:w="1170"/>
            <w:shd w:val="clear" w:fill="EFF3F1"/>
          </w:tcPr>
          <w:p>
            <w:pPr>
              <w:spacing w:after="20" w:before="20"/>
              <w:jc w:val="right"/>
            </w:pPr>
            <w:r/>
            <w:r>
              <w:rPr>
                <w:b w:val="0"/>
                <w:i w:val="0"/>
                <w:sz w:val="19"/>
              </w:rPr>
              <w:t>(500)</w:t>
            </w:r>
          </w:p>
        </w:tc>
        <w:tc>
          <w:tcPr>
            <w:tcW w:type="dxa" w:w="1170"/>
            <w:shd w:val="clear" w:fill="EFF3F1"/>
          </w:tcPr>
          <w:p>
            <w:pPr>
              <w:spacing w:after="20" w:before="20"/>
              <w:jc w:val="right"/>
            </w:pPr>
            <w:r/>
            <w:r>
              <w:rPr>
                <w:b w:val="0"/>
                <w:i w:val="0"/>
                <w:sz w:val="19"/>
              </w:rPr>
              <w:t>(520)</w:t>
            </w:r>
          </w:p>
        </w:tc>
      </w:tr>
      <w:tr>
        <w:tc>
          <w:tcPr>
            <w:tcW w:type="dxa" w:w="1170"/>
          </w:tcPr>
          <w:p>
            <w:pPr>
              <w:spacing w:after="20" w:before="20"/>
            </w:pPr>
            <w:r/>
            <w:r>
              <w:rPr>
                <w:b/>
                <w:i w:val="0"/>
                <w:sz w:val="19"/>
              </w:rPr>
              <w:t>Free cash flow to firm</w:t>
            </w:r>
          </w:p>
        </w:tc>
        <w:tc>
          <w:tcPr>
            <w:tcW w:type="dxa" w:w="1170"/>
          </w:tcPr>
          <w:p>
            <w:pPr>
              <w:spacing w:after="20" w:before="20"/>
              <w:jc w:val="right"/>
            </w:pPr>
            <w:r/>
            <w:r>
              <w:rPr>
                <w:b/>
                <w:i w:val="0"/>
                <w:sz w:val="19"/>
              </w:rPr>
              <w:t>252</w:t>
            </w:r>
          </w:p>
        </w:tc>
        <w:tc>
          <w:tcPr>
            <w:tcW w:type="dxa" w:w="1170"/>
          </w:tcPr>
          <w:p>
            <w:pPr>
              <w:spacing w:after="20" w:before="20"/>
              <w:jc w:val="right"/>
            </w:pPr>
            <w:r/>
            <w:r>
              <w:rPr>
                <w:b/>
                <w:i w:val="0"/>
                <w:sz w:val="19"/>
              </w:rPr>
              <w:t>(663)</w:t>
            </w:r>
          </w:p>
        </w:tc>
        <w:tc>
          <w:tcPr>
            <w:tcW w:type="dxa" w:w="1170"/>
          </w:tcPr>
          <w:p>
            <w:pPr>
              <w:spacing w:after="20" w:before="20"/>
              <w:jc w:val="right"/>
            </w:pPr>
            <w:r/>
            <w:r>
              <w:rPr>
                <w:b/>
                <w:i w:val="0"/>
                <w:sz w:val="19"/>
              </w:rPr>
              <w:t>(61)</w:t>
            </w:r>
          </w:p>
        </w:tc>
        <w:tc>
          <w:tcPr>
            <w:tcW w:type="dxa" w:w="1170"/>
          </w:tcPr>
          <w:p>
            <w:pPr>
              <w:spacing w:after="20" w:before="20"/>
              <w:jc w:val="right"/>
            </w:pPr>
            <w:r/>
            <w:r>
              <w:rPr>
                <w:b/>
                <w:i w:val="0"/>
                <w:sz w:val="19"/>
              </w:rPr>
              <w:t>224</w:t>
            </w:r>
          </w:p>
        </w:tc>
        <w:tc>
          <w:tcPr>
            <w:tcW w:type="dxa" w:w="1170"/>
          </w:tcPr>
          <w:p>
            <w:pPr>
              <w:spacing w:after="20" w:before="20"/>
              <w:jc w:val="right"/>
            </w:pPr>
            <w:r/>
            <w:r>
              <w:rPr>
                <w:b/>
                <w:i w:val="0"/>
                <w:sz w:val="19"/>
              </w:rPr>
              <w:t>444</w:t>
            </w:r>
          </w:p>
        </w:tc>
        <w:tc>
          <w:tcPr>
            <w:tcW w:type="dxa" w:w="1170"/>
          </w:tcPr>
          <w:p>
            <w:pPr>
              <w:spacing w:after="20" w:before="20"/>
              <w:jc w:val="right"/>
            </w:pPr>
            <w:r/>
            <w:r>
              <w:rPr>
                <w:b/>
                <w:i w:val="0"/>
                <w:sz w:val="19"/>
              </w:rPr>
              <w:t>598</w:t>
            </w:r>
          </w:p>
        </w:tc>
        <w:tc>
          <w:tcPr>
            <w:tcW w:type="dxa" w:w="1170"/>
          </w:tcPr>
          <w:p>
            <w:pPr>
              <w:spacing w:after="20" w:before="20"/>
              <w:jc w:val="right"/>
            </w:pPr>
            <w:r/>
            <w:r>
              <w:rPr>
                <w:b/>
                <w:i w:val="0"/>
                <w:sz w:val="19"/>
              </w:rPr>
              <w:t>772</w:t>
            </w:r>
          </w:p>
        </w:tc>
      </w:tr>
    </w:tbl>
    <w:p/>
    <w:p>
      <w:r>
        <w:rPr>
          <w:b w:val="0"/>
          <w:i/>
        </w:rPr>
        <w:t>Source: company full-year results FY2024–FY2025 and Q1-2026 filing. Figures rounded. The negative 2025 operating cash flow, on a EGP 706m working-capital absorption, is the single most important cautionary fact in the accounts.</w:t>
      </w:r>
    </w:p>
    <w:p>
      <w:pPr>
        <w:pStyle w:val="Heading1"/>
      </w:pPr>
      <w:r>
        <w:t>Appendix B  Peer set, sector structure, and risks</w:t>
      </w:r>
    </w:p>
    <w:p>
      <w:r>
        <w:rPr>
          <w:b w:val="0"/>
          <w:i w:val="0"/>
        </w:rPr>
        <w:t>Lecico's cleanest comparables are other listed ceramics and sanitary-ware makers, though most trade at a premium reflecting either richer domestic demand (Gulf) or structural-growth ratings (India).</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1872"/>
        <w:gridCol w:w="1872"/>
        <w:gridCol w:w="1872"/>
        <w:gridCol w:w="1872"/>
        <w:gridCol w:w="1872"/>
      </w:tblGrid>
      <w:tr>
        <w:tc>
          <w:tcPr>
            <w:tcW w:type="dxa" w:w="1872"/>
            <w:shd w:val="clear" w:fill="1C3A36"/>
          </w:tcPr>
          <w:p>
            <w:pPr>
              <w:spacing w:after="20" w:before="20"/>
            </w:pPr>
            <w:r/>
            <w:r>
              <w:rPr>
                <w:b/>
                <w:i w:val="0"/>
                <w:color w:val="FFFFFF"/>
                <w:sz w:val="19"/>
              </w:rPr>
              <w:t>Peer</w:t>
            </w:r>
          </w:p>
        </w:tc>
        <w:tc>
          <w:tcPr>
            <w:tcW w:type="dxa" w:w="1872"/>
            <w:shd w:val="clear" w:fill="1C3A36"/>
          </w:tcPr>
          <w:p>
            <w:pPr>
              <w:spacing w:after="20" w:before="20"/>
              <w:jc w:val="right"/>
            </w:pPr>
            <w:r/>
            <w:r>
              <w:rPr>
                <w:b/>
                <w:i w:val="0"/>
                <w:color w:val="FFFFFF"/>
                <w:sz w:val="19"/>
              </w:rPr>
              <w:t>Market</w:t>
            </w:r>
          </w:p>
        </w:tc>
        <w:tc>
          <w:tcPr>
            <w:tcW w:type="dxa" w:w="1872"/>
            <w:shd w:val="clear" w:fill="1C3A36"/>
          </w:tcPr>
          <w:p>
            <w:pPr>
              <w:spacing w:after="20" w:before="20"/>
              <w:jc w:val="right"/>
            </w:pPr>
            <w:r/>
            <w:r>
              <w:rPr>
                <w:b/>
                <w:i w:val="0"/>
                <w:color w:val="FFFFFF"/>
                <w:sz w:val="19"/>
              </w:rPr>
              <w:t>EV/EBITDA</w:t>
            </w:r>
          </w:p>
        </w:tc>
        <w:tc>
          <w:tcPr>
            <w:tcW w:type="dxa" w:w="1872"/>
            <w:shd w:val="clear" w:fill="1C3A36"/>
          </w:tcPr>
          <w:p>
            <w:pPr>
              <w:spacing w:after="20" w:before="20"/>
              <w:jc w:val="right"/>
            </w:pPr>
            <w:r/>
            <w:r>
              <w:rPr>
                <w:b/>
                <w:i w:val="0"/>
                <w:color w:val="FFFFFF"/>
                <w:sz w:val="19"/>
              </w:rPr>
              <w:t>P/E</w:t>
            </w:r>
          </w:p>
        </w:tc>
        <w:tc>
          <w:tcPr>
            <w:tcW w:type="dxa" w:w="1872"/>
            <w:shd w:val="clear" w:fill="1C3A36"/>
          </w:tcPr>
          <w:p>
            <w:pPr>
              <w:spacing w:after="20" w:before="20"/>
              <w:jc w:val="right"/>
            </w:pPr>
            <w:r/>
            <w:r>
              <w:rPr>
                <w:b/>
                <w:i w:val="0"/>
                <w:color w:val="FFFFFF"/>
                <w:sz w:val="19"/>
              </w:rPr>
              <w:t>Note</w:t>
            </w:r>
          </w:p>
        </w:tc>
      </w:tr>
      <w:tr>
        <w:tc>
          <w:tcPr>
            <w:tcW w:type="dxa" w:w="1872"/>
          </w:tcPr>
          <w:p>
            <w:pPr>
              <w:spacing w:after="20" w:before="20"/>
            </w:pPr>
            <w:r/>
            <w:r>
              <w:rPr>
                <w:b w:val="0"/>
                <w:i w:val="0"/>
                <w:sz w:val="19"/>
              </w:rPr>
              <w:t>Lecico (LCSW)</w:t>
            </w:r>
          </w:p>
        </w:tc>
        <w:tc>
          <w:tcPr>
            <w:tcW w:type="dxa" w:w="1872"/>
          </w:tcPr>
          <w:p>
            <w:pPr>
              <w:spacing w:after="20" w:before="20"/>
              <w:jc w:val="right"/>
            </w:pPr>
            <w:r/>
            <w:r>
              <w:rPr>
                <w:b w:val="0"/>
                <w:i w:val="0"/>
                <w:sz w:val="19"/>
              </w:rPr>
              <w:t>EGX</w:t>
            </w:r>
          </w:p>
        </w:tc>
        <w:tc>
          <w:tcPr>
            <w:tcW w:type="dxa" w:w="1872"/>
          </w:tcPr>
          <w:p>
            <w:pPr>
              <w:spacing w:after="20" w:before="20"/>
              <w:jc w:val="right"/>
            </w:pPr>
            <w:r/>
            <w:r>
              <w:rPr>
                <w:b w:val="0"/>
                <w:i w:val="0"/>
                <w:sz w:val="19"/>
              </w:rPr>
              <w:t>~3.7×</w:t>
            </w:r>
          </w:p>
        </w:tc>
        <w:tc>
          <w:tcPr>
            <w:tcW w:type="dxa" w:w="1872"/>
          </w:tcPr>
          <w:p>
            <w:pPr>
              <w:spacing w:after="20" w:before="20"/>
              <w:jc w:val="right"/>
            </w:pPr>
            <w:r/>
            <w:r>
              <w:rPr>
                <w:b w:val="0"/>
                <w:i w:val="0"/>
                <w:sz w:val="19"/>
              </w:rPr>
              <w:t>~9.7×</w:t>
            </w:r>
          </w:p>
        </w:tc>
        <w:tc>
          <w:tcPr>
            <w:tcW w:type="dxa" w:w="1872"/>
          </w:tcPr>
          <w:p>
            <w:pPr>
              <w:spacing w:after="20" w:before="20"/>
              <w:jc w:val="right"/>
            </w:pPr>
            <w:r/>
            <w:r>
              <w:rPr>
                <w:b w:val="0"/>
                <w:i w:val="0"/>
                <w:sz w:val="19"/>
              </w:rPr>
              <w:t>Trough margins; 0.59× book</w:t>
            </w:r>
          </w:p>
        </w:tc>
      </w:tr>
      <w:tr>
        <w:tc>
          <w:tcPr>
            <w:tcW w:type="dxa" w:w="1872"/>
            <w:shd w:val="clear" w:fill="EFF3F1"/>
          </w:tcPr>
          <w:p>
            <w:pPr>
              <w:spacing w:after="20" w:before="20"/>
            </w:pPr>
            <w:r/>
            <w:r>
              <w:rPr>
                <w:b w:val="0"/>
                <w:i w:val="0"/>
                <w:sz w:val="19"/>
              </w:rPr>
              <w:t>RAK Ceramics</w:t>
            </w:r>
          </w:p>
        </w:tc>
        <w:tc>
          <w:tcPr>
            <w:tcW w:type="dxa" w:w="1872"/>
            <w:shd w:val="clear" w:fill="EFF3F1"/>
          </w:tcPr>
          <w:p>
            <w:pPr>
              <w:spacing w:after="20" w:before="20"/>
              <w:jc w:val="right"/>
            </w:pPr>
            <w:r/>
            <w:r>
              <w:rPr>
                <w:b w:val="0"/>
                <w:i w:val="0"/>
                <w:sz w:val="19"/>
              </w:rPr>
              <w:t>Abu Dhabi (ADX)</w:t>
            </w:r>
          </w:p>
        </w:tc>
        <w:tc>
          <w:tcPr>
            <w:tcW w:type="dxa" w:w="1872"/>
            <w:shd w:val="clear" w:fill="EFF3F1"/>
          </w:tcPr>
          <w:p>
            <w:pPr>
              <w:spacing w:after="20" w:before="20"/>
              <w:jc w:val="right"/>
            </w:pPr>
            <w:r/>
            <w:r>
              <w:rPr>
                <w:b w:val="0"/>
                <w:i w:val="0"/>
                <w:sz w:val="19"/>
              </w:rPr>
              <w:t>~5–6×</w:t>
            </w:r>
          </w:p>
        </w:tc>
        <w:tc>
          <w:tcPr>
            <w:tcW w:type="dxa" w:w="1872"/>
            <w:shd w:val="clear" w:fill="EFF3F1"/>
          </w:tcPr>
          <w:p>
            <w:pPr>
              <w:spacing w:after="20" w:before="20"/>
              <w:jc w:val="right"/>
            </w:pPr>
            <w:r/>
            <w:r>
              <w:rPr>
                <w:b w:val="0"/>
                <w:i w:val="0"/>
                <w:sz w:val="19"/>
              </w:rPr>
              <w:t>~8–10×</w:t>
            </w:r>
          </w:p>
        </w:tc>
        <w:tc>
          <w:tcPr>
            <w:tcW w:type="dxa" w:w="1872"/>
            <w:shd w:val="clear" w:fill="EFF3F1"/>
          </w:tcPr>
          <w:p>
            <w:pPr>
              <w:spacing w:after="20" w:before="20"/>
              <w:jc w:val="right"/>
            </w:pPr>
            <w:r/>
            <w:r>
              <w:rPr>
                <w:b w:val="0"/>
                <w:i w:val="0"/>
                <w:sz w:val="19"/>
              </w:rPr>
              <w:t>Regional ceramics leader</w:t>
            </w:r>
          </w:p>
        </w:tc>
      </w:tr>
      <w:tr>
        <w:tc>
          <w:tcPr>
            <w:tcW w:type="dxa" w:w="1872"/>
          </w:tcPr>
          <w:p>
            <w:pPr>
              <w:spacing w:after="20" w:before="20"/>
            </w:pPr>
            <w:r/>
            <w:r>
              <w:rPr>
                <w:b w:val="0"/>
                <w:i w:val="0"/>
                <w:sz w:val="19"/>
              </w:rPr>
              <w:t>Saudi Ceramics</w:t>
            </w:r>
          </w:p>
        </w:tc>
        <w:tc>
          <w:tcPr>
            <w:tcW w:type="dxa" w:w="1872"/>
          </w:tcPr>
          <w:p>
            <w:pPr>
              <w:spacing w:after="20" w:before="20"/>
              <w:jc w:val="right"/>
            </w:pPr>
            <w:r/>
            <w:r>
              <w:rPr>
                <w:b w:val="0"/>
                <w:i w:val="0"/>
                <w:sz w:val="19"/>
              </w:rPr>
              <w:t>Tadawul</w:t>
            </w:r>
          </w:p>
        </w:tc>
        <w:tc>
          <w:tcPr>
            <w:tcW w:type="dxa" w:w="1872"/>
          </w:tcPr>
          <w:p>
            <w:pPr>
              <w:spacing w:after="20" w:before="20"/>
              <w:jc w:val="right"/>
            </w:pPr>
            <w:r/>
            <w:r>
              <w:rPr>
                <w:b w:val="0"/>
                <w:i w:val="0"/>
                <w:sz w:val="19"/>
              </w:rPr>
              <w:t>~6–8×</w:t>
            </w:r>
          </w:p>
        </w:tc>
        <w:tc>
          <w:tcPr>
            <w:tcW w:type="dxa" w:w="1872"/>
          </w:tcPr>
          <w:p>
            <w:pPr>
              <w:spacing w:after="20" w:before="20"/>
              <w:jc w:val="right"/>
            </w:pPr>
            <w:r/>
            <w:r>
              <w:rPr>
                <w:b w:val="0"/>
                <w:i w:val="0"/>
                <w:sz w:val="19"/>
              </w:rPr>
              <w:t>~12–16×</w:t>
            </w:r>
          </w:p>
        </w:tc>
        <w:tc>
          <w:tcPr>
            <w:tcW w:type="dxa" w:w="1872"/>
          </w:tcPr>
          <w:p>
            <w:pPr>
              <w:spacing w:after="20" w:before="20"/>
              <w:jc w:val="right"/>
            </w:pPr>
            <w:r/>
            <w:r>
              <w:rPr>
                <w:b w:val="0"/>
                <w:i w:val="0"/>
                <w:sz w:val="19"/>
              </w:rPr>
              <w:t>Domestic KSA demand</w:t>
            </w:r>
          </w:p>
        </w:tc>
      </w:tr>
      <w:tr>
        <w:tc>
          <w:tcPr>
            <w:tcW w:type="dxa" w:w="1872"/>
            <w:shd w:val="clear" w:fill="EFF3F1"/>
          </w:tcPr>
          <w:p>
            <w:pPr>
              <w:spacing w:after="20" w:before="20"/>
            </w:pPr>
            <w:r/>
            <w:r>
              <w:rPr>
                <w:b w:val="0"/>
                <w:i w:val="0"/>
                <w:sz w:val="19"/>
              </w:rPr>
              <w:t>Kajaria Ceramics</w:t>
            </w:r>
          </w:p>
        </w:tc>
        <w:tc>
          <w:tcPr>
            <w:tcW w:type="dxa" w:w="1872"/>
            <w:shd w:val="clear" w:fill="EFF3F1"/>
          </w:tcPr>
          <w:p>
            <w:pPr>
              <w:spacing w:after="20" w:before="20"/>
              <w:jc w:val="right"/>
            </w:pPr>
            <w:r/>
            <w:r>
              <w:rPr>
                <w:b w:val="0"/>
                <w:i w:val="0"/>
                <w:sz w:val="19"/>
              </w:rPr>
              <w:t>India (NSE)</w:t>
            </w:r>
          </w:p>
        </w:tc>
        <w:tc>
          <w:tcPr>
            <w:tcW w:type="dxa" w:w="1872"/>
            <w:shd w:val="clear" w:fill="EFF3F1"/>
          </w:tcPr>
          <w:p>
            <w:pPr>
              <w:spacing w:after="20" w:before="20"/>
              <w:jc w:val="right"/>
            </w:pPr>
            <w:r/>
            <w:r>
              <w:rPr>
                <w:b w:val="0"/>
                <w:i w:val="0"/>
                <w:sz w:val="19"/>
              </w:rPr>
              <w:t>~20–28×</w:t>
            </w:r>
          </w:p>
        </w:tc>
        <w:tc>
          <w:tcPr>
            <w:tcW w:type="dxa" w:w="1872"/>
            <w:shd w:val="clear" w:fill="EFF3F1"/>
          </w:tcPr>
          <w:p>
            <w:pPr>
              <w:spacing w:after="20" w:before="20"/>
              <w:jc w:val="right"/>
            </w:pPr>
            <w:r/>
            <w:r>
              <w:rPr>
                <w:b w:val="0"/>
                <w:i w:val="0"/>
                <w:sz w:val="19"/>
              </w:rPr>
              <w:t>~40–55×</w:t>
            </w:r>
          </w:p>
        </w:tc>
        <w:tc>
          <w:tcPr>
            <w:tcW w:type="dxa" w:w="1872"/>
            <w:shd w:val="clear" w:fill="EFF3F1"/>
          </w:tcPr>
          <w:p>
            <w:pPr>
              <w:spacing w:after="20" w:before="20"/>
              <w:jc w:val="right"/>
            </w:pPr>
            <w:r/>
            <w:r>
              <w:rPr>
                <w:b w:val="0"/>
                <w:i w:val="0"/>
                <w:sz w:val="19"/>
              </w:rPr>
              <w:t>Structural-growth premium</w:t>
            </w:r>
          </w:p>
        </w:tc>
      </w:tr>
      <w:tr>
        <w:tc>
          <w:tcPr>
            <w:tcW w:type="dxa" w:w="1872"/>
          </w:tcPr>
          <w:p>
            <w:pPr>
              <w:spacing w:after="20" w:before="20"/>
            </w:pPr>
            <w:r/>
            <w:r>
              <w:rPr>
                <w:b w:val="0"/>
                <w:i w:val="0"/>
                <w:sz w:val="19"/>
              </w:rPr>
              <w:t>Cera Sanitaryware</w:t>
            </w:r>
          </w:p>
        </w:tc>
        <w:tc>
          <w:tcPr>
            <w:tcW w:type="dxa" w:w="1872"/>
          </w:tcPr>
          <w:p>
            <w:pPr>
              <w:spacing w:after="20" w:before="20"/>
              <w:jc w:val="right"/>
            </w:pPr>
            <w:r/>
            <w:r>
              <w:rPr>
                <w:b w:val="0"/>
                <w:i w:val="0"/>
                <w:sz w:val="19"/>
              </w:rPr>
              <w:t>India (NSE)</w:t>
            </w:r>
          </w:p>
        </w:tc>
        <w:tc>
          <w:tcPr>
            <w:tcW w:type="dxa" w:w="1872"/>
          </w:tcPr>
          <w:p>
            <w:pPr>
              <w:spacing w:after="20" w:before="20"/>
              <w:jc w:val="right"/>
            </w:pPr>
            <w:r/>
            <w:r>
              <w:rPr>
                <w:b w:val="0"/>
                <w:i w:val="0"/>
                <w:sz w:val="19"/>
              </w:rPr>
              <w:t>~18–24×</w:t>
            </w:r>
          </w:p>
        </w:tc>
        <w:tc>
          <w:tcPr>
            <w:tcW w:type="dxa" w:w="1872"/>
          </w:tcPr>
          <w:p>
            <w:pPr>
              <w:spacing w:after="20" w:before="20"/>
              <w:jc w:val="right"/>
            </w:pPr>
            <w:r/>
            <w:r>
              <w:rPr>
                <w:b w:val="0"/>
                <w:i w:val="0"/>
                <w:sz w:val="19"/>
              </w:rPr>
              <w:t>~30–40×</w:t>
            </w:r>
          </w:p>
        </w:tc>
        <w:tc>
          <w:tcPr>
            <w:tcW w:type="dxa" w:w="1872"/>
          </w:tcPr>
          <w:p>
            <w:pPr>
              <w:spacing w:after="20" w:before="20"/>
              <w:jc w:val="right"/>
            </w:pPr>
            <w:r/>
            <w:r>
              <w:rPr>
                <w:b w:val="0"/>
                <w:i w:val="0"/>
                <w:sz w:val="19"/>
              </w:rPr>
              <w:t>Sanitaryware growth</w:t>
            </w:r>
          </w:p>
        </w:tc>
      </w:tr>
      <w:tr>
        <w:tc>
          <w:tcPr>
            <w:tcW w:type="dxa" w:w="1872"/>
            <w:shd w:val="clear" w:fill="EFF3F1"/>
          </w:tcPr>
          <w:p>
            <w:pPr>
              <w:spacing w:after="20" w:before="20"/>
            </w:pPr>
            <w:r/>
            <w:r>
              <w:rPr>
                <w:b w:val="0"/>
                <w:i w:val="0"/>
                <w:sz w:val="19"/>
              </w:rPr>
              <w:t>Geberit / Villeroy&amp;Boch</w:t>
            </w:r>
          </w:p>
        </w:tc>
        <w:tc>
          <w:tcPr>
            <w:tcW w:type="dxa" w:w="1872"/>
            <w:shd w:val="clear" w:fill="EFF3F1"/>
          </w:tcPr>
          <w:p>
            <w:pPr>
              <w:spacing w:after="20" w:before="20"/>
              <w:jc w:val="right"/>
            </w:pPr>
            <w:r/>
            <w:r>
              <w:rPr>
                <w:b w:val="0"/>
                <w:i w:val="0"/>
                <w:sz w:val="19"/>
              </w:rPr>
              <w:t>SIX / XETRA</w:t>
            </w:r>
          </w:p>
        </w:tc>
        <w:tc>
          <w:tcPr>
            <w:tcW w:type="dxa" w:w="1872"/>
            <w:shd w:val="clear" w:fill="EFF3F1"/>
          </w:tcPr>
          <w:p>
            <w:pPr>
              <w:spacing w:after="20" w:before="20"/>
              <w:jc w:val="right"/>
            </w:pPr>
            <w:r/>
            <w:r>
              <w:rPr>
                <w:b w:val="0"/>
                <w:i w:val="0"/>
                <w:sz w:val="19"/>
              </w:rPr>
              <w:t>~10–14×</w:t>
            </w:r>
          </w:p>
        </w:tc>
        <w:tc>
          <w:tcPr>
            <w:tcW w:type="dxa" w:w="1872"/>
            <w:shd w:val="clear" w:fill="EFF3F1"/>
          </w:tcPr>
          <w:p>
            <w:pPr>
              <w:spacing w:after="20" w:before="20"/>
              <w:jc w:val="right"/>
            </w:pPr>
            <w:r/>
            <w:r>
              <w:rPr>
                <w:b w:val="0"/>
                <w:i w:val="0"/>
                <w:sz w:val="19"/>
              </w:rPr>
              <w:t>~18–25×</w:t>
            </w:r>
          </w:p>
        </w:tc>
        <w:tc>
          <w:tcPr>
            <w:tcW w:type="dxa" w:w="1872"/>
            <w:shd w:val="clear" w:fill="EFF3F1"/>
          </w:tcPr>
          <w:p>
            <w:pPr>
              <w:spacing w:after="20" w:before="20"/>
              <w:jc w:val="right"/>
            </w:pPr>
            <w:r/>
            <w:r>
              <w:rPr>
                <w:b w:val="0"/>
                <w:i w:val="0"/>
                <w:sz w:val="19"/>
              </w:rPr>
              <w:t>High-end European</w:t>
            </w:r>
          </w:p>
        </w:tc>
      </w:tr>
    </w:tbl>
    <w:p/>
    <w:p>
      <w:r>
        <w:rPr>
          <w:b/>
          <w:i w:val="0"/>
        </w:rPr>
        <w:t>Sector structure.</w:t>
      </w:r>
      <w:r>
        <w:rPr>
          <w:b w:val="0"/>
          <w:i w:val="0"/>
        </w:rPr>
        <w:t xml:space="preserve"> Ceramics and sanitary ware are cyclical building materials: demand tracks construction and consumer spending, kilns are gas-intensive (so energy tariffs are a direct margin lever), and exporters are geared to the reporting-currency cross. Lecico's edge is a low-cost Egyptian manufacturing base, scale, and a genuine export franchise in sanitary ware; its constraints are a working-capital-heavy model, a levering balance sheet and Egypt-specific policy and currency risk. </w:t>
      </w:r>
      <w:r>
        <w:rPr>
          <w:b/>
          <w:i w:val="0"/>
        </w:rPr>
        <w:t>Principal risks:</w:t>
      </w:r>
      <w:r>
        <w:rPr>
          <w:b w:val="0"/>
          <w:i w:val="0"/>
        </w:rPr>
        <w:t xml:space="preserve"> a structurally stronger pound; further energy-cost hikes; a persistent working-capital absorption keeping free cash negative; the absence of a dividend; audit matters around hyperinflation accounting and the Lebanon wind-down; and Red Sea freight disruption to European exports.</w:t>
      </w:r>
    </w:p>
    <w:p>
      <w:pPr>
        <w:pStyle w:val="Heading1"/>
      </w:pPr>
      <w:r>
        <w:t>About this series</w:t>
      </w:r>
    </w:p>
    <w:p>
      <w:r>
        <w:rPr>
          <w:b w:val="0"/>
          <w:i w:val="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pPr>
      <w:r>
        <w:t>Disclosure &amp; Disclaimer</w:t>
      </w:r>
    </w:p>
    <w:p>
      <w:r>
        <w:rPr>
          <w:b/>
          <w:i w:val="0"/>
        </w:rPr>
        <w:t>*Not investment advice.</w:t>
      </w:r>
      <w:r>
        <w:rPr>
          <w:b w:val="0"/>
          <w:i w:val="0"/>
        </w:rPr>
        <w:t>* This document is educational and informational only. It is not, and must not be relied upon as, investment, financial, legal, accounting or tax advice, nor an offer, solicitation or recommendation to buy, sell or hold any security. It contains no price target and no rating.</w:t>
      </w:r>
    </w:p>
    <w:p>
      <w:r>
        <w:rPr>
          <w:b/>
          <w:i w:val="0"/>
        </w:rPr>
        <w:t>*No licence; no advisory relationship.</w:t>
      </w:r>
      <w:r>
        <w:rPr>
          <w:b w:val="0"/>
          <w:i w:val="0"/>
        </w:rPr>
        <w:t>* The preparer is not registered or licensed with any securities or financial regulator in any jurisdiction (including Egypt's Financial Regulatory Authority), holds no brokerage or investment-advisory authorisation, and is not acting as your adviser or fiduciary. Nothing here is personalised to your circumstances.</w:t>
      </w:r>
    </w:p>
    <w:p>
      <w:r>
        <w:rPr>
          <w:b/>
          <w:i w:val="0"/>
        </w:rPr>
        <w:t>*Holdings disclosure.</w:t>
      </w:r>
      <w:r>
        <w:rPr>
          <w:b w:val="0"/>
          <w:i w:val="0"/>
        </w:rPr>
        <w:t>* The preparer may hold, and may in the future take or dispose of, a position in the security discussed in this report, and may transact at any time without notice. This is a potential conflict of interest you should weigh.</w:t>
      </w:r>
    </w:p>
    <w:p>
      <w:r>
        <w:rPr>
          <w:b/>
          <w:i w:val="0"/>
        </w:rPr>
        <w:t>*Sources &amp; accuracy.</w:t>
      </w:r>
      <w:r>
        <w:rPr>
          <w:b w:val="0"/>
          <w:i w:val="0"/>
        </w:rPr>
        <w:t>* Reported financial and operating figures are drawn from the company's public disclosure (FY2025 results, Q1-2026 filing, EGX disclosures) and other public sources believed reliable but not independently verified; they may contain errors or be superseded. Forward-looking inputs — the DCF, the multiples, the marks, projections and Monte-Carlo factor probabilities — are the preparer's own judgments and are inherently uncertain.</w:t>
      </w:r>
    </w:p>
    <w:p>
      <w:r>
        <w:rPr>
          <w:b/>
          <w:i w:val="0"/>
        </w:rPr>
        <w:t>*Forward-looking statements.</w:t>
      </w:r>
      <w:r>
        <w:rPr>
          <w:b w:val="0"/>
          <w:i w:val="0"/>
        </w:rPr>
        <w:t>* Any statements about the future are estimates subject to risks and uncertainties; actual results may differ materially. The Monte Carlo models price, not value, and encodes subjective probabilities for events that have not occurred.</w:t>
      </w:r>
    </w:p>
    <w:p>
      <w:r>
        <w:rPr>
          <w:b/>
          <w:i w:val="0"/>
        </w:rPr>
        <w:t>*No reliance; your responsibility.</w:t>
      </w:r>
      <w:r>
        <w:rPr>
          <w:b w:val="0"/>
          <w:i w:val="0"/>
        </w:rPr>
        <w:t>* 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r>
        <w:rPr>
          <w:b/>
          <w:i w:val="0"/>
        </w:rPr>
        <w:t>*Currency &amp; figures.</w:t>
      </w:r>
      <w:r>
        <w:rPr>
          <w:b w:val="0"/>
          <w:i w:val="0"/>
        </w:rPr>
        <w:t>* Figures are in Egyptian pounds (EGP) unless stated; m denotes million and bn billion. FX at study date: USD/EGP ~47. Rounding may cause totals to differ slightly. Spot price and market data are as of 6 July 2026 and change continuously.</w:t>
      </w:r>
    </w:p>
    <w:p>
      <w:r>
        <w:rPr>
          <w:b w:val="0"/>
          <w:i/>
        </w:rPr>
        <w:t>TESTAHIL · Independent Valuation Study · Educational Analysis · Lecico Egypt (S.A.E.) (EGX: LCSW) · edition 06-07-2026 · reporting currency EGP</w:t>
      </w:r>
    </w:p>
    <w:p>
      <w:pPr>
        <w:pStyle w:val="Heading1"/>
      </w:pPr>
      <w:r>
        <w:t>Appendix C  The expert valuation panel</w:t>
      </w:r>
    </w:p>
    <w:p>
      <w:r>
        <w:rPr>
          <w:b w:val="0"/>
          <w:i w:val="0"/>
        </w:rPr>
        <w:t xml:space="preserve">Every Testahil study closes with a panel of standing expert personas — drawn from the house Expert Persona Library, not invented for the occasion, so that each accumulates a track record across studies and a quarterly update is a re-run, not a re-training. The value of a standing panel is precisely that its members can be held to account: each expert's point fair value is logged with the study date and spot, so that when the next print lands we can see which method read Lecico best and which read it worst, the same discipline the Step 0 backtest applies to the Monte Carlo lens. For Lecico — a capital-heavy building-materials manufacturer at a cyclical trough — we cast the three whose methods both fit the instrument and genuinely disagree: </w:t>
      </w:r>
      <w:r>
        <w:rPr>
          <w:b/>
          <w:i w:val="0"/>
        </w:rPr>
        <w:t>Expert 1</w:t>
      </w:r>
      <w:r>
        <w:rPr>
          <w:b w:val="0"/>
          <w:i w:val="0"/>
        </w:rPr>
        <w:t xml:space="preserve"> (normalized earnings power and relative multiples), </w:t>
      </w:r>
      <w:r>
        <w:rPr>
          <w:b/>
          <w:i w:val="0"/>
        </w:rPr>
        <w:t>Expert 2</w:t>
      </w:r>
      <w:r>
        <w:rPr>
          <w:b w:val="0"/>
          <w:i w:val="0"/>
        </w:rPr>
        <w:t xml:space="preserve"> (the accountant: realizable-asset value and earnings quality), and </w:t>
      </w:r>
      <w:r>
        <w:rPr>
          <w:b/>
          <w:i w:val="0"/>
        </w:rPr>
        <w:t>Expert 3</w:t>
      </w:r>
      <w:r>
        <w:rPr>
          <w:b w:val="0"/>
          <w:i w:val="0"/>
        </w:rPr>
        <w:t xml:space="preserve"> (cash returns — discounted cash flow and return on capital versus its cost). Three experts who ran three discounted-cash-flow models and agreed would be cosmetic; these three run genuinely different machinery and, as a result, disagree in a way that is informative. Each derives its fair value from shown workings, states a falsification condition, and cross-examines the other two. The macro-policy lens — the pound, rates, energy — runs through the body of the study (§1.8, §5) rather than as a separate persona, because for Lecico it is a driver every expert must already incorporate rather than a distinct valuation method.</w:t>
      </w:r>
    </w:p>
    <w:p>
      <w:pPr>
        <w:pStyle w:val="Heading2"/>
      </w:pPr>
      <w:r>
        <w:t>C.1  Expert 1 — normalized earnings power and relative multiples</w:t>
      </w:r>
    </w:p>
    <w:p>
      <w:r>
        <w:rPr>
          <w:b/>
          <w:i w:val="0"/>
        </w:rPr>
        <w:t>Worldview and tradition.</w:t>
      </w:r>
      <w:r>
        <w:rPr>
          <w:b w:val="0"/>
          <w:i w:val="0"/>
        </w:rPr>
        <w:t xml:space="preserve"> An operating business is worth a fair multiple of its sustainable, mid-cycle earnings; peaks and troughs are noise to be stripped out. He stands in the through-the-cycle tradition of the normalized-earnings analyst: a single trough or peak year tells you almost nothing about intrinsic worth, because a cyclical manufacturer's reported profit swings far more than its underlying earning power. He asks what Lecico earns across a full cycle — averaging the fat years and the lean — and what a rational buyer of that earnings stream should pay, benchmarked against the company's own history and its regional peers, and adjusted down for Egypt's policy and currency risk.</w:t>
      </w:r>
    </w:p>
    <w:p>
      <w:r>
        <w:rPr>
          <w:b/>
          <w:i w:val="0"/>
        </w:rPr>
        <w:t>When it works / fails.</w:t>
      </w:r>
      <w:r>
        <w:rPr>
          <w:b w:val="0"/>
          <w:i w:val="0"/>
        </w:rPr>
        <w:t xml:space="preserve"> The lens is at its best for cyclical operating businesses with a genuine through-cycle track record, and Lecico has one: EBIT margins of 19.4% (2023), 17.3% (2024) and 9.5% (2025), around a mid-cycle nearer 13%. It fails at structural breaks — if the margin is </w:t>
      </w:r>
      <w:r>
        <w:rPr>
          <w:b w:val="0"/>
          <w:i/>
        </w:rPr>
        <w:t>permanently</w:t>
      </w:r>
      <w:r>
        <w:rPr>
          <w:b w:val="0"/>
          <w:i w:val="0"/>
        </w:rPr>
        <w:t xml:space="preserve"> lower because the pound stays strong and energy stays dear, then averaging the past is averaging a world that no longer exists, and his normalization is simply wrong. He guards against this by normalizing conservatively (to 13%, not the 18% of the good years) and by cross-checking the earnings multiple against an EV/EBITDA and a free-cash-flow yield.</w:t>
      </w:r>
    </w:p>
    <w:p>
      <w:r>
        <w:rPr>
          <w:b/>
          <w:i w:val="0"/>
        </w:rPr>
        <w:t>Standard workings &amp; worked example.</w:t>
      </w:r>
      <w:r>
        <w:rPr>
          <w:b w:val="0"/>
          <w:i w:val="0"/>
        </w:rPr>
        <w:t xml:space="preserve"> Normalize the EBIT margin to a mid-cycle ~13% (versus the 2025 trough of 9.5% and the 2023–24 average nearer 18%), derive normalized net income of ~EGP 460m and EPS of ~EGP 5.75, and apply a justified through-cycle P/E of ~6.8× — a deliberate discount to regional peers for Egypt risk.</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4680"/>
        <w:gridCol w:w="4680"/>
      </w:tblGrid>
      <w:tr>
        <w:tc>
          <w:tcPr>
            <w:tcW w:type="dxa" w:w="4680"/>
            <w:shd w:val="clear" w:fill="1C3A36"/>
          </w:tcPr>
          <w:p>
            <w:pPr>
              <w:spacing w:after="20" w:before="20"/>
            </w:pPr>
            <w:r/>
            <w:r>
              <w:rPr>
                <w:b/>
                <w:i w:val="0"/>
                <w:color w:val="FFFFFF"/>
                <w:sz w:val="19"/>
              </w:rPr>
              <w:t>Expert 1's normalization</w:t>
            </w:r>
          </w:p>
        </w:tc>
        <w:tc>
          <w:tcPr>
            <w:tcW w:type="dxa" w:w="4680"/>
            <w:shd w:val="clear" w:fill="1C3A36"/>
          </w:tcPr>
          <w:p>
            <w:pPr>
              <w:spacing w:after="20" w:before="20"/>
              <w:jc w:val="right"/>
            </w:pPr>
            <w:r/>
            <w:r>
              <w:rPr>
                <w:b/>
                <w:i w:val="0"/>
                <w:color w:val="FFFFFF"/>
                <w:sz w:val="19"/>
              </w:rPr>
              <w:t>Value</w:t>
            </w:r>
          </w:p>
        </w:tc>
      </w:tr>
      <w:tr>
        <w:tc>
          <w:tcPr>
            <w:tcW w:type="dxa" w:w="4680"/>
          </w:tcPr>
          <w:p>
            <w:pPr>
              <w:spacing w:after="20" w:before="20"/>
            </w:pPr>
            <w:r/>
            <w:r>
              <w:rPr>
                <w:b w:val="0"/>
                <w:i w:val="0"/>
                <w:sz w:val="19"/>
              </w:rPr>
              <w:t>Normalized mid-cycle EBIT margin</w:t>
            </w:r>
          </w:p>
        </w:tc>
        <w:tc>
          <w:tcPr>
            <w:tcW w:type="dxa" w:w="4680"/>
          </w:tcPr>
          <w:p>
            <w:pPr>
              <w:spacing w:after="20" w:before="20"/>
              <w:jc w:val="right"/>
            </w:pPr>
            <w:r/>
            <w:r>
              <w:rPr>
                <w:b w:val="0"/>
                <w:i w:val="0"/>
                <w:sz w:val="19"/>
              </w:rPr>
              <w:t>~13%</w:t>
            </w:r>
          </w:p>
        </w:tc>
      </w:tr>
      <w:tr>
        <w:tc>
          <w:tcPr>
            <w:tcW w:type="dxa" w:w="4680"/>
            <w:shd w:val="clear" w:fill="EFF3F1"/>
          </w:tcPr>
          <w:p>
            <w:pPr>
              <w:spacing w:after="20" w:before="20"/>
            </w:pPr>
            <w:r/>
            <w:r>
              <w:rPr>
                <w:b w:val="0"/>
                <w:i w:val="0"/>
                <w:sz w:val="19"/>
              </w:rPr>
              <w:t>Normalized net income (EGP m)</w:t>
            </w:r>
          </w:p>
        </w:tc>
        <w:tc>
          <w:tcPr>
            <w:tcW w:type="dxa" w:w="4680"/>
            <w:shd w:val="clear" w:fill="EFF3F1"/>
          </w:tcPr>
          <w:p>
            <w:pPr>
              <w:spacing w:after="20" w:before="20"/>
              <w:jc w:val="right"/>
            </w:pPr>
            <w:r/>
            <w:r>
              <w:rPr>
                <w:b w:val="0"/>
                <w:i w:val="0"/>
                <w:sz w:val="19"/>
              </w:rPr>
              <w:t>460</w:t>
            </w:r>
          </w:p>
        </w:tc>
      </w:tr>
      <w:tr>
        <w:tc>
          <w:tcPr>
            <w:tcW w:type="dxa" w:w="4680"/>
          </w:tcPr>
          <w:p>
            <w:pPr>
              <w:spacing w:after="20" w:before="20"/>
            </w:pPr>
            <w:r/>
            <w:r>
              <w:rPr>
                <w:b w:val="0"/>
                <w:i w:val="0"/>
                <w:sz w:val="19"/>
              </w:rPr>
              <w:t>Normalized EPS (EGP)</w:t>
            </w:r>
          </w:p>
        </w:tc>
        <w:tc>
          <w:tcPr>
            <w:tcW w:type="dxa" w:w="4680"/>
          </w:tcPr>
          <w:p>
            <w:pPr>
              <w:spacing w:after="20" w:before="20"/>
              <w:jc w:val="right"/>
            </w:pPr>
            <w:r/>
            <w:r>
              <w:rPr>
                <w:b w:val="0"/>
                <w:i w:val="0"/>
                <w:sz w:val="19"/>
              </w:rPr>
              <w:t>5.75</w:t>
            </w:r>
          </w:p>
        </w:tc>
      </w:tr>
      <w:tr>
        <w:tc>
          <w:tcPr>
            <w:tcW w:type="dxa" w:w="4680"/>
            <w:shd w:val="clear" w:fill="EFF3F1"/>
          </w:tcPr>
          <w:p>
            <w:pPr>
              <w:spacing w:after="20" w:before="20"/>
            </w:pPr>
            <w:r/>
            <w:r>
              <w:rPr>
                <w:b w:val="0"/>
                <w:i w:val="0"/>
                <w:sz w:val="19"/>
              </w:rPr>
              <w:t>Justified P/E</w:t>
            </w:r>
          </w:p>
        </w:tc>
        <w:tc>
          <w:tcPr>
            <w:tcW w:type="dxa" w:w="4680"/>
            <w:shd w:val="clear" w:fill="EFF3F1"/>
          </w:tcPr>
          <w:p>
            <w:pPr>
              <w:spacing w:after="20" w:before="20"/>
              <w:jc w:val="right"/>
            </w:pPr>
            <w:r/>
            <w:r>
              <w:rPr>
                <w:b w:val="0"/>
                <w:i w:val="0"/>
                <w:sz w:val="19"/>
              </w:rPr>
              <w:t>6.8×</w:t>
            </w:r>
          </w:p>
        </w:tc>
      </w:tr>
      <w:tr>
        <w:tc>
          <w:tcPr>
            <w:tcW w:type="dxa" w:w="4680"/>
          </w:tcPr>
          <w:p>
            <w:pPr>
              <w:spacing w:after="20" w:before="20"/>
            </w:pPr>
            <w:r/>
            <w:r>
              <w:rPr>
                <w:b/>
                <w:i w:val="0"/>
                <w:sz w:val="19"/>
              </w:rPr>
              <w:t>Fair value</w:t>
            </w:r>
          </w:p>
        </w:tc>
        <w:tc>
          <w:tcPr>
            <w:tcW w:type="dxa" w:w="4680"/>
          </w:tcPr>
          <w:p>
            <w:pPr>
              <w:spacing w:after="20" w:before="20"/>
              <w:jc w:val="right"/>
            </w:pPr>
            <w:r/>
            <w:r>
              <w:rPr>
                <w:b/>
                <w:i w:val="0"/>
                <w:sz w:val="19"/>
              </w:rPr>
              <w:t>→ EGP 40/share</w:t>
            </w:r>
          </w:p>
        </w:tc>
      </w:tr>
    </w:tbl>
    <w:p/>
    <w:p>
      <w:r>
        <w:rPr>
          <w:b/>
          <w:i w:val="0"/>
        </w:rPr>
        <w:t>Sensitivity (swing = normalized margin / multiple).</w:t>
      </w:r>
      <w:r>
        <w:rPr>
          <w:b w:val="0"/>
          <w:i w:val="0"/>
        </w:rPr>
        <w:t xml:space="preserve"> At a 6.0× P/E, EGP 35; at 8.0×, EGP 46; a mid-cycle margin one point lower cuts ~EGP 4. </w:t>
      </w:r>
      <w:r>
        <w:rPr>
          <w:b/>
          <w:i w:val="0"/>
        </w:rPr>
        <w:t>Cross-examination.</w:t>
      </w:r>
      <w:r>
        <w:rPr>
          <w:b w:val="0"/>
          <w:i w:val="0"/>
        </w:rPr>
        <w:t xml:space="preserve"> He tells Expert 2 that valuing a manufacturer on its realizable break-up assets in a trough year understates a business that will earn far more mid-cycle; he tells Expert 3 that ROIC pessimism ignores the operating leverage of a margin recovery.</w:t>
      </w:r>
    </w:p>
    <w:p>
      <w:r>
        <w:rPr>
          <w:b/>
          <w:i w:val="0"/>
        </w:rPr>
        <w:t>Verdict, falsification, market-implied. Fair EGP 40 (range EGP 27–53).</w:t>
      </w:r>
      <w:r>
        <w:rPr>
          <w:b w:val="0"/>
          <w:i w:val="0"/>
        </w:rPr>
        <w:t xml:space="preserve"> Falsified by a structural margin re-rating down — Lecico stuck below ~10% EBIT through a cycle because the pound and energy permanently compress the export leg. The market price implies normalized earnings well below his — it does not yet believe the recovery.</w:t>
      </w:r>
    </w:p>
    <w:p>
      <w:pPr>
        <w:pStyle w:val="Heading2"/>
      </w:pPr>
      <w:r>
        <w:t>C.2  Expert 2 — the accountant: realizable-asset value and cash quality</w:t>
      </w:r>
    </w:p>
    <w:p>
      <w:r>
        <w:rPr>
          <w:b/>
          <w:i w:val="0"/>
        </w:rPr>
        <w:t>Worldview and tradition.</w:t>
      </w:r>
      <w:r>
        <w:rPr>
          <w:b w:val="0"/>
          <w:i w:val="0"/>
        </w:rPr>
        <w:t xml:space="preserve"> The Graham-Dodd realization school — a business is worth what its assets realize net of every claim, and reported profit is trusted only as far as it converts to cash. He is the balance-sheet sceptic: the income statement is an opinion, the balance sheet is closer to a fact, and cash is the only thing that is truly real. His method is especially apt for a capital-and-working-capital-heavy manufacturer whose 2025 profit conspicuously did </w:t>
      </w:r>
      <w:r>
        <w:rPr>
          <w:b w:val="0"/>
          <w:i/>
        </w:rPr>
        <w:t>not</w:t>
      </w:r>
      <w:r>
        <w:rPr>
          <w:b w:val="0"/>
          <w:i w:val="0"/>
        </w:rPr>
        <w:t xml:space="preserve"> become cash — the exact pattern that his whole discipline exists to catch, where accounting earnings are booked years or quarters before (or, here, instead of) the cash arriving.</w:t>
      </w:r>
    </w:p>
    <w:p>
      <w:r>
        <w:rPr>
          <w:b/>
          <w:i w:val="0"/>
        </w:rPr>
        <w:t>When it works / fails.</w:t>
      </w:r>
      <w:r>
        <w:rPr>
          <w:b w:val="0"/>
          <w:i w:val="0"/>
        </w:rPr>
        <w:t xml:space="preserve"> Best where the business is asset-heavy, working-capital-heavy and levering, and where value rests on inventory and receivables actually realising — a precise description of Lecico, whose inventory and receivables are over half of total assets and grew EGP 564m in the year. It fails by systematically undervaluing a genuine compounding franchise: if Lecico is really a low-cost exporter that will earn well through the cycle, marking it to a conservative break-up value in a trough understates it. He accepts that risk as the price of not being fooled by a booking.</w:t>
      </w:r>
    </w:p>
    <w:p>
      <w:r>
        <w:rPr>
          <w:b/>
          <w:i w:val="0"/>
        </w:rPr>
        <w:t>Standard workings &amp; worked example.</w:t>
      </w:r>
      <w:r>
        <w:rPr>
          <w:b w:val="0"/>
          <w:i w:val="0"/>
        </w:rPr>
        <w:t xml:space="preserve"> Mark each asset to a conservative realizable value — inventory at an 80% recovery, receivables at 85%, PP&amp;E at 90% of book — deduct all liabilities and minority, and then apply a cash-conversion overlay, because 2025 operating cash flow was </w:t>
      </w:r>
      <w:r>
        <w:rPr>
          <w:b w:val="0"/>
          <w:i/>
        </w:rPr>
        <w:t>negative</w:t>
      </w:r>
      <w:r>
        <w:rPr>
          <w:b w:val="0"/>
          <w:i w:val="0"/>
        </w:rPr>
        <w:t>.</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4680"/>
        <w:gridCol w:w="4680"/>
      </w:tblGrid>
      <w:tr>
        <w:tc>
          <w:tcPr>
            <w:tcW w:type="dxa" w:w="4680"/>
            <w:shd w:val="clear" w:fill="1C3A36"/>
          </w:tcPr>
          <w:p>
            <w:pPr>
              <w:spacing w:after="20" w:before="20"/>
            </w:pPr>
            <w:r/>
            <w:r>
              <w:rPr>
                <w:b/>
                <w:i w:val="0"/>
                <w:color w:val="FFFFFF"/>
                <w:sz w:val="19"/>
              </w:rPr>
              <w:t>Expert 2's realizable-asset bridge (EGP m)</w:t>
            </w:r>
          </w:p>
        </w:tc>
        <w:tc>
          <w:tcPr>
            <w:tcW w:type="dxa" w:w="4680"/>
            <w:shd w:val="clear" w:fill="1C3A36"/>
          </w:tcPr>
          <w:p>
            <w:pPr>
              <w:spacing w:after="20" w:before="20"/>
              <w:jc w:val="right"/>
            </w:pPr>
            <w:r/>
            <w:r>
              <w:rPr>
                <w:b/>
                <w:i w:val="0"/>
                <w:color w:val="FFFFFF"/>
                <w:sz w:val="19"/>
              </w:rPr>
              <w:t>Value</w:t>
            </w:r>
          </w:p>
        </w:tc>
      </w:tr>
      <w:tr>
        <w:tc>
          <w:tcPr>
            <w:tcW w:type="dxa" w:w="4680"/>
          </w:tcPr>
          <w:p>
            <w:pPr>
              <w:spacing w:after="20" w:before="20"/>
            </w:pPr>
            <w:r/>
            <w:r>
              <w:rPr>
                <w:b w:val="0"/>
                <w:i w:val="0"/>
                <w:sz w:val="19"/>
              </w:rPr>
              <w:t>Total assets (Dec-2025)</w:t>
            </w:r>
          </w:p>
        </w:tc>
        <w:tc>
          <w:tcPr>
            <w:tcW w:type="dxa" w:w="4680"/>
          </w:tcPr>
          <w:p>
            <w:pPr>
              <w:spacing w:after="20" w:before="20"/>
              <w:jc w:val="right"/>
            </w:pPr>
            <w:r/>
            <w:r>
              <w:rPr>
                <w:b w:val="0"/>
                <w:i w:val="0"/>
                <w:sz w:val="19"/>
              </w:rPr>
              <w:t>8,537</w:t>
            </w:r>
          </w:p>
        </w:tc>
      </w:tr>
      <w:tr>
        <w:tc>
          <w:tcPr>
            <w:tcW w:type="dxa" w:w="4680"/>
            <w:shd w:val="clear" w:fill="EFF3F1"/>
          </w:tcPr>
          <w:p>
            <w:pPr>
              <w:spacing w:after="20" w:before="20"/>
            </w:pPr>
            <w:r/>
            <w:r>
              <w:rPr>
                <w:b w:val="0"/>
                <w:i w:val="0"/>
                <w:sz w:val="19"/>
              </w:rPr>
              <w:t>less: inventory / receivable / PP&amp;E haircuts</w:t>
            </w:r>
          </w:p>
        </w:tc>
        <w:tc>
          <w:tcPr>
            <w:tcW w:type="dxa" w:w="4680"/>
            <w:shd w:val="clear" w:fill="EFF3F1"/>
          </w:tcPr>
          <w:p>
            <w:pPr>
              <w:spacing w:after="20" w:before="20"/>
              <w:jc w:val="right"/>
            </w:pPr>
            <w:r/>
            <w:r>
              <w:rPr>
                <w:b w:val="0"/>
                <w:i w:val="0"/>
                <w:sz w:val="19"/>
              </w:rPr>
              <w:t>(1,184)</w:t>
            </w:r>
          </w:p>
        </w:tc>
      </w:tr>
      <w:tr>
        <w:tc>
          <w:tcPr>
            <w:tcW w:type="dxa" w:w="4680"/>
          </w:tcPr>
          <w:p>
            <w:pPr>
              <w:spacing w:after="20" w:before="20"/>
            </w:pPr>
            <w:r/>
            <w:r>
              <w:rPr>
                <w:b w:val="0"/>
                <w:i w:val="0"/>
                <w:sz w:val="19"/>
              </w:rPr>
              <w:t>less: total liabilities and minority</w:t>
            </w:r>
          </w:p>
        </w:tc>
        <w:tc>
          <w:tcPr>
            <w:tcW w:type="dxa" w:w="4680"/>
          </w:tcPr>
          <w:p>
            <w:pPr>
              <w:spacing w:after="20" w:before="20"/>
              <w:jc w:val="right"/>
            </w:pPr>
            <w:r/>
            <w:r>
              <w:rPr>
                <w:b w:val="0"/>
                <w:i w:val="0"/>
                <w:sz w:val="19"/>
              </w:rPr>
              <w:t>(4,559)</w:t>
            </w:r>
          </w:p>
        </w:tc>
      </w:tr>
      <w:tr>
        <w:tc>
          <w:tcPr>
            <w:tcW w:type="dxa" w:w="4680"/>
            <w:shd w:val="clear" w:fill="EFF3F1"/>
          </w:tcPr>
          <w:p>
            <w:pPr>
              <w:spacing w:after="20" w:before="20"/>
            </w:pPr>
            <w:r/>
            <w:r>
              <w:rPr>
                <w:b w:val="0"/>
                <w:i w:val="0"/>
                <w:sz w:val="19"/>
              </w:rPr>
              <w:t>Realizable equity</w:t>
            </w:r>
          </w:p>
        </w:tc>
        <w:tc>
          <w:tcPr>
            <w:tcW w:type="dxa" w:w="4680"/>
            <w:shd w:val="clear" w:fill="EFF3F1"/>
          </w:tcPr>
          <w:p>
            <w:pPr>
              <w:spacing w:after="20" w:before="20"/>
              <w:jc w:val="right"/>
            </w:pPr>
            <w:r/>
            <w:r>
              <w:rPr>
                <w:b w:val="0"/>
                <w:i w:val="0"/>
                <w:sz w:val="19"/>
              </w:rPr>
              <w:t>2,794</w:t>
            </w:r>
          </w:p>
        </w:tc>
      </w:tr>
      <w:tr>
        <w:tc>
          <w:tcPr>
            <w:tcW w:type="dxa" w:w="4680"/>
          </w:tcPr>
          <w:p>
            <w:pPr>
              <w:spacing w:after="20" w:before="20"/>
            </w:pPr>
            <w:r/>
            <w:r>
              <w:rPr>
                <w:b w:val="0"/>
                <w:i w:val="0"/>
                <w:sz w:val="19"/>
              </w:rPr>
              <w:t>Cash-conversion overlay (negative OCF)</w:t>
            </w:r>
          </w:p>
        </w:tc>
        <w:tc>
          <w:tcPr>
            <w:tcW w:type="dxa" w:w="4680"/>
          </w:tcPr>
          <w:p>
            <w:pPr>
              <w:spacing w:after="20" w:before="20"/>
              <w:jc w:val="right"/>
            </w:pPr>
            <w:r/>
            <w:r>
              <w:rPr>
                <w:b w:val="0"/>
                <w:i w:val="0"/>
                <w:sz w:val="19"/>
              </w:rPr>
              <w:t>(~10%)</w:t>
            </w:r>
          </w:p>
        </w:tc>
      </w:tr>
      <w:tr>
        <w:tc>
          <w:tcPr>
            <w:tcW w:type="dxa" w:w="4680"/>
            <w:shd w:val="clear" w:fill="EFF3F1"/>
          </w:tcPr>
          <w:p>
            <w:pPr>
              <w:spacing w:after="20" w:before="20"/>
            </w:pPr>
            <w:r/>
            <w:r>
              <w:rPr>
                <w:b/>
                <w:i w:val="0"/>
                <w:sz w:val="19"/>
              </w:rPr>
              <w:t>Fair value</w:t>
            </w:r>
          </w:p>
        </w:tc>
        <w:tc>
          <w:tcPr>
            <w:tcW w:type="dxa" w:w="4680"/>
            <w:shd w:val="clear" w:fill="EFF3F1"/>
          </w:tcPr>
          <w:p>
            <w:pPr>
              <w:spacing w:after="20" w:before="20"/>
              <w:jc w:val="right"/>
            </w:pPr>
            <w:r/>
            <w:r>
              <w:rPr>
                <w:b/>
                <w:i w:val="0"/>
                <w:sz w:val="19"/>
              </w:rPr>
              <w:t>→ EGP 31/share</w:t>
            </w:r>
          </w:p>
        </w:tc>
      </w:tr>
    </w:tbl>
    <w:p/>
    <w:p>
      <w:r>
        <w:rPr>
          <w:b/>
          <w:i w:val="0"/>
        </w:rPr>
        <w:t>Sensitivity (swing = the haircut / cash overlay).</w:t>
      </w:r>
      <w:r>
        <w:rPr>
          <w:b w:val="0"/>
          <w:i w:val="0"/>
        </w:rPr>
        <w:t xml:space="preserve"> Lighter haircuts and no cash overlay lift him toward EGP 42; a deeper inventory haircut takes him to EGP 22. </w:t>
      </w:r>
      <w:r>
        <w:rPr>
          <w:b/>
          <w:i w:val="0"/>
        </w:rPr>
        <w:t>Cross-examination.</w:t>
      </w:r>
      <w:r>
        <w:rPr>
          <w:b w:val="0"/>
          <w:i w:val="0"/>
        </w:rPr>
        <w:t xml:space="preserve"> He tells Expert 1 that mid-cycle earnings the company cannot turn into cash are a booking, not a value — "2025 booked EGP 244m of profit and </w:t>
      </w:r>
      <w:r>
        <w:rPr>
          <w:b w:val="0"/>
          <w:i/>
        </w:rPr>
        <w:t>lost</w:t>
      </w:r>
      <w:r>
        <w:rPr>
          <w:b w:val="0"/>
          <w:i w:val="0"/>
        </w:rPr>
        <w:t xml:space="preserve"> EGP 196m of cash"; he tells Expert 3 that a terminal value 78% of enterprise value is a forecast dressed as a fact.</w:t>
      </w:r>
    </w:p>
    <w:p>
      <w:r>
        <w:rPr>
          <w:b/>
          <w:i w:val="0"/>
        </w:rPr>
        <w:t>Verdict, falsification, market-implied. Fair EGP 31 (range EGP 22–42) — the most conservative of the three: cheap on assets, but only if the assets realise.</w:t>
      </w:r>
      <w:r>
        <w:rPr>
          <w:b w:val="0"/>
          <w:i w:val="0"/>
        </w:rPr>
        <w:t xml:space="preserve"> Falsified by a durable lift in cash conversion — a working-capital reversal that turns operating cash flow decisively positive. The market price sits just below his realizable-equity floor, which is the closest thing here to a hard support.</w:t>
      </w:r>
    </w:p>
    <w:p>
      <w:pPr>
        <w:pStyle w:val="Heading2"/>
      </w:pPr>
      <w:r>
        <w:t>C.3  Expert 3 — cash returns: DCF and ROIC versus the cost of capital</w:t>
      </w:r>
    </w:p>
    <w:p>
      <w:r>
        <w:rPr>
          <w:b/>
          <w:i w:val="0"/>
        </w:rPr>
        <w:t>Worldview and tradition.</w:t>
      </w:r>
      <w:r>
        <w:rPr>
          <w:b w:val="0"/>
          <w:i w:val="0"/>
        </w:rPr>
        <w:t xml:space="preserve"> A business creates value only when each unit of capital earns above its cost. He belongs to the economic-profit / return-on-capital school: growth is worth paying for only when it is profitable growth, and a company that reinvests at a return below its cost of capital destroys value no matter how fast the top line rises. Cash, not booked profit, is the test; he looks past the income statement to free cash flow and to the ROIC-minus-WACC spread, and he is instinctively suspicious of a valuation whose worth sits mostly in a terminal year he cannot see.</w:t>
      </w:r>
    </w:p>
    <w:p>
      <w:r>
        <w:rPr>
          <w:b/>
          <w:i w:val="0"/>
        </w:rPr>
        <w:t>When it works / fails.</w:t>
      </w:r>
      <w:r>
        <w:rPr>
          <w:b w:val="0"/>
          <w:i w:val="0"/>
        </w:rPr>
        <w:t xml:space="preserve"> Best for capital-intensive businesses where returns on capital are the crux — and Lecico, with EGP 5.2bn of invested capital and a working-capital-heavy model, is squarely that. It fails where reinvestment economics are genuinely changing, which is a live risk here: the entire bull thesis is a margin recovery that would lift returns, so a backward-looking ROIC understates a business on the cusp of earning its cost of capital. He manages this by modelling the ROIC path forward (trough 2025 → recovering 2028) rather than freezing it at the trough, and by publishing the WACC transparently so the reader sees the hurdle the returns must clear.</w:t>
      </w:r>
    </w:p>
    <w:p>
      <w:r>
        <w:rPr>
          <w:b/>
          <w:i w:val="0"/>
        </w:rPr>
        <w:t>Standard workings &amp; worked example.</w:t>
      </w:r>
      <w:r>
        <w:rPr>
          <w:b w:val="0"/>
          <w:i w:val="0"/>
        </w:rPr>
        <w:t xml:space="preserve"> Build FCFF (as in §1.1), discount at a ~21% WACC published as rf + ERP, and test ROIC against WACC. At the 2025 trough, NOPAT of ~EGP 575m on invested capital of ~EGP 5,250m is an </w:t>
      </w:r>
      <w:r>
        <w:rPr>
          <w:b/>
          <w:i w:val="0"/>
        </w:rPr>
        <w:t>ROIC of ~11% — well below the ~21% WACC</w:t>
      </w:r>
      <w:r>
        <w:rPr>
          <w:b w:val="0"/>
          <w:i w:val="0"/>
        </w:rPr>
        <w:t xml:space="preserve">, so the company is currently </w:t>
      </w:r>
      <w:r>
        <w:rPr>
          <w:b w:val="0"/>
          <w:i/>
        </w:rPr>
        <w:t>destroying</w:t>
      </w:r>
      <w:r>
        <w:rPr>
          <w:b w:val="0"/>
          <w:i w:val="0"/>
        </w:rPr>
        <w:t xml:space="preserve"> economic value; as margins normalize toward 2028, ROIC recovers to ~14–15%, still short of the hurdle.</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4680"/>
        <w:gridCol w:w="4680"/>
      </w:tblGrid>
      <w:tr>
        <w:tc>
          <w:tcPr>
            <w:tcW w:type="dxa" w:w="4680"/>
            <w:shd w:val="clear" w:fill="1C3A36"/>
          </w:tcPr>
          <w:p>
            <w:pPr>
              <w:spacing w:after="20" w:before="20"/>
            </w:pPr>
            <w:r/>
            <w:r>
              <w:rPr>
                <w:b/>
                <w:i w:val="0"/>
                <w:color w:val="FFFFFF"/>
                <w:sz w:val="19"/>
              </w:rPr>
              <w:t>Expert 3's cash-returns test</w:t>
            </w:r>
          </w:p>
        </w:tc>
        <w:tc>
          <w:tcPr>
            <w:tcW w:type="dxa" w:w="4680"/>
            <w:shd w:val="clear" w:fill="1C3A36"/>
          </w:tcPr>
          <w:p>
            <w:pPr>
              <w:spacing w:after="20" w:before="20"/>
              <w:jc w:val="right"/>
            </w:pPr>
            <w:r/>
            <w:r>
              <w:rPr>
                <w:b/>
                <w:i w:val="0"/>
                <w:color w:val="FFFFFF"/>
                <w:sz w:val="19"/>
              </w:rPr>
              <w:t>Value</w:t>
            </w:r>
          </w:p>
        </w:tc>
      </w:tr>
      <w:tr>
        <w:tc>
          <w:tcPr>
            <w:tcW w:type="dxa" w:w="4680"/>
          </w:tcPr>
          <w:p>
            <w:pPr>
              <w:spacing w:after="20" w:before="20"/>
            </w:pPr>
            <w:r/>
            <w:r>
              <w:rPr>
                <w:b w:val="0"/>
                <w:i w:val="0"/>
                <w:sz w:val="19"/>
              </w:rPr>
              <w:t>DCF enterprise value (EGP m)</w:t>
            </w:r>
          </w:p>
        </w:tc>
        <w:tc>
          <w:tcPr>
            <w:tcW w:type="dxa" w:w="4680"/>
          </w:tcPr>
          <w:p>
            <w:pPr>
              <w:spacing w:after="20" w:before="20"/>
              <w:jc w:val="right"/>
            </w:pPr>
            <w:r/>
            <w:r>
              <w:rPr>
                <w:b w:val="0"/>
                <w:i w:val="0"/>
                <w:sz w:val="19"/>
              </w:rPr>
              <w:t>4,234</w:t>
            </w:r>
          </w:p>
        </w:tc>
      </w:tr>
      <w:tr>
        <w:tc>
          <w:tcPr>
            <w:tcW w:type="dxa" w:w="4680"/>
            <w:shd w:val="clear" w:fill="EFF3F1"/>
          </w:tcPr>
          <w:p>
            <w:pPr>
              <w:spacing w:after="20" w:before="20"/>
            </w:pPr>
            <w:r/>
            <w:r>
              <w:rPr>
                <w:b w:val="0"/>
                <w:i w:val="0"/>
                <w:sz w:val="19"/>
              </w:rPr>
              <w:t>less: net debt</w:t>
            </w:r>
          </w:p>
        </w:tc>
        <w:tc>
          <w:tcPr>
            <w:tcW w:type="dxa" w:w="4680"/>
            <w:shd w:val="clear" w:fill="EFF3F1"/>
          </w:tcPr>
          <w:p>
            <w:pPr>
              <w:spacing w:after="20" w:before="20"/>
              <w:jc w:val="right"/>
            </w:pPr>
            <w:r/>
            <w:r>
              <w:rPr>
                <w:b w:val="0"/>
                <w:i w:val="0"/>
                <w:sz w:val="19"/>
              </w:rPr>
              <w:t>(1,270)</w:t>
            </w:r>
          </w:p>
        </w:tc>
      </w:tr>
      <w:tr>
        <w:tc>
          <w:tcPr>
            <w:tcW w:type="dxa" w:w="4680"/>
          </w:tcPr>
          <w:p>
            <w:pPr>
              <w:spacing w:after="20" w:before="20"/>
            </w:pPr>
            <w:r/>
            <w:r>
              <w:rPr>
                <w:b w:val="0"/>
                <w:i w:val="0"/>
                <w:sz w:val="19"/>
              </w:rPr>
              <w:t>Equity value (EGP m)</w:t>
            </w:r>
          </w:p>
        </w:tc>
        <w:tc>
          <w:tcPr>
            <w:tcW w:type="dxa" w:w="4680"/>
          </w:tcPr>
          <w:p>
            <w:pPr>
              <w:spacing w:after="20" w:before="20"/>
              <w:jc w:val="right"/>
            </w:pPr>
            <w:r/>
            <w:r>
              <w:rPr>
                <w:b w:val="0"/>
                <w:i w:val="0"/>
                <w:sz w:val="19"/>
              </w:rPr>
              <w:t>2,964</w:t>
            </w:r>
          </w:p>
        </w:tc>
      </w:tr>
      <w:tr>
        <w:tc>
          <w:tcPr>
            <w:tcW w:type="dxa" w:w="4680"/>
            <w:shd w:val="clear" w:fill="EFF3F1"/>
          </w:tcPr>
          <w:p>
            <w:pPr>
              <w:spacing w:after="20" w:before="20"/>
            </w:pPr>
            <w:r/>
            <w:r>
              <w:rPr>
                <w:b w:val="0"/>
                <w:i w:val="0"/>
                <w:sz w:val="19"/>
              </w:rPr>
              <w:t>ROIC 2025 vs WACC</w:t>
            </w:r>
          </w:p>
        </w:tc>
        <w:tc>
          <w:tcPr>
            <w:tcW w:type="dxa" w:w="4680"/>
            <w:shd w:val="clear" w:fill="EFF3F1"/>
          </w:tcPr>
          <w:p>
            <w:pPr>
              <w:spacing w:after="20" w:before="20"/>
              <w:jc w:val="right"/>
            </w:pPr>
            <w:r/>
            <w:r>
              <w:rPr>
                <w:b w:val="0"/>
                <w:i w:val="0"/>
                <w:sz w:val="19"/>
              </w:rPr>
              <w:t>~11% vs ~21%</w:t>
            </w:r>
          </w:p>
        </w:tc>
      </w:tr>
      <w:tr>
        <w:tc>
          <w:tcPr>
            <w:tcW w:type="dxa" w:w="4680"/>
          </w:tcPr>
          <w:p>
            <w:pPr>
              <w:spacing w:after="20" w:before="20"/>
            </w:pPr>
            <w:r/>
            <w:r>
              <w:rPr>
                <w:b w:val="0"/>
                <w:i w:val="0"/>
                <w:sz w:val="19"/>
              </w:rPr>
              <w:t>ROIC 2028e</w:t>
            </w:r>
          </w:p>
        </w:tc>
        <w:tc>
          <w:tcPr>
            <w:tcW w:type="dxa" w:w="4680"/>
          </w:tcPr>
          <w:p>
            <w:pPr>
              <w:spacing w:after="20" w:before="20"/>
              <w:jc w:val="right"/>
            </w:pPr>
            <w:r/>
            <w:r>
              <w:rPr>
                <w:b w:val="0"/>
                <w:i w:val="0"/>
                <w:sz w:val="19"/>
              </w:rPr>
              <w:t>~14–15%</w:t>
            </w:r>
          </w:p>
        </w:tc>
      </w:tr>
      <w:tr>
        <w:tc>
          <w:tcPr>
            <w:tcW w:type="dxa" w:w="4680"/>
            <w:shd w:val="clear" w:fill="EFF3F1"/>
          </w:tcPr>
          <w:p>
            <w:pPr>
              <w:spacing w:after="20" w:before="20"/>
            </w:pPr>
            <w:r/>
            <w:r>
              <w:rPr>
                <w:b/>
                <w:i w:val="0"/>
                <w:sz w:val="19"/>
              </w:rPr>
              <w:t>Fair value</w:t>
            </w:r>
          </w:p>
        </w:tc>
        <w:tc>
          <w:tcPr>
            <w:tcW w:type="dxa" w:w="4680"/>
            <w:shd w:val="clear" w:fill="EFF3F1"/>
          </w:tcPr>
          <w:p>
            <w:pPr>
              <w:spacing w:after="20" w:before="20"/>
              <w:jc w:val="right"/>
            </w:pPr>
            <w:r/>
            <w:r>
              <w:rPr>
                <w:b/>
                <w:i w:val="0"/>
                <w:sz w:val="19"/>
              </w:rPr>
              <w:t>→ EGP 35/share</w:t>
            </w:r>
          </w:p>
        </w:tc>
      </w:tr>
    </w:tbl>
    <w:p/>
    <w:p>
      <w:r>
        <w:rPr>
          <w:b/>
          <w:i w:val="0"/>
        </w:rPr>
        <w:t>Sensitivity (swing = WACC / ROIC fade).</w:t>
      </w:r>
      <w:r>
        <w:rPr>
          <w:b w:val="0"/>
          <w:i w:val="0"/>
        </w:rPr>
        <w:t xml:space="preserve"> At a 19% WACC, EGP 45; at 23%, EGP 28. </w:t>
      </w:r>
      <w:r>
        <w:rPr>
          <w:b/>
          <w:i w:val="0"/>
        </w:rPr>
        <w:t>Cross-examination.</w:t>
      </w:r>
      <w:r>
        <w:rPr>
          <w:b w:val="0"/>
          <w:i w:val="0"/>
        </w:rPr>
        <w:t xml:space="preserve"> He tells Expert 1 that mid-cycle earnings without the capital cost to produce them is a half-truth — Lecico's working capital consumes the very cash a P/E capitalizes; he tells Expert 2 that a pure break-up mark ignores whether the assets, run as a going concern, earn their cost of capital (right now they do not).</w:t>
      </w:r>
    </w:p>
    <w:p>
      <w:r>
        <w:rPr>
          <w:b/>
          <w:i w:val="0"/>
        </w:rPr>
        <w:t>Verdict, falsification, market-implied. Fair EGP 35 (range EGP 23–54) — the middle of the three: cheap, but the capital does not yet earn its keep.</w:t>
      </w:r>
      <w:r>
        <w:rPr>
          <w:b w:val="0"/>
          <w:i w:val="0"/>
        </w:rPr>
        <w:t xml:space="preserve"> Falsified by a durable ROIC lift above WACC — a margin recovery that sticks and a working-capital model that stops absorbing cash. The market price is a little below his number; on a cash-returns basis the shares are modestly cheap, not deeply so.</w:t>
      </w:r>
    </w:p>
    <w:p>
      <w:pPr>
        <w:pStyle w:val="Heading2"/>
      </w:pPr>
      <w:r>
        <w:t>C.4  The three in one room</w:t>
      </w:r>
    </w:p>
    <w:p>
      <w:r>
        <w:rPr>
          <w:b w:val="0"/>
          <w:i w:val="0"/>
        </w:rPr>
        <w:t xml:space="preserve">The single fact they most disagree on is the same one: whether Lecico's booked profit is real, in the sense of becoming cash and earning its cost of capital. It is worth noting how unusual this is — in most names the three methods disagree about the </w:t>
      </w:r>
      <w:r>
        <w:rPr>
          <w:b w:val="0"/>
          <w:i/>
        </w:rPr>
        <w:t>nature</w:t>
      </w:r>
      <w:r>
        <w:rPr>
          <w:b w:val="0"/>
          <w:i w:val="0"/>
        </w:rPr>
        <w:t xml:space="preserve"> of the business, and the fair values scatter widely; here they agree on the nature and disagree only on one accounting-quality question, which is why the range is narrow and collapses on a single data point.</w:t>
      </w:r>
    </w:p>
    <w:p>
      <w:r>
        <w:rPr>
          <w:b/>
          <w:i w:val="0"/>
        </w:rPr>
        <w:t>Expert 1:</w:t>
      </w:r>
      <w:r>
        <w:rPr>
          <w:b w:val="0"/>
          <w:i w:val="0"/>
        </w:rPr>
        <w:t xml:space="preserve"> "2025 was a trough — a strong pound and an energy shock, not a broken business. Normalize the margin to mid-cycle and Lecico earns ~EGP 460m; the market is paying about six times that. The recovery is the value, and it is not yet in the price."</w:t>
      </w:r>
    </w:p>
    <w:p>
      <w:r>
        <w:rPr>
          <w:b/>
          <w:i w:val="0"/>
        </w:rPr>
        <w:t>Expert 2:</w:t>
      </w:r>
      <w:r>
        <w:rPr>
          <w:b w:val="0"/>
          <w:i w:val="0"/>
        </w:rPr>
        <w:t xml:space="preserve"> "Normalize all you like — in 2025 the company booked EGP 244m of profit and </w:t>
      </w:r>
      <w:r>
        <w:rPr>
          <w:b w:val="0"/>
          <w:i/>
        </w:rPr>
        <w:t>lost</w:t>
      </w:r>
      <w:r>
        <w:rPr>
          <w:b w:val="0"/>
          <w:i w:val="0"/>
        </w:rPr>
        <w:t xml:space="preserve"> EGP 196m of cash to working capital. I value what the assets realize net of the debt that is now rising: about EGP 31 a share. Show me the cash before you pay for the earnings."</w:t>
      </w:r>
    </w:p>
    <w:p>
      <w:r>
        <w:rPr>
          <w:b/>
          <w:i w:val="0"/>
        </w:rPr>
        <w:t>Expert 3:</w:t>
      </w:r>
      <w:r>
        <w:rPr>
          <w:b w:val="0"/>
          <w:i w:val="0"/>
        </w:rPr>
        <w:t xml:space="preserve"> "You are both partly right. The cash is real </w:t>
      </w:r>
      <w:r>
        <w:rPr>
          <w:b w:val="0"/>
          <w:i/>
        </w:rPr>
        <w:t>eventually</w:t>
      </w:r>
      <w:r>
        <w:rPr>
          <w:b w:val="0"/>
          <w:i w:val="0"/>
        </w:rPr>
        <w:t xml:space="preserve"> — my DCF is EGP 35 — but the capital to produce those earnings currently returns 11% against a 21% cost. Until that spread turns positive, I credit no premium to what the business earns."</w:t>
      </w:r>
    </w:p>
    <w:p>
      <w:r>
        <w:rPr>
          <w:b/>
          <w:i w:val="0"/>
        </w:rPr>
        <w:t>The moderator's question — what would move you?</w:t>
      </w:r>
      <w:r>
        <w:rPr>
          <w:b w:val="0"/>
          <w:i w:val="0"/>
        </w:rPr>
        <w:t xml:space="preserve"> Expert 1 concedes he is wrong if two clean cycles pass with EBIT stuck below 10%; then the trough was the trend. Expert 2 concedes he is too low if a single year turns operating cash decisively positive while the balance sheet de-levers; then the assets were never the point. Expert 3 concedes the middle is too cautious if ROIC crosses WACC and stays there; then the capital earns its keep and his hurdle is met. Notice that all three falsification conditions point at the </w:t>
      </w:r>
      <w:r>
        <w:rPr>
          <w:b w:val="0"/>
          <w:i/>
        </w:rPr>
        <w:t>same</w:t>
      </w:r>
      <w:r>
        <w:rPr>
          <w:b w:val="0"/>
          <w:i w:val="0"/>
        </w:rPr>
        <w:t xml:space="preserve"> line in the </w:t>
      </w:r>
      <w:r>
        <w:rPr>
          <w:b w:val="0"/>
          <w:i/>
        </w:rPr>
        <w:t>same</w:t>
      </w:r>
      <w:r>
        <w:rPr>
          <w:b w:val="0"/>
          <w:i w:val="0"/>
        </w:rPr>
        <w:t xml:space="preserve"> statement — the operating cash flow — from three directions. That is the tell that the disagreement, though expressed as three different fair values, is really one question wearing three hats.</w:t>
      </w:r>
    </w:p>
    <w:p>
      <w:pPr>
        <w:pStyle w:val="Heading2"/>
      </w:pPr>
      <w:r>
        <w:t>C.5  Reading the divergence</w:t>
      </w:r>
    </w:p>
    <w:p>
      <w:pPr>
        <w:jc w:val="center"/>
      </w:pPr>
      <w:r>
        <w:drawing>
          <wp:inline xmlns:a="http://schemas.openxmlformats.org/drawingml/2006/main" xmlns:pic="http://schemas.openxmlformats.org/drawingml/2006/picture">
            <wp:extent cx="5577840" cy="3286109"/>
            <wp:docPr id="8" name="Picture 8"/>
            <wp:cNvGraphicFramePr>
              <a:graphicFrameLocks noChangeAspect="1"/>
            </wp:cNvGraphicFramePr>
            <a:graphic>
              <a:graphicData uri="http://schemas.openxmlformats.org/drawingml/2006/picture">
                <pic:pic>
                  <pic:nvPicPr>
                    <pic:cNvPr id="0" name="figD1_experts.png"/>
                    <pic:cNvPicPr/>
                  </pic:nvPicPr>
                  <pic:blipFill>
                    <a:blip r:embed="rId25"/>
                    <a:stretch>
                      <a:fillRect/>
                    </a:stretch>
                  </pic:blipFill>
                  <pic:spPr>
                    <a:xfrm>
                      <a:off x="0" y="0"/>
                      <a:ext cx="5577840" cy="3286109"/>
                    </a:xfrm>
                    <a:prstGeom prst="rect"/>
                  </pic:spPr>
                </pic:pic>
              </a:graphicData>
            </a:graphic>
          </wp:inline>
        </w:drawing>
      </w:r>
    </w:p>
    <w:p>
      <w:pPr>
        <w:jc w:val="center"/>
      </w:pPr>
      <w:r>
        <w:rPr>
          <w:i/>
          <w:color w:val="666666"/>
          <w:sz w:val="16"/>
        </w:rPr>
        <w:t>Figure C-1 — The three experts' fair-value ranges. Brass ticks are base cases; the gold band is the central, the dark line is spot. The spread is almost entirely a cash-conversion disagreement.</w:t>
      </w:r>
    </w:p>
    <w:tbl>
      <w:tblPr>
        <w:tblW w:type="auto" w:w="0"/>
        <w:tblLayout w:type="autofit"/>
        <w:tblLook w:firstColumn="1" w:firstRow="1" w:lastColumn="0" w:lastRow="0" w:noHBand="0" w:noVBand="1" w:val="04A0"/>
        <w:tblBorders>
          <w:top w:val="single" w:sz="4" w:space="0" w:color="C9D6D3"/>
          <w:left w:val="single" w:sz="4" w:space="0" w:color="C9D6D3"/>
          <w:bottom w:val="single" w:sz="4" w:space="0" w:color="C9D6D3"/>
          <w:right w:val="single" w:sz="4" w:space="0" w:color="C9D6D3"/>
          <w:insideH w:val="single" w:sz="4" w:space="0" w:color="C9D6D3"/>
          <w:insideV w:val="single" w:sz="4" w:space="0" w:color="C9D6D3"/>
        </w:tblBorders>
      </w:tblPr>
      <w:tblGrid>
        <w:gridCol w:w="2340"/>
        <w:gridCol w:w="2340"/>
        <w:gridCol w:w="2340"/>
        <w:gridCol w:w="2340"/>
      </w:tblGrid>
      <w:tr>
        <w:tc>
          <w:tcPr>
            <w:tcW w:type="dxa" w:w="2340"/>
            <w:shd w:val="clear" w:fill="1C3A36"/>
          </w:tcPr>
          <w:p>
            <w:pPr>
              <w:spacing w:after="20" w:before="20"/>
            </w:pPr>
            <w:r/>
            <w:r>
              <w:rPr>
                <w:b/>
                <w:i w:val="0"/>
                <w:color w:val="FFFFFF"/>
                <w:sz w:val="19"/>
              </w:rPr>
              <w:t>Expert</w:t>
            </w:r>
          </w:p>
        </w:tc>
        <w:tc>
          <w:tcPr>
            <w:tcW w:type="dxa" w:w="2340"/>
            <w:shd w:val="clear" w:fill="1C3A36"/>
          </w:tcPr>
          <w:p>
            <w:pPr>
              <w:spacing w:after="20" w:before="20"/>
              <w:jc w:val="right"/>
            </w:pPr>
            <w:r/>
            <w:r>
              <w:rPr>
                <w:b/>
                <w:i w:val="0"/>
                <w:color w:val="FFFFFF"/>
                <w:sz w:val="19"/>
              </w:rPr>
              <w:t>Method</w:t>
            </w:r>
          </w:p>
        </w:tc>
        <w:tc>
          <w:tcPr>
            <w:tcW w:type="dxa" w:w="2340"/>
            <w:shd w:val="clear" w:fill="1C3A36"/>
          </w:tcPr>
          <w:p>
            <w:pPr>
              <w:spacing w:after="20" w:before="20"/>
              <w:jc w:val="right"/>
            </w:pPr>
            <w:r/>
            <w:r>
              <w:rPr>
                <w:b/>
                <w:i w:val="0"/>
                <w:color w:val="FFFFFF"/>
                <w:sz w:val="19"/>
              </w:rPr>
              <w:t>Single swing assumption</w:t>
            </w:r>
          </w:p>
        </w:tc>
        <w:tc>
          <w:tcPr>
            <w:tcW w:type="dxa" w:w="2340"/>
            <w:shd w:val="clear" w:fill="1C3A36"/>
          </w:tcPr>
          <w:p>
            <w:pPr>
              <w:spacing w:after="20" w:before="20"/>
              <w:jc w:val="right"/>
            </w:pPr>
            <w:r/>
            <w:r>
              <w:rPr>
                <w:b/>
                <w:i w:val="0"/>
                <w:color w:val="FFFFFF"/>
                <w:sz w:val="19"/>
              </w:rPr>
              <w:t>Base fair value</w:t>
            </w:r>
          </w:p>
        </w:tc>
      </w:tr>
      <w:tr>
        <w:tc>
          <w:tcPr>
            <w:tcW w:type="dxa" w:w="2340"/>
          </w:tcPr>
          <w:p>
            <w:pPr>
              <w:spacing w:after="20" w:before="20"/>
            </w:pPr>
            <w:r/>
            <w:r>
              <w:rPr>
                <w:b w:val="0"/>
                <w:i w:val="0"/>
                <w:sz w:val="19"/>
              </w:rPr>
              <w:t>Expert 1</w:t>
            </w:r>
          </w:p>
        </w:tc>
        <w:tc>
          <w:tcPr>
            <w:tcW w:type="dxa" w:w="2340"/>
          </w:tcPr>
          <w:p>
            <w:pPr>
              <w:spacing w:after="20" w:before="20"/>
              <w:jc w:val="right"/>
            </w:pPr>
            <w:r/>
            <w:r>
              <w:rPr>
                <w:b w:val="0"/>
                <w:i w:val="0"/>
                <w:sz w:val="19"/>
              </w:rPr>
              <w:t>Normalized earnings power</w:t>
            </w:r>
          </w:p>
        </w:tc>
        <w:tc>
          <w:tcPr>
            <w:tcW w:type="dxa" w:w="2340"/>
          </w:tcPr>
          <w:p>
            <w:pPr>
              <w:spacing w:after="20" w:before="20"/>
              <w:jc w:val="right"/>
            </w:pPr>
            <w:r/>
            <w:r>
              <w:rPr>
                <w:b w:val="0"/>
                <w:i w:val="0"/>
                <w:sz w:val="19"/>
              </w:rPr>
              <w:t>Mid-cycle EBIT margin / 6.8× P/E</w:t>
            </w:r>
          </w:p>
        </w:tc>
        <w:tc>
          <w:tcPr>
            <w:tcW w:type="dxa" w:w="2340"/>
          </w:tcPr>
          <w:p>
            <w:pPr>
              <w:spacing w:after="20" w:before="20"/>
              <w:jc w:val="right"/>
            </w:pPr>
            <w:r/>
            <w:r>
              <w:rPr>
                <w:b w:val="0"/>
                <w:i w:val="0"/>
                <w:sz w:val="19"/>
              </w:rPr>
              <w:t>EGP 40</w:t>
            </w:r>
          </w:p>
        </w:tc>
      </w:tr>
      <w:tr>
        <w:tc>
          <w:tcPr>
            <w:tcW w:type="dxa" w:w="2340"/>
            <w:shd w:val="clear" w:fill="EFF3F1"/>
          </w:tcPr>
          <w:p>
            <w:pPr>
              <w:spacing w:after="20" w:before="20"/>
            </w:pPr>
            <w:r/>
            <w:r>
              <w:rPr>
                <w:b w:val="0"/>
                <w:i w:val="0"/>
                <w:sz w:val="19"/>
              </w:rPr>
              <w:t>Expert 2</w:t>
            </w:r>
          </w:p>
        </w:tc>
        <w:tc>
          <w:tcPr>
            <w:tcW w:type="dxa" w:w="2340"/>
            <w:shd w:val="clear" w:fill="EFF3F1"/>
          </w:tcPr>
          <w:p>
            <w:pPr>
              <w:spacing w:after="20" w:before="20"/>
              <w:jc w:val="right"/>
            </w:pPr>
            <w:r/>
            <w:r>
              <w:rPr>
                <w:b w:val="0"/>
                <w:i w:val="0"/>
                <w:sz w:val="19"/>
              </w:rPr>
              <w:t>Accountant (RNAV + cash quality)</w:t>
            </w:r>
          </w:p>
        </w:tc>
        <w:tc>
          <w:tcPr>
            <w:tcW w:type="dxa" w:w="2340"/>
            <w:shd w:val="clear" w:fill="EFF3F1"/>
          </w:tcPr>
          <w:p>
            <w:pPr>
              <w:spacing w:after="20" w:before="20"/>
              <w:jc w:val="right"/>
            </w:pPr>
            <w:r/>
            <w:r>
              <w:rPr>
                <w:b w:val="0"/>
                <w:i w:val="0"/>
                <w:sz w:val="19"/>
              </w:rPr>
              <w:t>Asset haircut + cash-conversion overlay</w:t>
            </w:r>
          </w:p>
        </w:tc>
        <w:tc>
          <w:tcPr>
            <w:tcW w:type="dxa" w:w="2340"/>
            <w:shd w:val="clear" w:fill="EFF3F1"/>
          </w:tcPr>
          <w:p>
            <w:pPr>
              <w:spacing w:after="20" w:before="20"/>
              <w:jc w:val="right"/>
            </w:pPr>
            <w:r/>
            <w:r>
              <w:rPr>
                <w:b w:val="0"/>
                <w:i w:val="0"/>
                <w:sz w:val="19"/>
              </w:rPr>
              <w:t>EGP 31</w:t>
            </w:r>
          </w:p>
        </w:tc>
      </w:tr>
      <w:tr>
        <w:tc>
          <w:tcPr>
            <w:tcW w:type="dxa" w:w="2340"/>
          </w:tcPr>
          <w:p>
            <w:pPr>
              <w:spacing w:after="20" w:before="20"/>
            </w:pPr>
            <w:r/>
            <w:r>
              <w:rPr>
                <w:b w:val="0"/>
                <w:i w:val="0"/>
                <w:sz w:val="19"/>
              </w:rPr>
              <w:t>Expert 3</w:t>
            </w:r>
          </w:p>
        </w:tc>
        <w:tc>
          <w:tcPr>
            <w:tcW w:type="dxa" w:w="2340"/>
          </w:tcPr>
          <w:p>
            <w:pPr>
              <w:spacing w:after="20" w:before="20"/>
              <w:jc w:val="right"/>
            </w:pPr>
            <w:r/>
            <w:r>
              <w:rPr>
                <w:b w:val="0"/>
                <w:i w:val="0"/>
                <w:sz w:val="19"/>
              </w:rPr>
              <w:t>Cash returns / ROIC</w:t>
            </w:r>
          </w:p>
        </w:tc>
        <w:tc>
          <w:tcPr>
            <w:tcW w:type="dxa" w:w="2340"/>
          </w:tcPr>
          <w:p>
            <w:pPr>
              <w:spacing w:after="20" w:before="20"/>
              <w:jc w:val="right"/>
            </w:pPr>
            <w:r/>
            <w:r>
              <w:rPr>
                <w:b w:val="0"/>
                <w:i w:val="0"/>
                <w:sz w:val="19"/>
              </w:rPr>
              <w:t>WACC (~21%) and the ROIC-fade speed</w:t>
            </w:r>
          </w:p>
        </w:tc>
        <w:tc>
          <w:tcPr>
            <w:tcW w:type="dxa" w:w="2340"/>
          </w:tcPr>
          <w:p>
            <w:pPr>
              <w:spacing w:after="20" w:before="20"/>
              <w:jc w:val="right"/>
            </w:pPr>
            <w:r/>
            <w:r>
              <w:rPr>
                <w:b w:val="0"/>
                <w:i w:val="0"/>
                <w:sz w:val="19"/>
              </w:rPr>
              <w:t>EGP 35</w:t>
            </w:r>
          </w:p>
        </w:tc>
      </w:tr>
    </w:tbl>
    <w:p/>
    <w:p>
      <w:r>
        <w:rPr>
          <w:b w:val="0"/>
          <w:i w:val="0"/>
        </w:rPr>
        <w:t>The spread — EGP 31 to 40 at base — is narrow, and it is almost entirely a cash-conversion disagreement: none of the three contests that Lecico is a real, exporting, low-cost manufacturer trading below book. What separates them is whether the earnings become cash and earn their cost of capital. Expert 1 says yes (normalize the trough); Expert 2 says prove it (the cash was negative); Expert 3 says eventually, but the capital does not yet earn its keep. The EGP 9 spread is therefore a clean measure of one uncertainty — the quality of Lecico's cash conversion — and it is a narrow spread precisely because that single uncertainty, while real, is bounded: even the sceptic's realizable-asset floor sits above spot. This is the useful signal of a standing panel. When three methods that usually diverge widely instead cluster within EGP 9, the disagreement has been localised to one testable question, and the investor knows exactly what to watch: not the margin, not the multiple, not the macro, but the operating-cash-flow line. Resolve that — one clean quarter of decisively positive operating cash flow, a working-capital build that reverses rather than compounds — and the three converge upward; see it worsen, and Expert 2's floor becomes the ceiling. The panel's job is not to produce a single number but to name the one thing whose resolution collapses the range, and here it has done so.</w:t>
      </w:r>
    </w:p>
    <w:p>
      <w:r>
        <w:rPr>
          <w:b w:val="0"/>
          <w:i/>
        </w:rPr>
        <w:t>Each expert's point fair value (and bull/base/bear) is logged with the study date (6 Jul 2026) and spot (EGP 29.45) as an internal per-expert track record, kept separate from the core Calibration Ledger. When Lecico next reports, this panel is re-run — not re-trained — on the fresh numbers, and the three logged fair values are scored against the print, so that over successive studies we learn which method reads this name best and hold each persona to the same forecast-versus-actual discipline the Step 0 backtest applies to the price engine.</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2" w:sz="4" w:space="2"/>
      </w:pBdr>
      <w:tabs>
        <w:tab w:val="center" w:pos="4680"/>
        <w:tab w:val="right" w:pos="9360"/>
      </w:tabs>
      <w:spacing w:before="0"/>
    </w:pPr>
    <w:r>
      <w:rPr>
        <w:color w:val="8A9692"/>
        <w:sz w:val="15"/>
        <w:szCs w:val="15"/>
      </w:rPr>
      <w:t xml:space="preserve">testahil.com</w:t>
    </w:r>
    <w:r>
      <w:rPr>
        <w:color w:val="8A9692"/>
        <w:sz w:val="15"/>
        <w:szCs w:val="15"/>
      </w:rPr>
      <w:t xml:space="preserve">	Educational analysis · Not investment advice	</w:t>
    </w:r>
    <w:r>
      <w:rPr>
        <w:color w:val="8A9692"/>
        <w:sz w:val="15"/>
        <w:szCs w:val="15"/>
      </w:rPr>
      <w:t xml:space="preserve">Page </w:t>
    </w:r>
    <w:r>
      <w:rPr>
        <w:color w:val="8A969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2" w:sz="4" w:space="2"/>
      </w:pBdr>
      <w:tabs>
        <w:tab w:val="right" w:pos="9360"/>
      </w:tabs>
      <w:spacing w:after="0"/>
    </w:pPr>
    <w:r>
      <w:rPr>
        <w:color w:val="8A9692"/>
        <w:sz w:val="15"/>
        <w:szCs w:val="15"/>
      </w:rPr>
      <w:t xml:space="preserve">Testahil · Independent Valuation Study</w:t>
    </w:r>
    <w:r>
      <w:rPr>
        <w:color w:val="8A9692"/>
        <w:sz w:val="15"/>
        <w:szCs w:val="15"/>
      </w:rPr>
      <w:t xml:space="preserve">	Tata Motors Passenger Vehicles Ltd (NSE: TMPV)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A45F" w:sz="6" w:space="4"/>
      </w:pBdr>
      <w:spacing w:after="140" w:before="300"/>
      <w:outlineLvl w:val="0"/>
    </w:pPr>
    <w:rPr>
      <w:rFonts w:ascii="Calibri" w:cs="Calibri" w:eastAsia="Calibri" w:hAnsi="Calibri"/>
      <w:b/>
      <w:bCs/>
      <w:color w:val="1C3A36"/>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896F3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6a88286511c6284da9a11e1aa90364e16e7d2f.png"/><Relationship Id="rId10" Type="http://schemas.openxmlformats.org/officeDocument/2006/relationships/image" Target="media/476f9b952d3d04f3b7bd496ddc48510f8bac7ec8.png"/><Relationship Id="rId11" Type="http://schemas.openxmlformats.org/officeDocument/2006/relationships/image" Target="media/eb2aa6468efb44c50b47bc752c519ac8a1252f7a.png"/><Relationship Id="rId12" Type="http://schemas.openxmlformats.org/officeDocument/2006/relationships/image" Target="media/4a369d0fa877f25342ea0737c7d6798a862ac356.png"/><Relationship Id="rId13" Type="http://schemas.openxmlformats.org/officeDocument/2006/relationships/image" Target="media/a3b315cde17aae2b64f128feb1c0ac6bdcb8067a.png"/><Relationship Id="rId14" Type="http://schemas.openxmlformats.org/officeDocument/2006/relationships/image" Target="media/92d3ebed8e5fd8872a89574a1e7bfd32d0a931ea.png"/><Relationship Id="rId15" Type="http://schemas.openxmlformats.org/officeDocument/2006/relationships/image" Target="media/0835c9ccffa26c9eed7da22f2ef7f3743409eaa0.png"/><Relationship Id="rId16" Type="http://schemas.openxmlformats.org/officeDocument/2006/relationships/image" Target="media/e0274902b16131ae84479ff36f0ade5349a36d67.png"/><Relationship Id="rId17" Type="http://schemas.openxmlformats.org/officeDocument/2006/relationships/fontTable" Target="fontTable.xml"/><Relationship Id="rId18" Type="http://schemas.openxmlformats.org/officeDocument/2006/relationships/image" Target="media/image1.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Motors PV (NSE: TMPV) — Independent Valuation Study</dc:title>
  <dc:creator>Testahil</dc:creator>
  <cp:lastModifiedBy>Un-named</cp:lastModifiedBy>
  <cp:revision>1</cp:revision>
  <dcterms:created xsi:type="dcterms:W3CDTF">2026-06-30T19:26:38.814Z</dcterms:created>
  <dcterms:modified xsi:type="dcterms:W3CDTF">2026-06-30T19:26:38.827Z</dcterms:modified>
</cp:coreProperties>
</file>

<file path=docProps/custom.xml><?xml version="1.0" encoding="utf-8"?>
<Properties xmlns="http://schemas.openxmlformats.org/officeDocument/2006/custom-properties" xmlns:vt="http://schemas.openxmlformats.org/officeDocument/2006/docPropsVTypes"/>
</file>