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32"/>
        </w:rPr>
        <w:t>Lulu Retail Holdings PLC (ADX: LULU) — Source Register</w:t>
      </w:r>
    </w:p>
    <w:p>
      <w:r>
        <w:rPr>
          <w:i/>
          <w:color w:val="6C7A89"/>
          <w:sz w:val="18"/>
        </w:rPr>
        <w:t>Every finding behind the 12 July 2026 valuation study — dated, attributed, and including what was searched for and NOT found.</w:t>
      </w:r>
    </w:p>
    <w:p>
      <w:r>
        <w:rPr>
          <w:sz w:val="19"/>
        </w:rPr>
        <w:t>The rows marked "Searched — not found" are deliberate. A figure that was looked for and shown not to exist is as much a part of the record as one that does, and each of them is carried through the study as an explicit limitation rather than quietly filled with an estimate. No financial-statement line in the study comes from a data aggregator; every one is the company's own disclosure.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Scope</w:t>
            </w:r>
          </w:p>
        </w:tc>
        <w:tc>
          <w:tcPr>
            <w:tcW w:type="dxa" w:w="1728"/>
          </w:tcPr>
          <w:p>
            <w:r/>
            <w:r>
              <w:rPr>
                <w:b/>
                <w:sz w:val="17"/>
              </w:rPr>
              <w:t>Kind</w:t>
            </w:r>
          </w:p>
        </w:tc>
        <w:tc>
          <w:tcPr>
            <w:tcW w:type="dxa" w:w="1728"/>
          </w:tcPr>
          <w:p>
            <w:r/>
            <w:r>
              <w:rPr>
                <w:b/>
                <w:sz w:val="17"/>
              </w:rPr>
              <w:t>Finding</w:t>
            </w:r>
          </w:p>
        </w:tc>
        <w:tc>
          <w:tcPr>
            <w:tcW w:type="dxa" w:w="1728"/>
          </w:tcPr>
          <w:p>
            <w:r/>
            <w:r>
              <w:rPr>
                <w:b/>
                <w:sz w:val="17"/>
              </w:rPr>
              <w:t>Source</w:t>
            </w:r>
          </w:p>
        </w:tc>
        <w:tc>
          <w:tcPr>
            <w:tcW w:type="dxa" w:w="1728"/>
          </w:tcPr>
          <w:p>
            <w:r/>
            <w:r>
              <w:rPr>
                <w:b/>
                <w:sz w:val="17"/>
              </w:rPr>
              <w:t>Date</w:t>
            </w:r>
          </w:p>
        </w:tc>
      </w:tr>
      <w:tr>
        <w:tc>
          <w:tcPr>
            <w:tcW w:type="dxa" w:w="1728"/>
          </w:tcPr>
          <w:p>
            <w:r/>
            <w:r>
              <w:rPr>
                <w:sz w:val="16"/>
              </w:rPr>
              <w:t>Global</w:t>
            </w:r>
          </w:p>
        </w:tc>
        <w:tc>
          <w:tcPr>
            <w:tcW w:type="dxa" w:w="1728"/>
          </w:tcPr>
          <w:p>
            <w:r/>
            <w:r>
              <w:rPr>
                <w:sz w:val="16"/>
              </w:rPr>
              <w:t>Structural</w:t>
            </w:r>
          </w:p>
        </w:tc>
        <w:tc>
          <w:tcPr>
            <w:tcW w:type="dxa" w:w="1728"/>
          </w:tcPr>
          <w:p>
            <w:r/>
            <w:r>
              <w:rPr>
                <w:sz w:val="16"/>
              </w:rPr>
              <w:t>AED hard-pegged to USD at 3.6725; CBUAE Base Rate 3.65% tracks the Fed. AED T-Bond programme is the study's rf source: Jan-2031 tranche cleared 4.30% (23-May-26 auction); longest AED tenor is the 7-yr Feb-2033 T-Sukuk at 4.13% (Apr-26). No 10-yr AED tenor exists.</w:t>
            </w:r>
          </w:p>
        </w:tc>
        <w:tc>
          <w:tcPr>
            <w:tcW w:type="dxa" w:w="1728"/>
          </w:tcPr>
          <w:p>
            <w:r/>
            <w:r>
              <w:rPr>
                <w:sz w:val="16"/>
              </w:rPr>
              <w:t>UAE Ministry of Finance T-Bond auction releases; CBUAE</w:t>
            </w:r>
          </w:p>
        </w:tc>
        <w:tc>
          <w:tcPr>
            <w:tcW w:type="dxa" w:w="1728"/>
          </w:tcPr>
          <w:p>
            <w:r/>
            <w:r>
              <w:rPr>
                <w:sz w:val="16"/>
              </w:rPr>
              <w:t>23 May 2026</w:t>
            </w:r>
          </w:p>
        </w:tc>
      </w:tr>
      <w:tr>
        <w:tc>
          <w:tcPr>
            <w:tcW w:type="dxa" w:w="1728"/>
          </w:tcPr>
          <w:p>
            <w:r/>
            <w:r>
              <w:rPr>
                <w:sz w:val="16"/>
              </w:rPr>
              <w:t>Global</w:t>
            </w:r>
          </w:p>
        </w:tc>
        <w:tc>
          <w:tcPr>
            <w:tcW w:type="dxa" w:w="1728"/>
          </w:tcPr>
          <w:p>
            <w:r/>
            <w:r>
              <w:rPr>
                <w:sz w:val="16"/>
              </w:rPr>
              <w:t>Structural</w:t>
            </w:r>
          </w:p>
        </w:tc>
        <w:tc>
          <w:tcPr>
            <w:tcW w:type="dxa" w:w="1728"/>
          </w:tcPr>
          <w:p>
            <w:r/>
            <w:r>
              <w:rPr>
                <w:sz w:val="16"/>
              </w:rPr>
              <w:t>Global food commodity prices and freight are LULU's principal input cost. The 2026 Strait of Hormuz crisis (US/Israel strikes and IRGC VHF closure warnings 28-Feb-26; formal IRGC closure announced 2-Mar-26; 'complete control' declared 4-Mar-26; US naval blockade 13-Apr to 29-May; Islamabad MOU signed 17-Jun-26 and the strait reopening) disrupted GCC food imports; regional consumer price spikes were reported. LULU airlifted staples and kept all stores stocked and open.</w:t>
            </w:r>
          </w:p>
        </w:tc>
        <w:tc>
          <w:tcPr>
            <w:tcW w:type="dxa" w:w="1728"/>
          </w:tcPr>
          <w:p>
            <w:r/>
            <w:r>
              <w:rPr>
                <w:sz w:val="16"/>
              </w:rPr>
              <w:t>Company Q1-2026 results commentary; press coverage of the disruption</w:t>
            </w:r>
          </w:p>
        </w:tc>
        <w:tc>
          <w:tcPr>
            <w:tcW w:type="dxa" w:w="1728"/>
          </w:tcPr>
          <w:p>
            <w:r/>
            <w:r>
              <w:rPr>
                <w:sz w:val="16"/>
              </w:rPr>
              <w:t>11 May 2026</w:t>
            </w:r>
          </w:p>
        </w:tc>
      </w:tr>
      <w:tr>
        <w:tc>
          <w:tcPr>
            <w:tcW w:type="dxa" w:w="1728"/>
          </w:tcPr>
          <w:p>
            <w:r/>
            <w:r>
              <w:rPr>
                <w:sz w:val="16"/>
              </w:rPr>
              <w:t>Global</w:t>
            </w:r>
          </w:p>
        </w:tc>
        <w:tc>
          <w:tcPr>
            <w:tcW w:type="dxa" w:w="1728"/>
          </w:tcPr>
          <w:p>
            <w:r/>
            <w:r>
              <w:rPr>
                <w:sz w:val="16"/>
              </w:rPr>
              <w:t>COLOR</w:t>
            </w:r>
          </w:p>
        </w:tc>
        <w:tc>
          <w:tcPr>
            <w:tcW w:type="dxa" w:w="1728"/>
          </w:tcPr>
          <w:p>
            <w:r/>
            <w:r>
              <w:rPr>
                <w:sz w:val="16"/>
              </w:rPr>
              <w:t>Global grocery retail is a low-growth, low-margin, defensive category. Global retail sector EV/EBITDA ~11.7x (all retail); listed food retailers cluster far lower at ~5-7x (Tesco, Ahold Delhaize, Carrefour), with Jeronimo Martins at a premium.</w:t>
            </w:r>
          </w:p>
        </w:tc>
        <w:tc>
          <w:tcPr>
            <w:tcW w:type="dxa" w:w="1728"/>
          </w:tcPr>
          <w:p>
            <w:r/>
            <w:r>
              <w:rPr>
                <w:sz w:val="16"/>
              </w:rPr>
              <w:t>Statista global retail sector multiples; peer quotes</w:t>
            </w:r>
          </w:p>
        </w:tc>
        <w:tc>
          <w:tcPr>
            <w:tcW w:type="dxa" w:w="1728"/>
          </w:tcPr>
          <w:p>
            <w:r/>
            <w:r>
              <w:rPr>
                <w:sz w:val="16"/>
              </w:rPr>
              <w:t>11 Jul 2026</w:t>
            </w:r>
          </w:p>
        </w:tc>
      </w:tr>
      <w:tr>
        <w:tc>
          <w:tcPr>
            <w:tcW w:type="dxa" w:w="1728"/>
          </w:tcPr>
          <w:p>
            <w:r/>
            <w:r>
              <w:rPr>
                <w:sz w:val="16"/>
              </w:rPr>
              <w:t>Global</w:t>
            </w:r>
          </w:p>
        </w:tc>
        <w:tc>
          <w:tcPr>
            <w:tcW w:type="dxa" w:w="1728"/>
          </w:tcPr>
          <w:p>
            <w:r/>
            <w:r>
              <w:rPr>
                <w:sz w:val="16"/>
              </w:rPr>
              <w:t>Structural</w:t>
            </w:r>
          </w:p>
        </w:tc>
        <w:tc>
          <w:tcPr>
            <w:tcW w:type="dxa" w:w="1728"/>
          </w:tcPr>
          <w:p>
            <w:r/>
            <w:r>
              <w:rPr>
                <w:sz w:val="16"/>
              </w:rPr>
              <w:t>LULU sources from 85 countries via 19 sourcing centres — an unusually deep own-import chain for a regional grocer. The Hormuz disruption tested it directly; management reported all stores remained open and well-stocked, which is the falsifiable claim.</w:t>
            </w:r>
          </w:p>
        </w:tc>
        <w:tc>
          <w:tcPr>
            <w:tcW w:type="dxa" w:w="1728"/>
          </w:tcPr>
          <w:p>
            <w:r/>
            <w:r>
              <w:rPr>
                <w:sz w:val="16"/>
              </w:rPr>
              <w:t>Company Q1-2026 earnings release</w:t>
            </w:r>
          </w:p>
        </w:tc>
        <w:tc>
          <w:tcPr>
            <w:tcW w:type="dxa" w:w="1728"/>
          </w:tcPr>
          <w:p>
            <w:r/>
            <w:r>
              <w:rPr>
                <w:sz w:val="16"/>
              </w:rPr>
              <w:t>11 May 2026</w:t>
            </w:r>
          </w:p>
        </w:tc>
      </w:tr>
      <w:tr>
        <w:tc>
          <w:tcPr>
            <w:tcW w:type="dxa" w:w="1728"/>
          </w:tcPr>
          <w:p>
            <w:r/>
            <w:r>
              <w:rPr>
                <w:sz w:val="16"/>
              </w:rPr>
              <w:t>Country</w:t>
            </w:r>
          </w:p>
        </w:tc>
        <w:tc>
          <w:tcPr>
            <w:tcW w:type="dxa" w:w="1728"/>
          </w:tcPr>
          <w:p>
            <w:r/>
            <w:r>
              <w:rPr>
                <w:sz w:val="16"/>
              </w:rPr>
              <w:t>COLOR</w:t>
            </w:r>
          </w:p>
        </w:tc>
        <w:tc>
          <w:tcPr>
            <w:tcW w:type="dxa" w:w="1728"/>
          </w:tcPr>
          <w:p>
            <w:r/>
            <w:r>
              <w:rPr>
                <w:sz w:val="16"/>
              </w:rPr>
              <w:t>UAE Aa2 (Moody's). GDP +5.6% (2025), non-oil +6.1%. Inflation 1.3% avg 2025; food inflation easing. Peg intact — no devaluation channel. Q1/Q2-2026 growth sharply decelerated on the Hormuz closure. KSA: Vision-2030 population and retail growth, offset by Saudization labour cost.</w:t>
            </w:r>
          </w:p>
        </w:tc>
        <w:tc>
          <w:tcPr>
            <w:tcW w:type="dxa" w:w="1728"/>
          </w:tcPr>
          <w:p>
            <w:r/>
            <w:r>
              <w:rPr>
                <w:sz w:val="16"/>
              </w:rPr>
              <w:t>CBUAE; World Bank; Damodaran country file (Aa2)</w:t>
            </w:r>
          </w:p>
        </w:tc>
        <w:tc>
          <w:tcPr>
            <w:tcW w:type="dxa" w:w="1728"/>
          </w:tcPr>
          <w:p>
            <w:r/>
            <w:r>
              <w:rPr>
                <w:sz w:val="16"/>
              </w:rPr>
              <w:t>11 Jul 2026</w:t>
            </w:r>
          </w:p>
        </w:tc>
      </w:tr>
      <w:tr>
        <w:tc>
          <w:tcPr>
            <w:tcW w:type="dxa" w:w="1728"/>
          </w:tcPr>
          <w:p>
            <w:r/>
            <w:r>
              <w:rPr>
                <w:sz w:val="16"/>
              </w:rPr>
              <w:t>Country</w:t>
            </w:r>
          </w:p>
        </w:tc>
        <w:tc>
          <w:tcPr>
            <w:tcW w:type="dxa" w:w="1728"/>
          </w:tcPr>
          <w:p>
            <w:r/>
            <w:r>
              <w:rPr>
                <w:sz w:val="16"/>
              </w:rPr>
              <w:t>Unlocks a driver</w:t>
            </w:r>
          </w:p>
        </w:tc>
        <w:tc>
          <w:tcPr>
            <w:tcW w:type="dxa" w:w="1728"/>
          </w:tcPr>
          <w:p>
            <w:r/>
            <w:r>
              <w:rPr>
                <w:sz w:val="16"/>
              </w:rPr>
              <w:t>UAE 9% federal corporate tax effective for FYs beginning on/after 1-Jun-2023. KSA subsidiary taxed under Saudi CIT/zakat. Group effective tax rate FY2025 = 11.85% (27.499 / 232.031), FY2024 = 9.35% — rising with the KSA mix. No price caps on grocery retail.</w:t>
            </w:r>
          </w:p>
        </w:tc>
        <w:tc>
          <w:tcPr>
            <w:tcW w:type="dxa" w:w="1728"/>
          </w:tcPr>
          <w:p>
            <w:r/>
            <w:r>
              <w:rPr>
                <w:sz w:val="16"/>
              </w:rPr>
              <w:t>FY2025 audited consolidated financial statements (Deloitte)</w:t>
            </w:r>
          </w:p>
        </w:tc>
        <w:tc>
          <w:tcPr>
            <w:tcW w:type="dxa" w:w="1728"/>
          </w:tcPr>
          <w:p>
            <w:r/>
            <w:r>
              <w:rPr>
                <w:sz w:val="16"/>
              </w:rPr>
              <w:t>18 Mar 2026</w:t>
            </w:r>
          </w:p>
        </w:tc>
      </w:tr>
      <w:tr>
        <w:tc>
          <w:tcPr>
            <w:tcW w:type="dxa" w:w="1728"/>
          </w:tcPr>
          <w:p>
            <w:r/>
            <w:r>
              <w:rPr>
                <w:sz w:val="16"/>
              </w:rPr>
              <w:t>Country</w:t>
            </w:r>
          </w:p>
        </w:tc>
        <w:tc>
          <w:tcPr>
            <w:tcW w:type="dxa" w:w="1728"/>
          </w:tcPr>
          <w:p>
            <w:r/>
            <w:r>
              <w:rPr>
                <w:sz w:val="16"/>
              </w:rPr>
              <w:t>Structural</w:t>
            </w:r>
          </w:p>
        </w:tc>
        <w:tc>
          <w:tcPr>
            <w:tcW w:type="dxa" w:w="1728"/>
          </w:tcPr>
          <w:p>
            <w:r/>
            <w:r>
              <w:rPr>
                <w:sz w:val="16"/>
              </w:rPr>
              <w:t>The 2026 regional escalation / Strait of Hormuz closure is the dominant country-ring event: it hit during the MARCH portion of Ramadan (c.18-Feb to 19-Mar-2026), grocery's seasonal peak. LULU's Q1-2026 revenue fell 2.9% and net income fell 33% — a Ramadan quarter that went backwards.</w:t>
            </w:r>
          </w:p>
        </w:tc>
        <w:tc>
          <w:tcPr>
            <w:tcW w:type="dxa" w:w="1728"/>
          </w:tcPr>
          <w:p>
            <w:r/>
            <w:r>
              <w:rPr>
                <w:sz w:val="16"/>
              </w:rPr>
              <w:t>Company Q1-2026 earnings release, 11-May-2026</w:t>
            </w:r>
          </w:p>
        </w:tc>
        <w:tc>
          <w:tcPr>
            <w:tcW w:type="dxa" w:w="1728"/>
          </w:tcPr>
          <w:p>
            <w:r/>
            <w:r>
              <w:rPr>
                <w:sz w:val="16"/>
              </w:rPr>
              <w:t>11 May 2026</w:t>
            </w:r>
          </w:p>
        </w:tc>
      </w:tr>
      <w:tr>
        <w:tc>
          <w:tcPr>
            <w:tcW w:type="dxa" w:w="1728"/>
          </w:tcPr>
          <w:p>
            <w:r/>
            <w:r>
              <w:rPr>
                <w:sz w:val="16"/>
              </w:rPr>
              <w:t>Industry</w:t>
            </w:r>
          </w:p>
        </w:tc>
        <w:tc>
          <w:tcPr>
            <w:tcW w:type="dxa" w:w="1728"/>
          </w:tcPr>
          <w:p>
            <w:r/>
            <w:r>
              <w:rPr>
                <w:sz w:val="16"/>
              </w:rPr>
              <w:t>COLOR</w:t>
            </w:r>
          </w:p>
        </w:tc>
        <w:tc>
          <w:tcPr>
            <w:tcW w:type="dxa" w:w="1728"/>
          </w:tcPr>
          <w:p>
            <w:r/>
            <w:r>
              <w:rPr>
                <w:sz w:val="16"/>
              </w:rPr>
              <w:t>GCC grocery market projected to reach c.US$101bn by 2028, a 4.2% CAGR 2023-28 (modern retail ~4.8%). LULU held 13.5% of the GCC modern offline grocery market in 2023 — #1 overall, and #1 in Oman, Qatar, Kuwait and Bahrain; #2 in the UAE; fastest-growing player of scale in KSA.</w:t>
            </w:r>
          </w:p>
        </w:tc>
        <w:tc>
          <w:tcPr>
            <w:tcW w:type="dxa" w:w="1728"/>
          </w:tcPr>
          <w:p>
            <w:r/>
            <w:r>
              <w:rPr>
                <w:sz w:val="16"/>
              </w:rPr>
              <w:t>Euromonitor International, cited in the company's IPO/ITF disclosure</w:t>
            </w:r>
          </w:p>
        </w:tc>
        <w:tc>
          <w:tcPr>
            <w:tcW w:type="dxa" w:w="1728"/>
          </w:tcPr>
          <w:p>
            <w:r/>
            <w:r>
              <w:rPr>
                <w:sz w:val="16"/>
              </w:rPr>
              <w:t>14 Nov 2024</w:t>
            </w:r>
          </w:p>
        </w:tc>
      </w:tr>
      <w:tr>
        <w:tc>
          <w:tcPr>
            <w:tcW w:type="dxa" w:w="1728"/>
          </w:tcPr>
          <w:p>
            <w:r/>
            <w:r>
              <w:rPr>
                <w:sz w:val="16"/>
              </w:rPr>
              <w:t>Industry</w:t>
            </w:r>
          </w:p>
        </w:tc>
        <w:tc>
          <w:tcPr>
            <w:tcW w:type="dxa" w:w="1728"/>
          </w:tcPr>
          <w:p>
            <w:r/>
            <w:r>
              <w:rPr>
                <w:sz w:val="16"/>
              </w:rPr>
              <w:t>Structural</w:t>
            </w:r>
          </w:p>
        </w:tc>
        <w:tc>
          <w:tcPr>
            <w:tcW w:type="dxa" w:w="1728"/>
          </w:tcPr>
          <w:p>
            <w:r/>
            <w:r>
              <w:rPr>
                <w:sz w:val="16"/>
              </w:rPr>
              <w:t>Grocery pricing is pass-through-constrained and promotional. LULU's gross margin has been flat-to-down: 23.02% (FY23) -&gt; 23.16% (FY24) -&gt; 22.98% (FY25), and 22.2% in Q1-2026. The EBITDA margin fell to 9.5% in Q4-2025 and again 9.5% in Q1-2026, from 9.86% for FY25.</w:t>
            </w:r>
          </w:p>
        </w:tc>
        <w:tc>
          <w:tcPr>
            <w:tcW w:type="dxa" w:w="1728"/>
          </w:tcPr>
          <w:p>
            <w:r/>
            <w:r>
              <w:rPr>
                <w:sz w:val="16"/>
              </w:rPr>
              <w:t>FY2023-FY2025 audited FS; Q1-2026 earnings release</w:t>
            </w:r>
          </w:p>
        </w:tc>
        <w:tc>
          <w:tcPr>
            <w:tcW w:type="dxa" w:w="1728"/>
          </w:tcPr>
          <w:p>
            <w:r/>
            <w:r>
              <w:rPr>
                <w:sz w:val="16"/>
              </w:rPr>
              <w:t>11 May 2026</w:t>
            </w:r>
          </w:p>
        </w:tc>
      </w:tr>
      <w:tr>
        <w:tc>
          <w:tcPr>
            <w:tcW w:type="dxa" w:w="1728"/>
          </w:tcPr>
          <w:p>
            <w:r/>
            <w:r>
              <w:rPr>
                <w:sz w:val="16"/>
              </w:rPr>
              <w:t>Industry</w:t>
            </w:r>
          </w:p>
        </w:tc>
        <w:tc>
          <w:tcPr>
            <w:tcW w:type="dxa" w:w="1728"/>
          </w:tcPr>
          <w:p>
            <w:r/>
            <w:r>
              <w:rPr>
                <w:sz w:val="16"/>
              </w:rPr>
              <w:t>Structural</w:t>
            </w:r>
          </w:p>
        </w:tc>
        <w:tc>
          <w:tcPr>
            <w:tcW w:type="dxa" w:w="1728"/>
          </w:tcPr>
          <w:p>
            <w:r/>
            <w:r>
              <w:rPr>
                <w:sz w:val="16"/>
              </w:rPr>
              <w:t>Discounters and quick-commerce aggregators are entering GCC grocery. Saudi broker commentary on Al Othaim explicitly names 'new discounters such as Lulu' and convenience formats (BinDawood's 'dash') as margin pressures — i.e. the discount channel is live in KSA, LULU's weakest-margin market (4.7% segment EBITDA margin FY25).</w:t>
            </w:r>
          </w:p>
        </w:tc>
        <w:tc>
          <w:tcPr>
            <w:tcW w:type="dxa" w:w="1728"/>
          </w:tcPr>
          <w:p>
            <w:r/>
            <w:r>
              <w:rPr>
                <w:sz w:val="16"/>
              </w:rPr>
              <w:t>Al-Jazira Capital broker note on Al Othaim; sector coverage</w:t>
            </w:r>
          </w:p>
        </w:tc>
        <w:tc>
          <w:tcPr>
            <w:tcW w:type="dxa" w:w="1728"/>
          </w:tcPr>
          <w:p>
            <w:r/>
            <w:r>
              <w:rPr>
                <w:sz w:val="16"/>
              </w:rPr>
              <w:t>11 Jul 2026</w:t>
            </w:r>
          </w:p>
        </w:tc>
      </w:tr>
      <w:tr>
        <w:tc>
          <w:tcPr>
            <w:tcW w:type="dxa" w:w="1728"/>
          </w:tcPr>
          <w:p>
            <w:r/>
            <w:r>
              <w:rPr>
                <w:sz w:val="16"/>
              </w:rPr>
              <w:t>Industry</w:t>
            </w:r>
          </w:p>
        </w:tc>
        <w:tc>
          <w:tcPr>
            <w:tcW w:type="dxa" w:w="1728"/>
          </w:tcPr>
          <w:p>
            <w:r/>
            <w:r>
              <w:rPr>
                <w:sz w:val="16"/>
              </w:rPr>
              <w:t>Unlocks a driver</w:t>
            </w:r>
          </w:p>
        </w:tc>
        <w:tc>
          <w:tcPr>
            <w:tcW w:type="dxa" w:w="1728"/>
          </w:tcPr>
          <w:p>
            <w:r/>
            <w:r>
              <w:rPr>
                <w:sz w:val="16"/>
              </w:rPr>
              <w:t>E-commerce is additive, not substitutive, for LULU: FY2025 online sales US$451.1m, +38.6%, 6.0% of retail sales; Q1-2026 US$150m, +61%, 7.9% of sales. About half the estate is e-commerce enabled; quick-commerce (45-90 min) live; Amazon partnership in the UAE.</w:t>
            </w:r>
          </w:p>
        </w:tc>
        <w:tc>
          <w:tcPr>
            <w:tcW w:type="dxa" w:w="1728"/>
          </w:tcPr>
          <w:p>
            <w:r/>
            <w:r>
              <w:rPr>
                <w:sz w:val="16"/>
              </w:rPr>
              <w:t>FY2025 results; Q1-2026 earnings release</w:t>
            </w:r>
          </w:p>
        </w:tc>
        <w:tc>
          <w:tcPr>
            <w:tcW w:type="dxa" w:w="1728"/>
          </w:tcPr>
          <w:p>
            <w:r/>
            <w:r>
              <w:rPr>
                <w:sz w:val="16"/>
              </w:rPr>
              <w:t>11 May 2026</w:t>
            </w:r>
          </w:p>
        </w:tc>
      </w:tr>
      <w:tr>
        <w:tc>
          <w:tcPr>
            <w:tcW w:type="dxa" w:w="1728"/>
          </w:tcPr>
          <w:p>
            <w:r/>
            <w:r>
              <w:rPr>
                <w:sz w:val="16"/>
              </w:rPr>
              <w:t>Industry</w:t>
            </w:r>
          </w:p>
        </w:tc>
        <w:tc>
          <w:tcPr>
            <w:tcW w:type="dxa" w:w="1728"/>
          </w:tcPr>
          <w:p>
            <w:r/>
            <w:r>
              <w:rPr>
                <w:sz w:val="16"/>
              </w:rPr>
              <w:t>Structural</w:t>
            </w:r>
          </w:p>
        </w:tc>
        <w:tc>
          <w:tcPr>
            <w:tcW w:type="dxa" w:w="1728"/>
          </w:tcPr>
          <w:p>
            <w:r/>
            <w:r>
              <w:rPr>
                <w:sz w:val="16"/>
              </w:rPr>
              <w:t>Closest listed comps and their marks: Spinneys (DFM) FY2025 adj. EBITDA margin 20.0% on a premium/Waitrose positioning (fresh 64.2%, private label 45.4% of sales) — not structurally comparable; Abdullah Al Othaim Markets (Tadawul 4001) EV/EBITDA ~8.9x on a ~6.5% EBITDA margin — the tightest structural comp; BinDawood (Tadawul 4161). Carrefour/Majid Al Futtaim is the largest UAE competitor but unlisted; Union Coop exploring an IPO.</w:t>
            </w:r>
          </w:p>
        </w:tc>
        <w:tc>
          <w:tcPr>
            <w:tcW w:type="dxa" w:w="1728"/>
          </w:tcPr>
          <w:p>
            <w:r/>
            <w:r>
              <w:rPr>
                <w:sz w:val="16"/>
              </w:rPr>
              <w:t>Spinneys FY2025 results release (11-Feb-26); Tadawul/vendor quotes</w:t>
            </w:r>
          </w:p>
        </w:tc>
        <w:tc>
          <w:tcPr>
            <w:tcW w:type="dxa" w:w="1728"/>
          </w:tcPr>
          <w:p>
            <w:r/>
            <w:r>
              <w:rPr>
                <w:sz w:val="16"/>
              </w:rPr>
              <w:t>11 Jul 2026</w:t>
            </w:r>
          </w:p>
        </w:tc>
      </w:tr>
      <w:tr>
        <w:tc>
          <w:tcPr>
            <w:tcW w:type="dxa" w:w="1728"/>
          </w:tcPr>
          <w:p>
            <w:r/>
            <w:r>
              <w:rPr>
                <w:sz w:val="16"/>
              </w:rPr>
              <w:t>Company</w:t>
            </w:r>
          </w:p>
        </w:tc>
        <w:tc>
          <w:tcPr>
            <w:tcW w:type="dxa" w:w="1728"/>
          </w:tcPr>
          <w:p>
            <w:r/>
            <w:r>
              <w:rPr>
                <w:sz w:val="16"/>
              </w:rPr>
              <w:t>Unlocks a driver</w:t>
            </w:r>
          </w:p>
        </w:tc>
        <w:tc>
          <w:tcPr>
            <w:tcW w:type="dxa" w:w="1728"/>
          </w:tcPr>
          <w:p>
            <w:r/>
            <w:r>
              <w:rPr>
                <w:sz w:val="16"/>
              </w:rPr>
              <w:t>FY2023/FY2024/FY2025 audited consolidated FS (Deloitte &amp; Touche ME, unqualified, 18-Mar-2026) captured. FY2025: revenue 7,933.970; gross profit 1,822.836; other operating income 302.553; operating expenses (1,731.157) incl. D&amp;A; finance costs net (162.201); tax (27.499); net profit 204.532; EPS US$0.0198. RECONCILED: EBIT 394.232 + D&amp;A 387.946 (PPE 167.018 / RoU 219.381 / IP 1.547) = EBITDA 782.178, which ties to the company's stated US$782.2m. Balance sheet: total assets 5,440.109; equity 1,004.763; cash 329.543; PPE 1,411.939; RoU 1,765.769; inventory 1,491.112. Cash flow: OCF 596.362; capex 138.501; lease principal 190.804; dividends 182.812.</w:t>
            </w:r>
          </w:p>
        </w:tc>
        <w:tc>
          <w:tcPr>
            <w:tcW w:type="dxa" w:w="1728"/>
          </w:tcPr>
          <w:p>
            <w:r/>
            <w:r>
              <w:rPr>
                <w:sz w:val="16"/>
              </w:rPr>
              <w:t>FY2025 audited consolidated financial statements (Deloitte)</w:t>
            </w:r>
          </w:p>
        </w:tc>
        <w:tc>
          <w:tcPr>
            <w:tcW w:type="dxa" w:w="1728"/>
          </w:tcPr>
          <w:p>
            <w:r/>
            <w:r>
              <w:rPr>
                <w:sz w:val="16"/>
              </w:rPr>
              <w:t>18 Mar 2026</w:t>
            </w:r>
          </w:p>
        </w:tc>
      </w:tr>
      <w:tr>
        <w:tc>
          <w:tcPr>
            <w:tcW w:type="dxa" w:w="1728"/>
          </w:tcPr>
          <w:p>
            <w:r/>
            <w:r>
              <w:rPr>
                <w:sz w:val="16"/>
              </w:rPr>
              <w:t>Company</w:t>
            </w:r>
          </w:p>
        </w:tc>
        <w:tc>
          <w:tcPr>
            <w:tcW w:type="dxa" w:w="1728"/>
          </w:tcPr>
          <w:p>
            <w:r/>
            <w:r>
              <w:rPr>
                <w:sz w:val="16"/>
              </w:rPr>
              <w:t>Structural</w:t>
            </w:r>
          </w:p>
        </w:tc>
        <w:tc>
          <w:tcPr>
            <w:tcW w:type="dxa" w:w="1728"/>
          </w:tcPr>
          <w:p>
            <w:r/>
            <w:r>
              <w:rPr>
                <w:sz w:val="16"/>
              </w:rPr>
              <w:t>FY2026 guidance issued 13-Feb-26 and REITERATED at Q1 on 11-May-26 (i.e. after the Q1 miss): revenue +4-5%; FLAT EBITDA margin; net profit +10%; 18-20 new stores; capex 1.2-1.5% of sales. Medium-term: 50 new stores 2026-28; dividend policy 75% of distributable profit, semi-annual.</w:t>
            </w:r>
          </w:p>
        </w:tc>
        <w:tc>
          <w:tcPr>
            <w:tcW w:type="dxa" w:w="1728"/>
          </w:tcPr>
          <w:p>
            <w:r/>
            <w:r>
              <w:rPr>
                <w:sz w:val="16"/>
              </w:rPr>
              <w:t>Q1-2026 earnings release / results call</w:t>
            </w:r>
          </w:p>
        </w:tc>
        <w:tc>
          <w:tcPr>
            <w:tcW w:type="dxa" w:w="1728"/>
          </w:tcPr>
          <w:p>
            <w:r/>
            <w:r>
              <w:rPr>
                <w:sz w:val="16"/>
              </w:rPr>
              <w:t>11 May 2026</w:t>
            </w:r>
          </w:p>
        </w:tc>
      </w:tr>
      <w:tr>
        <w:tc>
          <w:tcPr>
            <w:tcW w:type="dxa" w:w="1728"/>
          </w:tcPr>
          <w:p>
            <w:r/>
            <w:r>
              <w:rPr>
                <w:sz w:val="16"/>
              </w:rPr>
              <w:t>Company</w:t>
            </w:r>
          </w:p>
        </w:tc>
        <w:tc>
          <w:tcPr>
            <w:tcW w:type="dxa" w:w="1728"/>
          </w:tcPr>
          <w:p>
            <w:r/>
            <w:r>
              <w:rPr>
                <w:sz w:val="16"/>
              </w:rPr>
              <w:t>Changes the base case</w:t>
            </w:r>
          </w:p>
        </w:tc>
        <w:tc>
          <w:tcPr>
            <w:tcW w:type="dxa" w:w="1728"/>
          </w:tcPr>
          <w:p>
            <w:r/>
            <w:r>
              <w:rPr>
                <w:sz w:val="16"/>
              </w:rPr>
              <w:t>Q1-2026 (11-May-26): revenue US$2,020m (-2.9% YoY); gross margin 22.2%; EBITDA US$192m (9.5% margin); net income US$47m (-33% YoY); 277 stores (+10 in the quarter); net debt US$2.5bn = 3.3x IFRS-16 / 0.9x ex-lease; e-commerce US$150m (+61%, 7.9% of sales); private label 30.2%.</w:t>
            </w:r>
          </w:p>
        </w:tc>
        <w:tc>
          <w:tcPr>
            <w:tcW w:type="dxa" w:w="1728"/>
          </w:tcPr>
          <w:p>
            <w:r/>
            <w:r>
              <w:rPr>
                <w:sz w:val="16"/>
              </w:rPr>
              <w:t>Q1-2026 earnings release</w:t>
            </w:r>
          </w:p>
        </w:tc>
        <w:tc>
          <w:tcPr>
            <w:tcW w:type="dxa" w:w="1728"/>
          </w:tcPr>
          <w:p>
            <w:r/>
            <w:r>
              <w:rPr>
                <w:sz w:val="16"/>
              </w:rPr>
              <w:t>11 May 2026</w:t>
            </w:r>
          </w:p>
        </w:tc>
      </w:tr>
      <w:tr>
        <w:tc>
          <w:tcPr>
            <w:tcW w:type="dxa" w:w="1728"/>
          </w:tcPr>
          <w:p>
            <w:r/>
            <w:r>
              <w:rPr>
                <w:sz w:val="16"/>
              </w:rPr>
              <w:t>Company</w:t>
            </w:r>
          </w:p>
        </w:tc>
        <w:tc>
          <w:tcPr>
            <w:tcW w:type="dxa" w:w="1728"/>
          </w:tcPr>
          <w:p>
            <w:r/>
            <w:r>
              <w:rPr>
                <w:sz w:val="16"/>
              </w:rPr>
              <w:t>COLOR</w:t>
            </w:r>
          </w:p>
        </w:tc>
        <w:tc>
          <w:tcPr>
            <w:tcW w:type="dxa" w:w="1728"/>
          </w:tcPr>
          <w:p>
            <w:r/>
            <w:r>
              <w:rPr>
                <w:sz w:val="16"/>
              </w:rPr>
              <w:t>Store network FY2025: 267 stores (123 hypermarkets, 118 express, 26 mini) — UAE 116, KSA 65, Oman 32, Qatar 24, Kuwait 17, Bahrain 13; 1.38m sqm retail space (+5.6%). Loyalty: 8.4m members, ~67% of revenue member-linked. c.680-690k daily shoppers, 130 nationalities. ~70% of FY24/FY25 openings were smaller express/mini formats (the asset-light pivot).</w:t>
            </w:r>
          </w:p>
        </w:tc>
        <w:tc>
          <w:tcPr>
            <w:tcW w:type="dxa" w:w="1728"/>
          </w:tcPr>
          <w:p>
            <w:r/>
            <w:r>
              <w:rPr>
                <w:sz w:val="16"/>
              </w:rPr>
              <w:t>FY2025 results presentation / IR disclosure</w:t>
            </w:r>
          </w:p>
        </w:tc>
        <w:tc>
          <w:tcPr>
            <w:tcW w:type="dxa" w:w="1728"/>
          </w:tcPr>
          <w:p>
            <w:r/>
            <w:r>
              <w:rPr>
                <w:sz w:val="16"/>
              </w:rPr>
              <w:t>13 Feb 2026</w:t>
            </w:r>
          </w:p>
        </w:tc>
      </w:tr>
      <w:tr>
        <w:tc>
          <w:tcPr>
            <w:tcW w:type="dxa" w:w="1728"/>
          </w:tcPr>
          <w:p>
            <w:r/>
            <w:r>
              <w:rPr>
                <w:sz w:val="16"/>
              </w:rPr>
              <w:t>Company</w:t>
            </w:r>
          </w:p>
        </w:tc>
        <w:tc>
          <w:tcPr>
            <w:tcW w:type="dxa" w:w="1728"/>
          </w:tcPr>
          <w:p>
            <w:r/>
            <w:r>
              <w:rPr>
                <w:sz w:val="16"/>
              </w:rPr>
              <w:t>Structural</w:t>
            </w:r>
          </w:p>
        </w:tc>
        <w:tc>
          <w:tcPr>
            <w:tcW w:type="dxa" w:w="1728"/>
          </w:tcPr>
          <w:p>
            <w:r/>
            <w:r>
              <w:rPr>
                <w:sz w:val="16"/>
              </w:rPr>
              <w:t>FY2025 net profit fell 5.4% on continuing operations (204.532 vs 216.280) and the FY2025 dividend of 7 fils (US$196.9m) was ~96% of net profit, against a STATED 75% payout policy. FY2024 also carried US$32.9m of discontinued-operations profit (a lease-termination gain) that does not recur. No acquisitions, disposals or capital raises identified in FY2025/H1-2026.</w:t>
            </w:r>
          </w:p>
        </w:tc>
        <w:tc>
          <w:tcPr>
            <w:tcW w:type="dxa" w:w="1728"/>
          </w:tcPr>
          <w:p>
            <w:r/>
            <w:r>
              <w:rPr>
                <w:sz w:val="16"/>
              </w:rPr>
              <w:t>FY2025 audited FS; dividend declarations</w:t>
            </w:r>
          </w:p>
        </w:tc>
        <w:tc>
          <w:tcPr>
            <w:tcW w:type="dxa" w:w="1728"/>
          </w:tcPr>
          <w:p>
            <w:r/>
            <w:r>
              <w:rPr>
                <w:sz w:val="16"/>
              </w:rPr>
              <w:t>18 Mar 2026</w:t>
            </w:r>
          </w:p>
        </w:tc>
      </w:tr>
      <w:tr>
        <w:tc>
          <w:tcPr>
            <w:tcW w:type="dxa" w:w="1728"/>
          </w:tcPr>
          <w:p>
            <w:r/>
            <w:r>
              <w:rPr>
                <w:sz w:val="16"/>
              </w:rPr>
              <w:t>Company</w:t>
            </w:r>
          </w:p>
        </w:tc>
        <w:tc>
          <w:tcPr>
            <w:tcW w:type="dxa" w:w="1728"/>
          </w:tcPr>
          <w:p>
            <w:r/>
            <w:r>
              <w:rPr>
                <w:sz w:val="16"/>
              </w:rPr>
              <w:t>Structural</w:t>
            </w:r>
          </w:p>
        </w:tc>
        <w:tc>
          <w:tcPr>
            <w:tcW w:type="dxa" w:w="1728"/>
          </w:tcPr>
          <w:p>
            <w:r/>
            <w:r>
              <w:rPr>
                <w:sz w:val="16"/>
              </w:rPr>
              <w:t>Lulu International Holdings Limited holds 70.44% post-IPO (FY2025 audited FS, Note 1); ultimate controlling party Mr. Yusuffali M.A. IPO 14-Nov-2024 at AED 2.04 was a 100% SECONDARY offering (AED 6.32bn to the selling shareholder; no primary proceeds to the company). Cornerstone investors carried a 180-day lock-up (expired c.mid-May-2025). SEARCHED SPECIFICALLY: the controlling shareholder's own lock-up expiry date and any post-IPO placement — NOT FOUND in an official source. No placement has been announced.</w:t>
            </w:r>
          </w:p>
        </w:tc>
        <w:tc>
          <w:tcPr>
            <w:tcW w:type="dxa" w:w="1728"/>
          </w:tcPr>
          <w:p>
            <w:r/>
            <w:r>
              <w:rPr>
                <w:sz w:val="16"/>
              </w:rPr>
              <w:t>FY2025 audited FS Note 1; IPO prospectus / ADX admission documents</w:t>
            </w:r>
          </w:p>
        </w:tc>
        <w:tc>
          <w:tcPr>
            <w:tcW w:type="dxa" w:w="1728"/>
          </w:tcPr>
          <w:p>
            <w:r/>
            <w:r>
              <w:rPr>
                <w:sz w:val="16"/>
              </w:rPr>
              <w:t>18 Mar 2026</w:t>
            </w:r>
          </w:p>
        </w:tc>
      </w:tr>
      <w:tr>
        <w:tc>
          <w:tcPr>
            <w:tcW w:type="dxa" w:w="1728"/>
          </w:tcPr>
          <w:p>
            <w:r/>
            <w:r>
              <w:rPr>
                <w:sz w:val="16"/>
              </w:rPr>
              <w:t>Company</w:t>
            </w:r>
          </w:p>
        </w:tc>
        <w:tc>
          <w:tcPr>
            <w:tcW w:type="dxa" w:w="1728"/>
          </w:tcPr>
          <w:p>
            <w:r/>
            <w:r>
              <w:rPr>
                <w:sz w:val="16"/>
              </w:rPr>
              <w:t>COLOR</w:t>
            </w:r>
          </w:p>
        </w:tc>
        <w:tc>
          <w:tcPr>
            <w:tcW w:type="dxa" w:w="1728"/>
          </w:tcPr>
          <w:p>
            <w:r/>
            <w:r>
              <w:rPr>
                <w:sz w:val="16"/>
              </w:rPr>
              <w:t>No management change, buyback, capital raise or rating action identified for FY2025/H1-2026. Dividend paid semi-annually (interim 3.5 fils + final 3.5 fils for FY2025). Next scheduled print: H1-2026 results, 19-Aug-2026.</w:t>
            </w:r>
          </w:p>
        </w:tc>
        <w:tc>
          <w:tcPr>
            <w:tcW w:type="dxa" w:w="1728"/>
          </w:tcPr>
          <w:p>
            <w:r/>
            <w:r>
              <w:rPr>
                <w:sz w:val="16"/>
              </w:rPr>
              <w:t>Company IR calendar / results announcements</w:t>
            </w:r>
          </w:p>
        </w:tc>
        <w:tc>
          <w:tcPr>
            <w:tcW w:type="dxa" w:w="1728"/>
          </w:tcPr>
          <w:p>
            <w:r/>
            <w:r>
              <w:rPr>
                <w:sz w:val="16"/>
              </w:rPr>
              <w:t>11 May 2026</w:t>
            </w:r>
          </w:p>
        </w:tc>
      </w:tr>
      <w:tr>
        <w:tc>
          <w:tcPr>
            <w:tcW w:type="dxa" w:w="1728"/>
          </w:tcPr>
          <w:p>
            <w:r/>
            <w:r>
              <w:rPr>
                <w:color w:val="9B2226"/>
                <w:sz w:val="16"/>
              </w:rPr>
              <w:t>Company</w:t>
            </w:r>
          </w:p>
        </w:tc>
        <w:tc>
          <w:tcPr>
            <w:tcW w:type="dxa" w:w="1728"/>
          </w:tcPr>
          <w:p>
            <w:r/>
            <w:r>
              <w:rPr>
                <w:color w:val="9B2226"/>
                <w:sz w:val="16"/>
              </w:rPr>
              <w:t>Searched — not found</w:t>
            </w:r>
          </w:p>
        </w:tc>
        <w:tc>
          <w:tcPr>
            <w:tcW w:type="dxa" w:w="1728"/>
          </w:tcPr>
          <w:p>
            <w:r/>
            <w:r>
              <w:rPr>
                <w:color w:val="9B2226"/>
                <w:sz w:val="16"/>
              </w:rPr>
              <w:t>Negative search — nothing found (multi-year revenue/margin guidance beyond FY2026; capital-markets day; maintenance-vs-growth capex split; any company-disclosed valuation guide or target multiple — none exist)</w:t>
            </w:r>
          </w:p>
        </w:tc>
        <w:tc>
          <w:tcPr>
            <w:tcW w:type="dxa" w:w="1728"/>
          </w:tcPr>
          <w:p>
            <w:r/>
            <w:r>
              <w:rPr>
                <w:color w:val="9B2226"/>
                <w:sz w:val="16"/>
              </w:rPr>
              <w:t>negative search</w:t>
            </w:r>
          </w:p>
        </w:tc>
        <w:tc>
          <w:tcPr>
            <w:tcW w:type="dxa" w:w="1728"/>
          </w:tcPr>
          <w:p>
            <w:r/>
            <w:r>
              <w:rPr>
                <w:color w:val="9B2226"/>
                <w:sz w:val="16"/>
              </w:rPr>
              <w:t>11 Jul 2026</w:t>
            </w:r>
          </w:p>
        </w:tc>
      </w:tr>
      <w:tr>
        <w:tc>
          <w:tcPr>
            <w:tcW w:type="dxa" w:w="1728"/>
          </w:tcPr>
          <w:p>
            <w:r/>
            <w:r>
              <w:rPr>
                <w:color w:val="9B2226"/>
                <w:sz w:val="16"/>
              </w:rPr>
              <w:t>Company</w:t>
            </w:r>
          </w:p>
        </w:tc>
        <w:tc>
          <w:tcPr>
            <w:tcW w:type="dxa" w:w="1728"/>
          </w:tcPr>
          <w:p>
            <w:r/>
            <w:r>
              <w:rPr>
                <w:color w:val="9B2226"/>
                <w:sz w:val="16"/>
              </w:rPr>
              <w:t>Searched — not found</w:t>
            </w:r>
          </w:p>
        </w:tc>
        <w:tc>
          <w:tcPr>
            <w:tcW w:type="dxa" w:w="1728"/>
          </w:tcPr>
          <w:p>
            <w:r/>
            <w:r>
              <w:rPr>
                <w:color w:val="9B2226"/>
                <w:sz w:val="16"/>
              </w:rPr>
              <w:t>Negative search — nothing found (FY2024/FY2025 trade payables line and the full cash-conversion cycle — disclosed only inside the audited notes, not in the captured summary statements; FY2023 is the last fully-disclosed year)</w:t>
            </w:r>
          </w:p>
        </w:tc>
        <w:tc>
          <w:tcPr>
            <w:tcW w:type="dxa" w:w="1728"/>
          </w:tcPr>
          <w:p>
            <w:r/>
            <w:r>
              <w:rPr>
                <w:color w:val="9B2226"/>
                <w:sz w:val="16"/>
              </w:rPr>
              <w:t>negative search</w:t>
            </w:r>
          </w:p>
        </w:tc>
        <w:tc>
          <w:tcPr>
            <w:tcW w:type="dxa" w:w="1728"/>
          </w:tcPr>
          <w:p>
            <w:r/>
            <w:r>
              <w:rPr>
                <w:color w:val="9B2226"/>
                <w:sz w:val="16"/>
              </w:rPr>
              <w:t>11 Jul 2026</w:t>
            </w:r>
          </w:p>
        </w:tc>
      </w:tr>
      <w:tr>
        <w:tc>
          <w:tcPr>
            <w:tcW w:type="dxa" w:w="1728"/>
          </w:tcPr>
          <w:p>
            <w:r/>
            <w:r>
              <w:rPr>
                <w:sz w:val="16"/>
              </w:rPr>
              <w:t>Country</w:t>
            </w:r>
          </w:p>
        </w:tc>
        <w:tc>
          <w:tcPr>
            <w:tcW w:type="dxa" w:w="1728"/>
          </w:tcPr>
          <w:p>
            <w:r/>
            <w:r>
              <w:rPr>
                <w:sz w:val="16"/>
              </w:rPr>
              <w:t>Unlocks a driver</w:t>
            </w:r>
          </w:p>
        </w:tc>
        <w:tc>
          <w:tcPr>
            <w:tcW w:type="dxa" w:w="1728"/>
          </w:tcPr>
          <w:p>
            <w:r/>
            <w:r>
              <w:rPr>
                <w:sz w:val="16"/>
              </w:rPr>
              <w:t>Cost-of-capital inputs sourced, not assumed. rf = 4.30% (AED T-Bond Jan-2031 tranche cut-off, UAE MoF auction 23-May-26) — the LOCAL government bond, never a US-Treasury shortcut, even under a peg; cross-check 4.13% on the 7-yr Feb-2033 T-Sukuk. ERP = 4.87% (Damodaran ORIGINAL ctryprem.html, 5-Jan-26 vintage: UAE Aa2, mature-market 4.23% + CRP 0.64%); Abu Dhabi CDS-basis 4.93% published alongside. Kd = 5.30% (FY25 interest expense 149.421 / derived average interest-bearing debt 2,832.6 = 5.28%; cross-checked against 3M EIBOR 3.93% + ~130bp margin).</w:t>
            </w:r>
          </w:p>
        </w:tc>
        <w:tc>
          <w:tcPr>
            <w:tcW w:type="dxa" w:w="1728"/>
          </w:tcPr>
          <w:p>
            <w:r/>
            <w:r>
              <w:rPr>
                <w:sz w:val="16"/>
              </w:rPr>
              <w:t>UAE MoF auction release; Damodaran ctryprem.html; CBUAE</w:t>
            </w:r>
          </w:p>
        </w:tc>
        <w:tc>
          <w:tcPr>
            <w:tcW w:type="dxa" w:w="1728"/>
          </w:tcPr>
          <w:p>
            <w:r/>
            <w:r>
              <w:rPr>
                <w:sz w:val="16"/>
              </w:rPr>
              <w:t>23 May 2026</w:t>
            </w:r>
          </w:p>
        </w:tc>
      </w:tr>
      <w:tr>
        <w:tc>
          <w:tcPr>
            <w:tcW w:type="dxa" w:w="1728"/>
          </w:tcPr>
          <w:p>
            <w:r/>
            <w:r>
              <w:rPr>
                <w:sz w:val="16"/>
              </w:rPr>
              <w:t>Company</w:t>
            </w:r>
          </w:p>
        </w:tc>
        <w:tc>
          <w:tcPr>
            <w:tcW w:type="dxa" w:w="1728"/>
          </w:tcPr>
          <w:p>
            <w:r/>
            <w:r>
              <w:rPr>
                <w:sz w:val="16"/>
              </w:rPr>
              <w:t>Changes the base case</w:t>
            </w:r>
          </w:p>
        </w:tc>
        <w:tc>
          <w:tcPr>
            <w:tcW w:type="dxa" w:w="1728"/>
          </w:tcPr>
          <w:p>
            <w:r/>
            <w:r>
              <w:rPr>
                <w:sz w:val="16"/>
              </w:rPr>
              <w:t>Q1-2026 press release (11-May-26) DISCLOSES the operating cost base: 'operating expenses (excluding depreciation) increased by just 1.1% year-on-year' and 'a mid-single digit percentage reduction in staff costs in existing stores'. Combined with the disclosed gross profit (US$449m) and EBITDA (US$192m), the Q1 margin bridge is pure arithmetic: -73bp = -65bp operating deleverage + -7bp contribution. This REPLACES any assumed opex rule.</w:t>
            </w:r>
          </w:p>
        </w:tc>
        <w:tc>
          <w:tcPr>
            <w:tcW w:type="dxa" w:w="1728"/>
          </w:tcPr>
          <w:p>
            <w:r/>
            <w:r>
              <w:rPr>
                <w:sz w:val="16"/>
              </w:rPr>
              <w:t>Lulu Retail Q1-2026 press release</w:t>
            </w:r>
          </w:p>
        </w:tc>
        <w:tc>
          <w:tcPr>
            <w:tcW w:type="dxa" w:w="1728"/>
          </w:tcPr>
          <w:p>
            <w:r/>
            <w:r>
              <w:rPr>
                <w:sz w:val="16"/>
              </w:rPr>
              <w:t>11 May 2026</w:t>
            </w:r>
          </w:p>
        </w:tc>
      </w:tr>
      <w:tr>
        <w:tc>
          <w:tcPr>
            <w:tcW w:type="dxa" w:w="1728"/>
          </w:tcPr>
          <w:p>
            <w:r/>
            <w:r>
              <w:rPr>
                <w:sz w:val="16"/>
              </w:rPr>
              <w:t>Company</w:t>
            </w:r>
          </w:p>
        </w:tc>
        <w:tc>
          <w:tcPr>
            <w:tcW w:type="dxa" w:w="1728"/>
          </w:tcPr>
          <w:p>
            <w:r/>
            <w:r>
              <w:rPr>
                <w:sz w:val="16"/>
              </w:rPr>
              <w:t>Unlocks a driver</w:t>
            </w:r>
          </w:p>
        </w:tc>
        <w:tc>
          <w:tcPr>
            <w:tcW w:type="dxa" w:w="1728"/>
          </w:tcPr>
          <w:p>
            <w:r/>
            <w:r>
              <w:rPr>
                <w:sz w:val="16"/>
              </w:rPr>
              <w:t>Q1-2026 store table: 11 stores opened, ALL EXPRESS format, totalling 20,153 sqm (= 1,832 sqm each); one Mini Market closed (227 sqm) =&gt; 10 NET, 267 -&gt; 277. Country split of openings: UAE 6, KSA 2, Kuwait 2, Oman 1. KSA store count 65 -&gt; 67. This gives the Express footprint used to forecast space.</w:t>
            </w:r>
          </w:p>
        </w:tc>
        <w:tc>
          <w:tcPr>
            <w:tcW w:type="dxa" w:w="1728"/>
          </w:tcPr>
          <w:p>
            <w:r/>
            <w:r>
              <w:rPr>
                <w:sz w:val="16"/>
              </w:rPr>
              <w:t>Lulu Retail Q1-2026 press release</w:t>
            </w:r>
          </w:p>
        </w:tc>
        <w:tc>
          <w:tcPr>
            <w:tcW w:type="dxa" w:w="1728"/>
          </w:tcPr>
          <w:p>
            <w:r/>
            <w:r>
              <w:rPr>
                <w:sz w:val="16"/>
              </w:rPr>
              <w:t>11 May 2026</w:t>
            </w:r>
          </w:p>
        </w:tc>
      </w:tr>
      <w:tr>
        <w:tc>
          <w:tcPr>
            <w:tcW w:type="dxa" w:w="1728"/>
          </w:tcPr>
          <w:p>
            <w:r/>
            <w:r>
              <w:rPr>
                <w:sz w:val="16"/>
              </w:rPr>
              <w:t>Company</w:t>
            </w:r>
          </w:p>
        </w:tc>
        <w:tc>
          <w:tcPr>
            <w:tcW w:type="dxa" w:w="1728"/>
          </w:tcPr>
          <w:p>
            <w:r/>
            <w:r>
              <w:rPr>
                <w:sz w:val="16"/>
              </w:rPr>
              <w:t>Unlocks a driver</w:t>
            </w:r>
          </w:p>
        </w:tc>
        <w:tc>
          <w:tcPr>
            <w:tcW w:type="dxa" w:w="1728"/>
          </w:tcPr>
          <w:p>
            <w:r/>
            <w:r>
              <w:rPr>
                <w:sz w:val="16"/>
              </w:rPr>
              <w:t>Company website discloses the format split (123 hypermarkets: UAE 43, KSA 30, Oman 21, Qatar 11, Kuwait 8, Bahrain 9) and the average hypermarket selling area (9,200 sqm). With the 1,832 sqm Express figure this reconstructs SEGMENT SPACE, and the derived total ties to the disclosed 1.380m sqm estate to within 0.6% — which licenses segment-level SALES DENSITY.</w:t>
            </w:r>
          </w:p>
        </w:tc>
        <w:tc>
          <w:tcPr>
            <w:tcW w:type="dxa" w:w="1728"/>
          </w:tcPr>
          <w:p>
            <w:r/>
            <w:r>
              <w:rPr>
                <w:sz w:val="16"/>
              </w:rPr>
              <w:t>luluretail.com — Retail</w:t>
            </w:r>
          </w:p>
        </w:tc>
        <w:tc>
          <w:tcPr>
            <w:tcW w:type="dxa" w:w="1728"/>
          </w:tcPr>
          <w:p>
            <w:r/>
            <w:r>
              <w:rPr>
                <w:sz w:val="16"/>
              </w:rPr>
              <w:t>Jul 2026</w:t>
            </w:r>
          </w:p>
        </w:tc>
      </w:tr>
      <w:tr>
        <w:tc>
          <w:tcPr>
            <w:tcW w:type="dxa" w:w="1728"/>
          </w:tcPr>
          <w:p>
            <w:r/>
            <w:r>
              <w:rPr>
                <w:sz w:val="16"/>
              </w:rPr>
              <w:t>Company</w:t>
            </w:r>
          </w:p>
        </w:tc>
        <w:tc>
          <w:tcPr>
            <w:tcW w:type="dxa" w:w="1728"/>
          </w:tcPr>
          <w:p>
            <w:r/>
            <w:r>
              <w:rPr>
                <w:sz w:val="16"/>
              </w:rPr>
              <w:t>Context</w:t>
            </w:r>
          </w:p>
        </w:tc>
        <w:tc>
          <w:tcPr>
            <w:tcW w:type="dxa" w:w="1728"/>
          </w:tcPr>
          <w:p>
            <w:r/>
            <w:r>
              <w:rPr>
                <w:sz w:val="16"/>
              </w:rPr>
              <w:t>Q1-2026 trading SHAPE: 'Trading in January and February was in line with the Company's expectations'; 'March saw a slowdown, particularly in non-food'. By category: CPG and Fresh Food INCREASED y/y; Lifestyle modestly down; Electrical 'a particularly pronounced decline ... mostly during March'. Capex 1.3% of sales. Loyalty-linked sales c.70%. 690,000 daily shoppers.</w:t>
            </w:r>
          </w:p>
        </w:tc>
        <w:tc>
          <w:tcPr>
            <w:tcW w:type="dxa" w:w="1728"/>
          </w:tcPr>
          <w:p>
            <w:r/>
            <w:r>
              <w:rPr>
                <w:sz w:val="16"/>
              </w:rPr>
              <w:t>Lulu Retail Q1-2026 press release</w:t>
            </w:r>
          </w:p>
        </w:tc>
        <w:tc>
          <w:tcPr>
            <w:tcW w:type="dxa" w:w="1728"/>
          </w:tcPr>
          <w:p>
            <w:r/>
            <w:r>
              <w:rPr>
                <w:sz w:val="16"/>
              </w:rPr>
              <w:t>11 May 2026</w:t>
            </w:r>
          </w:p>
        </w:tc>
      </w:tr>
    </w:tbl>
    <w:p/>
    <w:p>
      <w:r>
        <w:rPr>
          <w:b/>
          <w:sz w:val="20"/>
        </w:rPr>
        <w:t>A note on what could not be tested.</w:t>
      </w:r>
    </w:p>
    <w:p>
      <w:r>
        <w:rPr>
          <w:sz w:val="19"/>
        </w:rPr>
        <w:t>Lulu listed on 14 November 2024. Its 410 sessions of price history yield exactly two non-overlapping three-month test windows, against the eighteen or so a meaningful test needs. The five-year calibration backtest that every other name in this series carries therefore cannot be run for Lulu, and this study claims no name-level calibration record. The probability cone it publishes is the UAE market cone applied to Lulu's own volatility. That limitation is stated in the study, on the website, and in the public ledger.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