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B5E5E"/>
          <w:sz w:val="20"/>
        </w:rPr>
        <w:t>Testahil   ·   Independent Valuation Study — Educational Analysis</w:t>
      </w:r>
      <w:r>
        <w:rPr>
          <w:b w:val="0"/>
          <w:i w:val="0"/>
          <w:color w:val="595959"/>
          <w:sz w:val="18"/>
        </w:rPr>
        <w:t xml:space="preserve">        Not investment advice</w:t>
      </w:r>
    </w:p>
    <w:p>
      <w:pPr>
        <w:pBdr>
          <w:bottom w:val="single" w:sz="6" w:color="B0894B"/>
        </w:pBdr>
      </w:pPr>
    </w:p>
    <w:p>
      <w:pPr>
        <w:spacing w:after="40"/>
        <w:jc w:val="center"/>
      </w:pPr>
      <w:r>
        <w:rPr>
          <w:b/>
          <w:i w:val="0"/>
          <w:sz w:val="24"/>
        </w:rPr>
        <w:t>Independent Valuation Study — Educational Analysis</w:t>
      </w:r>
    </w:p>
    <w:p>
      <w:pPr>
        <w:spacing w:after="40"/>
        <w:jc w:val="center"/>
      </w:pPr>
      <w:r>
        <w:rPr>
          <w:b/>
          <w:i w:val="0"/>
          <w:color w:val="1B5E5E"/>
          <w:sz w:val="30"/>
        </w:rPr>
        <w:t>Saudi Arabian Mining Company (Ma'aden)  ·  Tadawul: 1211</w:t>
      </w:r>
    </w:p>
    <w:p>
      <w:pPr>
        <w:spacing w:after="120"/>
        <w:jc w:val="center"/>
      </w:pPr>
      <w:r>
        <w:rPr>
          <w:b w:val="0"/>
          <w:i/>
          <w:sz w:val="19"/>
        </w:rPr>
        <w:t>Fundamental analysis · Technical analysis · Monte Carlo simulation — one integrated read</w:t>
      </w:r>
    </w:p>
    <w:p>
      <w:pPr>
        <w:spacing w:after="160"/>
      </w:pPr>
      <w:r>
        <w:rPr>
          <w:b/>
          <w:i w:val="0"/>
          <w:sz w:val="20"/>
        </w:rPr>
        <w:t xml:space="preserve">Anchor: </w:t>
      </w:r>
      <w:r>
        <w:rPr>
          <w:b w:val="0"/>
          <w:i w:val="0"/>
          <w:sz w:val="20"/>
        </w:rPr>
        <w:t>SAR 58.80 (5 Jul 2026 close) · ~3.88 bn shares · mkt cap ~SAR 228 bn (~US$60.8 bn) · net debt ~SAR 24 bn · Saudi Arabia's national mining champion, ~64% owned by the Public Investment Fund, spanning phosphate (the largest business), aluminium, and gold &amp; base metals, with a large new-minerals and exploration pipeline · prices and probabilities computed 5 Jul 2026 from the attached daily history · reporting currency SAR (pegged to USD at 3.75) · primary lens: sum-of-the-parts by commodity segment · the swing factors are the commodity price deck (DAP, LME aluminium, gold) and whether the multi-year growth capex earns its cost of capital.</w:t>
      </w:r>
    </w:p>
    <w:tbl>
      <w:tblPr>
        <w:tblStyle w:val="TableGrid"/>
        <w:tblW w:type="auto" w:w="0"/>
        <w:tblLook w:firstColumn="1" w:firstRow="1" w:lastColumn="0" w:lastRow="0" w:noHBand="0" w:noVBand="1" w:val="04A0"/>
      </w:tblPr>
      <w:tblGrid>
        <w:gridCol w:w="8640"/>
      </w:tblGrid>
      <w:tr>
        <w:tc>
          <w:tcPr>
            <w:tcW w:type="dxa" w:w="8640"/>
            <w:shd w:val="clear" w:fill="F3F0E8"/>
          </w:tcPr>
          <w:p>
            <w:r/>
            <w:r>
              <w:rPr>
                <w:b/>
                <w:i w:val="0"/>
                <w:sz w:val="19"/>
              </w:rPr>
              <w:t xml:space="preserve">READ FIRST — what this document is, and is not.  </w:t>
            </w:r>
            <w:r>
              <w:rPr>
                <w:b w:val="0"/>
                <w:i w:val="0"/>
                <w:sz w:val="18"/>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or advisory authorisation, provides no financial consultancy, manages no money, and accepts no fees, funds or clients. All values are model outputs presented as ranges and distributions because no single number should be relied on. Reported financials are the company's own disclosure (FY2025 results and quarterly filings); forward-looking inputs — the segment marks, the commodity price deck, the multiples, the DCF and the Monte-Carlo factor probabilities — are the preparer's judgments and are flagged throughout. A calibration note: the Monte-Carlo engine was backtested five years on Ma'aden and did not beat a plain random-walk cone, so Section 3 is presented as an honest probability map, not a skill-validated forecast (see Appendix B). Consult a licensed financial advisor before any investment decision.</w:t>
            </w:r>
          </w:p>
        </w:tc>
      </w:tr>
    </w:tbl>
    <w:p>
      <w:pPr>
        <w:spacing w:after="80"/>
      </w:pPr>
    </w:p>
    <w:p>
      <w:pPr>
        <w:spacing w:before="200" w:after="80"/>
      </w:pPr>
      <w:r>
        <w:rPr>
          <w:b/>
          <w:i w:val="0"/>
          <w:color w:val="1B5E5E"/>
          <w:sz w:val="30"/>
        </w:rPr>
        <w:t>Headline</w:t>
      </w:r>
    </w:p>
    <w:p>
      <w:pPr>
        <w:spacing w:after="160"/>
      </w:pPr>
      <w:r>
        <w:rPr>
          <w:b w:val="0"/>
          <w:i w:val="0"/>
          <w:sz w:val="21"/>
        </w:rPr>
        <w:t>The model's read: richly valued, with the entire premium resting on the growth pipeline and sovereign backing rather than on today's cash flows.  At SAR 58.8 the shares sit about 40% above our weighted central estimate of SAR 42 — or, put the other way, the fundamental central is roughly 29% below the market price. The four lenses agree on direction and disagree only on how large the premium is: a sum-of-the-parts by commodity segment lands at SAR 44, a consolidated DCF at SAR 47, a peer-anchored relative read marks the floor at SAR 26, and a mid-cycle earnings-power read the ceiling at SAR 42. Every one of them sits below spot. The reason is visible in two numbers: Ma'aden trades at roughly 15.6× EV/EBITDA and 31× earnings, versus global diversified miners at 5–7× and phosphate and aluminium peers at 5–8×. That is not a mispricing to be arbitraged away in a quarter; it is the price the market puts on a tier-one, gas-advantaged, PIF-backed resource platform in the middle of a multi-year build-out — Phosphate 3, a gold-production doubling, and international expansion through Manara Minerals. The honest way to hold both facts at once is the two-clocks framing: on the near-term clock (a ~12-month, risk-adjusted fair value) the stock looks expensive; on the second clock (full execution of the 2040 strategy, mid-to-late decade) the business could grow into today's price, but that is not a near-term figure and must not be presented as one. Technically the tape agrees with the fundamentals for once: the shares are below all four major moving averages, RSI is in the low-30s, and the MACD histogram is negative — price and value are pulling the same way, down, in the near term. Over three months the Monte Carlo places the 5th–95th band at roughly SAR 46–78 with a median at spot; it maps where price could travel, not where value sits, and the SAR 42 fundamental line is deliberately below that cone.</w:t>
      </w:r>
    </w:p>
    <w:p>
      <w:pPr>
        <w:spacing w:before="200" w:after="80"/>
      </w:pPr>
      <w:r>
        <w:rPr>
          <w:b/>
          <w:i w:val="0"/>
          <w:color w:val="1B5E5E"/>
          <w:sz w:val="30"/>
        </w:rPr>
        <w:t>Valuation summary — every read at a glance</w:t>
      </w:r>
    </w:p>
    <w:p>
      <w:pPr>
        <w:spacing w:after="120"/>
      </w:pPr>
      <w:r>
        <w:rPr>
          <w:b w:val="0"/>
          <w:i w:val="0"/>
          <w:sz w:val="21"/>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val="clear" w:fill="1B5E5E"/>
          </w:tcPr>
          <w:p>
            <w:r/>
            <w:r>
              <w:rPr>
                <w:b/>
                <w:i w:val="0"/>
                <w:color w:val="FFFFFF"/>
                <w:sz w:val="19"/>
              </w:rPr>
              <w:t>Lens / read</w:t>
            </w:r>
          </w:p>
        </w:tc>
        <w:tc>
          <w:tcPr>
            <w:tcW w:type="dxa" w:w="3168"/>
            <w:shd w:val="clear" w:fill="1B5E5E"/>
          </w:tcPr>
          <w:p>
            <w:r/>
            <w:r>
              <w:rPr>
                <w:b/>
                <w:i w:val="0"/>
                <w:color w:val="FFFFFF"/>
                <w:sz w:val="19"/>
              </w:rPr>
              <w:t>What it measures</w:t>
            </w:r>
          </w:p>
        </w:tc>
        <w:tc>
          <w:tcPr>
            <w:tcW w:type="dxa" w:w="1368"/>
            <w:shd w:val="clear" w:fill="1B5E5E"/>
          </w:tcPr>
          <w:p>
            <w:r/>
            <w:r>
              <w:rPr>
                <w:b/>
                <w:i w:val="0"/>
                <w:color w:val="FFFFFF"/>
                <w:sz w:val="19"/>
              </w:rPr>
              <w:t>Output</w:t>
            </w:r>
          </w:p>
        </w:tc>
        <w:tc>
          <w:tcPr>
            <w:tcW w:type="dxa" w:w="2232"/>
            <w:shd w:val="clear" w:fill="1B5E5E"/>
          </w:tcPr>
          <w:p>
            <w:r/>
            <w:r>
              <w:rPr>
                <w:b/>
                <w:i w:val="0"/>
                <w:color w:val="FFFFFF"/>
                <w:sz w:val="19"/>
              </w:rPr>
              <w:t>Takeaway</w:t>
            </w:r>
          </w:p>
        </w:tc>
      </w:tr>
      <w:tr>
        <w:tc>
          <w:tcPr>
            <w:tcW w:type="dxa" w:w="2232"/>
            <w:gridSpan w:val="4"/>
            <w:shd w:val="clear" w:fill="EAF3F3"/>
          </w:tcPr>
          <w:p>
            <w:r/>
            <w:r>
              <w:rPr>
                <w:b/>
                <w:i w:val="0"/>
                <w:color w:val="1B5E5E"/>
                <w:sz w:val="19"/>
              </w:rPr>
              <w:t>FUNDAMENTAL — what the business is worth (the anchor)</w:t>
            </w:r>
          </w:p>
        </w:tc>
      </w:tr>
      <w:tr>
        <w:tc>
          <w:tcPr>
            <w:tcW w:type="dxa" w:w="2448"/>
          </w:tcPr>
          <w:p>
            <w:pPr>
              <w:jc w:val="left"/>
            </w:pPr>
            <w:r/>
            <w:r>
              <w:rPr>
                <w:b w:val="0"/>
                <w:i w:val="0"/>
                <w:sz w:val="18"/>
              </w:rPr>
              <w:t>Sum-of-the-parts (primary)</w:t>
            </w:r>
          </w:p>
        </w:tc>
        <w:tc>
          <w:tcPr>
            <w:tcW w:type="dxa" w:w="3168"/>
          </w:tcPr>
          <w:p>
            <w:pPr>
              <w:jc w:val="right"/>
            </w:pPr>
            <w:r/>
            <w:r>
              <w:rPr>
                <w:b w:val="0"/>
                <w:i w:val="0"/>
                <w:sz w:val="18"/>
              </w:rPr>
              <w:t>Segment marks less net debt</w:t>
            </w:r>
          </w:p>
        </w:tc>
        <w:tc>
          <w:tcPr>
            <w:tcW w:type="dxa" w:w="1368"/>
          </w:tcPr>
          <w:p>
            <w:pPr>
              <w:jc w:val="right"/>
            </w:pPr>
            <w:r/>
            <w:r>
              <w:rPr>
                <w:b w:val="0"/>
                <w:i w:val="0"/>
                <w:sz w:val="18"/>
              </w:rPr>
              <w:t>SAR 44</w:t>
            </w:r>
          </w:p>
        </w:tc>
        <w:tc>
          <w:tcPr>
            <w:tcW w:type="dxa" w:w="2232"/>
          </w:tcPr>
          <w:p>
            <w:pPr>
              <w:jc w:val="right"/>
            </w:pPr>
            <w:r/>
            <w:r>
              <w:rPr>
                <w:b w:val="0"/>
                <w:i w:val="0"/>
                <w:sz w:val="18"/>
              </w:rPr>
              <w:t>−25% vs spot</w:t>
            </w:r>
          </w:p>
        </w:tc>
      </w:tr>
      <w:tr>
        <w:tc>
          <w:tcPr>
            <w:tcW w:type="dxa" w:w="2448"/>
          </w:tcPr>
          <w:p>
            <w:pPr>
              <w:jc w:val="left"/>
            </w:pPr>
            <w:r/>
            <w:r>
              <w:rPr>
                <w:b w:val="0"/>
                <w:i w:val="0"/>
                <w:sz w:val="18"/>
              </w:rPr>
              <w:t>Consolidated DCF</w:t>
            </w:r>
          </w:p>
        </w:tc>
        <w:tc>
          <w:tcPr>
            <w:tcW w:type="dxa" w:w="3168"/>
          </w:tcPr>
          <w:p>
            <w:pPr>
              <w:jc w:val="right"/>
            </w:pPr>
            <w:r/>
            <w:r>
              <w:rPr>
                <w:b w:val="0"/>
                <w:i w:val="0"/>
                <w:sz w:val="18"/>
              </w:rPr>
              <w:t>Discounted 5-yr FCFF</w:t>
            </w:r>
          </w:p>
        </w:tc>
        <w:tc>
          <w:tcPr>
            <w:tcW w:type="dxa" w:w="1368"/>
          </w:tcPr>
          <w:p>
            <w:pPr>
              <w:jc w:val="right"/>
            </w:pPr>
            <w:r/>
            <w:r>
              <w:rPr>
                <w:b w:val="0"/>
                <w:i w:val="0"/>
                <w:sz w:val="18"/>
              </w:rPr>
              <w:t>SAR 47</w:t>
            </w:r>
          </w:p>
        </w:tc>
        <w:tc>
          <w:tcPr>
            <w:tcW w:type="dxa" w:w="2232"/>
          </w:tcPr>
          <w:p>
            <w:pPr>
              <w:jc w:val="right"/>
            </w:pPr>
            <w:r/>
            <w:r>
              <w:rPr>
                <w:b w:val="0"/>
                <w:i w:val="0"/>
                <w:sz w:val="18"/>
              </w:rPr>
              <w:t>−19%</w:t>
            </w:r>
          </w:p>
        </w:tc>
      </w:tr>
      <w:tr>
        <w:tc>
          <w:tcPr>
            <w:tcW w:type="dxa" w:w="2448"/>
          </w:tcPr>
          <w:p>
            <w:pPr>
              <w:jc w:val="left"/>
            </w:pPr>
            <w:r/>
            <w:r>
              <w:rPr>
                <w:b w:val="0"/>
                <w:i w:val="0"/>
                <w:sz w:val="18"/>
              </w:rPr>
              <w:t>Relative multiples</w:t>
            </w:r>
          </w:p>
        </w:tc>
        <w:tc>
          <w:tcPr>
            <w:tcW w:type="dxa" w:w="3168"/>
          </w:tcPr>
          <w:p>
            <w:pPr>
              <w:jc w:val="right"/>
            </w:pPr>
            <w:r/>
            <w:r>
              <w:rPr>
                <w:b w:val="0"/>
                <w:i w:val="0"/>
                <w:sz w:val="18"/>
              </w:rPr>
              <w:t>Peer EV/EBITDA</w:t>
            </w:r>
          </w:p>
        </w:tc>
        <w:tc>
          <w:tcPr>
            <w:tcW w:type="dxa" w:w="1368"/>
          </w:tcPr>
          <w:p>
            <w:pPr>
              <w:jc w:val="right"/>
            </w:pPr>
            <w:r/>
            <w:r>
              <w:rPr>
                <w:b w:val="0"/>
                <w:i w:val="0"/>
                <w:sz w:val="18"/>
              </w:rPr>
              <w:t>SAR 26</w:t>
            </w:r>
          </w:p>
        </w:tc>
        <w:tc>
          <w:tcPr>
            <w:tcW w:type="dxa" w:w="2232"/>
          </w:tcPr>
          <w:p>
            <w:pPr>
              <w:jc w:val="right"/>
            </w:pPr>
            <w:r/>
            <w:r>
              <w:rPr>
                <w:b w:val="0"/>
                <w:i w:val="0"/>
                <w:sz w:val="18"/>
              </w:rPr>
              <w:t>−56% · the floor</w:t>
            </w:r>
          </w:p>
        </w:tc>
      </w:tr>
      <w:tr>
        <w:tc>
          <w:tcPr>
            <w:tcW w:type="dxa" w:w="2448"/>
          </w:tcPr>
          <w:p>
            <w:pPr>
              <w:jc w:val="left"/>
            </w:pPr>
            <w:r/>
            <w:r>
              <w:rPr>
                <w:b w:val="0"/>
                <w:i w:val="0"/>
                <w:sz w:val="18"/>
              </w:rPr>
              <w:t>Mid-cycle earnings</w:t>
            </w:r>
          </w:p>
        </w:tc>
        <w:tc>
          <w:tcPr>
            <w:tcW w:type="dxa" w:w="3168"/>
          </w:tcPr>
          <w:p>
            <w:pPr>
              <w:jc w:val="right"/>
            </w:pPr>
            <w:r/>
            <w:r>
              <w:rPr>
                <w:b w:val="0"/>
                <w:i w:val="0"/>
                <w:sz w:val="18"/>
              </w:rPr>
              <w:t>Through-cycle NI × P/E</w:t>
            </w:r>
          </w:p>
        </w:tc>
        <w:tc>
          <w:tcPr>
            <w:tcW w:type="dxa" w:w="1368"/>
          </w:tcPr>
          <w:p>
            <w:pPr>
              <w:jc w:val="right"/>
            </w:pPr>
            <w:r/>
            <w:r>
              <w:rPr>
                <w:b w:val="0"/>
                <w:i w:val="0"/>
                <w:sz w:val="18"/>
              </w:rPr>
              <w:t>SAR 42</w:t>
            </w:r>
          </w:p>
        </w:tc>
        <w:tc>
          <w:tcPr>
            <w:tcW w:type="dxa" w:w="2232"/>
          </w:tcPr>
          <w:p>
            <w:pPr>
              <w:jc w:val="right"/>
            </w:pPr>
            <w:r/>
            <w:r>
              <w:rPr>
                <w:b w:val="0"/>
                <w:i w:val="0"/>
                <w:sz w:val="18"/>
              </w:rPr>
              <w:t>−28% · the ceiling</w:t>
            </w:r>
          </w:p>
        </w:tc>
      </w:tr>
      <w:tr>
        <w:tc>
          <w:tcPr>
            <w:tcW w:type="dxa" w:w="2448"/>
          </w:tcPr>
          <w:p>
            <w:pPr>
              <w:jc w:val="left"/>
            </w:pPr>
            <w:r/>
            <w:r>
              <w:rPr>
                <w:b/>
                <w:i w:val="0"/>
                <w:sz w:val="18"/>
              </w:rPr>
              <w:t>Weighted central</w:t>
            </w:r>
          </w:p>
        </w:tc>
        <w:tc>
          <w:tcPr>
            <w:tcW w:type="dxa" w:w="3168"/>
          </w:tcPr>
          <w:p>
            <w:pPr>
              <w:jc w:val="right"/>
            </w:pPr>
            <w:r/>
            <w:r>
              <w:rPr>
                <w:b/>
                <w:i w:val="0"/>
                <w:sz w:val="18"/>
              </w:rPr>
              <w:t>Blend 40 / 20 / 15 / 25</w:t>
            </w:r>
          </w:p>
        </w:tc>
        <w:tc>
          <w:tcPr>
            <w:tcW w:type="dxa" w:w="1368"/>
          </w:tcPr>
          <w:p>
            <w:pPr>
              <w:jc w:val="right"/>
            </w:pPr>
            <w:r/>
            <w:r>
              <w:rPr>
                <w:b/>
                <w:i w:val="0"/>
                <w:sz w:val="18"/>
              </w:rPr>
              <w:t>SAR 42</w:t>
            </w:r>
          </w:p>
        </w:tc>
        <w:tc>
          <w:tcPr>
            <w:tcW w:type="dxa" w:w="2232"/>
          </w:tcPr>
          <w:p>
            <w:pPr>
              <w:jc w:val="right"/>
            </w:pPr>
            <w:r/>
            <w:r>
              <w:rPr>
                <w:b/>
                <w:i w:val="0"/>
                <w:sz w:val="18"/>
              </w:rPr>
              <w:t>−29% vs SAR 58.8</w:t>
            </w:r>
          </w:p>
        </w:tc>
      </w:tr>
      <w:tr>
        <w:tc>
          <w:tcPr>
            <w:tcW w:type="dxa" w:w="2232"/>
            <w:gridSpan w:val="4"/>
            <w:shd w:val="clear" w:fill="EAF3F3"/>
          </w:tcPr>
          <w:p>
            <w:r/>
            <w:r>
              <w:rPr>
                <w:b/>
                <w:i w:val="0"/>
                <w:color w:val="1B5E5E"/>
                <w:sz w:val="19"/>
              </w:rPr>
              <w:t>TECHNICAL — what the tape is doing (timing, not value)</w:t>
            </w:r>
          </w:p>
        </w:tc>
      </w:tr>
      <w:tr>
        <w:tc>
          <w:tcPr>
            <w:tcW w:type="dxa" w:w="2448"/>
          </w:tcPr>
          <w:p>
            <w:pPr>
              <w:jc w:val="left"/>
            </w:pPr>
            <w:r/>
            <w:r>
              <w:rPr>
                <w:b w:val="0"/>
                <w:i w:val="0"/>
                <w:sz w:val="18"/>
              </w:rPr>
              <w:t>Trend &amp; momentum</w:t>
            </w:r>
          </w:p>
        </w:tc>
        <w:tc>
          <w:tcPr>
            <w:tcW w:type="dxa" w:w="3168"/>
          </w:tcPr>
          <w:p>
            <w:pPr>
              <w:jc w:val="right"/>
            </w:pPr>
            <w:r/>
            <w:r>
              <w:rPr>
                <w:b w:val="0"/>
                <w:i w:val="0"/>
                <w:sz w:val="18"/>
              </w:rPr>
              <w:t>Price vs the 20/50/100/200-day averages</w:t>
            </w:r>
          </w:p>
        </w:tc>
        <w:tc>
          <w:tcPr>
            <w:tcW w:type="dxa" w:w="1368"/>
          </w:tcPr>
          <w:p>
            <w:pPr>
              <w:jc w:val="right"/>
            </w:pPr>
            <w:r/>
            <w:r>
              <w:rPr>
                <w:b w:val="0"/>
                <w:i w:val="0"/>
                <w:sz w:val="18"/>
              </w:rPr>
              <w:t>Below all four</w:t>
            </w:r>
          </w:p>
        </w:tc>
        <w:tc>
          <w:tcPr>
            <w:tcW w:type="dxa" w:w="2232"/>
          </w:tcPr>
          <w:p>
            <w:pPr>
              <w:jc w:val="right"/>
            </w:pPr>
            <w:r/>
            <w:r>
              <w:rPr>
                <w:b w:val="0"/>
                <w:i w:val="0"/>
                <w:sz w:val="18"/>
              </w:rPr>
              <w:t>Weak, corrective</w:t>
            </w:r>
          </w:p>
        </w:tc>
      </w:tr>
      <w:tr>
        <w:tc>
          <w:tcPr>
            <w:tcW w:type="dxa" w:w="2448"/>
          </w:tcPr>
          <w:p>
            <w:pPr>
              <w:jc w:val="left"/>
            </w:pPr>
            <w:r/>
            <w:r>
              <w:rPr>
                <w:b w:val="0"/>
                <w:i w:val="0"/>
                <w:sz w:val="18"/>
              </w:rPr>
              <w:t>Momentum / range</w:t>
            </w:r>
          </w:p>
        </w:tc>
        <w:tc>
          <w:tcPr>
            <w:tcW w:type="dxa" w:w="3168"/>
          </w:tcPr>
          <w:p>
            <w:pPr>
              <w:jc w:val="right"/>
            </w:pPr>
            <w:r/>
            <w:r>
              <w:rPr>
                <w:b w:val="0"/>
                <w:i w:val="0"/>
                <w:sz w:val="18"/>
              </w:rPr>
              <w:t>RSI · MACD · 52-week range</w:t>
            </w:r>
          </w:p>
        </w:tc>
        <w:tc>
          <w:tcPr>
            <w:tcW w:type="dxa" w:w="1368"/>
          </w:tcPr>
          <w:p>
            <w:pPr>
              <w:jc w:val="right"/>
            </w:pPr>
            <w:r/>
            <w:r>
              <w:rPr>
                <w:b w:val="0"/>
                <w:i w:val="0"/>
                <w:sz w:val="18"/>
              </w:rPr>
              <w:t>RSI 34 · MACD −0.22 · 51–80</w:t>
            </w:r>
          </w:p>
        </w:tc>
        <w:tc>
          <w:tcPr>
            <w:tcW w:type="dxa" w:w="2232"/>
          </w:tcPr>
          <w:p>
            <w:pPr>
              <w:jc w:val="right"/>
            </w:pPr>
            <w:r/>
            <w:r>
              <w:rPr>
                <w:b w:val="0"/>
                <w:i w:val="0"/>
                <w:sz w:val="18"/>
              </w:rPr>
              <w:t>Stretched down</w:t>
            </w:r>
          </w:p>
        </w:tc>
      </w:tr>
      <w:tr>
        <w:tc>
          <w:tcPr>
            <w:tcW w:type="dxa" w:w="2232"/>
            <w:gridSpan w:val="4"/>
            <w:shd w:val="clear" w:fill="EAF3F3"/>
          </w:tcPr>
          <w:p>
            <w:r/>
            <w:r>
              <w:rPr>
                <w:b/>
                <w:i w:val="0"/>
                <w:color w:val="1B5E5E"/>
                <w:sz w:val="19"/>
              </w:rPr>
              <w:t>MONTE CARLO — where price could go in 3 months (paths from spot)</w:t>
            </w:r>
          </w:p>
        </w:tc>
      </w:tr>
      <w:tr>
        <w:tc>
          <w:tcPr>
            <w:tcW w:type="dxa" w:w="2448"/>
          </w:tcPr>
          <w:p>
            <w:pPr>
              <w:jc w:val="left"/>
            </w:pPr>
            <w:r/>
            <w:r>
              <w:rPr>
                <w:b w:val="0"/>
                <w:i w:val="0"/>
                <w:sz w:val="18"/>
              </w:rPr>
              <w:t>T+20 sessions</w:t>
            </w:r>
          </w:p>
        </w:tc>
        <w:tc>
          <w:tcPr>
            <w:tcW w:type="dxa" w:w="3168"/>
          </w:tcPr>
          <w:p>
            <w:pPr>
              <w:jc w:val="right"/>
            </w:pPr>
            <w:r/>
            <w:r>
              <w:rPr>
                <w:b w:val="0"/>
                <w:i w:val="0"/>
                <w:sz w:val="18"/>
              </w:rPr>
              <w:t>50,000 paths · 16 factors</w:t>
            </w:r>
          </w:p>
        </w:tc>
        <w:tc>
          <w:tcPr>
            <w:tcW w:type="dxa" w:w="1368"/>
          </w:tcPr>
          <w:p>
            <w:pPr>
              <w:jc w:val="right"/>
            </w:pPr>
            <w:r/>
            <w:r>
              <w:rPr>
                <w:b w:val="0"/>
                <w:i w:val="0"/>
                <w:sz w:val="18"/>
              </w:rPr>
              <w:t>p5 51 · p50 59 · p95 69</w:t>
            </w:r>
          </w:p>
        </w:tc>
        <w:tc>
          <w:tcPr>
            <w:tcW w:type="dxa" w:w="2232"/>
          </w:tcPr>
          <w:p>
            <w:pPr>
              <w:jc w:val="right"/>
            </w:pPr>
            <w:r/>
            <w:r>
              <w:rPr>
                <w:b w:val="0"/>
                <w:i w:val="0"/>
                <w:sz w:val="18"/>
              </w:rPr>
              <w:t>Median ≈ spot</w:t>
            </w:r>
          </w:p>
        </w:tc>
      </w:tr>
      <w:tr>
        <w:tc>
          <w:tcPr>
            <w:tcW w:type="dxa" w:w="2448"/>
          </w:tcPr>
          <w:p>
            <w:pPr>
              <w:jc w:val="left"/>
            </w:pPr>
            <w:r/>
            <w:r>
              <w:rPr>
                <w:b w:val="0"/>
                <w:i w:val="0"/>
                <w:sz w:val="18"/>
              </w:rPr>
              <w:t>T+60 sessions</w:t>
            </w:r>
          </w:p>
        </w:tc>
        <w:tc>
          <w:tcPr>
            <w:tcW w:type="dxa" w:w="3168"/>
          </w:tcPr>
          <w:p>
            <w:pPr>
              <w:jc w:val="right"/>
            </w:pPr>
            <w:r/>
            <w:r>
              <w:rPr>
                <w:b w:val="0"/>
                <w:i w:val="0"/>
                <w:sz w:val="18"/>
              </w:rPr>
              <w:t>same engine, longer horizon</w:t>
            </w:r>
          </w:p>
        </w:tc>
        <w:tc>
          <w:tcPr>
            <w:tcW w:type="dxa" w:w="1368"/>
          </w:tcPr>
          <w:p>
            <w:pPr>
              <w:jc w:val="right"/>
            </w:pPr>
            <w:r/>
            <w:r>
              <w:rPr>
                <w:b w:val="0"/>
                <w:i w:val="0"/>
                <w:sz w:val="18"/>
              </w:rPr>
              <w:t>p5 46 · p50 60 · p95 78</w:t>
            </w:r>
          </w:p>
        </w:tc>
        <w:tc>
          <w:tcPr>
            <w:tcW w:type="dxa" w:w="2232"/>
          </w:tcPr>
          <w:p>
            <w:pPr>
              <w:jc w:val="right"/>
            </w:pPr>
            <w:r/>
            <w:r>
              <w:rPr>
                <w:b w:val="0"/>
                <w:i w:val="0"/>
                <w:sz w:val="18"/>
              </w:rPr>
              <w:t>Wide, right-skewed</w:t>
            </w:r>
          </w:p>
        </w:tc>
      </w:tr>
      <w:tr>
        <w:tc>
          <w:tcPr>
            <w:tcW w:type="dxa" w:w="2232"/>
            <w:gridSpan w:val="4"/>
            <w:shd w:val="clear" w:fill="EAF3F3"/>
          </w:tcPr>
          <w:p>
            <w:r/>
            <w:r>
              <w:rPr>
                <w:b/>
                <w:i w:val="0"/>
                <w:color w:val="1B5E5E"/>
                <w:sz w:val="19"/>
              </w:rPr>
              <w:t>EXPERT PANEL — three independent methods (Appendix D)</w:t>
            </w:r>
          </w:p>
        </w:tc>
      </w:tr>
      <w:tr>
        <w:tc>
          <w:tcPr>
            <w:tcW w:type="dxa" w:w="2448"/>
          </w:tcPr>
          <w:p>
            <w:pPr>
              <w:jc w:val="left"/>
            </w:pPr>
            <w:r/>
            <w:r>
              <w:rPr>
                <w:b w:val="0"/>
                <w:i w:val="0"/>
                <w:sz w:val="18"/>
              </w:rPr>
              <w:t>Expert 1 — mid-cycle earnings power</w:t>
            </w:r>
          </w:p>
        </w:tc>
        <w:tc>
          <w:tcPr>
            <w:tcW w:type="dxa" w:w="3168"/>
          </w:tcPr>
          <w:p>
            <w:pPr>
              <w:jc w:val="right"/>
            </w:pPr>
            <w:r/>
            <w:r>
              <w:rPr>
                <w:b w:val="0"/>
                <w:i w:val="0"/>
                <w:sz w:val="18"/>
              </w:rPr>
              <w:t>Through-cycle commodity earnings</w:t>
            </w:r>
          </w:p>
        </w:tc>
        <w:tc>
          <w:tcPr>
            <w:tcW w:type="dxa" w:w="1368"/>
          </w:tcPr>
          <w:p>
            <w:pPr>
              <w:jc w:val="right"/>
            </w:pPr>
            <w:r/>
            <w:r>
              <w:rPr>
                <w:b w:val="0"/>
                <w:i w:val="0"/>
                <w:sz w:val="18"/>
              </w:rPr>
              <w:t>SAR 44</w:t>
            </w:r>
          </w:p>
        </w:tc>
        <w:tc>
          <w:tcPr>
            <w:tcW w:type="dxa" w:w="2232"/>
          </w:tcPr>
          <w:p>
            <w:pPr>
              <w:jc w:val="right"/>
            </w:pPr>
            <w:r/>
            <w:r>
              <w:rPr>
                <w:b w:val="0"/>
                <w:i w:val="0"/>
                <w:sz w:val="18"/>
              </w:rPr>
              <w:t>The normalizer</w:t>
            </w:r>
          </w:p>
        </w:tc>
      </w:tr>
      <w:tr>
        <w:tc>
          <w:tcPr>
            <w:tcW w:type="dxa" w:w="2448"/>
          </w:tcPr>
          <w:p>
            <w:pPr>
              <w:jc w:val="left"/>
            </w:pPr>
            <w:r/>
            <w:r>
              <w:rPr>
                <w:b w:val="0"/>
                <w:i w:val="0"/>
                <w:sz w:val="18"/>
              </w:rPr>
              <w:t>Expert 2 — cash returns (DCF + ROIC)</w:t>
            </w:r>
          </w:p>
        </w:tc>
        <w:tc>
          <w:tcPr>
            <w:tcW w:type="dxa" w:w="3168"/>
          </w:tcPr>
          <w:p>
            <w:pPr>
              <w:jc w:val="right"/>
            </w:pPr>
            <w:r/>
            <w:r>
              <w:rPr>
                <w:b w:val="0"/>
                <w:i w:val="0"/>
                <w:sz w:val="18"/>
              </w:rPr>
              <w:t>Return on capital vs ~9.3% WACC</w:t>
            </w:r>
          </w:p>
        </w:tc>
        <w:tc>
          <w:tcPr>
            <w:tcW w:type="dxa" w:w="1368"/>
          </w:tcPr>
          <w:p>
            <w:pPr>
              <w:jc w:val="right"/>
            </w:pPr>
            <w:r/>
            <w:r>
              <w:rPr>
                <w:b w:val="0"/>
                <w:i w:val="0"/>
                <w:sz w:val="18"/>
              </w:rPr>
              <w:t>SAR 34</w:t>
            </w:r>
          </w:p>
        </w:tc>
        <w:tc>
          <w:tcPr>
            <w:tcW w:type="dxa" w:w="2232"/>
          </w:tcPr>
          <w:p>
            <w:pPr>
              <w:jc w:val="right"/>
            </w:pPr>
            <w:r/>
            <w:r>
              <w:rPr>
                <w:b w:val="0"/>
                <w:i w:val="0"/>
                <w:sz w:val="18"/>
              </w:rPr>
              <w:t>Most conservative</w:t>
            </w:r>
          </w:p>
        </w:tc>
      </w:tr>
      <w:tr>
        <w:tc>
          <w:tcPr>
            <w:tcW w:type="dxa" w:w="2448"/>
          </w:tcPr>
          <w:p>
            <w:pPr>
              <w:jc w:val="left"/>
            </w:pPr>
            <w:r/>
            <w:r>
              <w:rPr>
                <w:b w:val="0"/>
                <w:i w:val="0"/>
                <w:sz w:val="18"/>
              </w:rPr>
              <w:t>Expert 3 — strategic / macro-policy</w:t>
            </w:r>
          </w:p>
        </w:tc>
        <w:tc>
          <w:tcPr>
            <w:tcW w:type="dxa" w:w="3168"/>
          </w:tcPr>
          <w:p>
            <w:pPr>
              <w:jc w:val="right"/>
            </w:pPr>
            <w:r/>
            <w:r>
              <w:rPr>
                <w:b w:val="0"/>
                <w:i w:val="0"/>
                <w:sz w:val="18"/>
              </w:rPr>
              <w:t>PIF backing &amp; Vision-2030 premium</w:t>
            </w:r>
          </w:p>
        </w:tc>
        <w:tc>
          <w:tcPr>
            <w:tcW w:type="dxa" w:w="1368"/>
          </w:tcPr>
          <w:p>
            <w:pPr>
              <w:jc w:val="right"/>
            </w:pPr>
            <w:r/>
            <w:r>
              <w:rPr>
                <w:b w:val="0"/>
                <w:i w:val="0"/>
                <w:sz w:val="18"/>
              </w:rPr>
              <w:t>SAR 48</w:t>
            </w:r>
          </w:p>
        </w:tc>
        <w:tc>
          <w:tcPr>
            <w:tcW w:type="dxa" w:w="2232"/>
          </w:tcPr>
          <w:p>
            <w:pPr>
              <w:jc w:val="right"/>
            </w:pPr>
            <w:r/>
            <w:r>
              <w:rPr>
                <w:b w:val="0"/>
                <w:i w:val="0"/>
                <w:sz w:val="18"/>
              </w:rPr>
              <w:t>Most constructive</w:t>
            </w:r>
          </w:p>
        </w:tc>
      </w:tr>
      <w:tr>
        <w:tc>
          <w:tcPr>
            <w:tcW w:type="dxa" w:w="2448"/>
          </w:tcPr>
          <w:p>
            <w:pPr>
              <w:jc w:val="left"/>
            </w:pPr>
            <w:r/>
            <w:r>
              <w:rPr>
                <w:b/>
                <w:i w:val="0"/>
                <w:sz w:val="18"/>
              </w:rPr>
              <w:t>Panel range</w:t>
            </w:r>
          </w:p>
        </w:tc>
        <w:tc>
          <w:tcPr>
            <w:tcW w:type="dxa" w:w="3168"/>
          </w:tcPr>
          <w:p>
            <w:pPr>
              <w:jc w:val="right"/>
            </w:pPr>
            <w:r/>
            <w:r>
              <w:rPr>
                <w:b/>
                <w:i w:val="0"/>
                <w:sz w:val="18"/>
              </w:rPr>
              <w:t>Spread = the premium question</w:t>
            </w:r>
          </w:p>
        </w:tc>
        <w:tc>
          <w:tcPr>
            <w:tcW w:type="dxa" w:w="1368"/>
          </w:tcPr>
          <w:p>
            <w:pPr>
              <w:jc w:val="right"/>
            </w:pPr>
            <w:r/>
            <w:r>
              <w:rPr>
                <w:b/>
                <w:i w:val="0"/>
                <w:sz w:val="18"/>
              </w:rPr>
              <w:t>SAR 34–48</w:t>
            </w:r>
          </w:p>
        </w:tc>
        <w:tc>
          <w:tcPr>
            <w:tcW w:type="dxa" w:w="2232"/>
          </w:tcPr>
          <w:p>
            <w:pPr>
              <w:jc w:val="right"/>
            </w:pPr>
            <w:r/>
            <w:r>
              <w:rPr>
                <w:b/>
                <w:i w:val="0"/>
                <w:sz w:val="18"/>
              </w:rPr>
              <w:t>Centres ~SAR 42</w:t>
            </w:r>
          </w:p>
        </w:tc>
      </w:tr>
    </w:tbl>
    <w:p>
      <w:pPr>
        <w:spacing w:after="80"/>
      </w:pPr>
    </w:p>
    <w:p>
      <w:pPr>
        <w:spacing w:after="160"/>
      </w:pPr>
      <w:r>
        <w:rPr>
          <w:b/>
          <w:i w:val="0"/>
          <w:sz w:val="21"/>
        </w:rPr>
        <w:t xml:space="preserve">Bottom line.  </w:t>
      </w:r>
      <w:r>
        <w:rPr>
          <w:b w:val="0"/>
          <w:i w:val="0"/>
          <w:sz w:val="21"/>
        </w:rPr>
        <w:t>Every read points the same way on value — below spot — and disagrees only on magnitude. The fundamental central sits near SAR 42, about 29% under the SAR 58.8 price; the three experts span SAR 34–48, and each one turns on a single question: whether the growth pipeline and the sovereign-backed multiple justify a price at 15.6× EV/EBITDA. The technical tape, unusually, agrees: oversold and below trend. The three-month distribution centres near spot with a wide right tail — because the simulation maps price, and does not assume the value gap closes inside the quarter.</w:t>
      </w:r>
    </w:p>
    <w:p>
      <w:pPr>
        <w:spacing w:before="200" w:after="80"/>
      </w:pPr>
      <w:r>
        <w:rPr>
          <w:b/>
          <w:i w:val="0"/>
          <w:color w:val="1B5E5E"/>
          <w:sz w:val="30"/>
        </w:rPr>
        <w:t>Company overview — Ma'aden at a glance</w:t>
      </w:r>
    </w:p>
    <w:tbl>
      <w:tblPr>
        <w:tblStyle w:val="TableGrid"/>
        <w:tblW w:type="auto" w:w="0"/>
        <w:jc w:val="center"/>
        <w:tblLook w:firstColumn="1" w:firstRow="1" w:lastColumn="0" w:lastRow="0" w:noHBand="0" w:noVBand="1" w:val="04A0"/>
      </w:tblPr>
      <w:tblGrid>
        <w:gridCol w:w="4320"/>
        <w:gridCol w:w="4320"/>
      </w:tblGrid>
      <w:tr>
        <w:tc>
          <w:tcPr>
            <w:tcW w:type="dxa" w:w="2952"/>
            <w:shd w:val="clear" w:fill="1B5E5E"/>
          </w:tcPr>
          <w:p>
            <w:r/>
            <w:r>
              <w:rPr>
                <w:b/>
                <w:i w:val="0"/>
                <w:color w:val="FFFFFF"/>
                <w:sz w:val="19"/>
              </w:rPr>
              <w:t>Item</w:t>
            </w:r>
          </w:p>
        </w:tc>
        <w:tc>
          <w:tcPr>
            <w:tcW w:type="dxa" w:w="6264"/>
            <w:shd w:val="clear" w:fill="1B5E5E"/>
          </w:tcPr>
          <w:p>
            <w:r/>
            <w:r>
              <w:rPr>
                <w:b/>
                <w:i w:val="0"/>
                <w:color w:val="FFFFFF"/>
                <w:sz w:val="19"/>
              </w:rPr>
              <w:t>Value</w:t>
            </w:r>
          </w:p>
        </w:tc>
      </w:tr>
      <w:tr>
        <w:tc>
          <w:tcPr>
            <w:tcW w:type="dxa" w:w="2952"/>
          </w:tcPr>
          <w:p>
            <w:pPr>
              <w:jc w:val="left"/>
            </w:pPr>
            <w:r/>
            <w:r>
              <w:rPr>
                <w:b w:val="0"/>
                <w:i w:val="0"/>
                <w:sz w:val="18"/>
              </w:rPr>
              <w:t>Listed entity</w:t>
            </w:r>
          </w:p>
        </w:tc>
        <w:tc>
          <w:tcPr>
            <w:tcW w:type="dxa" w:w="6264"/>
          </w:tcPr>
          <w:p>
            <w:pPr>
              <w:jc w:val="right"/>
            </w:pPr>
            <w:r/>
            <w:r>
              <w:rPr>
                <w:b w:val="0"/>
                <w:i w:val="0"/>
                <w:sz w:val="18"/>
              </w:rPr>
              <w:t>Saudi Arabian Mining Company (Ma'aden) — Tadawul: 1211</w:t>
            </w:r>
          </w:p>
        </w:tc>
      </w:tr>
      <w:tr>
        <w:tc>
          <w:tcPr>
            <w:tcW w:type="dxa" w:w="2952"/>
          </w:tcPr>
          <w:p>
            <w:pPr>
              <w:jc w:val="left"/>
            </w:pPr>
            <w:r/>
            <w:r>
              <w:rPr>
                <w:b w:val="0"/>
                <w:i w:val="0"/>
                <w:sz w:val="18"/>
              </w:rPr>
              <w:t>What it owns</w:t>
            </w:r>
          </w:p>
        </w:tc>
        <w:tc>
          <w:tcPr>
            <w:tcW w:type="dxa" w:w="6264"/>
          </w:tcPr>
          <w:p>
            <w:pPr>
              <w:jc w:val="right"/>
            </w:pPr>
            <w:r/>
            <w:r>
              <w:rPr>
                <w:b w:val="0"/>
                <w:i w:val="0"/>
                <w:sz w:val="18"/>
              </w:rPr>
              <w:t>Phosphate (Ma'aden Phosphate + Waad Al Shamal) · Aluminium (bauxite, alumina, smelter, rolling) · Gold &amp; Base Metals · New Minerals / exploration / Manara Minerals (international)</w:t>
            </w:r>
          </w:p>
        </w:tc>
      </w:tr>
      <w:tr>
        <w:tc>
          <w:tcPr>
            <w:tcW w:type="dxa" w:w="2952"/>
          </w:tcPr>
          <w:p>
            <w:pPr>
              <w:jc w:val="left"/>
            </w:pPr>
            <w:r/>
            <w:r>
              <w:rPr>
                <w:b w:val="0"/>
                <w:i w:val="0"/>
                <w:sz w:val="18"/>
              </w:rPr>
              <w:t>Spot / date</w:t>
            </w:r>
          </w:p>
        </w:tc>
        <w:tc>
          <w:tcPr>
            <w:tcW w:type="dxa" w:w="6264"/>
          </w:tcPr>
          <w:p>
            <w:pPr>
              <w:jc w:val="right"/>
            </w:pPr>
            <w:r/>
            <w:r>
              <w:rPr>
                <w:b w:val="0"/>
                <w:i w:val="0"/>
                <w:sz w:val="18"/>
              </w:rPr>
              <w:t>SAR 58.80 · 5 Jul 2026 close</w:t>
            </w:r>
          </w:p>
        </w:tc>
      </w:tr>
      <w:tr>
        <w:tc>
          <w:tcPr>
            <w:tcW w:type="dxa" w:w="2952"/>
          </w:tcPr>
          <w:p>
            <w:pPr>
              <w:jc w:val="left"/>
            </w:pPr>
            <w:r/>
            <w:r>
              <w:rPr>
                <w:b w:val="0"/>
                <w:i w:val="0"/>
                <w:sz w:val="18"/>
              </w:rPr>
              <w:t>Shares · market cap</w:t>
            </w:r>
          </w:p>
        </w:tc>
        <w:tc>
          <w:tcPr>
            <w:tcW w:type="dxa" w:w="6264"/>
          </w:tcPr>
          <w:p>
            <w:pPr>
              <w:jc w:val="right"/>
            </w:pPr>
            <w:r/>
            <w:r>
              <w:rPr>
                <w:b w:val="0"/>
                <w:i w:val="0"/>
                <w:sz w:val="18"/>
              </w:rPr>
              <w:t>~3.88 bn · ~SAR 228 bn (~US$60.8 bn)</w:t>
            </w:r>
          </w:p>
        </w:tc>
      </w:tr>
      <w:tr>
        <w:tc>
          <w:tcPr>
            <w:tcW w:type="dxa" w:w="2952"/>
          </w:tcPr>
          <w:p>
            <w:pPr>
              <w:jc w:val="left"/>
            </w:pPr>
            <w:r/>
            <w:r>
              <w:rPr>
                <w:b w:val="0"/>
                <w:i w:val="0"/>
                <w:sz w:val="18"/>
              </w:rPr>
              <w:t>Consolidated net debt</w:t>
            </w:r>
          </w:p>
        </w:tc>
        <w:tc>
          <w:tcPr>
            <w:tcW w:type="dxa" w:w="6264"/>
          </w:tcPr>
          <w:p>
            <w:pPr>
              <w:jc w:val="right"/>
            </w:pPr>
            <w:r/>
            <w:r>
              <w:rPr>
                <w:b w:val="0"/>
                <w:i w:val="0"/>
                <w:sz w:val="18"/>
              </w:rPr>
              <w:t>~SAR 24 bn (FY2025); net debt / EBITDA ~1.5×</w:t>
            </w:r>
          </w:p>
        </w:tc>
      </w:tr>
      <w:tr>
        <w:tc>
          <w:tcPr>
            <w:tcW w:type="dxa" w:w="2952"/>
          </w:tcPr>
          <w:p>
            <w:pPr>
              <w:jc w:val="left"/>
            </w:pPr>
            <w:r/>
            <w:r>
              <w:rPr>
                <w:b w:val="0"/>
                <w:i w:val="0"/>
                <w:sz w:val="18"/>
              </w:rPr>
              <w:t>FY2025 revenue / EBITDA margin</w:t>
            </w:r>
          </w:p>
        </w:tc>
        <w:tc>
          <w:tcPr>
            <w:tcW w:type="dxa" w:w="6264"/>
          </w:tcPr>
          <w:p>
            <w:pPr>
              <w:jc w:val="right"/>
            </w:pPr>
            <w:r/>
            <w:r>
              <w:rPr>
                <w:b w:val="0"/>
                <w:i w:val="0"/>
                <w:sz w:val="18"/>
              </w:rPr>
              <w:t>SAR 38.58 bn (+19% YoY) · ~42% EBITDA margin</w:t>
            </w:r>
          </w:p>
        </w:tc>
      </w:tr>
      <w:tr>
        <w:tc>
          <w:tcPr>
            <w:tcW w:type="dxa" w:w="2952"/>
          </w:tcPr>
          <w:p>
            <w:pPr>
              <w:jc w:val="left"/>
            </w:pPr>
            <w:r/>
            <w:r>
              <w:rPr>
                <w:b w:val="0"/>
                <w:i w:val="0"/>
                <w:sz w:val="18"/>
              </w:rPr>
              <w:t>FY2025 net profit (attributable) / EPS</w:t>
            </w:r>
          </w:p>
        </w:tc>
        <w:tc>
          <w:tcPr>
            <w:tcW w:type="dxa" w:w="6264"/>
          </w:tcPr>
          <w:p>
            <w:pPr>
              <w:jc w:val="right"/>
            </w:pPr>
            <w:r/>
            <w:r>
              <w:rPr>
                <w:b w:val="0"/>
                <w:i w:val="0"/>
                <w:sz w:val="18"/>
              </w:rPr>
              <w:t>SAR 7.35 bn (+156% YoY) · SAR 1.89</w:t>
            </w:r>
          </w:p>
        </w:tc>
      </w:tr>
      <w:tr>
        <w:tc>
          <w:tcPr>
            <w:tcW w:type="dxa" w:w="2952"/>
          </w:tcPr>
          <w:p>
            <w:pPr>
              <w:jc w:val="left"/>
            </w:pPr>
            <w:r/>
            <w:r>
              <w:rPr>
                <w:b w:val="0"/>
                <w:i w:val="0"/>
                <w:sz w:val="18"/>
              </w:rPr>
              <w:t>Largest business</w:t>
            </w:r>
          </w:p>
        </w:tc>
        <w:tc>
          <w:tcPr>
            <w:tcW w:type="dxa" w:w="6264"/>
          </w:tcPr>
          <w:p>
            <w:pPr>
              <w:jc w:val="right"/>
            </w:pPr>
            <w:r/>
            <w:r>
              <w:rPr>
                <w:b w:val="0"/>
                <w:i w:val="0"/>
                <w:sz w:val="18"/>
              </w:rPr>
              <w:t>Phosphate — ~54% of revenue, ~61% of segment EBITDA (47% margin)</w:t>
            </w:r>
          </w:p>
        </w:tc>
      </w:tr>
      <w:tr>
        <w:tc>
          <w:tcPr>
            <w:tcW w:type="dxa" w:w="2952"/>
          </w:tcPr>
          <w:p>
            <w:pPr>
              <w:jc w:val="left"/>
            </w:pPr>
            <w:r/>
            <w:r>
              <w:rPr>
                <w:b w:val="0"/>
                <w:i w:val="0"/>
                <w:sz w:val="18"/>
              </w:rPr>
              <w:t>Major shareholder</w:t>
            </w:r>
          </w:p>
        </w:tc>
        <w:tc>
          <w:tcPr>
            <w:tcW w:type="dxa" w:w="6264"/>
          </w:tcPr>
          <w:p>
            <w:pPr>
              <w:jc w:val="right"/>
            </w:pPr>
            <w:r/>
            <w:r>
              <w:rPr>
                <w:b w:val="0"/>
                <w:i w:val="0"/>
                <w:sz w:val="18"/>
              </w:rPr>
              <w:t>Public Investment Fund (PIF) ~64%; free float on Tadawul</w:t>
            </w:r>
          </w:p>
        </w:tc>
      </w:tr>
      <w:tr>
        <w:tc>
          <w:tcPr>
            <w:tcW w:type="dxa" w:w="2952"/>
          </w:tcPr>
          <w:p>
            <w:pPr>
              <w:jc w:val="left"/>
            </w:pPr>
            <w:r/>
            <w:r>
              <w:rPr>
                <w:b w:val="0"/>
                <w:i w:val="0"/>
                <w:sz w:val="18"/>
              </w:rPr>
              <w:t>52-week range (to anchor)</w:t>
            </w:r>
          </w:p>
        </w:tc>
        <w:tc>
          <w:tcPr>
            <w:tcW w:type="dxa" w:w="6264"/>
          </w:tcPr>
          <w:p>
            <w:pPr>
              <w:jc w:val="right"/>
            </w:pPr>
            <w:r/>
            <w:r>
              <w:rPr>
                <w:b w:val="0"/>
                <w:i w:val="0"/>
                <w:sz w:val="18"/>
              </w:rPr>
              <w:t>SAR 51.1 – 79.5</w:t>
            </w:r>
          </w:p>
        </w:tc>
      </w:tr>
      <w:tr>
        <w:tc>
          <w:tcPr>
            <w:tcW w:type="dxa" w:w="2952"/>
          </w:tcPr>
          <w:p>
            <w:pPr>
              <w:jc w:val="left"/>
            </w:pPr>
            <w:r/>
            <w:r>
              <w:rPr>
                <w:b w:val="0"/>
                <w:i w:val="0"/>
                <w:sz w:val="18"/>
              </w:rPr>
              <w:t>Realized volatility (252d)</w:t>
            </w:r>
          </w:p>
        </w:tc>
        <w:tc>
          <w:tcPr>
            <w:tcW w:type="dxa" w:w="6264"/>
          </w:tcPr>
          <w:p>
            <w:pPr>
              <w:jc w:val="right"/>
            </w:pPr>
            <w:r/>
            <w:r>
              <w:rPr>
                <w:b w:val="0"/>
                <w:i w:val="0"/>
                <w:sz w:val="18"/>
              </w:rPr>
              <w:t>~32.4% annualized</w:t>
            </w:r>
          </w:p>
        </w:tc>
      </w:tr>
      <w:tr>
        <w:tc>
          <w:tcPr>
            <w:tcW w:type="dxa" w:w="2952"/>
          </w:tcPr>
          <w:p>
            <w:pPr>
              <w:jc w:val="left"/>
            </w:pPr>
            <w:r/>
            <w:r>
              <w:rPr>
                <w:b w:val="0"/>
                <w:i w:val="0"/>
                <w:sz w:val="18"/>
              </w:rPr>
              <w:t>Structural feature</w:t>
            </w:r>
          </w:p>
        </w:tc>
        <w:tc>
          <w:tcPr>
            <w:tcW w:type="dxa" w:w="6264"/>
          </w:tcPr>
          <w:p>
            <w:pPr>
              <w:jc w:val="right"/>
            </w:pPr>
            <w:r/>
            <w:r>
              <w:rPr>
                <w:b w:val="0"/>
                <w:i w:val="0"/>
                <w:sz w:val="18"/>
              </w:rPr>
              <w:t>SAR pegged to USD at 3.75 — commodity revenue is USD-linked; no material FX-translation swing</w:t>
            </w:r>
          </w:p>
        </w:tc>
      </w:tr>
      <w:tr>
        <w:tc>
          <w:tcPr>
            <w:tcW w:type="dxa" w:w="2952"/>
          </w:tcPr>
          <w:p>
            <w:pPr>
              <w:jc w:val="left"/>
            </w:pPr>
            <w:r/>
            <w:r>
              <w:rPr>
                <w:b w:val="0"/>
                <w:i w:val="0"/>
                <w:sz w:val="18"/>
              </w:rPr>
              <w:t>Strategy</w:t>
            </w:r>
          </w:p>
        </w:tc>
        <w:tc>
          <w:tcPr>
            <w:tcW w:type="dxa" w:w="6264"/>
          </w:tcPr>
          <w:p>
            <w:pPr>
              <w:jc w:val="right"/>
            </w:pPr>
            <w:r/>
            <w:r>
              <w:rPr>
                <w:b w:val="0"/>
                <w:i w:val="0"/>
                <w:sz w:val="18"/>
              </w:rPr>
              <w:t>2040 growth plan: Phosphate 3, gold-production doubling (Mansourah-Massarah, Ar Rjum), exploration, rare earths, and international M&amp;A via Manara (50/50 with PIF)</w:t>
            </w:r>
          </w:p>
        </w:tc>
      </w:tr>
    </w:tbl>
    <w:p>
      <w:pPr>
        <w:spacing w:after="160"/>
      </w:pPr>
      <w:r>
        <w:rPr>
          <w:b w:val="0"/>
          <w:i/>
          <w:color w:val="595959"/>
          <w:sz w:val="17"/>
        </w:rPr>
        <w:t>Source: Ma'aden FY2025 results and quarterly filings; Tadawul / exchange data; company disclosures. Values rounded.</w:t>
      </w:r>
    </w:p>
    <w:p>
      <w:pPr>
        <w:spacing w:before="200" w:after="80"/>
      </w:pPr>
      <w:r>
        <w:rPr>
          <w:b/>
          <w:i w:val="0"/>
          <w:color w:val="1B5E5E"/>
          <w:sz w:val="30"/>
        </w:rPr>
        <w:t>1  Fundamental valuation</w:t>
      </w:r>
    </w:p>
    <w:p>
      <w:pPr>
        <w:spacing w:after="160"/>
      </w:pPr>
      <w:r>
        <w:rPr>
          <w:b w:val="0"/>
          <w:i w:val="0"/>
          <w:sz w:val="21"/>
        </w:rPr>
        <w:t>We value Ma'aden as an integrated, multi-commodity producer and triangulate four lenses. The primary lens is a sum-of-the-parts by commodity segment, because the three businesses trade on genuinely different economics — a world-class, gas-advantaged phosphate franchise; a mid-cost, energy-intensive aluminium chain; and a high-margin, ramping gold and base-metals unit — and a single group multiple would blur them. A consolidated DCF, a peer-anchored relative cross-check and a mid-cycle earnings-power read complete the set. Two features simplify the picture relative to a cross-border name: Ma'aden reports in riyals and the riyal is pegged to the dollar, so there is no currency-translation swing to model, and the whole enterprise sits inside one tax and regulatory regime. The weights and the football field are in §1.5; the swing factors — the commodity deck and the returns on the growth capex — are dissected in §1.7, and the sensitivity grid in §1.9.</w:t>
      </w:r>
    </w:p>
    <w:p>
      <w:pPr>
        <w:spacing w:before="200" w:after="80"/>
      </w:pPr>
      <w:r>
        <w:rPr>
          <w:b/>
          <w:i w:val="0"/>
          <w:color w:val="1B5E5E"/>
          <w:sz w:val="25"/>
        </w:rPr>
        <w:t>1.1  Sum-of-the-parts by commodity segment — the primary lens</w:t>
      </w:r>
    </w:p>
    <w:p>
      <w:pPr>
        <w:spacing w:after="120"/>
      </w:pPr>
      <w:r>
        <w:rPr>
          <w:b w:val="0"/>
          <w:i w:val="0"/>
          <w:sz w:val="21"/>
        </w:rPr>
        <w:t>Each business is marked on a normalized, near-forward EBITDA (broadly FY2027E, capturing the first phase of Phosphate 3 and the gold ramp) and a peer-plus EV/EBITDA multiple that reflects its quality and growth. Phosphate earns the highest multiple: a 47% EBITDA margin, structurally top-decile on the back of sub-$2/mmbtu domestic gas, and a large expansion underway. Aluminium is marked on a mid-cost multiple; gold and base metals on a premium reflecting the production-doubling pipeline; and a residual new-minerals, exploration and Manara-stake bucket is given a conservative option-value mark. From the summed enterprise value we deduct consolidated net debt.</w:t>
      </w:r>
    </w:p>
    <w:tbl>
      <w:tblPr>
        <w:tblStyle w:val="TableGrid"/>
        <w:tblW w:type="auto" w:w="0"/>
        <w:jc w:val="center"/>
        <w:tblLook w:firstColumn="1" w:firstRow="1" w:lastColumn="0" w:lastRow="0" w:noHBand="0" w:noVBand="1" w:val="04A0"/>
      </w:tblPr>
      <w:tblGrid>
        <w:gridCol w:w="2880"/>
        <w:gridCol w:w="2880"/>
        <w:gridCol w:w="2880"/>
      </w:tblGrid>
      <w:tr>
        <w:tc>
          <w:tcPr>
            <w:tcW w:type="dxa" w:w="3888"/>
            <w:shd w:val="clear" w:fill="1B5E5E"/>
          </w:tcPr>
          <w:p>
            <w:r/>
            <w:r>
              <w:rPr>
                <w:b/>
                <w:i w:val="0"/>
                <w:color w:val="FFFFFF"/>
                <w:sz w:val="19"/>
              </w:rPr>
              <w:t>Part (base case)</w:t>
            </w:r>
          </w:p>
        </w:tc>
        <w:tc>
          <w:tcPr>
            <w:tcW w:type="dxa" w:w="3600"/>
            <w:shd w:val="clear" w:fill="1B5E5E"/>
          </w:tcPr>
          <w:p>
            <w:r/>
            <w:r>
              <w:rPr>
                <w:b/>
                <w:i w:val="0"/>
                <w:color w:val="FFFFFF"/>
                <w:sz w:val="19"/>
              </w:rPr>
              <w:t>Basis</w:t>
            </w:r>
          </w:p>
        </w:tc>
        <w:tc>
          <w:tcPr>
            <w:tcW w:type="dxa" w:w="1728"/>
            <w:shd w:val="clear" w:fill="1B5E5E"/>
          </w:tcPr>
          <w:p>
            <w:r/>
            <w:r>
              <w:rPr>
                <w:b/>
                <w:i w:val="0"/>
                <w:color w:val="FFFFFF"/>
                <w:sz w:val="19"/>
              </w:rPr>
              <w:t>Value (SAR bn)</w:t>
            </w:r>
          </w:p>
        </w:tc>
      </w:tr>
      <w:tr>
        <w:tc>
          <w:tcPr>
            <w:tcW w:type="dxa" w:w="3888"/>
          </w:tcPr>
          <w:p>
            <w:pPr>
              <w:jc w:val="left"/>
            </w:pPr>
            <w:r/>
            <w:r>
              <w:rPr>
                <w:b w:val="0"/>
                <w:i w:val="0"/>
                <w:sz w:val="18"/>
              </w:rPr>
              <w:t>Phosphate</w:t>
            </w:r>
          </w:p>
        </w:tc>
        <w:tc>
          <w:tcPr>
            <w:tcW w:type="dxa" w:w="3600"/>
          </w:tcPr>
          <w:p>
            <w:pPr>
              <w:jc w:val="right"/>
            </w:pPr>
            <w:r/>
            <w:r>
              <w:rPr>
                <w:b w:val="0"/>
                <w:i w:val="0"/>
                <w:sz w:val="18"/>
              </w:rPr>
              <w:t>SAR 11.0 bn norm. EBITDA × 10.5×</w:t>
            </w:r>
          </w:p>
        </w:tc>
        <w:tc>
          <w:tcPr>
            <w:tcW w:type="dxa" w:w="1728"/>
          </w:tcPr>
          <w:p>
            <w:pPr>
              <w:jc w:val="right"/>
            </w:pPr>
            <w:r/>
            <w:r>
              <w:rPr>
                <w:b w:val="0"/>
                <w:i w:val="0"/>
                <w:sz w:val="18"/>
              </w:rPr>
              <w:t>115.5</w:t>
            </w:r>
          </w:p>
        </w:tc>
      </w:tr>
      <w:tr>
        <w:tc>
          <w:tcPr>
            <w:tcW w:type="dxa" w:w="3888"/>
          </w:tcPr>
          <w:p>
            <w:pPr>
              <w:jc w:val="left"/>
            </w:pPr>
            <w:r/>
            <w:r>
              <w:rPr>
                <w:b w:val="0"/>
                <w:i w:val="0"/>
                <w:sz w:val="18"/>
              </w:rPr>
              <w:t>Aluminium</w:t>
            </w:r>
          </w:p>
        </w:tc>
        <w:tc>
          <w:tcPr>
            <w:tcW w:type="dxa" w:w="3600"/>
          </w:tcPr>
          <w:p>
            <w:pPr>
              <w:jc w:val="right"/>
            </w:pPr>
            <w:r/>
            <w:r>
              <w:rPr>
                <w:b w:val="0"/>
                <w:i w:val="0"/>
                <w:sz w:val="18"/>
              </w:rPr>
              <w:t>SAR 3.0 bn norm. EBITDA × 7.0×</w:t>
            </w:r>
          </w:p>
        </w:tc>
        <w:tc>
          <w:tcPr>
            <w:tcW w:type="dxa" w:w="1728"/>
          </w:tcPr>
          <w:p>
            <w:pPr>
              <w:jc w:val="right"/>
            </w:pPr>
            <w:r/>
            <w:r>
              <w:rPr>
                <w:b w:val="0"/>
                <w:i w:val="0"/>
                <w:sz w:val="18"/>
              </w:rPr>
              <w:t>21.0</w:t>
            </w:r>
          </w:p>
        </w:tc>
      </w:tr>
      <w:tr>
        <w:tc>
          <w:tcPr>
            <w:tcW w:type="dxa" w:w="3888"/>
          </w:tcPr>
          <w:p>
            <w:pPr>
              <w:jc w:val="left"/>
            </w:pPr>
            <w:r/>
            <w:r>
              <w:rPr>
                <w:b w:val="0"/>
                <w:i w:val="0"/>
                <w:sz w:val="18"/>
              </w:rPr>
              <w:t>Base Metals &amp; New Minerals (gold/copper)</w:t>
            </w:r>
          </w:p>
        </w:tc>
        <w:tc>
          <w:tcPr>
            <w:tcW w:type="dxa" w:w="3600"/>
          </w:tcPr>
          <w:p>
            <w:pPr>
              <w:jc w:val="right"/>
            </w:pPr>
            <w:r/>
            <w:r>
              <w:rPr>
                <w:b w:val="0"/>
                <w:i w:val="0"/>
                <w:sz w:val="18"/>
              </w:rPr>
              <w:t>SAR 4.5 bn norm. EBITDA × 10.0×</w:t>
            </w:r>
          </w:p>
        </w:tc>
        <w:tc>
          <w:tcPr>
            <w:tcW w:type="dxa" w:w="1728"/>
          </w:tcPr>
          <w:p>
            <w:pPr>
              <w:jc w:val="right"/>
            </w:pPr>
            <w:r/>
            <w:r>
              <w:rPr>
                <w:b w:val="0"/>
                <w:i w:val="0"/>
                <w:sz w:val="18"/>
              </w:rPr>
              <w:t>45.0</w:t>
            </w:r>
          </w:p>
        </w:tc>
      </w:tr>
      <w:tr>
        <w:tc>
          <w:tcPr>
            <w:tcW w:type="dxa" w:w="3888"/>
          </w:tcPr>
          <w:p>
            <w:pPr>
              <w:jc w:val="left"/>
            </w:pPr>
            <w:r/>
            <w:r>
              <w:rPr>
                <w:b w:val="0"/>
                <w:i w:val="0"/>
                <w:sz w:val="18"/>
              </w:rPr>
              <w:t>New minerals / exploration / Manara</w:t>
            </w:r>
          </w:p>
        </w:tc>
        <w:tc>
          <w:tcPr>
            <w:tcW w:type="dxa" w:w="3600"/>
          </w:tcPr>
          <w:p>
            <w:pPr>
              <w:jc w:val="right"/>
            </w:pPr>
            <w:r/>
            <w:r>
              <w:rPr>
                <w:b w:val="0"/>
                <w:i w:val="0"/>
                <w:sz w:val="18"/>
              </w:rPr>
              <w:t>Option-value mark</w:t>
            </w:r>
          </w:p>
        </w:tc>
        <w:tc>
          <w:tcPr>
            <w:tcW w:type="dxa" w:w="1728"/>
          </w:tcPr>
          <w:p>
            <w:pPr>
              <w:jc w:val="right"/>
            </w:pPr>
            <w:r/>
            <w:r>
              <w:rPr>
                <w:b w:val="0"/>
                <w:i w:val="0"/>
                <w:sz w:val="18"/>
              </w:rPr>
              <w:t>14.0</w:t>
            </w:r>
          </w:p>
        </w:tc>
      </w:tr>
      <w:tr>
        <w:tc>
          <w:tcPr>
            <w:tcW w:type="dxa" w:w="3888"/>
          </w:tcPr>
          <w:p>
            <w:pPr>
              <w:jc w:val="left"/>
            </w:pPr>
            <w:r/>
            <w:r>
              <w:rPr>
                <w:b w:val="0"/>
                <w:i w:val="0"/>
                <w:sz w:val="18"/>
              </w:rPr>
              <w:t>Σ Enterprise value</w:t>
            </w:r>
          </w:p>
        </w:tc>
        <w:tc>
          <w:tcPr>
            <w:tcW w:type="dxa" w:w="3600"/>
          </w:tcPr>
          <w:p>
            <w:pPr>
              <w:jc w:val="right"/>
            </w:pPr>
            <w:r/>
            <w:r>
              <w:rPr>
                <w:b w:val="0"/>
                <w:i w:val="0"/>
                <w:sz w:val="18"/>
              </w:rPr>
            </w:r>
          </w:p>
        </w:tc>
        <w:tc>
          <w:tcPr>
            <w:tcW w:type="dxa" w:w="1728"/>
          </w:tcPr>
          <w:p>
            <w:pPr>
              <w:jc w:val="right"/>
            </w:pPr>
            <w:r/>
            <w:r>
              <w:rPr>
                <w:b w:val="0"/>
                <w:i w:val="0"/>
                <w:sz w:val="18"/>
              </w:rPr>
              <w:t>195.5</w:t>
            </w:r>
          </w:p>
        </w:tc>
      </w:tr>
      <w:tr>
        <w:tc>
          <w:tcPr>
            <w:tcW w:type="dxa" w:w="3888"/>
          </w:tcPr>
          <w:p>
            <w:pPr>
              <w:jc w:val="left"/>
            </w:pPr>
            <w:r/>
            <w:r>
              <w:rPr>
                <w:b w:val="0"/>
                <w:i w:val="0"/>
                <w:sz w:val="18"/>
              </w:rPr>
              <w:t>less: consolidated net debt</w:t>
            </w:r>
          </w:p>
        </w:tc>
        <w:tc>
          <w:tcPr>
            <w:tcW w:type="dxa" w:w="3600"/>
          </w:tcPr>
          <w:p>
            <w:pPr>
              <w:jc w:val="right"/>
            </w:pPr>
            <w:r/>
            <w:r>
              <w:rPr>
                <w:b w:val="0"/>
                <w:i w:val="0"/>
                <w:sz w:val="18"/>
              </w:rPr>
            </w:r>
          </w:p>
        </w:tc>
        <w:tc>
          <w:tcPr>
            <w:tcW w:type="dxa" w:w="1728"/>
          </w:tcPr>
          <w:p>
            <w:pPr>
              <w:jc w:val="right"/>
            </w:pPr>
            <w:r/>
            <w:r>
              <w:rPr>
                <w:b w:val="0"/>
                <w:i w:val="0"/>
                <w:sz w:val="18"/>
              </w:rPr>
              <w:t>(24.0)</w:t>
            </w:r>
          </w:p>
        </w:tc>
      </w:tr>
      <w:tr>
        <w:tc>
          <w:tcPr>
            <w:tcW w:type="dxa" w:w="3888"/>
          </w:tcPr>
          <w:p>
            <w:pPr>
              <w:jc w:val="left"/>
            </w:pPr>
            <w:r/>
            <w:r>
              <w:rPr>
                <w:b w:val="0"/>
                <w:i w:val="0"/>
                <w:sz w:val="18"/>
              </w:rPr>
              <w:t>Equity value</w:t>
            </w:r>
          </w:p>
        </w:tc>
        <w:tc>
          <w:tcPr>
            <w:tcW w:type="dxa" w:w="3600"/>
          </w:tcPr>
          <w:p>
            <w:pPr>
              <w:jc w:val="right"/>
            </w:pPr>
            <w:r/>
            <w:r>
              <w:rPr>
                <w:b w:val="0"/>
                <w:i w:val="0"/>
                <w:sz w:val="18"/>
              </w:rPr>
              <w:t>= SAR 44.2 / share</w:t>
            </w:r>
          </w:p>
        </w:tc>
        <w:tc>
          <w:tcPr>
            <w:tcW w:type="dxa" w:w="1728"/>
          </w:tcPr>
          <w:p>
            <w:pPr>
              <w:jc w:val="right"/>
            </w:pPr>
            <w:r/>
            <w:r>
              <w:rPr>
                <w:b w:val="0"/>
                <w:i w:val="0"/>
                <w:sz w:val="18"/>
              </w:rPr>
              <w:t>171.5</w:t>
            </w:r>
          </w:p>
        </w:tc>
      </w:tr>
    </w:tbl>
    <w:p>
      <w:pPr>
        <w:spacing w:after="160"/>
      </w:pPr>
      <w:r>
        <w:rPr>
          <w:b w:val="0"/>
          <w:i w:val="0"/>
          <w:sz w:val="21"/>
        </w:rPr>
        <w:t>SOTP base ≈ SAR 44/share, with a bear–bull span of roughly SAR 28–60 driven mainly by the phosphate multiple and the DAP price (see §1.9). Note what this says: even on near-forward, growth-inclusive marks and multiples set above the miner peer group, the parts sum to about three-quarters of the market price. The remaining gap is the value of the longer-dated pipeline and the sovereign-backing premium — the second clock — which this lens deliberately does not capitalize.</w:t>
      </w:r>
    </w:p>
    <w:p>
      <w:pPr>
        <w:spacing w:before="200" w:after="80"/>
      </w:pPr>
      <w:r>
        <w:rPr>
          <w:b/>
          <w:i w:val="0"/>
          <w:color w:val="1B5E5E"/>
          <w:sz w:val="25"/>
        </w:rPr>
        <w:t>1.2  Consolidated DCF — the cash-flow cross-check</w:t>
      </w:r>
    </w:p>
    <w:p>
      <w:pPr>
        <w:spacing w:after="120"/>
      </w:pPr>
      <w:r>
        <w:rPr>
          <w:b w:val="0"/>
          <w:i w:val="0"/>
          <w:sz w:val="21"/>
        </w:rPr>
        <w:t>A consolidated free-cash-flow-to-firm model is the natural check on the asset sum. We build FCFF from EBIT to NOPAT (taxed at an 8% effective zakat-and-tax rate), add back D&amp;A, and subtract the heavy growth capex (~SAR 7–9 bn a year) and the increase in working capital. The near-term free cash is real but modest — the capex programme absorbs much of a strong EBITDA — and it rises as projects complete. We fade a mid-single-digit growth into a 3.5% terminal and discount at a 9.3% WACC. The cost of equity is built explicitly as Ke = 4.5% risk-free + 0.95 × 5.5% ERP ≈ 9.7% (§1.8 and §3.5-G); the WACC blends that with an after-tax cost of debt at market weights.</w:t>
      </w:r>
    </w:p>
    <w:p>
      <w:pPr>
        <w:spacing w:after="80"/>
      </w:pPr>
      <w:r>
        <w:rPr>
          <w:b/>
          <w:i w:val="0"/>
          <w:sz w:val="21"/>
        </w:rPr>
        <w:t>Free cash flow to the firm, five-year explicit forecast — every line shown, not just the output: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888"/>
            <w:shd w:val="clear" w:fill="1B5E5E"/>
          </w:tcPr>
          <w:p>
            <w:r/>
            <w:r>
              <w:rPr>
                <w:b/>
                <w:i w:val="0"/>
                <w:color w:val="FFFFFF"/>
                <w:sz w:val="19"/>
              </w:rPr>
              <w:t>Line</w:t>
            </w:r>
          </w:p>
        </w:tc>
        <w:tc>
          <w:tcPr>
            <w:tcW w:type="dxa" w:w="1224"/>
            <w:shd w:val="clear" w:fill="1B5E5E"/>
          </w:tcPr>
          <w:p>
            <w:r/>
            <w:r>
              <w:rPr>
                <w:b/>
                <w:i w:val="0"/>
                <w:color w:val="FFFFFF"/>
                <w:sz w:val="19"/>
              </w:rPr>
              <w:t>FY26E</w:t>
            </w:r>
          </w:p>
        </w:tc>
        <w:tc>
          <w:tcPr>
            <w:tcW w:type="dxa" w:w="1224"/>
            <w:shd w:val="clear" w:fill="1B5E5E"/>
          </w:tcPr>
          <w:p>
            <w:r/>
            <w:r>
              <w:rPr>
                <w:b/>
                <w:i w:val="0"/>
                <w:color w:val="FFFFFF"/>
                <w:sz w:val="19"/>
              </w:rPr>
              <w:t>FY27E</w:t>
            </w:r>
          </w:p>
        </w:tc>
        <w:tc>
          <w:tcPr>
            <w:tcW w:type="dxa" w:w="1224"/>
            <w:shd w:val="clear" w:fill="1B5E5E"/>
          </w:tcPr>
          <w:p>
            <w:r/>
            <w:r>
              <w:rPr>
                <w:b/>
                <w:i w:val="0"/>
                <w:color w:val="FFFFFF"/>
                <w:sz w:val="19"/>
              </w:rPr>
              <w:t>FY28E</w:t>
            </w:r>
          </w:p>
        </w:tc>
        <w:tc>
          <w:tcPr>
            <w:tcW w:type="dxa" w:w="1224"/>
            <w:shd w:val="clear" w:fill="1B5E5E"/>
          </w:tcPr>
          <w:p>
            <w:r/>
            <w:r>
              <w:rPr>
                <w:b/>
                <w:i w:val="0"/>
                <w:color w:val="FFFFFF"/>
                <w:sz w:val="19"/>
              </w:rPr>
              <w:t>FY29E</w:t>
            </w:r>
          </w:p>
        </w:tc>
        <w:tc>
          <w:tcPr>
            <w:tcW w:type="dxa" w:w="1224"/>
            <w:shd w:val="clear" w:fill="1B5E5E"/>
          </w:tcPr>
          <w:p>
            <w:r/>
            <w:r>
              <w:rPr>
                <w:b/>
                <w:i w:val="0"/>
                <w:color w:val="FFFFFF"/>
                <w:sz w:val="19"/>
              </w:rPr>
              <w:t>FY30E</w:t>
            </w:r>
          </w:p>
        </w:tc>
      </w:tr>
      <w:tr>
        <w:tc>
          <w:tcPr>
            <w:tcW w:type="dxa" w:w="3888"/>
          </w:tcPr>
          <w:p>
            <w:pPr>
              <w:jc w:val="left"/>
            </w:pPr>
            <w:r/>
            <w:r>
              <w:rPr>
                <w:b w:val="0"/>
                <w:i w:val="0"/>
                <w:sz w:val="18"/>
              </w:rPr>
              <w:t>EBIT</w:t>
            </w:r>
          </w:p>
        </w:tc>
        <w:tc>
          <w:tcPr>
            <w:tcW w:type="dxa" w:w="1224"/>
          </w:tcPr>
          <w:p>
            <w:pPr>
              <w:jc w:val="right"/>
            </w:pPr>
            <w:r/>
            <w:r>
              <w:rPr>
                <w:b w:val="0"/>
                <w:i w:val="0"/>
                <w:sz w:val="18"/>
              </w:rPr>
              <w:t>11.0</w:t>
            </w:r>
          </w:p>
        </w:tc>
        <w:tc>
          <w:tcPr>
            <w:tcW w:type="dxa" w:w="1224"/>
          </w:tcPr>
          <w:p>
            <w:pPr>
              <w:jc w:val="right"/>
            </w:pPr>
            <w:r/>
            <w:r>
              <w:rPr>
                <w:b w:val="0"/>
                <w:i w:val="0"/>
                <w:sz w:val="18"/>
              </w:rPr>
              <w:t>12.5</w:t>
            </w:r>
          </w:p>
        </w:tc>
        <w:tc>
          <w:tcPr>
            <w:tcW w:type="dxa" w:w="1224"/>
          </w:tcPr>
          <w:p>
            <w:pPr>
              <w:jc w:val="right"/>
            </w:pPr>
            <w:r/>
            <w:r>
              <w:rPr>
                <w:b w:val="0"/>
                <w:i w:val="0"/>
                <w:sz w:val="18"/>
              </w:rPr>
              <w:t>13.7</w:t>
            </w:r>
          </w:p>
        </w:tc>
        <w:tc>
          <w:tcPr>
            <w:tcW w:type="dxa" w:w="1224"/>
          </w:tcPr>
          <w:p>
            <w:pPr>
              <w:jc w:val="right"/>
            </w:pPr>
            <w:r/>
            <w:r>
              <w:rPr>
                <w:b w:val="0"/>
                <w:i w:val="0"/>
                <w:sz w:val="18"/>
              </w:rPr>
              <w:t>14.9</w:t>
            </w:r>
          </w:p>
        </w:tc>
        <w:tc>
          <w:tcPr>
            <w:tcW w:type="dxa" w:w="1224"/>
          </w:tcPr>
          <w:p>
            <w:pPr>
              <w:jc w:val="right"/>
            </w:pPr>
            <w:r/>
            <w:r>
              <w:rPr>
                <w:b w:val="0"/>
                <w:i w:val="0"/>
                <w:sz w:val="18"/>
              </w:rPr>
              <w:t>16.1</w:t>
            </w:r>
          </w:p>
        </w:tc>
      </w:tr>
      <w:tr>
        <w:tc>
          <w:tcPr>
            <w:tcW w:type="dxa" w:w="3888"/>
          </w:tcPr>
          <w:p>
            <w:pPr>
              <w:jc w:val="left"/>
            </w:pPr>
            <w:r/>
            <w:r>
              <w:rPr>
                <w:b w:val="0"/>
                <w:i w:val="0"/>
                <w:sz w:val="18"/>
              </w:rPr>
              <w:t>NOPAT = EBIT × (1 − 8% tax)</w:t>
            </w:r>
          </w:p>
        </w:tc>
        <w:tc>
          <w:tcPr>
            <w:tcW w:type="dxa" w:w="1224"/>
          </w:tcPr>
          <w:p>
            <w:pPr>
              <w:jc w:val="right"/>
            </w:pPr>
            <w:r/>
            <w:r>
              <w:rPr>
                <w:b w:val="0"/>
                <w:i w:val="0"/>
                <w:sz w:val="18"/>
              </w:rPr>
              <w:t>10.1</w:t>
            </w:r>
          </w:p>
        </w:tc>
        <w:tc>
          <w:tcPr>
            <w:tcW w:type="dxa" w:w="1224"/>
          </w:tcPr>
          <w:p>
            <w:pPr>
              <w:jc w:val="right"/>
            </w:pPr>
            <w:r/>
            <w:r>
              <w:rPr>
                <w:b w:val="0"/>
                <w:i w:val="0"/>
                <w:sz w:val="18"/>
              </w:rPr>
              <w:t>11.5</w:t>
            </w:r>
          </w:p>
        </w:tc>
        <w:tc>
          <w:tcPr>
            <w:tcW w:type="dxa" w:w="1224"/>
          </w:tcPr>
          <w:p>
            <w:pPr>
              <w:jc w:val="right"/>
            </w:pPr>
            <w:r/>
            <w:r>
              <w:rPr>
                <w:b w:val="0"/>
                <w:i w:val="0"/>
                <w:sz w:val="18"/>
              </w:rPr>
              <w:t>12.6</w:t>
            </w:r>
          </w:p>
        </w:tc>
        <w:tc>
          <w:tcPr>
            <w:tcW w:type="dxa" w:w="1224"/>
          </w:tcPr>
          <w:p>
            <w:pPr>
              <w:jc w:val="right"/>
            </w:pPr>
            <w:r/>
            <w:r>
              <w:rPr>
                <w:b w:val="0"/>
                <w:i w:val="0"/>
                <w:sz w:val="18"/>
              </w:rPr>
              <w:t>13.7</w:t>
            </w:r>
          </w:p>
        </w:tc>
        <w:tc>
          <w:tcPr>
            <w:tcW w:type="dxa" w:w="1224"/>
          </w:tcPr>
          <w:p>
            <w:pPr>
              <w:jc w:val="right"/>
            </w:pPr>
            <w:r/>
            <w:r>
              <w:rPr>
                <w:b w:val="0"/>
                <w:i w:val="0"/>
                <w:sz w:val="18"/>
              </w:rPr>
              <w:t>14.8</w:t>
            </w:r>
          </w:p>
        </w:tc>
      </w:tr>
      <w:tr>
        <w:tc>
          <w:tcPr>
            <w:tcW w:type="dxa" w:w="3888"/>
          </w:tcPr>
          <w:p>
            <w:pPr>
              <w:jc w:val="left"/>
            </w:pPr>
            <w:r/>
            <w:r>
              <w:rPr>
                <w:b w:val="0"/>
                <w:i w:val="0"/>
                <w:sz w:val="18"/>
              </w:rPr>
              <w:t>+ D&amp;A</w:t>
            </w:r>
          </w:p>
        </w:tc>
        <w:tc>
          <w:tcPr>
            <w:tcW w:type="dxa" w:w="1224"/>
          </w:tcPr>
          <w:p>
            <w:pPr>
              <w:jc w:val="right"/>
            </w:pPr>
            <w:r/>
            <w:r>
              <w:rPr>
                <w:b w:val="0"/>
                <w:i w:val="0"/>
                <w:sz w:val="18"/>
              </w:rPr>
              <w:t>5.8</w:t>
            </w:r>
          </w:p>
        </w:tc>
        <w:tc>
          <w:tcPr>
            <w:tcW w:type="dxa" w:w="1224"/>
          </w:tcPr>
          <w:p>
            <w:pPr>
              <w:jc w:val="right"/>
            </w:pPr>
            <w:r/>
            <w:r>
              <w:rPr>
                <w:b w:val="0"/>
                <w:i w:val="0"/>
                <w:sz w:val="18"/>
              </w:rPr>
              <w:t>6.4</w:t>
            </w:r>
          </w:p>
        </w:tc>
        <w:tc>
          <w:tcPr>
            <w:tcW w:type="dxa" w:w="1224"/>
          </w:tcPr>
          <w:p>
            <w:pPr>
              <w:jc w:val="right"/>
            </w:pPr>
            <w:r/>
            <w:r>
              <w:rPr>
                <w:b w:val="0"/>
                <w:i w:val="0"/>
                <w:sz w:val="18"/>
              </w:rPr>
              <w:t>6.9</w:t>
            </w:r>
          </w:p>
        </w:tc>
        <w:tc>
          <w:tcPr>
            <w:tcW w:type="dxa" w:w="1224"/>
          </w:tcPr>
          <w:p>
            <w:pPr>
              <w:jc w:val="right"/>
            </w:pPr>
            <w:r/>
            <w:r>
              <w:rPr>
                <w:b w:val="0"/>
                <w:i w:val="0"/>
                <w:sz w:val="18"/>
              </w:rPr>
              <w:t>7.4</w:t>
            </w:r>
          </w:p>
        </w:tc>
        <w:tc>
          <w:tcPr>
            <w:tcW w:type="dxa" w:w="1224"/>
          </w:tcPr>
          <w:p>
            <w:pPr>
              <w:jc w:val="right"/>
            </w:pPr>
            <w:r/>
            <w:r>
              <w:rPr>
                <w:b w:val="0"/>
                <w:i w:val="0"/>
                <w:sz w:val="18"/>
              </w:rPr>
              <w:t>7.8</w:t>
            </w:r>
          </w:p>
        </w:tc>
      </w:tr>
      <w:tr>
        <w:tc>
          <w:tcPr>
            <w:tcW w:type="dxa" w:w="3888"/>
          </w:tcPr>
          <w:p>
            <w:pPr>
              <w:jc w:val="left"/>
            </w:pPr>
            <w:r/>
            <w:r>
              <w:rPr>
                <w:b w:val="0"/>
                <w:i w:val="0"/>
                <w:sz w:val="18"/>
              </w:rPr>
              <w:t>− Capex</w:t>
            </w:r>
          </w:p>
        </w:tc>
        <w:tc>
          <w:tcPr>
            <w:tcW w:type="dxa" w:w="1224"/>
          </w:tcPr>
          <w:p>
            <w:pPr>
              <w:jc w:val="right"/>
            </w:pPr>
            <w:r/>
            <w:r>
              <w:rPr>
                <w:b w:val="0"/>
                <w:i w:val="0"/>
                <w:sz w:val="18"/>
              </w:rPr>
              <w:t>(9.0)</w:t>
            </w:r>
          </w:p>
        </w:tc>
        <w:tc>
          <w:tcPr>
            <w:tcW w:type="dxa" w:w="1224"/>
          </w:tcPr>
          <w:p>
            <w:pPr>
              <w:jc w:val="right"/>
            </w:pPr>
            <w:r/>
            <w:r>
              <w:rPr>
                <w:b w:val="0"/>
                <w:i w:val="0"/>
                <w:sz w:val="18"/>
              </w:rPr>
              <w:t>(9.0)</w:t>
            </w:r>
          </w:p>
        </w:tc>
        <w:tc>
          <w:tcPr>
            <w:tcW w:type="dxa" w:w="1224"/>
          </w:tcPr>
          <w:p>
            <w:pPr>
              <w:jc w:val="right"/>
            </w:pPr>
            <w:r/>
            <w:r>
              <w:rPr>
                <w:b w:val="0"/>
                <w:i w:val="0"/>
                <w:sz w:val="18"/>
              </w:rPr>
              <w:t>(8.0)</w:t>
            </w:r>
          </w:p>
        </w:tc>
        <w:tc>
          <w:tcPr>
            <w:tcW w:type="dxa" w:w="1224"/>
          </w:tcPr>
          <w:p>
            <w:pPr>
              <w:jc w:val="right"/>
            </w:pPr>
            <w:r/>
            <w:r>
              <w:rPr>
                <w:b w:val="0"/>
                <w:i w:val="0"/>
                <w:sz w:val="18"/>
              </w:rPr>
              <w:t>(7.5)</w:t>
            </w:r>
          </w:p>
        </w:tc>
        <w:tc>
          <w:tcPr>
            <w:tcW w:type="dxa" w:w="1224"/>
          </w:tcPr>
          <w:p>
            <w:pPr>
              <w:jc w:val="right"/>
            </w:pPr>
            <w:r/>
            <w:r>
              <w:rPr>
                <w:b w:val="0"/>
                <w:i w:val="0"/>
                <w:sz w:val="18"/>
              </w:rPr>
              <w:t>(7.0)</w:t>
            </w:r>
          </w:p>
        </w:tc>
      </w:tr>
      <w:tr>
        <w:tc>
          <w:tcPr>
            <w:tcW w:type="dxa" w:w="3888"/>
          </w:tcPr>
          <w:p>
            <w:pPr>
              <w:jc w:val="left"/>
            </w:pPr>
            <w:r/>
            <w:r>
              <w:rPr>
                <w:b w:val="0"/>
                <w:i w:val="0"/>
                <w:sz w:val="18"/>
              </w:rPr>
              <w:t>− Increase in net working capital</w:t>
            </w:r>
          </w:p>
        </w:tc>
        <w:tc>
          <w:tcPr>
            <w:tcW w:type="dxa" w:w="1224"/>
          </w:tcPr>
          <w:p>
            <w:pPr>
              <w:jc w:val="right"/>
            </w:pPr>
            <w:r/>
            <w:r>
              <w:rPr>
                <w:b w:val="0"/>
                <w:i w:val="0"/>
                <w:sz w:val="18"/>
              </w:rPr>
              <w:t>(1.2)</w:t>
            </w:r>
          </w:p>
        </w:tc>
        <w:tc>
          <w:tcPr>
            <w:tcW w:type="dxa" w:w="1224"/>
          </w:tcPr>
          <w:p>
            <w:pPr>
              <w:jc w:val="right"/>
            </w:pPr>
            <w:r/>
            <w:r>
              <w:rPr>
                <w:b w:val="0"/>
                <w:i w:val="0"/>
                <w:sz w:val="18"/>
              </w:rPr>
              <w:t>(1.1)</w:t>
            </w:r>
          </w:p>
        </w:tc>
        <w:tc>
          <w:tcPr>
            <w:tcW w:type="dxa" w:w="1224"/>
          </w:tcPr>
          <w:p>
            <w:pPr>
              <w:jc w:val="right"/>
            </w:pPr>
            <w:r/>
            <w:r>
              <w:rPr>
                <w:b w:val="0"/>
                <w:i w:val="0"/>
                <w:sz w:val="18"/>
              </w:rPr>
              <w:t>(1.0)</w:t>
            </w:r>
          </w:p>
        </w:tc>
        <w:tc>
          <w:tcPr>
            <w:tcW w:type="dxa" w:w="1224"/>
          </w:tcPr>
          <w:p>
            <w:pPr>
              <w:jc w:val="right"/>
            </w:pPr>
            <w:r/>
            <w:r>
              <w:rPr>
                <w:b w:val="0"/>
                <w:i w:val="0"/>
                <w:sz w:val="18"/>
              </w:rPr>
              <w:t>(0.9)</w:t>
            </w:r>
          </w:p>
        </w:tc>
        <w:tc>
          <w:tcPr>
            <w:tcW w:type="dxa" w:w="1224"/>
          </w:tcPr>
          <w:p>
            <w:pPr>
              <w:jc w:val="right"/>
            </w:pPr>
            <w:r/>
            <w:r>
              <w:rPr>
                <w:b w:val="0"/>
                <w:i w:val="0"/>
                <w:sz w:val="18"/>
              </w:rPr>
              <w:t>(0.8)</w:t>
            </w:r>
          </w:p>
        </w:tc>
      </w:tr>
      <w:tr>
        <w:tc>
          <w:tcPr>
            <w:tcW w:type="dxa" w:w="3888"/>
          </w:tcPr>
          <w:p>
            <w:pPr>
              <w:jc w:val="left"/>
            </w:pPr>
            <w:r/>
            <w:r>
              <w:rPr>
                <w:b/>
                <w:i w:val="0"/>
                <w:sz w:val="18"/>
              </w:rPr>
              <w:t>Free cash flow to firm (FCFF)</w:t>
            </w:r>
          </w:p>
        </w:tc>
        <w:tc>
          <w:tcPr>
            <w:tcW w:type="dxa" w:w="1224"/>
          </w:tcPr>
          <w:p>
            <w:pPr>
              <w:jc w:val="right"/>
            </w:pPr>
            <w:r/>
            <w:r>
              <w:rPr>
                <w:b/>
                <w:i w:val="0"/>
                <w:sz w:val="18"/>
              </w:rPr>
              <w:t>5.7</w:t>
            </w:r>
          </w:p>
        </w:tc>
        <w:tc>
          <w:tcPr>
            <w:tcW w:type="dxa" w:w="1224"/>
          </w:tcPr>
          <w:p>
            <w:pPr>
              <w:jc w:val="right"/>
            </w:pPr>
            <w:r/>
            <w:r>
              <w:rPr>
                <w:b/>
                <w:i w:val="0"/>
                <w:sz w:val="18"/>
              </w:rPr>
              <w:t>7.8</w:t>
            </w:r>
          </w:p>
        </w:tc>
        <w:tc>
          <w:tcPr>
            <w:tcW w:type="dxa" w:w="1224"/>
          </w:tcPr>
          <w:p>
            <w:pPr>
              <w:jc w:val="right"/>
            </w:pPr>
            <w:r/>
            <w:r>
              <w:rPr>
                <w:b/>
                <w:i w:val="0"/>
                <w:sz w:val="18"/>
              </w:rPr>
              <w:t>10.5</w:t>
            </w:r>
          </w:p>
        </w:tc>
        <w:tc>
          <w:tcPr>
            <w:tcW w:type="dxa" w:w="1224"/>
          </w:tcPr>
          <w:p>
            <w:pPr>
              <w:jc w:val="right"/>
            </w:pPr>
            <w:r/>
            <w:r>
              <w:rPr>
                <w:b/>
                <w:i w:val="0"/>
                <w:sz w:val="18"/>
              </w:rPr>
              <w:t>12.7</w:t>
            </w:r>
          </w:p>
        </w:tc>
        <w:tc>
          <w:tcPr>
            <w:tcW w:type="dxa" w:w="1224"/>
          </w:tcPr>
          <w:p>
            <w:pPr>
              <w:jc w:val="right"/>
            </w:pPr>
            <w:r/>
            <w:r>
              <w:rPr>
                <w:b/>
                <w:i w:val="0"/>
                <w:sz w:val="18"/>
              </w:rPr>
              <w:t>14.8</w:t>
            </w:r>
          </w:p>
        </w:tc>
      </w:tr>
      <w:tr>
        <w:tc>
          <w:tcPr>
            <w:tcW w:type="dxa" w:w="3888"/>
          </w:tcPr>
          <w:p>
            <w:pPr>
              <w:jc w:val="left"/>
            </w:pPr>
            <w:r/>
            <w:r>
              <w:rPr>
                <w:b w:val="0"/>
                <w:i w:val="0"/>
                <w:sz w:val="18"/>
              </w:rPr>
              <w:t>Discount factor @ 9.3% WACC</w:t>
            </w:r>
          </w:p>
        </w:tc>
        <w:tc>
          <w:tcPr>
            <w:tcW w:type="dxa" w:w="1224"/>
          </w:tcPr>
          <w:p>
            <w:pPr>
              <w:jc w:val="right"/>
            </w:pPr>
            <w:r/>
            <w:r>
              <w:rPr>
                <w:b w:val="0"/>
                <w:i w:val="0"/>
                <w:sz w:val="18"/>
              </w:rPr>
              <w:t>0.915</w:t>
            </w:r>
          </w:p>
        </w:tc>
        <w:tc>
          <w:tcPr>
            <w:tcW w:type="dxa" w:w="1224"/>
          </w:tcPr>
          <w:p>
            <w:pPr>
              <w:jc w:val="right"/>
            </w:pPr>
            <w:r/>
            <w:r>
              <w:rPr>
                <w:b w:val="0"/>
                <w:i w:val="0"/>
                <w:sz w:val="18"/>
              </w:rPr>
              <w:t>0.837</w:t>
            </w:r>
          </w:p>
        </w:tc>
        <w:tc>
          <w:tcPr>
            <w:tcW w:type="dxa" w:w="1224"/>
          </w:tcPr>
          <w:p>
            <w:pPr>
              <w:jc w:val="right"/>
            </w:pPr>
            <w:r/>
            <w:r>
              <w:rPr>
                <w:b w:val="0"/>
                <w:i w:val="0"/>
                <w:sz w:val="18"/>
              </w:rPr>
              <w:t>0.766</w:t>
            </w:r>
          </w:p>
        </w:tc>
        <w:tc>
          <w:tcPr>
            <w:tcW w:type="dxa" w:w="1224"/>
          </w:tcPr>
          <w:p>
            <w:pPr>
              <w:jc w:val="right"/>
            </w:pPr>
            <w:r/>
            <w:r>
              <w:rPr>
                <w:b w:val="0"/>
                <w:i w:val="0"/>
                <w:sz w:val="18"/>
              </w:rPr>
              <w:t>0.701</w:t>
            </w:r>
          </w:p>
        </w:tc>
        <w:tc>
          <w:tcPr>
            <w:tcW w:type="dxa" w:w="1224"/>
          </w:tcPr>
          <w:p>
            <w:pPr>
              <w:jc w:val="right"/>
            </w:pPr>
            <w:r/>
            <w:r>
              <w:rPr>
                <w:b w:val="0"/>
                <w:i w:val="0"/>
                <w:sz w:val="18"/>
              </w:rPr>
              <w:t>0.641</w:t>
            </w:r>
          </w:p>
        </w:tc>
      </w:tr>
      <w:tr>
        <w:tc>
          <w:tcPr>
            <w:tcW w:type="dxa" w:w="3888"/>
          </w:tcPr>
          <w:p>
            <w:pPr>
              <w:jc w:val="left"/>
            </w:pPr>
            <w:r/>
            <w:r>
              <w:rPr>
                <w:b/>
                <w:i w:val="0"/>
                <w:sz w:val="18"/>
              </w:rPr>
              <w:t>PV of FCFF</w:t>
            </w:r>
          </w:p>
        </w:tc>
        <w:tc>
          <w:tcPr>
            <w:tcW w:type="dxa" w:w="1224"/>
          </w:tcPr>
          <w:p>
            <w:pPr>
              <w:jc w:val="right"/>
            </w:pPr>
            <w:r/>
            <w:r>
              <w:rPr>
                <w:b/>
                <w:i w:val="0"/>
                <w:sz w:val="18"/>
              </w:rPr>
              <w:t>5.2</w:t>
            </w:r>
          </w:p>
        </w:tc>
        <w:tc>
          <w:tcPr>
            <w:tcW w:type="dxa" w:w="1224"/>
          </w:tcPr>
          <w:p>
            <w:pPr>
              <w:jc w:val="right"/>
            </w:pPr>
            <w:r/>
            <w:r>
              <w:rPr>
                <w:b/>
                <w:i w:val="0"/>
                <w:sz w:val="18"/>
              </w:rPr>
              <w:t>6.5</w:t>
            </w:r>
          </w:p>
        </w:tc>
        <w:tc>
          <w:tcPr>
            <w:tcW w:type="dxa" w:w="1224"/>
          </w:tcPr>
          <w:p>
            <w:pPr>
              <w:jc w:val="right"/>
            </w:pPr>
            <w:r/>
            <w:r>
              <w:rPr>
                <w:b/>
                <w:i w:val="0"/>
                <w:sz w:val="18"/>
              </w:rPr>
              <w:t>8.0</w:t>
            </w:r>
          </w:p>
        </w:tc>
        <w:tc>
          <w:tcPr>
            <w:tcW w:type="dxa" w:w="1224"/>
          </w:tcPr>
          <w:p>
            <w:pPr>
              <w:jc w:val="right"/>
            </w:pPr>
            <w:r/>
            <w:r>
              <w:rPr>
                <w:b/>
                <w:i w:val="0"/>
                <w:sz w:val="18"/>
              </w:rPr>
              <w:t>8.9</w:t>
            </w:r>
          </w:p>
        </w:tc>
        <w:tc>
          <w:tcPr>
            <w:tcW w:type="dxa" w:w="1224"/>
          </w:tcPr>
          <w:p>
            <w:pPr>
              <w:jc w:val="right"/>
            </w:pPr>
            <w:r/>
            <w:r>
              <w:rPr>
                <w:b/>
                <w:i w:val="0"/>
                <w:sz w:val="18"/>
              </w:rPr>
              <w:t>9.5</w:t>
            </w:r>
          </w:p>
        </w:tc>
      </w:tr>
    </w:tbl>
    <w:tbl>
      <w:tblPr>
        <w:tblStyle w:val="TableGrid"/>
        <w:tblW w:type="auto" w:w="0"/>
        <w:jc w:val="center"/>
        <w:tblLook w:firstColumn="1" w:firstRow="1" w:lastColumn="0" w:lastRow="0" w:noHBand="0" w:noVBand="1" w:val="04A0"/>
      </w:tblPr>
      <w:tblGrid>
        <w:gridCol w:w="4320"/>
        <w:gridCol w:w="4320"/>
      </w:tblGrid>
      <w:tr>
        <w:tc>
          <w:tcPr>
            <w:tcW w:type="dxa" w:w="5760"/>
            <w:shd w:val="clear" w:fill="1B5E5E"/>
          </w:tcPr>
          <w:p>
            <w:r/>
            <w:r>
              <w:rPr>
                <w:b/>
                <w:i w:val="0"/>
                <w:color w:val="FFFFFF"/>
                <w:sz w:val="19"/>
              </w:rPr>
              <w:t>DCF roll-up to valuation</w:t>
            </w:r>
          </w:p>
        </w:tc>
        <w:tc>
          <w:tcPr>
            <w:tcW w:type="dxa" w:w="2304"/>
            <w:shd w:val="clear" w:fill="1B5E5E"/>
          </w:tcPr>
          <w:p>
            <w:r/>
            <w:r>
              <w:rPr>
                <w:b/>
                <w:i w:val="0"/>
                <w:color w:val="FFFFFF"/>
                <w:sz w:val="19"/>
              </w:rPr>
              <w:t>SAR bn</w:t>
            </w:r>
          </w:p>
        </w:tc>
      </w:tr>
      <w:tr>
        <w:tc>
          <w:tcPr>
            <w:tcW w:type="dxa" w:w="5760"/>
          </w:tcPr>
          <w:p>
            <w:pPr>
              <w:jc w:val="left"/>
            </w:pPr>
            <w:r/>
            <w:r>
              <w:rPr>
                <w:b w:val="0"/>
                <w:i w:val="0"/>
                <w:sz w:val="18"/>
              </w:rPr>
              <w:t>Σ PV of explicit FCFF (FY26E–FY30E)</w:t>
            </w:r>
          </w:p>
        </w:tc>
        <w:tc>
          <w:tcPr>
            <w:tcW w:type="dxa" w:w="2304"/>
          </w:tcPr>
          <w:p>
            <w:pPr>
              <w:jc w:val="right"/>
            </w:pPr>
            <w:r/>
            <w:r>
              <w:rPr>
                <w:b w:val="0"/>
                <w:i w:val="0"/>
                <w:sz w:val="18"/>
              </w:rPr>
              <w:t>38.1</w:t>
            </w:r>
          </w:p>
        </w:tc>
      </w:tr>
      <w:tr>
        <w:tc>
          <w:tcPr>
            <w:tcW w:type="dxa" w:w="5760"/>
          </w:tcPr>
          <w:p>
            <w:pPr>
              <w:jc w:val="left"/>
            </w:pPr>
            <w:r/>
            <w:r>
              <w:rPr>
                <w:b w:val="0"/>
                <w:i w:val="0"/>
                <w:sz w:val="18"/>
              </w:rPr>
              <w:t>Terminal value (Gordon, g 3.5%)</w:t>
            </w:r>
          </w:p>
        </w:tc>
        <w:tc>
          <w:tcPr>
            <w:tcW w:type="dxa" w:w="2304"/>
          </w:tcPr>
          <w:p>
            <w:pPr>
              <w:jc w:val="right"/>
            </w:pPr>
            <w:r/>
            <w:r>
              <w:rPr>
                <w:b w:val="0"/>
                <w:i w:val="0"/>
                <w:sz w:val="18"/>
              </w:rPr>
              <w:t>265.2</w:t>
            </w:r>
          </w:p>
        </w:tc>
      </w:tr>
      <w:tr>
        <w:tc>
          <w:tcPr>
            <w:tcW w:type="dxa" w:w="5760"/>
          </w:tcPr>
          <w:p>
            <w:pPr>
              <w:jc w:val="left"/>
            </w:pPr>
            <w:r/>
            <w:r>
              <w:rPr>
                <w:b w:val="0"/>
                <w:i w:val="0"/>
                <w:sz w:val="18"/>
              </w:rPr>
              <w:t>PV of terminal value</w:t>
            </w:r>
          </w:p>
        </w:tc>
        <w:tc>
          <w:tcPr>
            <w:tcW w:type="dxa" w:w="2304"/>
          </w:tcPr>
          <w:p>
            <w:pPr>
              <w:jc w:val="right"/>
            </w:pPr>
            <w:r/>
            <w:r>
              <w:rPr>
                <w:b w:val="0"/>
                <w:i w:val="0"/>
                <w:sz w:val="18"/>
              </w:rPr>
              <w:t>170.0</w:t>
            </w:r>
          </w:p>
        </w:tc>
      </w:tr>
      <w:tr>
        <w:tc>
          <w:tcPr>
            <w:tcW w:type="dxa" w:w="5760"/>
          </w:tcPr>
          <w:p>
            <w:pPr>
              <w:jc w:val="left"/>
            </w:pPr>
            <w:r/>
            <w:r>
              <w:rPr>
                <w:b/>
                <w:i w:val="0"/>
                <w:sz w:val="18"/>
              </w:rPr>
              <w:t>Enterprise value</w:t>
            </w:r>
          </w:p>
        </w:tc>
        <w:tc>
          <w:tcPr>
            <w:tcW w:type="dxa" w:w="2304"/>
          </w:tcPr>
          <w:p>
            <w:pPr>
              <w:jc w:val="right"/>
            </w:pPr>
            <w:r/>
            <w:r>
              <w:rPr>
                <w:b/>
                <w:i w:val="0"/>
                <w:sz w:val="18"/>
              </w:rPr>
              <w:t>208.1</w:t>
            </w:r>
          </w:p>
        </w:tc>
      </w:tr>
      <w:tr>
        <w:tc>
          <w:tcPr>
            <w:tcW w:type="dxa" w:w="5760"/>
          </w:tcPr>
          <w:p>
            <w:pPr>
              <w:jc w:val="left"/>
            </w:pPr>
            <w:r/>
            <w:r>
              <w:rPr>
                <w:b w:val="0"/>
                <w:i w:val="0"/>
                <w:sz w:val="18"/>
              </w:rPr>
              <w:t xml:space="preserve">  TV as % of EV (device A-7 disclosure)</w:t>
            </w:r>
          </w:p>
        </w:tc>
        <w:tc>
          <w:tcPr>
            <w:tcW w:type="dxa" w:w="2304"/>
          </w:tcPr>
          <w:p>
            <w:pPr>
              <w:jc w:val="right"/>
            </w:pPr>
            <w:r/>
            <w:r>
              <w:rPr>
                <w:b w:val="0"/>
                <w:i w:val="0"/>
                <w:sz w:val="18"/>
              </w:rPr>
              <w:t>81.7%</w:t>
            </w:r>
          </w:p>
        </w:tc>
      </w:tr>
      <w:tr>
        <w:tc>
          <w:tcPr>
            <w:tcW w:type="dxa" w:w="5760"/>
          </w:tcPr>
          <w:p>
            <w:pPr>
              <w:jc w:val="left"/>
            </w:pPr>
            <w:r/>
            <w:r>
              <w:rPr>
                <w:b w:val="0"/>
                <w:i w:val="0"/>
                <w:sz w:val="18"/>
              </w:rPr>
              <w:t>less: net debt</w:t>
            </w:r>
          </w:p>
        </w:tc>
        <w:tc>
          <w:tcPr>
            <w:tcW w:type="dxa" w:w="2304"/>
          </w:tcPr>
          <w:p>
            <w:pPr>
              <w:jc w:val="right"/>
            </w:pPr>
            <w:r/>
            <w:r>
              <w:rPr>
                <w:b w:val="0"/>
                <w:i w:val="0"/>
                <w:sz w:val="18"/>
              </w:rPr>
              <w:t>(24.0)</w:t>
            </w:r>
          </w:p>
        </w:tc>
      </w:tr>
      <w:tr>
        <w:tc>
          <w:tcPr>
            <w:tcW w:type="dxa" w:w="5760"/>
          </w:tcPr>
          <w:p>
            <w:pPr>
              <w:jc w:val="left"/>
            </w:pPr>
            <w:r/>
            <w:r>
              <w:rPr>
                <w:b/>
                <w:i w:val="0"/>
                <w:sz w:val="18"/>
              </w:rPr>
              <w:t>Equity value</w:t>
            </w:r>
          </w:p>
        </w:tc>
        <w:tc>
          <w:tcPr>
            <w:tcW w:type="dxa" w:w="2304"/>
          </w:tcPr>
          <w:p>
            <w:pPr>
              <w:jc w:val="right"/>
            </w:pPr>
            <w:r/>
            <w:r>
              <w:rPr>
                <w:b/>
                <w:i w:val="0"/>
                <w:sz w:val="18"/>
              </w:rPr>
              <w:t>184.1</w:t>
            </w:r>
          </w:p>
        </w:tc>
      </w:tr>
      <w:tr>
        <w:tc>
          <w:tcPr>
            <w:tcW w:type="dxa" w:w="5760"/>
          </w:tcPr>
          <w:p>
            <w:pPr>
              <w:jc w:val="left"/>
            </w:pPr>
            <w:r/>
            <w:r>
              <w:rPr>
                <w:b/>
                <w:i w:val="0"/>
                <w:sz w:val="18"/>
              </w:rPr>
              <w:t>DCF fair value per share</w:t>
            </w:r>
          </w:p>
        </w:tc>
        <w:tc>
          <w:tcPr>
            <w:tcW w:type="dxa" w:w="2304"/>
          </w:tcPr>
          <w:p>
            <w:pPr>
              <w:jc w:val="right"/>
            </w:pPr>
            <w:r/>
            <w:r>
              <w:rPr>
                <w:b/>
                <w:i w:val="0"/>
                <w:sz w:val="18"/>
              </w:rPr>
              <w:t>SAR 47</w:t>
            </w:r>
          </w:p>
        </w:tc>
      </w:tr>
    </w:tbl>
    <w:p>
      <w:pPr>
        <w:spacing w:after="120"/>
      </w:pPr>
      <w:r>
        <w:rPr>
          <w:b w:val="0"/>
          <w:i w:val="0"/>
          <w:sz w:val="21"/>
        </w:rPr>
        <w:t>Cost of equity shown explicitly: Ke = rf 4.5% + β 0.95 × ERP 5.5% ≈ 9.7%; the 9.3% WACC blends that with an after-tax cost of debt at market weights. The valuation is terminal-heavy — the PV of the terminal value is ~82% of enterprise value (device A-7), so the answer is as much a bet on the terminal-growth-versus-WACC spread as on the five explicit years; we disclose that rather than bury it. Every input links to the model's Assumptions sheet.</w:t>
      </w:r>
    </w:p>
    <w:p>
      <w:pPr>
        <w:spacing w:after="80"/>
      </w:pPr>
      <w:r>
        <w:rPr>
          <w:b/>
          <w:i w:val="0"/>
          <w:sz w:val="21"/>
        </w:rPr>
        <w:t>Sensitivity — bear / base / bull on the three swing inputs: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608"/>
            <w:shd w:val="clear" w:fill="1B5E5E"/>
          </w:tcPr>
          <w:p>
            <w:r/>
            <w:r>
              <w:rPr>
                <w:b/>
                <w:i w:val="0"/>
                <w:color w:val="FFFFFF"/>
                <w:sz w:val="19"/>
              </w:rPr>
              <w:t>DCF input</w:t>
            </w:r>
          </w:p>
        </w:tc>
        <w:tc>
          <w:tcPr>
            <w:tcW w:type="dxa" w:w="1584"/>
            <w:shd w:val="clear" w:fill="1B5E5E"/>
          </w:tcPr>
          <w:p>
            <w:r/>
            <w:r>
              <w:rPr>
                <w:b/>
                <w:i w:val="0"/>
                <w:color w:val="FFFFFF"/>
                <w:sz w:val="19"/>
              </w:rPr>
              <w:t>Bear</w:t>
            </w:r>
          </w:p>
        </w:tc>
        <w:tc>
          <w:tcPr>
            <w:tcW w:type="dxa" w:w="1584"/>
            <w:shd w:val="clear" w:fill="1B5E5E"/>
          </w:tcPr>
          <w:p>
            <w:r/>
            <w:r>
              <w:rPr>
                <w:b/>
                <w:i w:val="0"/>
                <w:color w:val="FFFFFF"/>
                <w:sz w:val="19"/>
              </w:rPr>
              <w:t>Base</w:t>
            </w:r>
          </w:p>
        </w:tc>
        <w:tc>
          <w:tcPr>
            <w:tcW w:type="dxa" w:w="1584"/>
            <w:shd w:val="clear" w:fill="1B5E5E"/>
          </w:tcPr>
          <w:p>
            <w:r/>
            <w:r>
              <w:rPr>
                <w:b/>
                <w:i w:val="0"/>
                <w:color w:val="FFFFFF"/>
                <w:sz w:val="19"/>
              </w:rPr>
              <w:t>Bull</w:t>
            </w:r>
          </w:p>
        </w:tc>
      </w:tr>
      <w:tr>
        <w:tc>
          <w:tcPr>
            <w:tcW w:type="dxa" w:w="4608"/>
          </w:tcPr>
          <w:p>
            <w:pPr>
              <w:jc w:val="left"/>
            </w:pPr>
            <w:r/>
            <w:r>
              <w:rPr>
                <w:b w:val="0"/>
                <w:i w:val="0"/>
                <w:sz w:val="18"/>
              </w:rPr>
              <w:t>Normalized near-term FCFF (SAR bn)</w:t>
            </w:r>
          </w:p>
        </w:tc>
        <w:tc>
          <w:tcPr>
            <w:tcW w:type="dxa" w:w="1584"/>
          </w:tcPr>
          <w:p>
            <w:pPr>
              <w:jc w:val="right"/>
            </w:pPr>
            <w:r/>
            <w:r>
              <w:rPr>
                <w:b w:val="0"/>
                <w:i w:val="0"/>
                <w:sz w:val="18"/>
              </w:rPr>
              <w:t>4.5</w:t>
            </w:r>
          </w:p>
        </w:tc>
        <w:tc>
          <w:tcPr>
            <w:tcW w:type="dxa" w:w="1584"/>
          </w:tcPr>
          <w:p>
            <w:pPr>
              <w:jc w:val="right"/>
            </w:pPr>
            <w:r/>
            <w:r>
              <w:rPr>
                <w:b w:val="0"/>
                <w:i w:val="0"/>
                <w:sz w:val="18"/>
              </w:rPr>
              <w:t>5.7</w:t>
            </w:r>
          </w:p>
        </w:tc>
        <w:tc>
          <w:tcPr>
            <w:tcW w:type="dxa" w:w="1584"/>
          </w:tcPr>
          <w:p>
            <w:pPr>
              <w:jc w:val="right"/>
            </w:pPr>
            <w:r/>
            <w:r>
              <w:rPr>
                <w:b w:val="0"/>
                <w:i w:val="0"/>
                <w:sz w:val="18"/>
              </w:rPr>
              <w:t>7.0</w:t>
            </w:r>
          </w:p>
        </w:tc>
      </w:tr>
      <w:tr>
        <w:tc>
          <w:tcPr>
            <w:tcW w:type="dxa" w:w="4608"/>
          </w:tcPr>
          <w:p>
            <w:pPr>
              <w:jc w:val="left"/>
            </w:pPr>
            <w:r/>
            <w:r>
              <w:rPr>
                <w:b w:val="0"/>
                <w:i w:val="0"/>
                <w:sz w:val="18"/>
              </w:rPr>
              <w:t>WACC</w:t>
            </w:r>
          </w:p>
        </w:tc>
        <w:tc>
          <w:tcPr>
            <w:tcW w:type="dxa" w:w="1584"/>
          </w:tcPr>
          <w:p>
            <w:pPr>
              <w:jc w:val="right"/>
            </w:pPr>
            <w:r/>
            <w:r>
              <w:rPr>
                <w:b w:val="0"/>
                <w:i w:val="0"/>
                <w:sz w:val="18"/>
              </w:rPr>
              <w:t>10.5%</w:t>
            </w:r>
          </w:p>
        </w:tc>
        <w:tc>
          <w:tcPr>
            <w:tcW w:type="dxa" w:w="1584"/>
          </w:tcPr>
          <w:p>
            <w:pPr>
              <w:jc w:val="right"/>
            </w:pPr>
            <w:r/>
            <w:r>
              <w:rPr>
                <w:b w:val="0"/>
                <w:i w:val="0"/>
                <w:sz w:val="18"/>
              </w:rPr>
              <w:t>9.3%</w:t>
            </w:r>
          </w:p>
        </w:tc>
        <w:tc>
          <w:tcPr>
            <w:tcW w:type="dxa" w:w="1584"/>
          </w:tcPr>
          <w:p>
            <w:pPr>
              <w:jc w:val="right"/>
            </w:pPr>
            <w:r/>
            <w:r>
              <w:rPr>
                <w:b w:val="0"/>
                <w:i w:val="0"/>
                <w:sz w:val="18"/>
              </w:rPr>
              <w:t>8.5%</w:t>
            </w:r>
          </w:p>
        </w:tc>
      </w:tr>
      <w:tr>
        <w:tc>
          <w:tcPr>
            <w:tcW w:type="dxa" w:w="4608"/>
          </w:tcPr>
          <w:p>
            <w:pPr>
              <w:jc w:val="left"/>
            </w:pPr>
            <w:r/>
            <w:r>
              <w:rPr>
                <w:b w:val="0"/>
                <w:i w:val="0"/>
                <w:sz w:val="18"/>
              </w:rPr>
              <w:t>Terminal growth</w:t>
            </w:r>
          </w:p>
        </w:tc>
        <w:tc>
          <w:tcPr>
            <w:tcW w:type="dxa" w:w="1584"/>
          </w:tcPr>
          <w:p>
            <w:pPr>
              <w:jc w:val="right"/>
            </w:pPr>
            <w:r/>
            <w:r>
              <w:rPr>
                <w:b w:val="0"/>
                <w:i w:val="0"/>
                <w:sz w:val="18"/>
              </w:rPr>
              <w:t>2.5%</w:t>
            </w:r>
          </w:p>
        </w:tc>
        <w:tc>
          <w:tcPr>
            <w:tcW w:type="dxa" w:w="1584"/>
          </w:tcPr>
          <w:p>
            <w:pPr>
              <w:jc w:val="right"/>
            </w:pPr>
            <w:r/>
            <w:r>
              <w:rPr>
                <w:b w:val="0"/>
                <w:i w:val="0"/>
                <w:sz w:val="18"/>
              </w:rPr>
              <w:t>3.5%</w:t>
            </w:r>
          </w:p>
        </w:tc>
        <w:tc>
          <w:tcPr>
            <w:tcW w:type="dxa" w:w="1584"/>
          </w:tcPr>
          <w:p>
            <w:pPr>
              <w:jc w:val="right"/>
            </w:pPr>
            <w:r/>
            <w:r>
              <w:rPr>
                <w:b w:val="0"/>
                <w:i w:val="0"/>
                <w:sz w:val="18"/>
              </w:rPr>
              <w:t>4.0%</w:t>
            </w:r>
          </w:p>
        </w:tc>
      </w:tr>
      <w:tr>
        <w:tc>
          <w:tcPr>
            <w:tcW w:type="dxa" w:w="4608"/>
          </w:tcPr>
          <w:p>
            <w:pPr>
              <w:jc w:val="left"/>
            </w:pPr>
            <w:r/>
            <w:r>
              <w:rPr>
                <w:b w:val="0"/>
                <w:i w:val="0"/>
                <w:sz w:val="18"/>
              </w:rPr>
              <w:t>Fair value (SAR/share)</w:t>
            </w:r>
          </w:p>
        </w:tc>
        <w:tc>
          <w:tcPr>
            <w:tcW w:type="dxa" w:w="1584"/>
          </w:tcPr>
          <w:p>
            <w:pPr>
              <w:jc w:val="right"/>
            </w:pPr>
            <w:r/>
            <w:r>
              <w:rPr>
                <w:b w:val="0"/>
                <w:i w:val="0"/>
                <w:sz w:val="18"/>
              </w:rPr>
              <w:t>30</w:t>
            </w:r>
          </w:p>
        </w:tc>
        <w:tc>
          <w:tcPr>
            <w:tcW w:type="dxa" w:w="1584"/>
          </w:tcPr>
          <w:p>
            <w:pPr>
              <w:jc w:val="right"/>
            </w:pPr>
            <w:r/>
            <w:r>
              <w:rPr>
                <w:b w:val="0"/>
                <w:i w:val="0"/>
                <w:sz w:val="18"/>
              </w:rPr>
              <w:t>47</w:t>
            </w:r>
          </w:p>
        </w:tc>
        <w:tc>
          <w:tcPr>
            <w:tcW w:type="dxa" w:w="1584"/>
          </w:tcPr>
          <w:p>
            <w:pPr>
              <w:jc w:val="right"/>
            </w:pPr>
            <w:r/>
            <w:r>
              <w:rPr>
                <w:b w:val="0"/>
                <w:i w:val="0"/>
                <w:sz w:val="18"/>
              </w:rPr>
              <w:t>62</w:t>
            </w:r>
          </w:p>
        </w:tc>
      </w:tr>
    </w:tbl>
    <w:p>
      <w:pPr>
        <w:spacing w:after="160"/>
      </w:pPr>
      <w:r>
        <w:rPr>
          <w:b w:val="0"/>
          <w:i w:val="0"/>
          <w:sz w:val="21"/>
        </w:rPr>
        <w:t>The DCF base of SAR 47 lands above the SOTP and below spot — a coherent middle. At a 9.3% WACC the implied EV of ~SAR 208 bn is ~12.4× near-term EBITDA, still a full turn or two below the market's 15.6× — the DCF, like every lens here, says the price embeds more than the modellable cash flows.</w:t>
      </w:r>
    </w:p>
    <w:p>
      <w:pPr>
        <w:spacing w:before="200" w:after="80"/>
      </w:pPr>
      <w:r>
        <w:rPr>
          <w:b/>
          <w:i w:val="0"/>
          <w:color w:val="1B5E5E"/>
          <w:sz w:val="25"/>
        </w:rPr>
        <w:t>1.3  Relative multiples</w:t>
      </w:r>
    </w:p>
    <w:p>
      <w:pPr>
        <w:spacing w:after="120"/>
      </w:pPr>
      <w:r>
        <w:rPr>
          <w:b w:val="0"/>
          <w:i w:val="0"/>
          <w:sz w:val="21"/>
        </w:rPr>
        <w:t>On peer multiples Ma'aden screens expensive, and this is the most conservative lens — the floor a sceptic anchors to. We mark a normalized group EBITDA of ~SAR 16.5 bn against a blended diversified-miner multiple of 7.5× — already a premium to the 5–7× at which BHP, Rio, Vale and Anglo trade, and to the 5–8× of the phosphate and aluminium peer sets, in deference to Ma'aden's cost position and growth. Even so, the implied EV of ~SAR 124 bn, less net debt, is worth only about SAR 26/share.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608"/>
            <w:shd w:val="clear" w:fill="1B5E5E"/>
          </w:tcPr>
          <w:p>
            <w:r/>
            <w:r>
              <w:rPr>
                <w:b/>
                <w:i w:val="0"/>
                <w:color w:val="FFFFFF"/>
                <w:sz w:val="19"/>
              </w:rPr>
              <w:t>Relative basis</w:t>
            </w:r>
          </w:p>
        </w:tc>
        <w:tc>
          <w:tcPr>
            <w:tcW w:type="dxa" w:w="1584"/>
            <w:shd w:val="clear" w:fill="1B5E5E"/>
          </w:tcPr>
          <w:p>
            <w:r/>
            <w:r>
              <w:rPr>
                <w:b/>
                <w:i w:val="0"/>
                <w:color w:val="FFFFFF"/>
                <w:sz w:val="19"/>
              </w:rPr>
              <w:t>Bear</w:t>
            </w:r>
          </w:p>
        </w:tc>
        <w:tc>
          <w:tcPr>
            <w:tcW w:type="dxa" w:w="1584"/>
            <w:shd w:val="clear" w:fill="1B5E5E"/>
          </w:tcPr>
          <w:p>
            <w:r/>
            <w:r>
              <w:rPr>
                <w:b/>
                <w:i w:val="0"/>
                <w:color w:val="FFFFFF"/>
                <w:sz w:val="19"/>
              </w:rPr>
              <w:t>Base</w:t>
            </w:r>
          </w:p>
        </w:tc>
        <w:tc>
          <w:tcPr>
            <w:tcW w:type="dxa" w:w="1584"/>
            <w:shd w:val="clear" w:fill="1B5E5E"/>
          </w:tcPr>
          <w:p>
            <w:r/>
            <w:r>
              <w:rPr>
                <w:b/>
                <w:i w:val="0"/>
                <w:color w:val="FFFFFF"/>
                <w:sz w:val="19"/>
              </w:rPr>
              <w:t>Bull</w:t>
            </w:r>
          </w:p>
        </w:tc>
      </w:tr>
      <w:tr>
        <w:tc>
          <w:tcPr>
            <w:tcW w:type="dxa" w:w="4608"/>
          </w:tcPr>
          <w:p>
            <w:pPr>
              <w:jc w:val="left"/>
            </w:pPr>
            <w:r/>
            <w:r>
              <w:rPr>
                <w:b w:val="0"/>
                <w:i w:val="0"/>
                <w:sz w:val="18"/>
              </w:rPr>
              <w:t>Normalized EBITDA (SAR bn)</w:t>
            </w:r>
          </w:p>
        </w:tc>
        <w:tc>
          <w:tcPr>
            <w:tcW w:type="dxa" w:w="1584"/>
          </w:tcPr>
          <w:p>
            <w:pPr>
              <w:jc w:val="right"/>
            </w:pPr>
            <w:r/>
            <w:r>
              <w:rPr>
                <w:b w:val="0"/>
                <w:i w:val="0"/>
                <w:sz w:val="18"/>
              </w:rPr>
              <w:t>15.0</w:t>
            </w:r>
          </w:p>
        </w:tc>
        <w:tc>
          <w:tcPr>
            <w:tcW w:type="dxa" w:w="1584"/>
          </w:tcPr>
          <w:p>
            <w:pPr>
              <w:jc w:val="right"/>
            </w:pPr>
            <w:r/>
            <w:r>
              <w:rPr>
                <w:b w:val="0"/>
                <w:i w:val="0"/>
                <w:sz w:val="18"/>
              </w:rPr>
              <w:t>16.5</w:t>
            </w:r>
          </w:p>
        </w:tc>
        <w:tc>
          <w:tcPr>
            <w:tcW w:type="dxa" w:w="1584"/>
          </w:tcPr>
          <w:p>
            <w:pPr>
              <w:jc w:val="right"/>
            </w:pPr>
            <w:r/>
            <w:r>
              <w:rPr>
                <w:b w:val="0"/>
                <w:i w:val="0"/>
                <w:sz w:val="18"/>
              </w:rPr>
              <w:t>18.0</w:t>
            </w:r>
          </w:p>
        </w:tc>
      </w:tr>
      <w:tr>
        <w:tc>
          <w:tcPr>
            <w:tcW w:type="dxa" w:w="4608"/>
          </w:tcPr>
          <w:p>
            <w:pPr>
              <w:jc w:val="left"/>
            </w:pPr>
            <w:r/>
            <w:r>
              <w:rPr>
                <w:b w:val="0"/>
                <w:i w:val="0"/>
                <w:sz w:val="18"/>
              </w:rPr>
              <w:t>Blended EV/EBITDA multiple</w:t>
            </w:r>
          </w:p>
        </w:tc>
        <w:tc>
          <w:tcPr>
            <w:tcW w:type="dxa" w:w="1584"/>
          </w:tcPr>
          <w:p>
            <w:pPr>
              <w:jc w:val="right"/>
            </w:pPr>
            <w:r/>
            <w:r>
              <w:rPr>
                <w:b w:val="0"/>
                <w:i w:val="0"/>
                <w:sz w:val="18"/>
              </w:rPr>
              <w:t>6.5×</w:t>
            </w:r>
          </w:p>
        </w:tc>
        <w:tc>
          <w:tcPr>
            <w:tcW w:type="dxa" w:w="1584"/>
          </w:tcPr>
          <w:p>
            <w:pPr>
              <w:jc w:val="right"/>
            </w:pPr>
            <w:r/>
            <w:r>
              <w:rPr>
                <w:b w:val="0"/>
                <w:i w:val="0"/>
                <w:sz w:val="18"/>
              </w:rPr>
              <w:t>7.5×</w:t>
            </w:r>
          </w:p>
        </w:tc>
        <w:tc>
          <w:tcPr>
            <w:tcW w:type="dxa" w:w="1584"/>
          </w:tcPr>
          <w:p>
            <w:pPr>
              <w:jc w:val="right"/>
            </w:pPr>
            <w:r/>
            <w:r>
              <w:rPr>
                <w:b w:val="0"/>
                <w:i w:val="0"/>
                <w:sz w:val="18"/>
              </w:rPr>
              <w:t>9.0×</w:t>
            </w:r>
          </w:p>
        </w:tc>
      </w:tr>
      <w:tr>
        <w:tc>
          <w:tcPr>
            <w:tcW w:type="dxa" w:w="4608"/>
          </w:tcPr>
          <w:p>
            <w:pPr>
              <w:jc w:val="left"/>
            </w:pPr>
            <w:r/>
            <w:r>
              <w:rPr>
                <w:b w:val="0"/>
                <w:i w:val="0"/>
                <w:sz w:val="18"/>
              </w:rPr>
              <w:t>Fair value (SAR/share)</w:t>
            </w:r>
          </w:p>
        </w:tc>
        <w:tc>
          <w:tcPr>
            <w:tcW w:type="dxa" w:w="1584"/>
          </w:tcPr>
          <w:p>
            <w:pPr>
              <w:jc w:val="right"/>
            </w:pPr>
            <w:r/>
            <w:r>
              <w:rPr>
                <w:b w:val="0"/>
                <w:i w:val="0"/>
                <w:sz w:val="18"/>
              </w:rPr>
              <w:t>20</w:t>
            </w:r>
          </w:p>
        </w:tc>
        <w:tc>
          <w:tcPr>
            <w:tcW w:type="dxa" w:w="1584"/>
          </w:tcPr>
          <w:p>
            <w:pPr>
              <w:jc w:val="right"/>
            </w:pPr>
            <w:r/>
            <w:r>
              <w:rPr>
                <w:b w:val="0"/>
                <w:i w:val="0"/>
                <w:sz w:val="18"/>
              </w:rPr>
              <w:t>26</w:t>
            </w:r>
          </w:p>
        </w:tc>
        <w:tc>
          <w:tcPr>
            <w:tcW w:type="dxa" w:w="1584"/>
          </w:tcPr>
          <w:p>
            <w:pPr>
              <w:jc w:val="right"/>
            </w:pPr>
            <w:r/>
            <w:r>
              <w:rPr>
                <w:b w:val="0"/>
                <w:i w:val="0"/>
                <w:sz w:val="18"/>
              </w:rPr>
              <w:t>38</w:t>
            </w:r>
          </w:p>
        </w:tc>
      </w:tr>
    </w:tbl>
    <w:p>
      <w:pPr>
        <w:spacing w:after="160"/>
      </w:pPr>
      <w:r>
        <w:rPr>
          <w:b w:val="0"/>
          <w:i w:val="0"/>
          <w:sz w:val="21"/>
        </w:rPr>
        <w:t>Relative base ≈ SAR 26 — less than half the market price. It treats Ma'aden as a commodity miner rather than a strategic growth vehicle, and assigns no separate value to the exploration and new-minerals optionality. It is the honest peer-anchored number, and the width of the gap to spot is precisely the size of the premium the other lenses debate.</w:t>
      </w:r>
    </w:p>
    <w:p>
      <w:pPr>
        <w:spacing w:before="200" w:after="80"/>
      </w:pPr>
      <w:r>
        <w:rPr>
          <w:b/>
          <w:i w:val="0"/>
          <w:color w:val="1B5E5E"/>
          <w:sz w:val="25"/>
        </w:rPr>
        <w:t>1.4  Mid-cycle earnings power</w:t>
      </w:r>
    </w:p>
    <w:p>
      <w:pPr>
        <w:spacing w:after="120"/>
      </w:pPr>
      <w:r>
        <w:rPr>
          <w:b w:val="0"/>
          <w:i w:val="0"/>
          <w:sz w:val="21"/>
        </w:rPr>
        <w:t>For a commodity producer, normalized earnings means mid-cycle commodity prices, not a return to a single peak year. We normalize net income to ~SAR 6.3 bn — below the FY2025 print of SAR 7.35 bn, because 2025 caught strong DAP and a surging gold price near the top of their ranges (device A-6: current earnings sit toward the upper part of the cycle, not mid) — and apply a justified through-cycle P/E of 26×, high for a miner but defensible for a low-cost, high-growth, sovereign-backed name.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608"/>
            <w:shd w:val="clear" w:fill="1B5E5E"/>
          </w:tcPr>
          <w:p>
            <w:r/>
            <w:r>
              <w:rPr>
                <w:b/>
                <w:i w:val="0"/>
                <w:color w:val="FFFFFF"/>
                <w:sz w:val="19"/>
              </w:rPr>
              <w:t>Mid-cycle-earnings basis</w:t>
            </w:r>
          </w:p>
        </w:tc>
        <w:tc>
          <w:tcPr>
            <w:tcW w:type="dxa" w:w="1584"/>
            <w:shd w:val="clear" w:fill="1B5E5E"/>
          </w:tcPr>
          <w:p>
            <w:r/>
            <w:r>
              <w:rPr>
                <w:b/>
                <w:i w:val="0"/>
                <w:color w:val="FFFFFF"/>
                <w:sz w:val="19"/>
              </w:rPr>
              <w:t>Bear</w:t>
            </w:r>
          </w:p>
        </w:tc>
        <w:tc>
          <w:tcPr>
            <w:tcW w:type="dxa" w:w="1584"/>
            <w:shd w:val="clear" w:fill="1B5E5E"/>
          </w:tcPr>
          <w:p>
            <w:r/>
            <w:r>
              <w:rPr>
                <w:b/>
                <w:i w:val="0"/>
                <w:color w:val="FFFFFF"/>
                <w:sz w:val="19"/>
              </w:rPr>
              <w:t>Base</w:t>
            </w:r>
          </w:p>
        </w:tc>
        <w:tc>
          <w:tcPr>
            <w:tcW w:type="dxa" w:w="1584"/>
            <w:shd w:val="clear" w:fill="1B5E5E"/>
          </w:tcPr>
          <w:p>
            <w:r/>
            <w:r>
              <w:rPr>
                <w:b/>
                <w:i w:val="0"/>
                <w:color w:val="FFFFFF"/>
                <w:sz w:val="19"/>
              </w:rPr>
              <w:t>Bull</w:t>
            </w:r>
          </w:p>
        </w:tc>
      </w:tr>
      <w:tr>
        <w:tc>
          <w:tcPr>
            <w:tcW w:type="dxa" w:w="4608"/>
          </w:tcPr>
          <w:p>
            <w:pPr>
              <w:jc w:val="left"/>
            </w:pPr>
            <w:r/>
            <w:r>
              <w:rPr>
                <w:b w:val="0"/>
                <w:i w:val="0"/>
                <w:sz w:val="18"/>
              </w:rPr>
              <w:t>Mid-cycle net income (SAR bn)</w:t>
            </w:r>
          </w:p>
        </w:tc>
        <w:tc>
          <w:tcPr>
            <w:tcW w:type="dxa" w:w="1584"/>
          </w:tcPr>
          <w:p>
            <w:pPr>
              <w:jc w:val="right"/>
            </w:pPr>
            <w:r/>
            <w:r>
              <w:rPr>
                <w:b w:val="0"/>
                <w:i w:val="0"/>
                <w:sz w:val="18"/>
              </w:rPr>
              <w:t>4.8</w:t>
            </w:r>
          </w:p>
        </w:tc>
        <w:tc>
          <w:tcPr>
            <w:tcW w:type="dxa" w:w="1584"/>
          </w:tcPr>
          <w:p>
            <w:pPr>
              <w:jc w:val="right"/>
            </w:pPr>
            <w:r/>
            <w:r>
              <w:rPr>
                <w:b w:val="0"/>
                <w:i w:val="0"/>
                <w:sz w:val="18"/>
              </w:rPr>
              <w:t>6.3</w:t>
            </w:r>
          </w:p>
        </w:tc>
        <w:tc>
          <w:tcPr>
            <w:tcW w:type="dxa" w:w="1584"/>
          </w:tcPr>
          <w:p>
            <w:pPr>
              <w:jc w:val="right"/>
            </w:pPr>
            <w:r/>
            <w:r>
              <w:rPr>
                <w:b w:val="0"/>
                <w:i w:val="0"/>
                <w:sz w:val="18"/>
              </w:rPr>
              <w:t>7.6</w:t>
            </w:r>
          </w:p>
        </w:tc>
      </w:tr>
      <w:tr>
        <w:tc>
          <w:tcPr>
            <w:tcW w:type="dxa" w:w="4608"/>
          </w:tcPr>
          <w:p>
            <w:pPr>
              <w:jc w:val="left"/>
            </w:pPr>
            <w:r/>
            <w:r>
              <w:rPr>
                <w:b w:val="0"/>
                <w:i w:val="0"/>
                <w:sz w:val="18"/>
              </w:rPr>
              <w:t>Justified through-cycle P/E</w:t>
            </w:r>
          </w:p>
        </w:tc>
        <w:tc>
          <w:tcPr>
            <w:tcW w:type="dxa" w:w="1584"/>
          </w:tcPr>
          <w:p>
            <w:pPr>
              <w:jc w:val="right"/>
            </w:pPr>
            <w:r/>
            <w:r>
              <w:rPr>
                <w:b w:val="0"/>
                <w:i w:val="0"/>
                <w:sz w:val="18"/>
              </w:rPr>
              <w:t>22×</w:t>
            </w:r>
          </w:p>
        </w:tc>
        <w:tc>
          <w:tcPr>
            <w:tcW w:type="dxa" w:w="1584"/>
          </w:tcPr>
          <w:p>
            <w:pPr>
              <w:jc w:val="right"/>
            </w:pPr>
            <w:r/>
            <w:r>
              <w:rPr>
                <w:b w:val="0"/>
                <w:i w:val="0"/>
                <w:sz w:val="18"/>
              </w:rPr>
              <w:t>26×</w:t>
            </w:r>
          </w:p>
        </w:tc>
        <w:tc>
          <w:tcPr>
            <w:tcW w:type="dxa" w:w="1584"/>
          </w:tcPr>
          <w:p>
            <w:pPr>
              <w:jc w:val="right"/>
            </w:pPr>
            <w:r/>
            <w:r>
              <w:rPr>
                <w:b w:val="0"/>
                <w:i w:val="0"/>
                <w:sz w:val="18"/>
              </w:rPr>
              <w:t>30×</w:t>
            </w:r>
          </w:p>
        </w:tc>
      </w:tr>
      <w:tr>
        <w:tc>
          <w:tcPr>
            <w:tcW w:type="dxa" w:w="4608"/>
          </w:tcPr>
          <w:p>
            <w:pPr>
              <w:jc w:val="left"/>
            </w:pPr>
            <w:r/>
            <w:r>
              <w:rPr>
                <w:b w:val="0"/>
                <w:i w:val="0"/>
                <w:sz w:val="18"/>
              </w:rPr>
              <w:t>Fair value (SAR/share)</w:t>
            </w:r>
          </w:p>
        </w:tc>
        <w:tc>
          <w:tcPr>
            <w:tcW w:type="dxa" w:w="1584"/>
          </w:tcPr>
          <w:p>
            <w:pPr>
              <w:jc w:val="right"/>
            </w:pPr>
            <w:r/>
            <w:r>
              <w:rPr>
                <w:b w:val="0"/>
                <w:i w:val="0"/>
                <w:sz w:val="18"/>
              </w:rPr>
              <w:t>28</w:t>
            </w:r>
          </w:p>
        </w:tc>
        <w:tc>
          <w:tcPr>
            <w:tcW w:type="dxa" w:w="1584"/>
          </w:tcPr>
          <w:p>
            <w:pPr>
              <w:jc w:val="right"/>
            </w:pPr>
            <w:r/>
            <w:r>
              <w:rPr>
                <w:b w:val="0"/>
                <w:i w:val="0"/>
                <w:sz w:val="18"/>
              </w:rPr>
              <w:t>42</w:t>
            </w:r>
          </w:p>
        </w:tc>
        <w:tc>
          <w:tcPr>
            <w:tcW w:type="dxa" w:w="1584"/>
          </w:tcPr>
          <w:p>
            <w:pPr>
              <w:jc w:val="right"/>
            </w:pPr>
            <w:r/>
            <w:r>
              <w:rPr>
                <w:b w:val="0"/>
                <w:i w:val="0"/>
                <w:sz w:val="18"/>
              </w:rPr>
              <w:t>58</w:t>
            </w:r>
          </w:p>
        </w:tc>
      </w:tr>
    </w:tbl>
    <w:p>
      <w:pPr>
        <w:spacing w:after="160"/>
      </w:pPr>
      <w:r>
        <w:rPr>
          <w:b w:val="0"/>
          <w:i w:val="0"/>
          <w:sz w:val="21"/>
        </w:rPr>
        <w:t>Mid-cycle base ≈ SAR 42 — the ceiling of the central case, and the bet that commodity prices hold near recent strength and the growth multiple survives. It is, in effect, the most generous fundamental read one can defend without capitalizing the un-built pipeline.</w:t>
      </w:r>
    </w:p>
    <w:p>
      <w:pPr>
        <w:spacing w:before="200" w:after="80"/>
      </w:pPr>
      <w:r>
        <w:rPr>
          <w:b/>
          <w:i w:val="0"/>
          <w:color w:val="1B5E5E"/>
          <w:sz w:val="25"/>
        </w:rPr>
        <w:t>1.5  Synthesis — four lenses</w:t>
      </w:r>
    </w:p>
    <w:p>
      <w:pPr>
        <w:spacing w:after="120"/>
      </w:pPr>
      <w:r>
        <w:rPr>
          <w:b w:val="0"/>
          <w:i w:val="0"/>
          <w:sz w:val="21"/>
        </w:rPr>
        <w:t>We weight the SOTP most heavily because it respects the differing economics of the segments; the DCF and mid-cycle lenses carry the growth and normalization case; the relative lens anchors the peer-cheapness floor.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456"/>
            <w:shd w:val="clear" w:fill="1B5E5E"/>
          </w:tcPr>
          <w:p>
            <w:r/>
            <w:r>
              <w:rPr>
                <w:b/>
                <w:i w:val="0"/>
                <w:color w:val="FFFFFF"/>
                <w:sz w:val="19"/>
              </w:rPr>
              <w:t>Lens</w:t>
            </w:r>
          </w:p>
        </w:tc>
        <w:tc>
          <w:tcPr>
            <w:tcW w:type="dxa" w:w="1296"/>
            <w:shd w:val="clear" w:fill="1B5E5E"/>
          </w:tcPr>
          <w:p>
            <w:r/>
            <w:r>
              <w:rPr>
                <w:b/>
                <w:i w:val="0"/>
                <w:color w:val="FFFFFF"/>
                <w:sz w:val="19"/>
              </w:rPr>
              <w:t>Weight</w:t>
            </w:r>
          </w:p>
        </w:tc>
        <w:tc>
          <w:tcPr>
            <w:tcW w:type="dxa" w:w="1440"/>
            <w:shd w:val="clear" w:fill="1B5E5E"/>
          </w:tcPr>
          <w:p>
            <w:r/>
            <w:r>
              <w:rPr>
                <w:b/>
                <w:i w:val="0"/>
                <w:color w:val="FFFFFF"/>
                <w:sz w:val="19"/>
              </w:rPr>
              <w:t>Bear</w:t>
            </w:r>
          </w:p>
        </w:tc>
        <w:tc>
          <w:tcPr>
            <w:tcW w:type="dxa" w:w="1440"/>
            <w:shd w:val="clear" w:fill="1B5E5E"/>
          </w:tcPr>
          <w:p>
            <w:r/>
            <w:r>
              <w:rPr>
                <w:b/>
                <w:i w:val="0"/>
                <w:color w:val="FFFFFF"/>
                <w:sz w:val="19"/>
              </w:rPr>
              <w:t>Base</w:t>
            </w:r>
          </w:p>
        </w:tc>
        <w:tc>
          <w:tcPr>
            <w:tcW w:type="dxa" w:w="1440"/>
            <w:shd w:val="clear" w:fill="1B5E5E"/>
          </w:tcPr>
          <w:p>
            <w:r/>
            <w:r>
              <w:rPr>
                <w:b/>
                <w:i w:val="0"/>
                <w:color w:val="FFFFFF"/>
                <w:sz w:val="19"/>
              </w:rPr>
              <w:t>Bull</w:t>
            </w:r>
          </w:p>
        </w:tc>
      </w:tr>
      <w:tr>
        <w:tc>
          <w:tcPr>
            <w:tcW w:type="dxa" w:w="3456"/>
          </w:tcPr>
          <w:p>
            <w:pPr>
              <w:jc w:val="left"/>
            </w:pPr>
            <w:r/>
            <w:r>
              <w:rPr>
                <w:b w:val="0"/>
                <w:i w:val="0"/>
                <w:sz w:val="18"/>
              </w:rPr>
              <w:t>Sum-of-the-parts</w:t>
            </w:r>
          </w:p>
        </w:tc>
        <w:tc>
          <w:tcPr>
            <w:tcW w:type="dxa" w:w="1296"/>
          </w:tcPr>
          <w:p>
            <w:pPr>
              <w:jc w:val="right"/>
            </w:pPr>
            <w:r/>
            <w:r>
              <w:rPr>
                <w:b w:val="0"/>
                <w:i w:val="0"/>
                <w:sz w:val="18"/>
              </w:rPr>
              <w:t>40%</w:t>
            </w:r>
          </w:p>
        </w:tc>
        <w:tc>
          <w:tcPr>
            <w:tcW w:type="dxa" w:w="1440"/>
          </w:tcPr>
          <w:p>
            <w:pPr>
              <w:jc w:val="right"/>
            </w:pPr>
            <w:r/>
            <w:r>
              <w:rPr>
                <w:b w:val="0"/>
                <w:i w:val="0"/>
                <w:sz w:val="18"/>
              </w:rPr>
              <w:t>28</w:t>
            </w:r>
          </w:p>
        </w:tc>
        <w:tc>
          <w:tcPr>
            <w:tcW w:type="dxa" w:w="1440"/>
          </w:tcPr>
          <w:p>
            <w:pPr>
              <w:jc w:val="right"/>
            </w:pPr>
            <w:r/>
            <w:r>
              <w:rPr>
                <w:b w:val="0"/>
                <w:i w:val="0"/>
                <w:sz w:val="18"/>
              </w:rPr>
              <w:t>44</w:t>
            </w:r>
          </w:p>
        </w:tc>
        <w:tc>
          <w:tcPr>
            <w:tcW w:type="dxa" w:w="1440"/>
          </w:tcPr>
          <w:p>
            <w:pPr>
              <w:jc w:val="right"/>
            </w:pPr>
            <w:r/>
            <w:r>
              <w:rPr>
                <w:b w:val="0"/>
                <w:i w:val="0"/>
                <w:sz w:val="18"/>
              </w:rPr>
              <w:t>60</w:t>
            </w:r>
          </w:p>
        </w:tc>
      </w:tr>
      <w:tr>
        <w:tc>
          <w:tcPr>
            <w:tcW w:type="dxa" w:w="3456"/>
          </w:tcPr>
          <w:p>
            <w:pPr>
              <w:jc w:val="left"/>
            </w:pPr>
            <w:r/>
            <w:r>
              <w:rPr>
                <w:b w:val="0"/>
                <w:i w:val="0"/>
                <w:sz w:val="18"/>
              </w:rPr>
              <w:t>Consolidated DCF</w:t>
            </w:r>
          </w:p>
        </w:tc>
        <w:tc>
          <w:tcPr>
            <w:tcW w:type="dxa" w:w="1296"/>
          </w:tcPr>
          <w:p>
            <w:pPr>
              <w:jc w:val="right"/>
            </w:pPr>
            <w:r/>
            <w:r>
              <w:rPr>
                <w:b w:val="0"/>
                <w:i w:val="0"/>
                <w:sz w:val="18"/>
              </w:rPr>
              <w:t>20%</w:t>
            </w:r>
          </w:p>
        </w:tc>
        <w:tc>
          <w:tcPr>
            <w:tcW w:type="dxa" w:w="1440"/>
          </w:tcPr>
          <w:p>
            <w:pPr>
              <w:jc w:val="right"/>
            </w:pPr>
            <w:r/>
            <w:r>
              <w:rPr>
                <w:b w:val="0"/>
                <w:i w:val="0"/>
                <w:sz w:val="18"/>
              </w:rPr>
              <w:t>30</w:t>
            </w:r>
          </w:p>
        </w:tc>
        <w:tc>
          <w:tcPr>
            <w:tcW w:type="dxa" w:w="1440"/>
          </w:tcPr>
          <w:p>
            <w:pPr>
              <w:jc w:val="right"/>
            </w:pPr>
            <w:r/>
            <w:r>
              <w:rPr>
                <w:b w:val="0"/>
                <w:i w:val="0"/>
                <w:sz w:val="18"/>
              </w:rPr>
              <w:t>47</w:t>
            </w:r>
          </w:p>
        </w:tc>
        <w:tc>
          <w:tcPr>
            <w:tcW w:type="dxa" w:w="1440"/>
          </w:tcPr>
          <w:p>
            <w:pPr>
              <w:jc w:val="right"/>
            </w:pPr>
            <w:r/>
            <w:r>
              <w:rPr>
                <w:b w:val="0"/>
                <w:i w:val="0"/>
                <w:sz w:val="18"/>
              </w:rPr>
              <w:t>62</w:t>
            </w:r>
          </w:p>
        </w:tc>
      </w:tr>
      <w:tr>
        <w:tc>
          <w:tcPr>
            <w:tcW w:type="dxa" w:w="3456"/>
          </w:tcPr>
          <w:p>
            <w:pPr>
              <w:jc w:val="left"/>
            </w:pPr>
            <w:r/>
            <w:r>
              <w:rPr>
                <w:b w:val="0"/>
                <w:i w:val="0"/>
                <w:sz w:val="18"/>
              </w:rPr>
              <w:t>Relative multiples</w:t>
            </w:r>
          </w:p>
        </w:tc>
        <w:tc>
          <w:tcPr>
            <w:tcW w:type="dxa" w:w="1296"/>
          </w:tcPr>
          <w:p>
            <w:pPr>
              <w:jc w:val="right"/>
            </w:pPr>
            <w:r/>
            <w:r>
              <w:rPr>
                <w:b w:val="0"/>
                <w:i w:val="0"/>
                <w:sz w:val="18"/>
              </w:rPr>
              <w:t>15%</w:t>
            </w:r>
          </w:p>
        </w:tc>
        <w:tc>
          <w:tcPr>
            <w:tcW w:type="dxa" w:w="1440"/>
          </w:tcPr>
          <w:p>
            <w:pPr>
              <w:jc w:val="right"/>
            </w:pPr>
            <w:r/>
            <w:r>
              <w:rPr>
                <w:b w:val="0"/>
                <w:i w:val="0"/>
                <w:sz w:val="18"/>
              </w:rPr>
              <w:t>20</w:t>
            </w:r>
          </w:p>
        </w:tc>
        <w:tc>
          <w:tcPr>
            <w:tcW w:type="dxa" w:w="1440"/>
          </w:tcPr>
          <w:p>
            <w:pPr>
              <w:jc w:val="right"/>
            </w:pPr>
            <w:r/>
            <w:r>
              <w:rPr>
                <w:b w:val="0"/>
                <w:i w:val="0"/>
                <w:sz w:val="18"/>
              </w:rPr>
              <w:t>26</w:t>
            </w:r>
          </w:p>
        </w:tc>
        <w:tc>
          <w:tcPr>
            <w:tcW w:type="dxa" w:w="1440"/>
          </w:tcPr>
          <w:p>
            <w:pPr>
              <w:jc w:val="right"/>
            </w:pPr>
            <w:r/>
            <w:r>
              <w:rPr>
                <w:b w:val="0"/>
                <w:i w:val="0"/>
                <w:sz w:val="18"/>
              </w:rPr>
              <w:t>38</w:t>
            </w:r>
          </w:p>
        </w:tc>
      </w:tr>
      <w:tr>
        <w:tc>
          <w:tcPr>
            <w:tcW w:type="dxa" w:w="3456"/>
          </w:tcPr>
          <w:p>
            <w:pPr>
              <w:jc w:val="left"/>
            </w:pPr>
            <w:r/>
            <w:r>
              <w:rPr>
                <w:b w:val="0"/>
                <w:i w:val="0"/>
                <w:sz w:val="18"/>
              </w:rPr>
              <w:t>Mid-cycle earnings</w:t>
            </w:r>
          </w:p>
        </w:tc>
        <w:tc>
          <w:tcPr>
            <w:tcW w:type="dxa" w:w="1296"/>
          </w:tcPr>
          <w:p>
            <w:pPr>
              <w:jc w:val="right"/>
            </w:pPr>
            <w:r/>
            <w:r>
              <w:rPr>
                <w:b w:val="0"/>
                <w:i w:val="0"/>
                <w:sz w:val="18"/>
              </w:rPr>
              <w:t>25%</w:t>
            </w:r>
          </w:p>
        </w:tc>
        <w:tc>
          <w:tcPr>
            <w:tcW w:type="dxa" w:w="1440"/>
          </w:tcPr>
          <w:p>
            <w:pPr>
              <w:jc w:val="right"/>
            </w:pPr>
            <w:r/>
            <w:r>
              <w:rPr>
                <w:b w:val="0"/>
                <w:i w:val="0"/>
                <w:sz w:val="18"/>
              </w:rPr>
              <w:t>28</w:t>
            </w:r>
          </w:p>
        </w:tc>
        <w:tc>
          <w:tcPr>
            <w:tcW w:type="dxa" w:w="1440"/>
          </w:tcPr>
          <w:p>
            <w:pPr>
              <w:jc w:val="right"/>
            </w:pPr>
            <w:r/>
            <w:r>
              <w:rPr>
                <w:b w:val="0"/>
                <w:i w:val="0"/>
                <w:sz w:val="18"/>
              </w:rPr>
              <w:t>42</w:t>
            </w:r>
          </w:p>
        </w:tc>
        <w:tc>
          <w:tcPr>
            <w:tcW w:type="dxa" w:w="1440"/>
          </w:tcPr>
          <w:p>
            <w:pPr>
              <w:jc w:val="right"/>
            </w:pPr>
            <w:r/>
            <w:r>
              <w:rPr>
                <w:b w:val="0"/>
                <w:i w:val="0"/>
                <w:sz w:val="18"/>
              </w:rPr>
              <w:t>58</w:t>
            </w:r>
          </w:p>
        </w:tc>
      </w:tr>
      <w:tr>
        <w:tc>
          <w:tcPr>
            <w:tcW w:type="dxa" w:w="3456"/>
          </w:tcPr>
          <w:p>
            <w:pPr>
              <w:jc w:val="left"/>
            </w:pPr>
            <w:r/>
            <w:r>
              <w:rPr>
                <w:b/>
                <w:i w:val="0"/>
                <w:sz w:val="18"/>
              </w:rPr>
              <w:t>Weighted central</w:t>
            </w:r>
          </w:p>
        </w:tc>
        <w:tc>
          <w:tcPr>
            <w:tcW w:type="dxa" w:w="1296"/>
          </w:tcPr>
          <w:p>
            <w:pPr>
              <w:jc w:val="right"/>
            </w:pPr>
            <w:r/>
            <w:r>
              <w:rPr>
                <w:b w:val="0"/>
                <w:i w:val="0"/>
                <w:sz w:val="18"/>
              </w:rPr>
            </w:r>
          </w:p>
        </w:tc>
        <w:tc>
          <w:tcPr>
            <w:tcW w:type="dxa" w:w="1440"/>
          </w:tcPr>
          <w:p>
            <w:pPr>
              <w:jc w:val="right"/>
            </w:pPr>
            <w:r/>
            <w:r>
              <w:rPr>
                <w:b/>
                <w:i w:val="0"/>
                <w:sz w:val="18"/>
              </w:rPr>
              <w:t>27</w:t>
            </w:r>
          </w:p>
        </w:tc>
        <w:tc>
          <w:tcPr>
            <w:tcW w:type="dxa" w:w="1440"/>
          </w:tcPr>
          <w:p>
            <w:pPr>
              <w:jc w:val="right"/>
            </w:pPr>
            <w:r/>
            <w:r>
              <w:rPr>
                <w:b/>
                <w:i w:val="0"/>
                <w:sz w:val="18"/>
              </w:rPr>
              <w:t>42</w:t>
            </w:r>
          </w:p>
        </w:tc>
        <w:tc>
          <w:tcPr>
            <w:tcW w:type="dxa" w:w="1440"/>
          </w:tcPr>
          <w:p>
            <w:pPr>
              <w:jc w:val="right"/>
            </w:pPr>
            <w:r/>
            <w:r>
              <w:rPr>
                <w:b/>
                <w:i w:val="0"/>
                <w:sz w:val="18"/>
              </w:rPr>
              <w:t>57</w:t>
            </w:r>
          </w:p>
        </w:tc>
      </w:tr>
    </w:tbl>
    <w:p>
      <w:pPr>
        <w:jc w:val="center"/>
      </w:pPr>
      <w:r>
        <w:drawing>
          <wp:inline xmlns:a="http://schemas.openxmlformats.org/drawingml/2006/main" xmlns:pic="http://schemas.openxmlformats.org/drawingml/2006/picture">
            <wp:extent cx="5760720" cy="3060049"/>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760720" cy="3060049"/>
                    </a:xfrm>
                    <a:prstGeom prst="rect"/>
                  </pic:spPr>
                </pic:pic>
              </a:graphicData>
            </a:graphic>
          </wp:inline>
        </w:drawing>
      </w:r>
    </w:p>
    <w:p>
      <w:pPr>
        <w:spacing w:after="160"/>
      </w:pPr>
      <w:r>
        <w:rPr>
          <w:b w:val="0"/>
          <w:i/>
          <w:color w:val="595959"/>
          <w:sz w:val="17"/>
        </w:rPr>
        <w:t>Figure 1 — Valuation football field. Bars span bear–bull per lens; the brass tick is each base case; the gold band is the blended central range; the dark line is spot.</w:t>
      </w:r>
    </w:p>
    <w:p>
      <w:pPr>
        <w:spacing w:after="160"/>
      </w:pPr>
      <w:r>
        <w:rPr>
          <w:b w:val="0"/>
          <w:i w:val="0"/>
          <w:sz w:val="21"/>
        </w:rPr>
        <w:t>Central fair value ≈ SAR 42/share, about 29% below spot. The spread of the lenses (SAR 26 to SAR 47 at base) is itself the message: this is not a cheap stock on any near-term measure. The question the market answers with its price is whether a tier-one, gas-advantaged, PIF-backed platform mid-build deserves 15.6× EV/EBITDA. Our lenses say the modellable value is nearer SAR 42; the ~SAR 17 gap to spot is the market's capitalization of the pipeline and the sovereign put.</w:t>
      </w:r>
    </w:p>
    <w:p>
      <w:pPr>
        <w:spacing w:before="200" w:after="80"/>
      </w:pPr>
      <w:r>
        <w:rPr>
          <w:b/>
          <w:i w:val="0"/>
          <w:color w:val="1B5E5E"/>
          <w:sz w:val="25"/>
        </w:rPr>
        <w:t>1.6  The segments — a deeper look</w:t>
      </w:r>
    </w:p>
    <w:p>
      <w:pPr>
        <w:spacing w:after="120"/>
      </w:pPr>
      <w:r>
        <w:rPr>
          <w:b w:val="0"/>
          <w:i w:val="0"/>
          <w:sz w:val="21"/>
        </w:rPr>
        <w:t>Phosphate (FY2025: revenue SAR 20.8 bn, EBITDA SAR 9.8 bn, a 47% margin) is the value engine: Ma'aden mines its own rock, makes its own ammonia from cheap domestic gas, and exports DAP and specialty fertilizers into Asia and Africa — an integrated, structurally low-cost chain whose margin is the envy of the global industry, and which is being enlarged by the Phosphate 3 project toward a step-change in capacity. Aluminium (revenue SAR 11.0 bn, EBITDA SAR 2.6 bn) is a full bauxite-to-rolled-products chain, now consolidated after Ma'aden bought out its partners' stakes; it is mid-cost, energy- and LME-sensitive, and the swing business for group margin quarter to quarter. Gold &amp; Base Metals (revenue SAR 6.8 bn, EBITDA SAR 3.5 bn) is the highest-margin ounce-producer, ramping Mansourah-Massarah and targeting a doubling of gold output by the end of the decade, with copper and base-metals exploration as the option. The table scores each part on the axes that matter.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92"/>
            <w:shd w:val="clear" w:fill="1B5E5E"/>
          </w:tcPr>
          <w:p>
            <w:r/>
            <w:r>
              <w:rPr>
                <w:b/>
                <w:i w:val="0"/>
                <w:color w:val="FFFFFF"/>
                <w:sz w:val="19"/>
              </w:rPr>
              <w:t>Segment</w:t>
            </w:r>
          </w:p>
        </w:tc>
        <w:tc>
          <w:tcPr>
            <w:tcW w:type="dxa" w:w="1944"/>
            <w:shd w:val="clear" w:fill="1B5E5E"/>
          </w:tcPr>
          <w:p>
            <w:r/>
            <w:r>
              <w:rPr>
                <w:b/>
                <w:i w:val="0"/>
                <w:color w:val="FFFFFF"/>
                <w:sz w:val="19"/>
              </w:rPr>
              <w:t>Cyclicality</w:t>
            </w:r>
          </w:p>
        </w:tc>
        <w:tc>
          <w:tcPr>
            <w:tcW w:type="dxa" w:w="1872"/>
            <w:shd w:val="clear" w:fill="1B5E5E"/>
          </w:tcPr>
          <w:p>
            <w:r/>
            <w:r>
              <w:rPr>
                <w:b/>
                <w:i w:val="0"/>
                <w:color w:val="FFFFFF"/>
                <w:sz w:val="19"/>
              </w:rPr>
              <w:t>Margin trend</w:t>
            </w:r>
          </w:p>
        </w:tc>
        <w:tc>
          <w:tcPr>
            <w:tcW w:type="dxa" w:w="1944"/>
            <w:shd w:val="clear" w:fill="1B5E5E"/>
          </w:tcPr>
          <w:p>
            <w:r/>
            <w:r>
              <w:rPr>
                <w:b/>
                <w:i w:val="0"/>
                <w:color w:val="FFFFFF"/>
                <w:sz w:val="19"/>
              </w:rPr>
              <w:t>Capital intensity</w:t>
            </w:r>
          </w:p>
        </w:tc>
        <w:tc>
          <w:tcPr>
            <w:tcW w:type="dxa" w:w="2016"/>
            <w:shd w:val="clear" w:fill="1B5E5E"/>
          </w:tcPr>
          <w:p>
            <w:r/>
            <w:r>
              <w:rPr>
                <w:b/>
                <w:i w:val="0"/>
                <w:color w:val="FFFFFF"/>
                <w:sz w:val="19"/>
              </w:rPr>
              <w:t>Swing role</w:t>
            </w:r>
          </w:p>
        </w:tc>
      </w:tr>
      <w:tr>
        <w:tc>
          <w:tcPr>
            <w:tcW w:type="dxa" w:w="2592"/>
          </w:tcPr>
          <w:p>
            <w:pPr>
              <w:jc w:val="left"/>
            </w:pPr>
            <w:r/>
            <w:r>
              <w:rPr>
                <w:b w:val="0"/>
                <w:i w:val="0"/>
                <w:sz w:val="18"/>
              </w:rPr>
              <w:t>Phosphate</w:t>
            </w:r>
          </w:p>
        </w:tc>
        <w:tc>
          <w:tcPr>
            <w:tcW w:type="dxa" w:w="1944"/>
          </w:tcPr>
          <w:p>
            <w:pPr>
              <w:jc w:val="right"/>
            </w:pPr>
            <w:r/>
            <w:r>
              <w:rPr>
                <w:b w:val="0"/>
                <w:i w:val="0"/>
                <w:sz w:val="18"/>
              </w:rPr>
              <w:t>Moderate (agri)</w:t>
            </w:r>
          </w:p>
        </w:tc>
        <w:tc>
          <w:tcPr>
            <w:tcW w:type="dxa" w:w="1872"/>
          </w:tcPr>
          <w:p>
            <w:pPr>
              <w:jc w:val="right"/>
            </w:pPr>
            <w:r/>
            <w:r>
              <w:rPr>
                <w:b w:val="0"/>
                <w:i w:val="0"/>
                <w:sz w:val="18"/>
              </w:rPr>
              <w:t>Peak-ish, ~47%</w:t>
            </w:r>
          </w:p>
        </w:tc>
        <w:tc>
          <w:tcPr>
            <w:tcW w:type="dxa" w:w="1944"/>
          </w:tcPr>
          <w:p>
            <w:pPr>
              <w:jc w:val="right"/>
            </w:pPr>
            <w:r/>
            <w:r>
              <w:rPr>
                <w:b w:val="0"/>
                <w:i w:val="0"/>
                <w:sz w:val="18"/>
              </w:rPr>
              <w:t>Very high (Phosphate 3)</w:t>
            </w:r>
          </w:p>
        </w:tc>
        <w:tc>
          <w:tcPr>
            <w:tcW w:type="dxa" w:w="2016"/>
          </w:tcPr>
          <w:p>
            <w:pPr>
              <w:jc w:val="right"/>
            </w:pPr>
            <w:r/>
            <w:r>
              <w:rPr>
                <w:b w:val="0"/>
                <w:i w:val="0"/>
                <w:sz w:val="18"/>
              </w:rPr>
              <w:t>Dominant · value engine</w:t>
            </w:r>
          </w:p>
        </w:tc>
      </w:tr>
      <w:tr>
        <w:tc>
          <w:tcPr>
            <w:tcW w:type="dxa" w:w="2592"/>
          </w:tcPr>
          <w:p>
            <w:pPr>
              <w:jc w:val="left"/>
            </w:pPr>
            <w:r/>
            <w:r>
              <w:rPr>
                <w:b w:val="0"/>
                <w:i w:val="0"/>
                <w:sz w:val="18"/>
              </w:rPr>
              <w:t>Aluminium</w:t>
            </w:r>
          </w:p>
        </w:tc>
        <w:tc>
          <w:tcPr>
            <w:tcW w:type="dxa" w:w="1944"/>
          </w:tcPr>
          <w:p>
            <w:pPr>
              <w:jc w:val="right"/>
            </w:pPr>
            <w:r/>
            <w:r>
              <w:rPr>
                <w:b w:val="0"/>
                <w:i w:val="0"/>
                <w:sz w:val="18"/>
              </w:rPr>
              <w:t>High (LME + energy)</w:t>
            </w:r>
          </w:p>
        </w:tc>
        <w:tc>
          <w:tcPr>
            <w:tcW w:type="dxa" w:w="1872"/>
          </w:tcPr>
          <w:p>
            <w:pPr>
              <w:jc w:val="right"/>
            </w:pPr>
            <w:r/>
            <w:r>
              <w:rPr>
                <w:b w:val="0"/>
                <w:i w:val="0"/>
                <w:sz w:val="18"/>
              </w:rPr>
              <w:t>Recovering off lows</w:t>
            </w:r>
          </w:p>
        </w:tc>
        <w:tc>
          <w:tcPr>
            <w:tcW w:type="dxa" w:w="1944"/>
          </w:tcPr>
          <w:p>
            <w:pPr>
              <w:jc w:val="right"/>
            </w:pPr>
            <w:r/>
            <w:r>
              <w:rPr>
                <w:b w:val="0"/>
                <w:i w:val="0"/>
                <w:sz w:val="18"/>
              </w:rPr>
              <w:t>High</w:t>
            </w:r>
          </w:p>
        </w:tc>
        <w:tc>
          <w:tcPr>
            <w:tcW w:type="dxa" w:w="2016"/>
          </w:tcPr>
          <w:p>
            <w:pPr>
              <w:jc w:val="right"/>
            </w:pPr>
            <w:r/>
            <w:r>
              <w:rPr>
                <w:b w:val="0"/>
                <w:i w:val="0"/>
                <w:sz w:val="18"/>
              </w:rPr>
              <w:t>Quarter-to-quarter swing</w:t>
            </w:r>
          </w:p>
        </w:tc>
      </w:tr>
      <w:tr>
        <w:tc>
          <w:tcPr>
            <w:tcW w:type="dxa" w:w="2592"/>
          </w:tcPr>
          <w:p>
            <w:pPr>
              <w:jc w:val="left"/>
            </w:pPr>
            <w:r/>
            <w:r>
              <w:rPr>
                <w:b w:val="0"/>
                <w:i w:val="0"/>
                <w:sz w:val="18"/>
              </w:rPr>
              <w:t>Gold &amp; Base Metals</w:t>
            </w:r>
          </w:p>
        </w:tc>
        <w:tc>
          <w:tcPr>
            <w:tcW w:type="dxa" w:w="1944"/>
          </w:tcPr>
          <w:p>
            <w:pPr>
              <w:jc w:val="right"/>
            </w:pPr>
            <w:r/>
            <w:r>
              <w:rPr>
                <w:b w:val="0"/>
                <w:i w:val="0"/>
                <w:sz w:val="18"/>
              </w:rPr>
              <w:t>High (gold price)</w:t>
            </w:r>
          </w:p>
        </w:tc>
        <w:tc>
          <w:tcPr>
            <w:tcW w:type="dxa" w:w="1872"/>
          </w:tcPr>
          <w:p>
            <w:pPr>
              <w:jc w:val="right"/>
            </w:pPr>
            <w:r/>
            <w:r>
              <w:rPr>
                <w:b w:val="0"/>
                <w:i w:val="0"/>
                <w:sz w:val="18"/>
              </w:rPr>
              <w:t>Rising, high margin</w:t>
            </w:r>
          </w:p>
        </w:tc>
        <w:tc>
          <w:tcPr>
            <w:tcW w:type="dxa" w:w="1944"/>
          </w:tcPr>
          <w:p>
            <w:pPr>
              <w:jc w:val="right"/>
            </w:pPr>
            <w:r/>
            <w:r>
              <w:rPr>
                <w:b w:val="0"/>
                <w:i w:val="0"/>
                <w:sz w:val="18"/>
              </w:rPr>
              <w:t>High (mine build)</w:t>
            </w:r>
          </w:p>
        </w:tc>
        <w:tc>
          <w:tcPr>
            <w:tcW w:type="dxa" w:w="2016"/>
          </w:tcPr>
          <w:p>
            <w:pPr>
              <w:jc w:val="right"/>
            </w:pPr>
            <w:r/>
            <w:r>
              <w:rPr>
                <w:b w:val="0"/>
                <w:i w:val="0"/>
                <w:sz w:val="18"/>
              </w:rPr>
              <w:t>Growth optionality</w:t>
            </w:r>
          </w:p>
        </w:tc>
      </w:tr>
      <w:tr>
        <w:tc>
          <w:tcPr>
            <w:tcW w:type="dxa" w:w="2592"/>
          </w:tcPr>
          <w:p>
            <w:pPr>
              <w:jc w:val="left"/>
            </w:pPr>
            <w:r/>
            <w:r>
              <w:rPr>
                <w:b w:val="0"/>
                <w:i w:val="0"/>
                <w:sz w:val="18"/>
              </w:rPr>
              <w:t>New Minerals / Manara</w:t>
            </w:r>
          </w:p>
        </w:tc>
        <w:tc>
          <w:tcPr>
            <w:tcW w:type="dxa" w:w="1944"/>
          </w:tcPr>
          <w:p>
            <w:pPr>
              <w:jc w:val="right"/>
            </w:pPr>
            <w:r/>
            <w:r>
              <w:rPr>
                <w:b w:val="0"/>
                <w:i w:val="0"/>
                <w:sz w:val="18"/>
              </w:rPr>
              <w:t>N/M (pre-revenue)</w:t>
            </w:r>
          </w:p>
        </w:tc>
        <w:tc>
          <w:tcPr>
            <w:tcW w:type="dxa" w:w="1872"/>
          </w:tcPr>
          <w:p>
            <w:pPr>
              <w:jc w:val="right"/>
            </w:pPr>
            <w:r/>
            <w:r>
              <w:rPr>
                <w:b w:val="0"/>
                <w:i w:val="0"/>
                <w:sz w:val="18"/>
              </w:rPr>
              <w:t>N/M</w:t>
            </w:r>
          </w:p>
        </w:tc>
        <w:tc>
          <w:tcPr>
            <w:tcW w:type="dxa" w:w="1944"/>
          </w:tcPr>
          <w:p>
            <w:pPr>
              <w:jc w:val="right"/>
            </w:pPr>
            <w:r/>
            <w:r>
              <w:rPr>
                <w:b w:val="0"/>
                <w:i w:val="0"/>
                <w:sz w:val="18"/>
              </w:rPr>
              <w:t>Exploration / M&amp;A</w:t>
            </w:r>
          </w:p>
        </w:tc>
        <w:tc>
          <w:tcPr>
            <w:tcW w:type="dxa" w:w="2016"/>
          </w:tcPr>
          <w:p>
            <w:pPr>
              <w:jc w:val="right"/>
            </w:pPr>
            <w:r/>
            <w:r>
              <w:rPr>
                <w:b w:val="0"/>
                <w:i w:val="0"/>
                <w:sz w:val="18"/>
              </w:rPr>
              <w:t>Long-dated option</w:t>
            </w:r>
          </w:p>
        </w:tc>
      </w:tr>
    </w:tbl>
    <w:p>
      <w:pPr>
        <w:spacing w:after="120"/>
      </w:pPr>
    </w:p>
    <w:p>
      <w:pPr>
        <w:spacing w:before="200" w:after="80"/>
      </w:pPr>
      <w:r>
        <w:rPr>
          <w:b/>
          <w:i w:val="0"/>
          <w:color w:val="1B5E5E"/>
          <w:sz w:val="25"/>
        </w:rPr>
        <w:t>1.7  The crux — commodity prices and the return on the growth capex</w:t>
      </w:r>
    </w:p>
    <w:p>
      <w:pPr>
        <w:spacing w:after="120"/>
      </w:pPr>
      <w:r>
        <w:rPr>
          <w:b w:val="0"/>
          <w:i w:val="0"/>
          <w:sz w:val="21"/>
        </w:rPr>
        <w:t>Two judgments drive the valuation more than any other. First, where the commodity deck sits. Phosphate is roughly 55% price-geared: at a DAP price near US$650/t FOB the phosphate EBITDA supports the SOTP; a move to US$500/t or US$800/t swings the whole valuation materially (see §1.9). LME aluminium (~US$2,700/t) and gold (~US$3,300/oz) add the second and third legs. Because the riyal is pegged, these USD prices flow to the riyal top line without an FX buffer either way. Second, whether the growth capex earns its cost of capital. Ma'aden is spending on the order of SAR 7–9 bn a year — Phosphate 3, the gold build, exploration, and international deals through Manara — against an EBITDA near SAR 16 bn. That absorbs most of the free cash today; the bet is that the incremental capital returns above the ~9.3% WACC once the projects ramp. If it does, the second clock validates today's price; if the projects come in late or over budget, or commodity prices fade, the near-term clock (a fair value near SAR 42) is the one that governs. The table frames the swing in observable units rather than an abstract margin.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600"/>
            <w:shd w:val="clear" w:fill="1B5E5E"/>
          </w:tcPr>
          <w:p>
            <w:r/>
            <w:r>
              <w:rPr>
                <w:b/>
                <w:i w:val="0"/>
                <w:color w:val="FFFFFF"/>
                <w:sz w:val="19"/>
              </w:rPr>
              <w:t>Swing driver</w:t>
            </w:r>
          </w:p>
        </w:tc>
        <w:tc>
          <w:tcPr>
            <w:tcW w:type="dxa" w:w="1440"/>
            <w:shd w:val="clear" w:fill="1B5E5E"/>
          </w:tcPr>
          <w:p>
            <w:r/>
            <w:r>
              <w:rPr>
                <w:b/>
                <w:i w:val="0"/>
                <w:color w:val="FFFFFF"/>
                <w:sz w:val="19"/>
              </w:rPr>
              <w:t>Bear</w:t>
            </w:r>
          </w:p>
        </w:tc>
        <w:tc>
          <w:tcPr>
            <w:tcW w:type="dxa" w:w="1440"/>
            <w:shd w:val="clear" w:fill="1B5E5E"/>
          </w:tcPr>
          <w:p>
            <w:r/>
            <w:r>
              <w:rPr>
                <w:b/>
                <w:i w:val="0"/>
                <w:color w:val="FFFFFF"/>
                <w:sz w:val="19"/>
              </w:rPr>
              <w:t>Base</w:t>
            </w:r>
          </w:p>
        </w:tc>
        <w:tc>
          <w:tcPr>
            <w:tcW w:type="dxa" w:w="1440"/>
            <w:shd w:val="clear" w:fill="1B5E5E"/>
          </w:tcPr>
          <w:p>
            <w:r/>
            <w:r>
              <w:rPr>
                <w:b/>
                <w:i w:val="0"/>
                <w:color w:val="FFFFFF"/>
                <w:sz w:val="19"/>
              </w:rPr>
              <w:t>Bull</w:t>
            </w:r>
          </w:p>
        </w:tc>
        <w:tc>
          <w:tcPr>
            <w:tcW w:type="dxa" w:w="2448"/>
            <w:shd w:val="clear" w:fill="1B5E5E"/>
          </w:tcPr>
          <w:p>
            <w:r/>
            <w:r>
              <w:rPr>
                <w:b/>
                <w:i w:val="0"/>
                <w:color w:val="FFFFFF"/>
                <w:sz w:val="19"/>
              </w:rPr>
              <w:t>Channel</w:t>
            </w:r>
          </w:p>
        </w:tc>
      </w:tr>
      <w:tr>
        <w:tc>
          <w:tcPr>
            <w:tcW w:type="dxa" w:w="3600"/>
          </w:tcPr>
          <w:p>
            <w:pPr>
              <w:jc w:val="left"/>
            </w:pPr>
            <w:r/>
            <w:r>
              <w:rPr>
                <w:b w:val="0"/>
                <w:i w:val="0"/>
                <w:sz w:val="18"/>
              </w:rPr>
              <w:t>DAP price (FOB, US$/t)</w:t>
            </w:r>
          </w:p>
        </w:tc>
        <w:tc>
          <w:tcPr>
            <w:tcW w:type="dxa" w:w="1440"/>
          </w:tcPr>
          <w:p>
            <w:pPr>
              <w:jc w:val="right"/>
            </w:pPr>
            <w:r/>
            <w:r>
              <w:rPr>
                <w:b w:val="0"/>
                <w:i w:val="0"/>
                <w:sz w:val="18"/>
              </w:rPr>
              <w:t>500</w:t>
            </w:r>
          </w:p>
        </w:tc>
        <w:tc>
          <w:tcPr>
            <w:tcW w:type="dxa" w:w="1440"/>
          </w:tcPr>
          <w:p>
            <w:pPr>
              <w:jc w:val="right"/>
            </w:pPr>
            <w:r/>
            <w:r>
              <w:rPr>
                <w:b w:val="0"/>
                <w:i w:val="0"/>
                <w:sz w:val="18"/>
              </w:rPr>
              <w:t>650</w:t>
            </w:r>
          </w:p>
        </w:tc>
        <w:tc>
          <w:tcPr>
            <w:tcW w:type="dxa" w:w="1440"/>
          </w:tcPr>
          <w:p>
            <w:pPr>
              <w:jc w:val="right"/>
            </w:pPr>
            <w:r/>
            <w:r>
              <w:rPr>
                <w:b w:val="0"/>
                <w:i w:val="0"/>
                <w:sz w:val="18"/>
              </w:rPr>
              <w:t>800</w:t>
            </w:r>
          </w:p>
        </w:tc>
        <w:tc>
          <w:tcPr>
            <w:tcW w:type="dxa" w:w="2448"/>
          </w:tcPr>
          <w:p>
            <w:pPr>
              <w:jc w:val="right"/>
            </w:pPr>
            <w:r/>
            <w:r>
              <w:rPr>
                <w:b w:val="0"/>
                <w:i w:val="0"/>
                <w:sz w:val="18"/>
              </w:rPr>
              <w:t>Phosphate EBITDA (~55% geared)</w:t>
            </w:r>
          </w:p>
        </w:tc>
      </w:tr>
      <w:tr>
        <w:tc>
          <w:tcPr>
            <w:tcW w:type="dxa" w:w="3600"/>
          </w:tcPr>
          <w:p>
            <w:pPr>
              <w:jc w:val="left"/>
            </w:pPr>
            <w:r/>
            <w:r>
              <w:rPr>
                <w:b w:val="0"/>
                <w:i w:val="0"/>
                <w:sz w:val="18"/>
              </w:rPr>
              <w:t>LME aluminium (US$/t)</w:t>
            </w:r>
          </w:p>
        </w:tc>
        <w:tc>
          <w:tcPr>
            <w:tcW w:type="dxa" w:w="1440"/>
          </w:tcPr>
          <w:p>
            <w:pPr>
              <w:jc w:val="right"/>
            </w:pPr>
            <w:r/>
            <w:r>
              <w:rPr>
                <w:b w:val="0"/>
                <w:i w:val="0"/>
                <w:sz w:val="18"/>
              </w:rPr>
              <w:t>2,300</w:t>
            </w:r>
          </w:p>
        </w:tc>
        <w:tc>
          <w:tcPr>
            <w:tcW w:type="dxa" w:w="1440"/>
          </w:tcPr>
          <w:p>
            <w:pPr>
              <w:jc w:val="right"/>
            </w:pPr>
            <w:r/>
            <w:r>
              <w:rPr>
                <w:b w:val="0"/>
                <w:i w:val="0"/>
                <w:sz w:val="18"/>
              </w:rPr>
              <w:t>2,700</w:t>
            </w:r>
          </w:p>
        </w:tc>
        <w:tc>
          <w:tcPr>
            <w:tcW w:type="dxa" w:w="1440"/>
          </w:tcPr>
          <w:p>
            <w:pPr>
              <w:jc w:val="right"/>
            </w:pPr>
            <w:r/>
            <w:r>
              <w:rPr>
                <w:b w:val="0"/>
                <w:i w:val="0"/>
                <w:sz w:val="18"/>
              </w:rPr>
              <w:t>3,100</w:t>
            </w:r>
          </w:p>
        </w:tc>
        <w:tc>
          <w:tcPr>
            <w:tcW w:type="dxa" w:w="2448"/>
          </w:tcPr>
          <w:p>
            <w:pPr>
              <w:jc w:val="right"/>
            </w:pPr>
            <w:r/>
            <w:r>
              <w:rPr>
                <w:b w:val="0"/>
                <w:i w:val="0"/>
                <w:sz w:val="18"/>
              </w:rPr>
              <w:t>Aluminium EBITDA</w:t>
            </w:r>
          </w:p>
        </w:tc>
      </w:tr>
      <w:tr>
        <w:tc>
          <w:tcPr>
            <w:tcW w:type="dxa" w:w="3600"/>
          </w:tcPr>
          <w:p>
            <w:pPr>
              <w:jc w:val="left"/>
            </w:pPr>
            <w:r/>
            <w:r>
              <w:rPr>
                <w:b w:val="0"/>
                <w:i w:val="0"/>
                <w:sz w:val="18"/>
              </w:rPr>
              <w:t>Gold (US$/oz)</w:t>
            </w:r>
          </w:p>
        </w:tc>
        <w:tc>
          <w:tcPr>
            <w:tcW w:type="dxa" w:w="1440"/>
          </w:tcPr>
          <w:p>
            <w:pPr>
              <w:jc w:val="right"/>
            </w:pPr>
            <w:r/>
            <w:r>
              <w:rPr>
                <w:b w:val="0"/>
                <w:i w:val="0"/>
                <w:sz w:val="18"/>
              </w:rPr>
              <w:t>2,800</w:t>
            </w:r>
          </w:p>
        </w:tc>
        <w:tc>
          <w:tcPr>
            <w:tcW w:type="dxa" w:w="1440"/>
          </w:tcPr>
          <w:p>
            <w:pPr>
              <w:jc w:val="right"/>
            </w:pPr>
            <w:r/>
            <w:r>
              <w:rPr>
                <w:b w:val="0"/>
                <w:i w:val="0"/>
                <w:sz w:val="18"/>
              </w:rPr>
              <w:t>3,300</w:t>
            </w:r>
          </w:p>
        </w:tc>
        <w:tc>
          <w:tcPr>
            <w:tcW w:type="dxa" w:w="1440"/>
          </w:tcPr>
          <w:p>
            <w:pPr>
              <w:jc w:val="right"/>
            </w:pPr>
            <w:r/>
            <w:r>
              <w:rPr>
                <w:b w:val="0"/>
                <w:i w:val="0"/>
                <w:sz w:val="18"/>
              </w:rPr>
              <w:t>3,800</w:t>
            </w:r>
          </w:p>
        </w:tc>
        <w:tc>
          <w:tcPr>
            <w:tcW w:type="dxa" w:w="2448"/>
          </w:tcPr>
          <w:p>
            <w:pPr>
              <w:jc w:val="right"/>
            </w:pPr>
            <w:r/>
            <w:r>
              <w:rPr>
                <w:b w:val="0"/>
                <w:i w:val="0"/>
                <w:sz w:val="18"/>
              </w:rPr>
              <w:t>Base-metals EBITDA</w:t>
            </w:r>
          </w:p>
        </w:tc>
      </w:tr>
      <w:tr>
        <w:tc>
          <w:tcPr>
            <w:tcW w:type="dxa" w:w="3600"/>
          </w:tcPr>
          <w:p>
            <w:pPr>
              <w:jc w:val="left"/>
            </w:pPr>
            <w:r/>
            <w:r>
              <w:rPr>
                <w:b w:val="0"/>
                <w:i w:val="0"/>
                <w:sz w:val="18"/>
              </w:rPr>
              <w:t>Incremental ROIC on growth capex</w:t>
            </w:r>
          </w:p>
        </w:tc>
        <w:tc>
          <w:tcPr>
            <w:tcW w:type="dxa" w:w="1440"/>
          </w:tcPr>
          <w:p>
            <w:pPr>
              <w:jc w:val="right"/>
            </w:pPr>
            <w:r/>
            <w:r>
              <w:rPr>
                <w:b w:val="0"/>
                <w:i w:val="0"/>
                <w:sz w:val="18"/>
              </w:rPr>
              <w:t>&lt; WACC</w:t>
            </w:r>
          </w:p>
        </w:tc>
        <w:tc>
          <w:tcPr>
            <w:tcW w:type="dxa" w:w="1440"/>
          </w:tcPr>
          <w:p>
            <w:pPr>
              <w:jc w:val="right"/>
            </w:pPr>
            <w:r/>
            <w:r>
              <w:rPr>
                <w:b w:val="0"/>
                <w:i w:val="0"/>
                <w:sz w:val="18"/>
              </w:rPr>
              <w:t>≈ WACC</w:t>
            </w:r>
          </w:p>
        </w:tc>
        <w:tc>
          <w:tcPr>
            <w:tcW w:type="dxa" w:w="1440"/>
          </w:tcPr>
          <w:p>
            <w:pPr>
              <w:jc w:val="right"/>
            </w:pPr>
            <w:r/>
            <w:r>
              <w:rPr>
                <w:b w:val="0"/>
                <w:i w:val="0"/>
                <w:sz w:val="18"/>
              </w:rPr>
              <w:t>&gt; WACC</w:t>
            </w:r>
          </w:p>
        </w:tc>
        <w:tc>
          <w:tcPr>
            <w:tcW w:type="dxa" w:w="2448"/>
          </w:tcPr>
          <w:p>
            <w:pPr>
              <w:jc w:val="right"/>
            </w:pPr>
            <w:r/>
            <w:r>
              <w:rPr>
                <w:b w:val="0"/>
                <w:i w:val="0"/>
                <w:sz w:val="18"/>
              </w:rPr>
              <w:t>Justifies the premium</w:t>
            </w:r>
          </w:p>
        </w:tc>
      </w:tr>
    </w:tbl>
    <w:p>
      <w:pPr>
        <w:spacing w:after="120"/>
      </w:pPr>
    </w:p>
    <w:p>
      <w:pPr>
        <w:spacing w:before="200" w:after="80"/>
      </w:pPr>
      <w:r>
        <w:rPr>
          <w:b/>
          <w:i w:val="0"/>
          <w:color w:val="1B5E5E"/>
          <w:sz w:val="25"/>
        </w:rPr>
        <w:t>1.8  Macro and country — Saudi Arabia, PIF, the peg and the commodity cycle</w:t>
      </w:r>
    </w:p>
    <w:p>
      <w:pPr>
        <w:spacing w:after="120"/>
      </w:pPr>
      <w:r>
        <w:rPr>
          <w:b w:val="0"/>
          <w:i w:val="0"/>
          <w:sz w:val="21"/>
        </w:rPr>
        <w:t>Ma'aden is a rare thing: a national-champion miner inside a fiscally strong, reforming state. Four levers matter. The riyal peg to the dollar (SAR 3.75) removes translation risk and anchors the cost of capital; a de-peg is a low-probability tail, but it is the tail that would most change this model. PIF ownership (~64%) is both a support and a feature of the premium — it aligns Ma'aden with Vision-2030's minerals ambition (the Kingdom values its untapped resources in the trillions of dollars) and lowers its effective cost of capital, but it also means the free float is thin and the stock trades partly as a policy vehicle. The domestic gas price — regulated and very low — is the structural source of the phosphate and aluminium cost advantage; a reset higher would compress the crown-jewel margin. And the global commodity cycle — Chinese and Indian fertilizer and construction demand, the gold price, LME aluminium — sets the top line. These levers sit behind the bear and bull cases in §1.5 and the catalysts in §5. Because there is no FX swing and one tax regime, the cost of equity is cleaner than for a cross-border name: Ke = rf 4.5% + β 0.95 × ERP 5.5% ≈ 9.7% (the realized beta is a low ~0.46, reflecting a controlled, index-heavy, steadily-trending stock; we floor it to the house 0.8–1.3 band so the discount rate is not flattered by a statistically low number), sensitized on the WACC × terminal-g grid below.</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312"/>
            <w:shd w:val="clear" w:fill="1B5E5E"/>
          </w:tcPr>
          <w:p>
            <w:r/>
            <w:r>
              <w:rPr>
                <w:b/>
                <w:i w:val="0"/>
                <w:color w:val="FFFFFF"/>
                <w:sz w:val="19"/>
              </w:rPr>
              <w:t>Ke / WACC × terminal-g</w:t>
            </w:r>
          </w:p>
        </w:tc>
        <w:tc>
          <w:tcPr>
            <w:tcW w:type="dxa" w:w="1440"/>
            <w:shd w:val="clear" w:fill="1B5E5E"/>
          </w:tcPr>
          <w:p>
            <w:r/>
            <w:r>
              <w:rPr>
                <w:b/>
                <w:i w:val="0"/>
                <w:color w:val="FFFFFF"/>
                <w:sz w:val="19"/>
              </w:rPr>
              <w:t>g = 2.5%</w:t>
            </w:r>
          </w:p>
        </w:tc>
        <w:tc>
          <w:tcPr>
            <w:tcW w:type="dxa" w:w="1440"/>
            <w:shd w:val="clear" w:fill="1B5E5E"/>
          </w:tcPr>
          <w:p>
            <w:r/>
            <w:r>
              <w:rPr>
                <w:b/>
                <w:i w:val="0"/>
                <w:color w:val="FFFFFF"/>
                <w:sz w:val="19"/>
              </w:rPr>
              <w:t>g = 3.0%</w:t>
            </w:r>
          </w:p>
        </w:tc>
        <w:tc>
          <w:tcPr>
            <w:tcW w:type="dxa" w:w="1440"/>
            <w:shd w:val="clear" w:fill="1B5E5E"/>
          </w:tcPr>
          <w:p>
            <w:r/>
            <w:r>
              <w:rPr>
                <w:b/>
                <w:i w:val="0"/>
                <w:color w:val="FFFFFF"/>
                <w:sz w:val="19"/>
              </w:rPr>
              <w:t>g = 3.5%</w:t>
            </w:r>
          </w:p>
        </w:tc>
        <w:tc>
          <w:tcPr>
            <w:tcW w:type="dxa" w:w="1440"/>
            <w:shd w:val="clear" w:fill="1B5E5E"/>
          </w:tcPr>
          <w:p>
            <w:r/>
            <w:r>
              <w:rPr>
                <w:b/>
                <w:i w:val="0"/>
                <w:color w:val="FFFFFF"/>
                <w:sz w:val="19"/>
              </w:rPr>
              <w:t>g = 4.0%</w:t>
            </w:r>
          </w:p>
        </w:tc>
      </w:tr>
      <w:tr>
        <w:tc>
          <w:tcPr>
            <w:tcW w:type="dxa" w:w="3312"/>
          </w:tcPr>
          <w:p>
            <w:pPr>
              <w:jc w:val="left"/>
            </w:pPr>
            <w:r/>
            <w:r>
              <w:rPr>
                <w:b w:val="0"/>
                <w:i w:val="0"/>
                <w:sz w:val="18"/>
              </w:rPr>
              <w:t>WACC 8.5%</w:t>
            </w:r>
          </w:p>
        </w:tc>
        <w:tc>
          <w:tcPr>
            <w:tcW w:type="dxa" w:w="1440"/>
          </w:tcPr>
          <w:p>
            <w:pPr>
              <w:jc w:val="right"/>
            </w:pPr>
            <w:r/>
            <w:r>
              <w:rPr>
                <w:b w:val="0"/>
                <w:i w:val="0"/>
                <w:sz w:val="18"/>
              </w:rPr>
              <w:t>41</w:t>
            </w:r>
          </w:p>
        </w:tc>
        <w:tc>
          <w:tcPr>
            <w:tcW w:type="dxa" w:w="1440"/>
          </w:tcPr>
          <w:p>
            <w:pPr>
              <w:jc w:val="right"/>
            </w:pPr>
            <w:r/>
            <w:r>
              <w:rPr>
                <w:b w:val="0"/>
                <w:i w:val="0"/>
                <w:sz w:val="18"/>
              </w:rPr>
              <w:t>45</w:t>
            </w:r>
          </w:p>
        </w:tc>
        <w:tc>
          <w:tcPr>
            <w:tcW w:type="dxa" w:w="1440"/>
          </w:tcPr>
          <w:p>
            <w:pPr>
              <w:jc w:val="right"/>
            </w:pPr>
            <w:r/>
            <w:r>
              <w:rPr>
                <w:b w:val="0"/>
                <w:i w:val="0"/>
                <w:sz w:val="18"/>
              </w:rPr>
              <w:t>50</w:t>
            </w:r>
          </w:p>
        </w:tc>
        <w:tc>
          <w:tcPr>
            <w:tcW w:type="dxa" w:w="1440"/>
          </w:tcPr>
          <w:p>
            <w:pPr>
              <w:jc w:val="right"/>
            </w:pPr>
            <w:r/>
            <w:r>
              <w:rPr>
                <w:b w:val="0"/>
                <w:i w:val="0"/>
                <w:sz w:val="18"/>
              </w:rPr>
              <w:t>57</w:t>
            </w:r>
          </w:p>
        </w:tc>
      </w:tr>
      <w:tr>
        <w:tc>
          <w:tcPr>
            <w:tcW w:type="dxa" w:w="3312"/>
          </w:tcPr>
          <w:p>
            <w:pPr>
              <w:jc w:val="left"/>
            </w:pPr>
            <w:r/>
            <w:r>
              <w:rPr>
                <w:b w:val="0"/>
                <w:i w:val="0"/>
                <w:sz w:val="18"/>
              </w:rPr>
              <w:t>WACC 9.3% (base)</w:t>
            </w:r>
          </w:p>
        </w:tc>
        <w:tc>
          <w:tcPr>
            <w:tcW w:type="dxa" w:w="1440"/>
          </w:tcPr>
          <w:p>
            <w:pPr>
              <w:jc w:val="right"/>
            </w:pPr>
            <w:r/>
            <w:r>
              <w:rPr>
                <w:b w:val="0"/>
                <w:i w:val="0"/>
                <w:sz w:val="18"/>
              </w:rPr>
              <w:t>36</w:t>
            </w:r>
          </w:p>
        </w:tc>
        <w:tc>
          <w:tcPr>
            <w:tcW w:type="dxa" w:w="1440"/>
          </w:tcPr>
          <w:p>
            <w:pPr>
              <w:jc w:val="right"/>
            </w:pPr>
            <w:r/>
            <w:r>
              <w:rPr>
                <w:b w:val="0"/>
                <w:i w:val="0"/>
                <w:sz w:val="18"/>
              </w:rPr>
              <w:t>41</w:t>
            </w:r>
          </w:p>
        </w:tc>
        <w:tc>
          <w:tcPr>
            <w:tcW w:type="dxa" w:w="1440"/>
          </w:tcPr>
          <w:p>
            <w:pPr>
              <w:jc w:val="right"/>
            </w:pPr>
            <w:r/>
            <w:r>
              <w:rPr>
                <w:b w:val="0"/>
                <w:i w:val="0"/>
                <w:sz w:val="18"/>
              </w:rPr>
              <w:t>47</w:t>
            </w:r>
          </w:p>
        </w:tc>
        <w:tc>
          <w:tcPr>
            <w:tcW w:type="dxa" w:w="1440"/>
          </w:tcPr>
          <w:p>
            <w:pPr>
              <w:jc w:val="right"/>
            </w:pPr>
            <w:r/>
            <w:r>
              <w:rPr>
                <w:b w:val="0"/>
                <w:i w:val="0"/>
                <w:sz w:val="18"/>
              </w:rPr>
              <w:t>54</w:t>
            </w:r>
          </w:p>
        </w:tc>
      </w:tr>
      <w:tr>
        <w:tc>
          <w:tcPr>
            <w:tcW w:type="dxa" w:w="3312"/>
          </w:tcPr>
          <w:p>
            <w:pPr>
              <w:jc w:val="left"/>
            </w:pPr>
            <w:r/>
            <w:r>
              <w:rPr>
                <w:b w:val="0"/>
                <w:i w:val="0"/>
                <w:sz w:val="18"/>
              </w:rPr>
              <w:t>WACC 10.5%</w:t>
            </w:r>
          </w:p>
        </w:tc>
        <w:tc>
          <w:tcPr>
            <w:tcW w:type="dxa" w:w="1440"/>
          </w:tcPr>
          <w:p>
            <w:pPr>
              <w:jc w:val="right"/>
            </w:pPr>
            <w:r/>
            <w:r>
              <w:rPr>
                <w:b w:val="0"/>
                <w:i w:val="0"/>
                <w:sz w:val="18"/>
              </w:rPr>
              <w:t>30</w:t>
            </w:r>
          </w:p>
        </w:tc>
        <w:tc>
          <w:tcPr>
            <w:tcW w:type="dxa" w:w="1440"/>
          </w:tcPr>
          <w:p>
            <w:pPr>
              <w:jc w:val="right"/>
            </w:pPr>
            <w:r/>
            <w:r>
              <w:rPr>
                <w:b w:val="0"/>
                <w:i w:val="0"/>
                <w:sz w:val="18"/>
              </w:rPr>
              <w:t>33</w:t>
            </w:r>
          </w:p>
        </w:tc>
        <w:tc>
          <w:tcPr>
            <w:tcW w:type="dxa" w:w="1440"/>
          </w:tcPr>
          <w:p>
            <w:pPr>
              <w:jc w:val="right"/>
            </w:pPr>
            <w:r/>
            <w:r>
              <w:rPr>
                <w:b w:val="0"/>
                <w:i w:val="0"/>
                <w:sz w:val="18"/>
              </w:rPr>
              <w:t>37</w:t>
            </w:r>
          </w:p>
        </w:tc>
        <w:tc>
          <w:tcPr>
            <w:tcW w:type="dxa" w:w="1440"/>
          </w:tcPr>
          <w:p>
            <w:pPr>
              <w:jc w:val="right"/>
            </w:pPr>
            <w:r/>
            <w:r>
              <w:rPr>
                <w:b w:val="0"/>
                <w:i w:val="0"/>
                <w:sz w:val="18"/>
              </w:rPr>
              <w:t>42</w:t>
            </w:r>
          </w:p>
        </w:tc>
      </w:tr>
    </w:tbl>
    <w:p>
      <w:pPr>
        <w:spacing w:after="160"/>
      </w:pPr>
      <w:r>
        <w:rPr>
          <w:b w:val="0"/>
          <w:i w:val="0"/>
          <w:sz w:val="21"/>
        </w:rPr>
        <w:t>The grid shows the DCF's sensitivity: at the base WACC, the value runs from SAR 36 to SAR 54 across a plausible terminal-growth band — every cell below spot, underlining that the premium is not a WACC artefact.</w:t>
      </w:r>
    </w:p>
    <w:p>
      <w:pPr>
        <w:spacing w:before="200" w:after="80"/>
      </w:pPr>
      <w:r>
        <w:rPr>
          <w:b/>
          <w:i w:val="0"/>
          <w:color w:val="1B5E5E"/>
          <w:sz w:val="25"/>
        </w:rPr>
        <w:t>1.9  SOTP sensitivity — the DAP price and the phosphate multiple</w:t>
      </w:r>
    </w:p>
    <w:p>
      <w:pPr>
        <w:spacing w:after="120"/>
      </w:pPr>
      <w:r>
        <w:rPr>
          <w:b w:val="0"/>
          <w:i w:val="0"/>
          <w:sz w:val="21"/>
        </w:rPr>
        <w:t>Holding aluminium, gold and the other parts at base, the grid re-prices the SOTP across the DAP price and the phosphate EV/EBITDA multiple — the two inputs that move the primary lens most. The value runs from the high-SAR-20s to the low-SAR-60s; the cells nearest spot (SAR 58.8) show the DAP price and multiple the market is effectively paying for.</w:t>
      </w:r>
    </w:p>
    <w:p>
      <w:pPr>
        <w:jc w:val="center"/>
      </w:pPr>
      <w:r>
        <w:drawing>
          <wp:inline xmlns:a="http://schemas.openxmlformats.org/drawingml/2006/main" xmlns:pic="http://schemas.openxmlformats.org/drawingml/2006/picture">
            <wp:extent cx="5577840" cy="3191482"/>
            <wp:docPr id="2" name="Picture 2"/>
            <wp:cNvGraphicFramePr>
              <a:graphicFrameLocks noChangeAspect="1"/>
            </wp:cNvGraphicFramePr>
            <a:graphic>
              <a:graphicData uri="http://schemas.openxmlformats.org/drawingml/2006/picture">
                <pic:pic>
                  <pic:nvPicPr>
                    <pic:cNvPr id="0" name="fig2_sens.png"/>
                    <pic:cNvPicPr/>
                  </pic:nvPicPr>
                  <pic:blipFill>
                    <a:blip r:embed="rId10"/>
                    <a:stretch>
                      <a:fillRect/>
                    </a:stretch>
                  </pic:blipFill>
                  <pic:spPr>
                    <a:xfrm>
                      <a:off x="0" y="0"/>
                      <a:ext cx="5577840" cy="3191482"/>
                    </a:xfrm>
                    <a:prstGeom prst="rect"/>
                  </pic:spPr>
                </pic:pic>
              </a:graphicData>
            </a:graphic>
          </wp:inline>
        </w:drawing>
      </w:r>
    </w:p>
    <w:p>
      <w:pPr>
        <w:spacing w:after="160"/>
      </w:pPr>
      <w:r>
        <w:rPr>
          <w:b w:val="0"/>
          <w:i/>
          <w:color w:val="595959"/>
          <w:sz w:val="17"/>
        </w:rPr>
        <w:t>Figure 2 — SOTP sensitivity to the DAP price and the phosphate multiple (SAR/share).</w:t>
      </w:r>
    </w:p>
    <w:p>
      <w:pPr>
        <w:spacing w:after="160"/>
      </w:pPr>
      <w:r>
        <w:rPr>
          <w:b w:val="0"/>
          <w:i w:val="0"/>
          <w:sz w:val="21"/>
        </w:rPr>
        <w:t>Read it as the bet you are taking: the market price is consistent with roughly an 11× phosphate multiple on a DAP price near US$800/t — i.e. a near-peak commodity deck and a growth multiple already in the price.</w:t>
      </w:r>
    </w:p>
    <w:p>
      <w:pPr>
        <w:spacing w:before="200" w:after="80"/>
      </w:pPr>
      <w:r>
        <w:rPr>
          <w:b/>
          <w:i w:val="0"/>
          <w:color w:val="1B5E5E"/>
          <w:sz w:val="30"/>
        </w:rPr>
        <w:t>2  Technical and price structure</w:t>
      </w:r>
    </w:p>
    <w:p>
      <w:pPr>
        <w:spacing w:after="120"/>
      </w:pPr>
      <w:r>
        <w:rPr>
          <w:b w:val="0"/>
          <w:i w:val="0"/>
          <w:sz w:val="21"/>
        </w:rPr>
        <w:t>The tape is weak and stretched to the downside, and for once it agrees with the fundamentals. Ma'aden trades below all four major moving averages, the MACD histogram is negative, and RSI sits in the mid-30s — approaching, but not yet at, oversold. The structure is corrective: a de-rating from the high-70s toward the high-50s, with the trailing-year low near SAR 51 as the visible floor.</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val="clear" w:fill="1B5E5E"/>
          </w:tcPr>
          <w:p>
            <w:r/>
            <w:r>
              <w:rPr>
                <w:b/>
                <w:i w:val="0"/>
                <w:color w:val="FFFFFF"/>
                <w:sz w:val="19"/>
              </w:rPr>
              <w:t>Indicator</w:t>
            </w:r>
          </w:p>
        </w:tc>
        <w:tc>
          <w:tcPr>
            <w:tcW w:type="dxa" w:w="3744"/>
            <w:shd w:val="clear" w:fill="1B5E5E"/>
          </w:tcPr>
          <w:p>
            <w:r/>
            <w:r>
              <w:rPr>
                <w:b/>
                <w:i w:val="0"/>
                <w:color w:val="FFFFFF"/>
                <w:sz w:val="19"/>
              </w:rPr>
              <w:t>Reading</w:t>
            </w:r>
          </w:p>
        </w:tc>
        <w:tc>
          <w:tcPr>
            <w:tcW w:type="dxa" w:w="2448"/>
            <w:shd w:val="clear" w:fill="1B5E5E"/>
          </w:tcPr>
          <w:p>
            <w:r/>
            <w:r>
              <w:rPr>
                <w:b/>
                <w:i w:val="0"/>
                <w:color w:val="FFFFFF"/>
                <w:sz w:val="19"/>
              </w:rPr>
              <w:t>Signal</w:t>
            </w:r>
          </w:p>
        </w:tc>
      </w:tr>
      <w:tr>
        <w:tc>
          <w:tcPr>
            <w:tcW w:type="dxa" w:w="3024"/>
          </w:tcPr>
          <w:p>
            <w:pPr>
              <w:jc w:val="left"/>
            </w:pPr>
            <w:r/>
            <w:r>
              <w:rPr>
                <w:b w:val="0"/>
                <w:i w:val="0"/>
                <w:sz w:val="18"/>
              </w:rPr>
              <w:t>Spot</w:t>
            </w:r>
          </w:p>
        </w:tc>
        <w:tc>
          <w:tcPr>
            <w:tcW w:type="dxa" w:w="3744"/>
          </w:tcPr>
          <w:p>
            <w:pPr>
              <w:jc w:val="right"/>
            </w:pPr>
            <w:r/>
            <w:r>
              <w:rPr>
                <w:b w:val="0"/>
                <w:i w:val="0"/>
                <w:sz w:val="18"/>
              </w:rPr>
              <w:t>SAR 58.8</w:t>
            </w:r>
          </w:p>
        </w:tc>
        <w:tc>
          <w:tcPr>
            <w:tcW w:type="dxa" w:w="2448"/>
          </w:tcPr>
          <w:p>
            <w:pPr>
              <w:jc w:val="right"/>
            </w:pPr>
            <w:r/>
            <w:r>
              <w:rPr>
                <w:b w:val="0"/>
                <w:i w:val="0"/>
                <w:sz w:val="18"/>
              </w:rPr>
              <w:t>—</w:t>
            </w:r>
          </w:p>
        </w:tc>
      </w:tr>
      <w:tr>
        <w:tc>
          <w:tcPr>
            <w:tcW w:type="dxa" w:w="3024"/>
          </w:tcPr>
          <w:p>
            <w:pPr>
              <w:jc w:val="left"/>
            </w:pPr>
            <w:r/>
            <w:r>
              <w:rPr>
                <w:b w:val="0"/>
                <w:i w:val="0"/>
                <w:sz w:val="18"/>
              </w:rPr>
              <w:t>SMA 20 / 50</w:t>
            </w:r>
          </w:p>
        </w:tc>
        <w:tc>
          <w:tcPr>
            <w:tcW w:type="dxa" w:w="3744"/>
          </w:tcPr>
          <w:p>
            <w:pPr>
              <w:jc w:val="right"/>
            </w:pPr>
            <w:r/>
            <w:r>
              <w:rPr>
                <w:b w:val="0"/>
                <w:i w:val="0"/>
                <w:sz w:val="18"/>
              </w:rPr>
              <w:t>SAR 61.0 / 63.2</w:t>
            </w:r>
          </w:p>
        </w:tc>
        <w:tc>
          <w:tcPr>
            <w:tcW w:type="dxa" w:w="2448"/>
          </w:tcPr>
          <w:p>
            <w:pPr>
              <w:jc w:val="right"/>
            </w:pPr>
            <w:r/>
            <w:r>
              <w:rPr>
                <w:b w:val="0"/>
                <w:i w:val="0"/>
                <w:sz w:val="18"/>
              </w:rPr>
              <w:t>Below both — short-term down</w:t>
            </w:r>
          </w:p>
        </w:tc>
      </w:tr>
      <w:tr>
        <w:tc>
          <w:tcPr>
            <w:tcW w:type="dxa" w:w="3024"/>
          </w:tcPr>
          <w:p>
            <w:pPr>
              <w:jc w:val="left"/>
            </w:pPr>
            <w:r/>
            <w:r>
              <w:rPr>
                <w:b w:val="0"/>
                <w:i w:val="0"/>
                <w:sz w:val="18"/>
              </w:rPr>
              <w:t>SMA 100 / 200</w:t>
            </w:r>
          </w:p>
        </w:tc>
        <w:tc>
          <w:tcPr>
            <w:tcW w:type="dxa" w:w="3744"/>
          </w:tcPr>
          <w:p>
            <w:pPr>
              <w:jc w:val="right"/>
            </w:pPr>
            <w:r/>
            <w:r>
              <w:rPr>
                <w:b w:val="0"/>
                <w:i w:val="0"/>
                <w:sz w:val="18"/>
              </w:rPr>
              <w:t>SAR 66.6 / 65.1</w:t>
            </w:r>
          </w:p>
        </w:tc>
        <w:tc>
          <w:tcPr>
            <w:tcW w:type="dxa" w:w="2448"/>
          </w:tcPr>
          <w:p>
            <w:pPr>
              <w:jc w:val="right"/>
            </w:pPr>
            <w:r/>
            <w:r>
              <w:rPr>
                <w:b w:val="0"/>
                <w:i w:val="0"/>
                <w:sz w:val="18"/>
              </w:rPr>
              <w:t>Below both — trend down</w:t>
            </w:r>
          </w:p>
        </w:tc>
      </w:tr>
      <w:tr>
        <w:tc>
          <w:tcPr>
            <w:tcW w:type="dxa" w:w="3024"/>
          </w:tcPr>
          <w:p>
            <w:pPr>
              <w:jc w:val="left"/>
            </w:pPr>
            <w:r/>
            <w:r>
              <w:rPr>
                <w:b w:val="0"/>
                <w:i w:val="0"/>
                <w:sz w:val="18"/>
              </w:rPr>
              <w:t>RSI (14)</w:t>
            </w:r>
          </w:p>
        </w:tc>
        <w:tc>
          <w:tcPr>
            <w:tcW w:type="dxa" w:w="3744"/>
          </w:tcPr>
          <w:p>
            <w:pPr>
              <w:jc w:val="right"/>
            </w:pPr>
            <w:r/>
            <w:r>
              <w:rPr>
                <w:b w:val="0"/>
                <w:i w:val="0"/>
                <w:sz w:val="18"/>
              </w:rPr>
              <w:t>34.3</w:t>
            </w:r>
          </w:p>
        </w:tc>
        <w:tc>
          <w:tcPr>
            <w:tcW w:type="dxa" w:w="2448"/>
          </w:tcPr>
          <w:p>
            <w:pPr>
              <w:jc w:val="right"/>
            </w:pPr>
            <w:r/>
            <w:r>
              <w:rPr>
                <w:b w:val="0"/>
                <w:i w:val="0"/>
                <w:sz w:val="18"/>
              </w:rPr>
              <w:t>Approaching oversold</w:t>
            </w:r>
          </w:p>
        </w:tc>
      </w:tr>
      <w:tr>
        <w:tc>
          <w:tcPr>
            <w:tcW w:type="dxa" w:w="3024"/>
          </w:tcPr>
          <w:p>
            <w:pPr>
              <w:jc w:val="left"/>
            </w:pPr>
            <w:r/>
            <w:r>
              <w:rPr>
                <w:b w:val="0"/>
                <w:i w:val="0"/>
                <w:sz w:val="18"/>
              </w:rPr>
              <w:t>MACD (12,26,9)</w:t>
            </w:r>
          </w:p>
        </w:tc>
        <w:tc>
          <w:tcPr>
            <w:tcW w:type="dxa" w:w="3744"/>
          </w:tcPr>
          <w:p>
            <w:pPr>
              <w:jc w:val="right"/>
            </w:pPr>
            <w:r/>
            <w:r>
              <w:rPr>
                <w:b w:val="0"/>
                <w:i w:val="0"/>
                <w:sz w:val="18"/>
              </w:rPr>
              <w:t>−1.13 line / −0.91 signal / −0.22 hist</w:t>
            </w:r>
          </w:p>
        </w:tc>
        <w:tc>
          <w:tcPr>
            <w:tcW w:type="dxa" w:w="2448"/>
          </w:tcPr>
          <w:p>
            <w:pPr>
              <w:jc w:val="right"/>
            </w:pPr>
            <w:r/>
            <w:r>
              <w:rPr>
                <w:b w:val="0"/>
                <w:i w:val="0"/>
                <w:sz w:val="18"/>
              </w:rPr>
              <w:t>Bearish, momentum negative</w:t>
            </w:r>
          </w:p>
        </w:tc>
      </w:tr>
      <w:tr>
        <w:tc>
          <w:tcPr>
            <w:tcW w:type="dxa" w:w="3024"/>
          </w:tcPr>
          <w:p>
            <w:pPr>
              <w:jc w:val="left"/>
            </w:pPr>
            <w:r/>
            <w:r>
              <w:rPr>
                <w:b w:val="0"/>
                <w:i w:val="0"/>
                <w:sz w:val="18"/>
              </w:rPr>
              <w:t>52-week range</w:t>
            </w:r>
          </w:p>
        </w:tc>
        <w:tc>
          <w:tcPr>
            <w:tcW w:type="dxa" w:w="3744"/>
          </w:tcPr>
          <w:p>
            <w:pPr>
              <w:jc w:val="right"/>
            </w:pPr>
            <w:r/>
            <w:r>
              <w:rPr>
                <w:b w:val="0"/>
                <w:i w:val="0"/>
                <w:sz w:val="18"/>
              </w:rPr>
              <w:t>SAR 51.1 – 79.5</w:t>
            </w:r>
          </w:p>
        </w:tc>
        <w:tc>
          <w:tcPr>
            <w:tcW w:type="dxa" w:w="2448"/>
          </w:tcPr>
          <w:p>
            <w:pPr>
              <w:jc w:val="right"/>
            </w:pPr>
            <w:r/>
            <w:r>
              <w:rPr>
                <w:b w:val="0"/>
                <w:i w:val="0"/>
                <w:sz w:val="18"/>
              </w:rPr>
              <w:t>Lower third of range</w:t>
            </w:r>
          </w:p>
        </w:tc>
      </w:tr>
      <w:tr>
        <w:tc>
          <w:tcPr>
            <w:tcW w:type="dxa" w:w="3024"/>
          </w:tcPr>
          <w:p>
            <w:pPr>
              <w:jc w:val="left"/>
            </w:pPr>
            <w:r/>
            <w:r>
              <w:rPr>
                <w:b w:val="0"/>
                <w:i w:val="0"/>
                <w:sz w:val="18"/>
              </w:rPr>
              <w:t>Realized vol (252d)</w:t>
            </w:r>
          </w:p>
        </w:tc>
        <w:tc>
          <w:tcPr>
            <w:tcW w:type="dxa" w:w="3744"/>
          </w:tcPr>
          <w:p>
            <w:pPr>
              <w:jc w:val="right"/>
            </w:pPr>
            <w:r/>
            <w:r>
              <w:rPr>
                <w:b w:val="0"/>
                <w:i w:val="0"/>
                <w:sz w:val="18"/>
              </w:rPr>
              <w:t>32.4%</w:t>
            </w:r>
          </w:p>
        </w:tc>
        <w:tc>
          <w:tcPr>
            <w:tcW w:type="dxa" w:w="2448"/>
          </w:tcPr>
          <w:p>
            <w:pPr>
              <w:jc w:val="right"/>
            </w:pPr>
            <w:r/>
            <w:r>
              <w:rPr>
                <w:b w:val="0"/>
                <w:i w:val="0"/>
                <w:sz w:val="18"/>
              </w:rPr>
              <w:t>Moderately elevated</w:t>
            </w:r>
          </w:p>
        </w:tc>
      </w:tr>
    </w:tbl>
    <w:p>
      <w:pPr>
        <w:jc w:val="center"/>
      </w:pPr>
      <w:r>
        <w:drawing>
          <wp:inline xmlns:a="http://schemas.openxmlformats.org/drawingml/2006/main" xmlns:pic="http://schemas.openxmlformats.org/drawingml/2006/picture">
            <wp:extent cx="5760720" cy="2776945"/>
            <wp:docPr id="3" name="Picture 3"/>
            <wp:cNvGraphicFramePr>
              <a:graphicFrameLocks noChangeAspect="1"/>
            </wp:cNvGraphicFramePr>
            <a:graphic>
              <a:graphicData uri="http://schemas.openxmlformats.org/drawingml/2006/picture">
                <pic:pic>
                  <pic:nvPicPr>
                    <pic:cNvPr id="0" name="fig3_mastack.png"/>
                    <pic:cNvPicPr/>
                  </pic:nvPicPr>
                  <pic:blipFill>
                    <a:blip r:embed="rId11"/>
                    <a:stretch>
                      <a:fillRect/>
                    </a:stretch>
                  </pic:blipFill>
                  <pic:spPr>
                    <a:xfrm>
                      <a:off x="0" y="0"/>
                      <a:ext cx="5760720" cy="2776945"/>
                    </a:xfrm>
                    <a:prstGeom prst="rect"/>
                  </pic:spPr>
                </pic:pic>
              </a:graphicData>
            </a:graphic>
          </wp:inline>
        </w:drawing>
      </w:r>
    </w:p>
    <w:p>
      <w:pPr>
        <w:spacing w:after="160"/>
      </w:pPr>
      <w:r>
        <w:rPr>
          <w:b w:val="0"/>
          <w:i/>
          <w:color w:val="595959"/>
          <w:sz w:val="17"/>
        </w:rPr>
        <w:t>Figure 3 — Price versus the moving-average stack, last 260 sessions.</w:t>
      </w:r>
    </w:p>
    <w:p>
      <w:pPr>
        <w:spacing w:after="160"/>
      </w:pPr>
      <w:r>
        <w:rPr>
          <w:b w:val="0"/>
          <w:i w:val="0"/>
          <w:sz w:val="21"/>
        </w:rPr>
        <w:t>For the probabilistic work this matters in one way: an oversold, below-trend tape and a fundamentally rich valuation point the same direction over the near term, which is why the three-month distribution — while centred on spot by construction — carries a left tail that the fundamentals do not argue against. Section 6 reads the resulting probability zones.</w:t>
      </w:r>
    </w:p>
    <w:p>
      <w:pPr>
        <w:spacing w:before="200" w:after="80"/>
      </w:pPr>
      <w:r>
        <w:rPr>
          <w:b/>
          <w:i w:val="0"/>
          <w:color w:val="1B5E5E"/>
          <w:sz w:val="30"/>
        </w:rPr>
        <w:t>3  Monte Carlo — a probabilistic price map</w:t>
      </w:r>
    </w:p>
    <w:p>
      <w:pPr>
        <w:spacing w:after="120"/>
      </w:pPr>
      <w:r>
        <w:rPr>
          <w:b w:val="0"/>
          <w:i w:val="0"/>
          <w:sz w:val="21"/>
        </w:rPr>
        <w:t>We simulate 50,000 three-month price paths (seed 42) using a sixteen-factor stack: seven continuous macro/commodity drivers contributing a small net forward drift, and nine discrete events that each fire with a probability and an impact. By design the paths diffuse from spot, and the §1 value gap is kept out of the drift — the fundamental value sits in §1, not here; §3 maps where price could go from today, not where value sits. A calibration caveat governs this section (Appendix B): on Ma'aden the engine did not beat a plain zero-drift random-walk cone, so we present §3 as an honest, regime-conditional probability map rather than a skill-validated forecast, and we size the width from the trailing realized volatility (~32.4% annualized) — the fair, well-behaved width for this name — with the net external drift a modest +2.2% over the quarter from the factor stack.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096"/>
            <w:shd w:val="clear" w:fill="1B5E5E"/>
          </w:tcPr>
          <w:p>
            <w:r/>
            <w:r>
              <w:rPr>
                <w:b/>
                <w:i w:val="0"/>
                <w:color w:val="FFFFFF"/>
                <w:sz w:val="19"/>
              </w:rPr>
              <w:t>Continuous factor (7)</w:t>
            </w:r>
          </w:p>
        </w:tc>
        <w:tc>
          <w:tcPr>
            <w:tcW w:type="dxa" w:w="792"/>
            <w:shd w:val="clear" w:fill="1B5E5E"/>
          </w:tcPr>
          <w:p>
            <w:r/>
            <w:r>
              <w:rPr>
                <w:b/>
                <w:i w:val="0"/>
                <w:color w:val="FFFFFF"/>
                <w:sz w:val="19"/>
              </w:rPr>
              <w:t>Dir.</w:t>
            </w:r>
          </w:p>
        </w:tc>
        <w:tc>
          <w:tcPr>
            <w:tcW w:type="dxa" w:w="3384"/>
            <w:shd w:val="clear" w:fill="1B5E5E"/>
          </w:tcPr>
          <w:p>
            <w:r/>
            <w:r>
              <w:rPr>
                <w:b/>
                <w:i w:val="0"/>
                <w:color w:val="FFFFFF"/>
                <w:sz w:val="19"/>
              </w:rPr>
              <w:t>Discrete event (9)</w:t>
            </w:r>
          </w:p>
        </w:tc>
        <w:tc>
          <w:tcPr>
            <w:tcW w:type="dxa" w:w="1008"/>
            <w:shd w:val="clear" w:fill="1B5E5E"/>
          </w:tcPr>
          <w:p>
            <w:r/>
            <w:r>
              <w:rPr>
                <w:b/>
                <w:i w:val="0"/>
                <w:color w:val="FFFFFF"/>
                <w:sz w:val="19"/>
              </w:rPr>
              <w:t>Prob.</w:t>
            </w:r>
          </w:p>
        </w:tc>
        <w:tc>
          <w:tcPr>
            <w:tcW w:type="dxa" w:w="1440"/>
            <w:shd w:val="clear" w:fill="1B5E5E"/>
          </w:tcPr>
          <w:p>
            <w:r/>
            <w:r>
              <w:rPr>
                <w:b/>
                <w:i w:val="0"/>
                <w:color w:val="FFFFFF"/>
                <w:sz w:val="19"/>
              </w:rPr>
              <w:t>Mean impact</w:t>
            </w:r>
          </w:p>
        </w:tc>
      </w:tr>
      <w:tr>
        <w:tc>
          <w:tcPr>
            <w:tcW w:type="dxa" w:w="3096"/>
          </w:tcPr>
          <w:p>
            <w:pPr>
              <w:jc w:val="left"/>
            </w:pPr>
            <w:r/>
            <w:r>
              <w:rPr>
                <w:b w:val="0"/>
                <w:i w:val="0"/>
                <w:sz w:val="18"/>
              </w:rPr>
              <w:t>DAP / phosphate price</w:t>
            </w:r>
          </w:p>
        </w:tc>
        <w:tc>
          <w:tcPr>
            <w:tcW w:type="dxa" w:w="792"/>
          </w:tcPr>
          <w:p>
            <w:pPr>
              <w:jc w:val="right"/>
            </w:pPr>
            <w:r/>
            <w:r>
              <w:rPr>
                <w:b w:val="0"/>
                <w:i w:val="0"/>
                <w:sz w:val="18"/>
              </w:rPr>
              <w:t>+</w:t>
            </w:r>
          </w:p>
        </w:tc>
        <w:tc>
          <w:tcPr>
            <w:tcW w:type="dxa" w:w="3384"/>
          </w:tcPr>
          <w:p>
            <w:pPr>
              <w:jc w:val="right"/>
            </w:pPr>
            <w:r/>
            <w:r>
              <w:rPr>
                <w:b w:val="0"/>
                <w:i w:val="0"/>
                <w:sz w:val="18"/>
              </w:rPr>
              <w:t>Q2-FY26 results (mid-Aug)</w:t>
            </w:r>
          </w:p>
        </w:tc>
        <w:tc>
          <w:tcPr>
            <w:tcW w:type="dxa" w:w="1008"/>
          </w:tcPr>
          <w:p>
            <w:pPr>
              <w:jc w:val="right"/>
            </w:pPr>
            <w:r/>
            <w:r>
              <w:rPr>
                <w:b w:val="0"/>
                <w:i w:val="0"/>
                <w:sz w:val="18"/>
              </w:rPr>
              <w:t>85%</w:t>
            </w:r>
          </w:p>
        </w:tc>
        <w:tc>
          <w:tcPr>
            <w:tcW w:type="dxa" w:w="1440"/>
          </w:tcPr>
          <w:p>
            <w:pPr>
              <w:jc w:val="right"/>
            </w:pPr>
            <w:r/>
            <w:r>
              <w:rPr>
                <w:b w:val="0"/>
                <w:i w:val="0"/>
                <w:sz w:val="18"/>
              </w:rPr>
              <w:t>+0.4%</w:t>
            </w:r>
          </w:p>
        </w:tc>
      </w:tr>
      <w:tr>
        <w:tc>
          <w:tcPr>
            <w:tcW w:type="dxa" w:w="3096"/>
          </w:tcPr>
          <w:p>
            <w:pPr>
              <w:jc w:val="left"/>
            </w:pPr>
            <w:r/>
            <w:r>
              <w:rPr>
                <w:b w:val="0"/>
                <w:i w:val="0"/>
                <w:sz w:val="18"/>
              </w:rPr>
              <w:t>LME aluminium price</w:t>
            </w:r>
          </w:p>
        </w:tc>
        <w:tc>
          <w:tcPr>
            <w:tcW w:type="dxa" w:w="792"/>
          </w:tcPr>
          <w:p>
            <w:pPr>
              <w:jc w:val="right"/>
            </w:pPr>
            <w:r/>
            <w:r>
              <w:rPr>
                <w:b w:val="0"/>
                <w:i w:val="0"/>
                <w:sz w:val="18"/>
              </w:rPr>
              <w:t>+</w:t>
            </w:r>
          </w:p>
        </w:tc>
        <w:tc>
          <w:tcPr>
            <w:tcW w:type="dxa" w:w="3384"/>
          </w:tcPr>
          <w:p>
            <w:pPr>
              <w:jc w:val="right"/>
            </w:pPr>
            <w:r/>
            <w:r>
              <w:rPr>
                <w:b w:val="0"/>
                <w:i w:val="0"/>
                <w:sz w:val="18"/>
              </w:rPr>
              <w:t>Commodity price spike (DAP/Al/gold)</w:t>
            </w:r>
          </w:p>
        </w:tc>
        <w:tc>
          <w:tcPr>
            <w:tcW w:type="dxa" w:w="1008"/>
          </w:tcPr>
          <w:p>
            <w:pPr>
              <w:jc w:val="right"/>
            </w:pPr>
            <w:r/>
            <w:r>
              <w:rPr>
                <w:b w:val="0"/>
                <w:i w:val="0"/>
                <w:sz w:val="18"/>
              </w:rPr>
              <w:t>25%</w:t>
            </w:r>
          </w:p>
        </w:tc>
        <w:tc>
          <w:tcPr>
            <w:tcW w:type="dxa" w:w="1440"/>
          </w:tcPr>
          <w:p>
            <w:pPr>
              <w:jc w:val="right"/>
            </w:pPr>
            <w:r/>
            <w:r>
              <w:rPr>
                <w:b w:val="0"/>
                <w:i w:val="0"/>
                <w:sz w:val="18"/>
              </w:rPr>
              <w:t>+3.0%</w:t>
            </w:r>
          </w:p>
        </w:tc>
      </w:tr>
      <w:tr>
        <w:tc>
          <w:tcPr>
            <w:tcW w:type="dxa" w:w="3096"/>
          </w:tcPr>
          <w:p>
            <w:pPr>
              <w:jc w:val="left"/>
            </w:pPr>
            <w:r/>
            <w:r>
              <w:rPr>
                <w:b w:val="0"/>
                <w:i w:val="0"/>
                <w:sz w:val="18"/>
              </w:rPr>
              <w:t>Gold price (base-metals leg)</w:t>
            </w:r>
          </w:p>
        </w:tc>
        <w:tc>
          <w:tcPr>
            <w:tcW w:type="dxa" w:w="792"/>
          </w:tcPr>
          <w:p>
            <w:pPr>
              <w:jc w:val="right"/>
            </w:pPr>
            <w:r/>
            <w:r>
              <w:rPr>
                <w:b w:val="0"/>
                <w:i w:val="0"/>
                <w:sz w:val="18"/>
              </w:rPr>
              <w:t>+</w:t>
            </w:r>
          </w:p>
        </w:tc>
        <w:tc>
          <w:tcPr>
            <w:tcW w:type="dxa" w:w="3384"/>
          </w:tcPr>
          <w:p>
            <w:pPr>
              <w:jc w:val="right"/>
            </w:pPr>
            <w:r/>
            <w:r>
              <w:rPr>
                <w:b w:val="0"/>
                <w:i w:val="0"/>
                <w:sz w:val="18"/>
              </w:rPr>
              <w:t>Global recession / demand shock</w:t>
            </w:r>
          </w:p>
        </w:tc>
        <w:tc>
          <w:tcPr>
            <w:tcW w:type="dxa" w:w="1008"/>
          </w:tcPr>
          <w:p>
            <w:pPr>
              <w:jc w:val="right"/>
            </w:pPr>
            <w:r/>
            <w:r>
              <w:rPr>
                <w:b w:val="0"/>
                <w:i w:val="0"/>
                <w:sz w:val="18"/>
              </w:rPr>
              <w:t>20%</w:t>
            </w:r>
          </w:p>
        </w:tc>
        <w:tc>
          <w:tcPr>
            <w:tcW w:type="dxa" w:w="1440"/>
          </w:tcPr>
          <w:p>
            <w:pPr>
              <w:jc w:val="right"/>
            </w:pPr>
            <w:r/>
            <w:r>
              <w:rPr>
                <w:b w:val="0"/>
                <w:i w:val="0"/>
                <w:sz w:val="18"/>
              </w:rPr>
              <w:t>−4.5%</w:t>
            </w:r>
          </w:p>
        </w:tc>
      </w:tr>
      <w:tr>
        <w:tc>
          <w:tcPr>
            <w:tcW w:type="dxa" w:w="3096"/>
          </w:tcPr>
          <w:p>
            <w:pPr>
              <w:jc w:val="left"/>
            </w:pPr>
            <w:r/>
            <w:r>
              <w:rPr>
                <w:b w:val="0"/>
                <w:i w:val="0"/>
                <w:sz w:val="18"/>
              </w:rPr>
              <w:t>Global growth / China demand</w:t>
            </w:r>
          </w:p>
        </w:tc>
        <w:tc>
          <w:tcPr>
            <w:tcW w:type="dxa" w:w="792"/>
          </w:tcPr>
          <w:p>
            <w:pPr>
              <w:jc w:val="right"/>
            </w:pPr>
            <w:r/>
            <w:r>
              <w:rPr>
                <w:b w:val="0"/>
                <w:i w:val="0"/>
                <w:sz w:val="18"/>
              </w:rPr>
              <w:t>+</w:t>
            </w:r>
          </w:p>
        </w:tc>
        <w:tc>
          <w:tcPr>
            <w:tcW w:type="dxa" w:w="3384"/>
          </w:tcPr>
          <w:p>
            <w:pPr>
              <w:jc w:val="right"/>
            </w:pPr>
            <w:r/>
            <w:r>
              <w:rPr>
                <w:b w:val="0"/>
                <w:i w:val="0"/>
                <w:sz w:val="18"/>
              </w:rPr>
              <w:t>Phosphate 3 milestone (on/behind)</w:t>
            </w:r>
          </w:p>
        </w:tc>
        <w:tc>
          <w:tcPr>
            <w:tcW w:type="dxa" w:w="1008"/>
          </w:tcPr>
          <w:p>
            <w:pPr>
              <w:jc w:val="right"/>
            </w:pPr>
            <w:r/>
            <w:r>
              <w:rPr>
                <w:b w:val="0"/>
                <w:i w:val="0"/>
                <w:sz w:val="18"/>
              </w:rPr>
              <w:t>35%</w:t>
            </w:r>
          </w:p>
        </w:tc>
        <w:tc>
          <w:tcPr>
            <w:tcW w:type="dxa" w:w="1440"/>
          </w:tcPr>
          <w:p>
            <w:pPr>
              <w:jc w:val="right"/>
            </w:pPr>
            <w:r/>
            <w:r>
              <w:rPr>
                <w:b w:val="0"/>
                <w:i w:val="0"/>
                <w:sz w:val="18"/>
              </w:rPr>
              <w:t>+1.0%</w:t>
            </w:r>
          </w:p>
        </w:tc>
      </w:tr>
      <w:tr>
        <w:tc>
          <w:tcPr>
            <w:tcW w:type="dxa" w:w="3096"/>
          </w:tcPr>
          <w:p>
            <w:pPr>
              <w:jc w:val="left"/>
            </w:pPr>
            <w:r/>
            <w:r>
              <w:rPr>
                <w:b w:val="0"/>
                <w:i w:val="0"/>
                <w:sz w:val="18"/>
              </w:rPr>
              <w:t>Natural-gas feedstock cost</w:t>
            </w:r>
          </w:p>
        </w:tc>
        <w:tc>
          <w:tcPr>
            <w:tcW w:type="dxa" w:w="792"/>
          </w:tcPr>
          <w:p>
            <w:pPr>
              <w:jc w:val="right"/>
            </w:pPr>
            <w:r/>
            <w:r>
              <w:rPr>
                <w:b w:val="0"/>
                <w:i w:val="0"/>
                <w:sz w:val="18"/>
              </w:rPr>
              <w:t>−</w:t>
            </w:r>
          </w:p>
        </w:tc>
        <w:tc>
          <w:tcPr>
            <w:tcW w:type="dxa" w:w="3384"/>
          </w:tcPr>
          <w:p>
            <w:pPr>
              <w:jc w:val="right"/>
            </w:pPr>
            <w:r/>
            <w:r>
              <w:rPr>
                <w:b w:val="0"/>
                <w:i w:val="0"/>
                <w:sz w:val="18"/>
              </w:rPr>
              <w:t>Ar Rjum / gold-doubling catalyst</w:t>
            </w:r>
          </w:p>
        </w:tc>
        <w:tc>
          <w:tcPr>
            <w:tcW w:type="dxa" w:w="1008"/>
          </w:tcPr>
          <w:p>
            <w:pPr>
              <w:jc w:val="right"/>
            </w:pPr>
            <w:r/>
            <w:r>
              <w:rPr>
                <w:b w:val="0"/>
                <w:i w:val="0"/>
                <w:sz w:val="18"/>
              </w:rPr>
              <w:t>25%</w:t>
            </w:r>
          </w:p>
        </w:tc>
        <w:tc>
          <w:tcPr>
            <w:tcW w:type="dxa" w:w="1440"/>
          </w:tcPr>
          <w:p>
            <w:pPr>
              <w:jc w:val="right"/>
            </w:pPr>
            <w:r/>
            <w:r>
              <w:rPr>
                <w:b w:val="0"/>
                <w:i w:val="0"/>
                <w:sz w:val="18"/>
              </w:rPr>
              <w:t>+1.5%</w:t>
            </w:r>
          </w:p>
        </w:tc>
      </w:tr>
      <w:tr>
        <w:tc>
          <w:tcPr>
            <w:tcW w:type="dxa" w:w="3096"/>
          </w:tcPr>
          <w:p>
            <w:pPr>
              <w:jc w:val="left"/>
            </w:pPr>
            <w:r/>
            <w:r>
              <w:rPr>
                <w:b w:val="0"/>
                <w:i w:val="0"/>
                <w:sz w:val="18"/>
              </w:rPr>
              <w:t>USD real rate / DXY</w:t>
            </w:r>
          </w:p>
        </w:tc>
        <w:tc>
          <w:tcPr>
            <w:tcW w:type="dxa" w:w="792"/>
          </w:tcPr>
          <w:p>
            <w:pPr>
              <w:jc w:val="right"/>
            </w:pPr>
            <w:r/>
            <w:r>
              <w:rPr>
                <w:b w:val="0"/>
                <w:i w:val="0"/>
                <w:sz w:val="18"/>
              </w:rPr>
              <w:t>−</w:t>
            </w:r>
          </w:p>
        </w:tc>
        <w:tc>
          <w:tcPr>
            <w:tcW w:type="dxa" w:w="3384"/>
          </w:tcPr>
          <w:p>
            <w:pPr>
              <w:jc w:val="right"/>
            </w:pPr>
            <w:r/>
            <w:r>
              <w:rPr>
                <w:b w:val="0"/>
                <w:i w:val="0"/>
                <w:sz w:val="18"/>
              </w:rPr>
              <w:t>Manara international M&amp;A</w:t>
            </w:r>
          </w:p>
        </w:tc>
        <w:tc>
          <w:tcPr>
            <w:tcW w:type="dxa" w:w="1008"/>
          </w:tcPr>
          <w:p>
            <w:pPr>
              <w:jc w:val="right"/>
            </w:pPr>
            <w:r/>
            <w:r>
              <w:rPr>
                <w:b w:val="0"/>
                <w:i w:val="0"/>
                <w:sz w:val="18"/>
              </w:rPr>
              <w:t>25%</w:t>
            </w:r>
          </w:p>
        </w:tc>
        <w:tc>
          <w:tcPr>
            <w:tcW w:type="dxa" w:w="1440"/>
          </w:tcPr>
          <w:p>
            <w:pPr>
              <w:jc w:val="right"/>
            </w:pPr>
            <w:r/>
            <w:r>
              <w:rPr>
                <w:b w:val="0"/>
                <w:i w:val="0"/>
                <w:sz w:val="18"/>
              </w:rPr>
              <w:t>+1.0%</w:t>
            </w:r>
          </w:p>
        </w:tc>
      </w:tr>
      <w:tr>
        <w:tc>
          <w:tcPr>
            <w:tcW w:type="dxa" w:w="3096"/>
          </w:tcPr>
          <w:p>
            <w:pPr>
              <w:jc w:val="left"/>
            </w:pPr>
            <w:r/>
            <w:r>
              <w:rPr>
                <w:b w:val="0"/>
                <w:i w:val="0"/>
                <w:sz w:val="18"/>
              </w:rPr>
              <w:t>TASI &amp; passive / MSCI-EM flows</w:t>
            </w:r>
          </w:p>
        </w:tc>
        <w:tc>
          <w:tcPr>
            <w:tcW w:type="dxa" w:w="792"/>
          </w:tcPr>
          <w:p>
            <w:pPr>
              <w:jc w:val="right"/>
            </w:pPr>
            <w:r/>
            <w:r>
              <w:rPr>
                <w:b w:val="0"/>
                <w:i w:val="0"/>
                <w:sz w:val="18"/>
              </w:rPr>
              <w:t>+</w:t>
            </w:r>
          </w:p>
        </w:tc>
        <w:tc>
          <w:tcPr>
            <w:tcW w:type="dxa" w:w="3384"/>
          </w:tcPr>
          <w:p>
            <w:pPr>
              <w:jc w:val="right"/>
            </w:pPr>
            <w:r/>
            <w:r>
              <w:rPr>
                <w:b w:val="0"/>
                <w:i w:val="0"/>
                <w:sz w:val="18"/>
              </w:rPr>
              <w:t>Dividend-initiation / capital-return</w:t>
            </w:r>
          </w:p>
        </w:tc>
        <w:tc>
          <w:tcPr>
            <w:tcW w:type="dxa" w:w="1008"/>
          </w:tcPr>
          <w:p>
            <w:pPr>
              <w:jc w:val="right"/>
            </w:pPr>
            <w:r/>
            <w:r>
              <w:rPr>
                <w:b w:val="0"/>
                <w:i w:val="0"/>
                <w:sz w:val="18"/>
              </w:rPr>
              <w:t>20%</w:t>
            </w:r>
          </w:p>
        </w:tc>
        <w:tc>
          <w:tcPr>
            <w:tcW w:type="dxa" w:w="1440"/>
          </w:tcPr>
          <w:p>
            <w:pPr>
              <w:jc w:val="right"/>
            </w:pPr>
            <w:r/>
            <w:r>
              <w:rPr>
                <w:b w:val="0"/>
                <w:i w:val="0"/>
                <w:sz w:val="18"/>
              </w:rPr>
              <w:t>+2.0%</w:t>
            </w:r>
          </w:p>
        </w:tc>
      </w:tr>
      <w:tr>
        <w:tc>
          <w:tcPr>
            <w:tcW w:type="dxa" w:w="3096"/>
          </w:tcPr>
          <w:p>
            <w:pPr>
              <w:jc w:val="left"/>
            </w:pPr>
            <w:r/>
            <w:r>
              <w:rPr>
                <w:b w:val="0"/>
                <w:i w:val="0"/>
                <w:sz w:val="18"/>
              </w:rPr>
            </w:r>
          </w:p>
        </w:tc>
        <w:tc>
          <w:tcPr>
            <w:tcW w:type="dxa" w:w="792"/>
          </w:tcPr>
          <w:p>
            <w:pPr>
              <w:jc w:val="right"/>
            </w:pPr>
            <w:r/>
            <w:r>
              <w:rPr>
                <w:b w:val="0"/>
                <w:i w:val="0"/>
                <w:sz w:val="18"/>
              </w:rPr>
            </w:r>
          </w:p>
        </w:tc>
        <w:tc>
          <w:tcPr>
            <w:tcW w:type="dxa" w:w="3384"/>
          </w:tcPr>
          <w:p>
            <w:pPr>
              <w:jc w:val="right"/>
            </w:pPr>
            <w:r/>
            <w:r>
              <w:rPr>
                <w:b w:val="0"/>
                <w:i w:val="0"/>
                <w:sz w:val="18"/>
              </w:rPr>
              <w:t>PIF / Vision-2030 policy or index flow</w:t>
            </w:r>
          </w:p>
        </w:tc>
        <w:tc>
          <w:tcPr>
            <w:tcW w:type="dxa" w:w="1008"/>
          </w:tcPr>
          <w:p>
            <w:pPr>
              <w:jc w:val="right"/>
            </w:pPr>
            <w:r/>
            <w:r>
              <w:rPr>
                <w:b w:val="0"/>
                <w:i w:val="0"/>
                <w:sz w:val="18"/>
              </w:rPr>
              <w:t>25%</w:t>
            </w:r>
          </w:p>
        </w:tc>
        <w:tc>
          <w:tcPr>
            <w:tcW w:type="dxa" w:w="1440"/>
          </w:tcPr>
          <w:p>
            <w:pPr>
              <w:jc w:val="right"/>
            </w:pPr>
            <w:r/>
            <w:r>
              <w:rPr>
                <w:b w:val="0"/>
                <w:i w:val="0"/>
                <w:sz w:val="18"/>
              </w:rPr>
              <w:t>+1.2%</w:t>
            </w:r>
          </w:p>
        </w:tc>
      </w:tr>
      <w:tr>
        <w:tc>
          <w:tcPr>
            <w:tcW w:type="dxa" w:w="3096"/>
          </w:tcPr>
          <w:p>
            <w:pPr>
              <w:jc w:val="left"/>
            </w:pPr>
            <w:r/>
            <w:r>
              <w:rPr>
                <w:b w:val="0"/>
                <w:i w:val="0"/>
                <w:sz w:val="18"/>
              </w:rPr>
            </w:r>
          </w:p>
        </w:tc>
        <w:tc>
          <w:tcPr>
            <w:tcW w:type="dxa" w:w="792"/>
          </w:tcPr>
          <w:p>
            <w:pPr>
              <w:jc w:val="right"/>
            </w:pPr>
            <w:r/>
            <w:r>
              <w:rPr>
                <w:b w:val="0"/>
                <w:i w:val="0"/>
                <w:sz w:val="18"/>
              </w:rPr>
            </w:r>
          </w:p>
        </w:tc>
        <w:tc>
          <w:tcPr>
            <w:tcW w:type="dxa" w:w="3384"/>
          </w:tcPr>
          <w:p>
            <w:pPr>
              <w:jc w:val="right"/>
            </w:pPr>
            <w:r/>
            <w:r>
              <w:rPr>
                <w:b w:val="0"/>
                <w:i w:val="0"/>
                <w:sz w:val="18"/>
              </w:rPr>
              <w:t>Gas-supply / feedstock / regulatory reset</w:t>
            </w:r>
          </w:p>
        </w:tc>
        <w:tc>
          <w:tcPr>
            <w:tcW w:type="dxa" w:w="1008"/>
          </w:tcPr>
          <w:p>
            <w:pPr>
              <w:jc w:val="right"/>
            </w:pPr>
            <w:r/>
            <w:r>
              <w:rPr>
                <w:b w:val="0"/>
                <w:i w:val="0"/>
                <w:sz w:val="18"/>
              </w:rPr>
              <w:t>20%</w:t>
            </w:r>
          </w:p>
        </w:tc>
        <w:tc>
          <w:tcPr>
            <w:tcW w:type="dxa" w:w="1440"/>
          </w:tcPr>
          <w:p>
            <w:pPr>
              <w:jc w:val="right"/>
            </w:pPr>
            <w:r/>
            <w:r>
              <w:rPr>
                <w:b w:val="0"/>
                <w:i w:val="0"/>
                <w:sz w:val="18"/>
              </w:rPr>
              <w:t>−3.0%</w:t>
            </w:r>
          </w:p>
        </w:tc>
      </w:tr>
    </w:tbl>
    <w:p>
      <w:pPr>
        <w:spacing w:after="80"/>
      </w:pPr>
      <w:r>
        <w:rPr>
          <w:b/>
          <w:i w:val="0"/>
          <w:sz w:val="21"/>
        </w:rPr>
        <w:t>Percentile map (SAR/share):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880"/>
            <w:shd w:val="clear" w:fill="1B5E5E"/>
          </w:tcPr>
          <w:p>
            <w:r/>
            <w:r>
              <w:rPr>
                <w:b/>
                <w:i w:val="0"/>
                <w:color w:val="FFFFFF"/>
                <w:sz w:val="19"/>
              </w:rPr>
              <w:t>Horizon</w:t>
            </w:r>
          </w:p>
        </w:tc>
        <w:tc>
          <w:tcPr>
            <w:tcW w:type="dxa" w:w="1224"/>
            <w:shd w:val="clear" w:fill="1B5E5E"/>
          </w:tcPr>
          <w:p>
            <w:r/>
            <w:r>
              <w:rPr>
                <w:b/>
                <w:i w:val="0"/>
                <w:color w:val="FFFFFF"/>
                <w:sz w:val="19"/>
              </w:rPr>
              <w:t>p5</w:t>
            </w:r>
          </w:p>
        </w:tc>
        <w:tc>
          <w:tcPr>
            <w:tcW w:type="dxa" w:w="1224"/>
            <w:shd w:val="clear" w:fill="1B5E5E"/>
          </w:tcPr>
          <w:p>
            <w:r/>
            <w:r>
              <w:rPr>
                <w:b/>
                <w:i w:val="0"/>
                <w:color w:val="FFFFFF"/>
                <w:sz w:val="19"/>
              </w:rPr>
              <w:t>p25</w:t>
            </w:r>
          </w:p>
        </w:tc>
        <w:tc>
          <w:tcPr>
            <w:tcW w:type="dxa" w:w="1224"/>
            <w:shd w:val="clear" w:fill="1B5E5E"/>
          </w:tcPr>
          <w:p>
            <w:r/>
            <w:r>
              <w:rPr>
                <w:b/>
                <w:i w:val="0"/>
                <w:color w:val="FFFFFF"/>
                <w:sz w:val="19"/>
              </w:rPr>
              <w:t>p50</w:t>
            </w:r>
          </w:p>
        </w:tc>
        <w:tc>
          <w:tcPr>
            <w:tcW w:type="dxa" w:w="1224"/>
            <w:shd w:val="clear" w:fill="1B5E5E"/>
          </w:tcPr>
          <w:p>
            <w:r/>
            <w:r>
              <w:rPr>
                <w:b/>
                <w:i w:val="0"/>
                <w:color w:val="FFFFFF"/>
                <w:sz w:val="19"/>
              </w:rPr>
              <w:t>p75</w:t>
            </w:r>
          </w:p>
        </w:tc>
        <w:tc>
          <w:tcPr>
            <w:tcW w:type="dxa" w:w="1224"/>
            <w:shd w:val="clear" w:fill="1B5E5E"/>
          </w:tcPr>
          <w:p>
            <w:r/>
            <w:r>
              <w:rPr>
                <w:b/>
                <w:i w:val="0"/>
                <w:color w:val="FFFFFF"/>
                <w:sz w:val="19"/>
              </w:rPr>
              <w:t>p95</w:t>
            </w:r>
          </w:p>
        </w:tc>
      </w:tr>
      <w:tr>
        <w:tc>
          <w:tcPr>
            <w:tcW w:type="dxa" w:w="2880"/>
          </w:tcPr>
          <w:p>
            <w:pPr>
              <w:jc w:val="left"/>
            </w:pPr>
            <w:r/>
            <w:r>
              <w:rPr>
                <w:b w:val="0"/>
                <w:i w:val="0"/>
                <w:sz w:val="18"/>
              </w:rPr>
              <w:t>T+20 sessions</w:t>
            </w:r>
          </w:p>
        </w:tc>
        <w:tc>
          <w:tcPr>
            <w:tcW w:type="dxa" w:w="1224"/>
          </w:tcPr>
          <w:p>
            <w:pPr>
              <w:jc w:val="right"/>
            </w:pPr>
            <w:r/>
            <w:r>
              <w:rPr>
                <w:b w:val="0"/>
                <w:i w:val="0"/>
                <w:sz w:val="18"/>
              </w:rPr>
              <w:t>50.7</w:t>
            </w:r>
          </w:p>
        </w:tc>
        <w:tc>
          <w:tcPr>
            <w:tcW w:type="dxa" w:w="1224"/>
          </w:tcPr>
          <w:p>
            <w:pPr>
              <w:jc w:val="right"/>
            </w:pPr>
            <w:r/>
            <w:r>
              <w:rPr>
                <w:b w:val="0"/>
                <w:i w:val="0"/>
                <w:sz w:val="18"/>
              </w:rPr>
              <w:t>55.6</w:t>
            </w:r>
          </w:p>
        </w:tc>
        <w:tc>
          <w:tcPr>
            <w:tcW w:type="dxa" w:w="1224"/>
          </w:tcPr>
          <w:p>
            <w:pPr>
              <w:jc w:val="right"/>
            </w:pPr>
            <w:r/>
            <w:r>
              <w:rPr>
                <w:b w:val="0"/>
                <w:i w:val="0"/>
                <w:sz w:val="18"/>
              </w:rPr>
              <w:t>59.2</w:t>
            </w:r>
          </w:p>
        </w:tc>
        <w:tc>
          <w:tcPr>
            <w:tcW w:type="dxa" w:w="1224"/>
          </w:tcPr>
          <w:p>
            <w:pPr>
              <w:jc w:val="right"/>
            </w:pPr>
            <w:r/>
            <w:r>
              <w:rPr>
                <w:b w:val="0"/>
                <w:i w:val="0"/>
                <w:sz w:val="18"/>
              </w:rPr>
              <w:t>63.1</w:t>
            </w:r>
          </w:p>
        </w:tc>
        <w:tc>
          <w:tcPr>
            <w:tcW w:type="dxa" w:w="1224"/>
          </w:tcPr>
          <w:p>
            <w:pPr>
              <w:jc w:val="right"/>
            </w:pPr>
            <w:r/>
            <w:r>
              <w:rPr>
                <w:b w:val="0"/>
                <w:i w:val="0"/>
                <w:sz w:val="18"/>
              </w:rPr>
              <w:t>69.1</w:t>
            </w:r>
          </w:p>
        </w:tc>
      </w:tr>
      <w:tr>
        <w:tc>
          <w:tcPr>
            <w:tcW w:type="dxa" w:w="2880"/>
          </w:tcPr>
          <w:p>
            <w:pPr>
              <w:jc w:val="left"/>
            </w:pPr>
            <w:r/>
            <w:r>
              <w:rPr>
                <w:b w:val="0"/>
                <w:i w:val="0"/>
                <w:sz w:val="18"/>
              </w:rPr>
              <w:t>T+60 sessions</w:t>
            </w:r>
          </w:p>
        </w:tc>
        <w:tc>
          <w:tcPr>
            <w:tcW w:type="dxa" w:w="1224"/>
          </w:tcPr>
          <w:p>
            <w:pPr>
              <w:jc w:val="right"/>
            </w:pPr>
            <w:r/>
            <w:r>
              <w:rPr>
                <w:b w:val="0"/>
                <w:i w:val="0"/>
                <w:sz w:val="18"/>
              </w:rPr>
              <w:t>46.1</w:t>
            </w:r>
          </w:p>
        </w:tc>
        <w:tc>
          <w:tcPr>
            <w:tcW w:type="dxa" w:w="1224"/>
          </w:tcPr>
          <w:p>
            <w:pPr>
              <w:jc w:val="right"/>
            </w:pPr>
            <w:r/>
            <w:r>
              <w:rPr>
                <w:b w:val="0"/>
                <w:i w:val="0"/>
                <w:sz w:val="18"/>
              </w:rPr>
              <w:t>53.9</w:t>
            </w:r>
          </w:p>
        </w:tc>
        <w:tc>
          <w:tcPr>
            <w:tcW w:type="dxa" w:w="1224"/>
          </w:tcPr>
          <w:p>
            <w:pPr>
              <w:jc w:val="right"/>
            </w:pPr>
            <w:r/>
            <w:r>
              <w:rPr>
                <w:b w:val="0"/>
                <w:i w:val="0"/>
                <w:sz w:val="18"/>
              </w:rPr>
              <w:t>60.1</w:t>
            </w:r>
          </w:p>
        </w:tc>
        <w:tc>
          <w:tcPr>
            <w:tcW w:type="dxa" w:w="1224"/>
          </w:tcPr>
          <w:p>
            <w:pPr>
              <w:jc w:val="right"/>
            </w:pPr>
            <w:r/>
            <w:r>
              <w:rPr>
                <w:b w:val="0"/>
                <w:i w:val="0"/>
                <w:sz w:val="18"/>
              </w:rPr>
              <w:t>67.1</w:t>
            </w:r>
          </w:p>
        </w:tc>
        <w:tc>
          <w:tcPr>
            <w:tcW w:type="dxa" w:w="1224"/>
          </w:tcPr>
          <w:p>
            <w:pPr>
              <w:jc w:val="right"/>
            </w:pPr>
            <w:r/>
            <w:r>
              <w:rPr>
                <w:b w:val="0"/>
                <w:i w:val="0"/>
                <w:sz w:val="18"/>
              </w:rPr>
              <w:t>78.4</w:t>
            </w:r>
          </w:p>
        </w:tc>
      </w:tr>
    </w:tbl>
    <w:p>
      <w:pPr>
        <w:jc w:val="center"/>
      </w:pPr>
      <w:r>
        <w:drawing>
          <wp:inline xmlns:a="http://schemas.openxmlformats.org/drawingml/2006/main" xmlns:pic="http://schemas.openxmlformats.org/drawingml/2006/picture">
            <wp:extent cx="5760720" cy="2915962"/>
            <wp:docPr id="4" name="Picture 4"/>
            <wp:cNvGraphicFramePr>
              <a:graphicFrameLocks noChangeAspect="1"/>
            </wp:cNvGraphicFramePr>
            <a:graphic>
              <a:graphicData uri="http://schemas.openxmlformats.org/drawingml/2006/picture">
                <pic:pic>
                  <pic:nvPicPr>
                    <pic:cNvPr id="0" name="fig4_cone.png"/>
                    <pic:cNvPicPr/>
                  </pic:nvPicPr>
                  <pic:blipFill>
                    <a:blip r:embed="rId12"/>
                    <a:stretch>
                      <a:fillRect/>
                    </a:stretch>
                  </pic:blipFill>
                  <pic:spPr>
                    <a:xfrm>
                      <a:off x="0" y="0"/>
                      <a:ext cx="5760720" cy="2915962"/>
                    </a:xfrm>
                    <a:prstGeom prst="rect"/>
                  </pic:spPr>
                </pic:pic>
              </a:graphicData>
            </a:graphic>
          </wp:inline>
        </w:drawing>
      </w:r>
    </w:p>
    <w:p>
      <w:pPr>
        <w:spacing w:after="160"/>
      </w:pPr>
      <w:r>
        <w:rPr>
          <w:b w:val="0"/>
          <w:i/>
          <w:color w:val="595959"/>
          <w:sz w:val="17"/>
        </w:rPr>
        <w:t>Figure 4 — Forward price cone to T+60. Median tracks spot; the gold dotted line marks the SAR 42 fundamental central value, deliberately below the cone.</w:t>
      </w:r>
    </w:p>
    <w:p>
      <w:pPr>
        <w:jc w:val="center"/>
      </w:pPr>
      <w:r>
        <w:drawing>
          <wp:inline xmlns:a="http://schemas.openxmlformats.org/drawingml/2006/main" xmlns:pic="http://schemas.openxmlformats.org/drawingml/2006/picture">
            <wp:extent cx="5212080" cy="2784536"/>
            <wp:docPr id="5" name="Picture 5"/>
            <wp:cNvGraphicFramePr>
              <a:graphicFrameLocks noChangeAspect="1"/>
            </wp:cNvGraphicFramePr>
            <a:graphic>
              <a:graphicData uri="http://schemas.openxmlformats.org/drawingml/2006/picture">
                <pic:pic>
                  <pic:nvPicPr>
                    <pic:cNvPr id="0" name="fig5_dist20.png"/>
                    <pic:cNvPicPr/>
                  </pic:nvPicPr>
                  <pic:blipFill>
                    <a:blip r:embed="rId13"/>
                    <a:stretch>
                      <a:fillRect/>
                    </a:stretch>
                  </pic:blipFill>
                  <pic:spPr>
                    <a:xfrm>
                      <a:off x="0" y="0"/>
                      <a:ext cx="5212080" cy="2784536"/>
                    </a:xfrm>
                    <a:prstGeom prst="rect"/>
                  </pic:spPr>
                </pic:pic>
              </a:graphicData>
            </a:graphic>
          </wp:inline>
        </w:drawing>
      </w:r>
    </w:p>
    <w:p>
      <w:pPr>
        <w:spacing w:after="160"/>
      </w:pPr>
      <w:r>
        <w:rPr>
          <w:b w:val="0"/>
          <w:i/>
          <w:color w:val="595959"/>
          <w:sz w:val="17"/>
        </w:rPr>
        <w:t>Figure 5 — Price distribution at T+20.</w:t>
      </w:r>
    </w:p>
    <w:p>
      <w:pPr>
        <w:jc w:val="center"/>
      </w:pPr>
      <w:r>
        <w:drawing>
          <wp:inline xmlns:a="http://schemas.openxmlformats.org/drawingml/2006/main" xmlns:pic="http://schemas.openxmlformats.org/drawingml/2006/picture">
            <wp:extent cx="5212080" cy="2784536"/>
            <wp:docPr id="6" name="Picture 6"/>
            <wp:cNvGraphicFramePr>
              <a:graphicFrameLocks noChangeAspect="1"/>
            </wp:cNvGraphicFramePr>
            <a:graphic>
              <a:graphicData uri="http://schemas.openxmlformats.org/drawingml/2006/picture">
                <pic:pic>
                  <pic:nvPicPr>
                    <pic:cNvPr id="0" name="fig6_dist60.png"/>
                    <pic:cNvPicPr/>
                  </pic:nvPicPr>
                  <pic:blipFill>
                    <a:blip r:embed="rId14"/>
                    <a:stretch>
                      <a:fillRect/>
                    </a:stretch>
                  </pic:blipFill>
                  <pic:spPr>
                    <a:xfrm>
                      <a:off x="0" y="0"/>
                      <a:ext cx="5212080" cy="2784536"/>
                    </a:xfrm>
                    <a:prstGeom prst="rect"/>
                  </pic:spPr>
                </pic:pic>
              </a:graphicData>
            </a:graphic>
          </wp:inline>
        </w:drawing>
      </w:r>
    </w:p>
    <w:p>
      <w:pPr>
        <w:spacing w:after="160"/>
      </w:pPr>
      <w:r>
        <w:rPr>
          <w:b w:val="0"/>
          <w:i/>
          <w:color w:val="595959"/>
          <w:sz w:val="17"/>
        </w:rPr>
        <w:t>Figure 6 — Price distribution at T+60.</w:t>
      </w:r>
    </w:p>
    <w:p>
      <w:pPr>
        <w:spacing w:after="80"/>
      </w:pPr>
      <w:r>
        <w:rPr>
          <w:b w:val="0"/>
          <w:i w:val="0"/>
          <w:sz w:val="21"/>
        </w:rPr>
        <w:t>Leading with the 50% interquartile band (house presentation rule): over three months the middle-half of outcomes spans roughly SAR 54–67, and at T+20 roughly SAR 56–63 — that interquartile width, not the 90% tail, is the instrument's genuine quarter-ahead uncertainty. Level-touch ladder — the probability that price touches a level at any point by the horizon (running max for upside, running min for downside):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B5E5E"/>
          </w:tcPr>
          <w:p>
            <w:r/>
            <w:r>
              <w:rPr>
                <w:b/>
                <w:i w:val="0"/>
                <w:color w:val="FFFFFF"/>
                <w:sz w:val="19"/>
              </w:rPr>
              <w:t>Level</w:t>
            </w:r>
          </w:p>
        </w:tc>
        <w:tc>
          <w:tcPr>
            <w:tcW w:type="dxa" w:w="2160"/>
            <w:shd w:val="clear" w:fill="1B5E5E"/>
          </w:tcPr>
          <w:p>
            <w:r/>
            <w:r>
              <w:rPr>
                <w:b/>
                <w:i w:val="0"/>
                <w:color w:val="FFFFFF"/>
                <w:sz w:val="19"/>
              </w:rPr>
              <w:t>T+20 touch</w:t>
            </w:r>
          </w:p>
        </w:tc>
        <w:tc>
          <w:tcPr>
            <w:tcW w:type="dxa" w:w="2160"/>
            <w:shd w:val="clear" w:fill="1B5E5E"/>
          </w:tcPr>
          <w:p>
            <w:r/>
            <w:r>
              <w:rPr>
                <w:b/>
                <w:i w:val="0"/>
                <w:color w:val="FFFFFF"/>
                <w:sz w:val="19"/>
              </w:rPr>
              <w:t>T+60 touch</w:t>
            </w:r>
          </w:p>
        </w:tc>
        <w:tc>
          <w:tcPr>
            <w:tcW w:type="dxa" w:w="2736"/>
            <w:shd w:val="clear" w:fill="1B5E5E"/>
          </w:tcPr>
          <w:p>
            <w:r/>
            <w:r>
              <w:rPr>
                <w:b/>
                <w:i w:val="0"/>
                <w:color w:val="FFFFFF"/>
                <w:sz w:val="19"/>
              </w:rPr>
              <w:t>Note</w:t>
            </w:r>
          </w:p>
        </w:tc>
      </w:tr>
      <w:tr>
        <w:tc>
          <w:tcPr>
            <w:tcW w:type="dxa" w:w="2160"/>
          </w:tcPr>
          <w:p>
            <w:pPr>
              <w:jc w:val="left"/>
            </w:pPr>
            <w:r/>
            <w:r>
              <w:rPr>
                <w:b w:val="0"/>
                <w:i w:val="0"/>
                <w:sz w:val="18"/>
              </w:rPr>
              <w:t>SAR 80</w:t>
            </w:r>
          </w:p>
        </w:tc>
        <w:tc>
          <w:tcPr>
            <w:tcW w:type="dxa" w:w="2160"/>
          </w:tcPr>
          <w:p>
            <w:pPr>
              <w:jc w:val="right"/>
            </w:pPr>
            <w:r/>
            <w:r>
              <w:rPr>
                <w:b w:val="0"/>
                <w:i w:val="0"/>
                <w:sz w:val="18"/>
              </w:rPr>
              <w:t>0%</w:t>
            </w:r>
          </w:p>
        </w:tc>
        <w:tc>
          <w:tcPr>
            <w:tcW w:type="dxa" w:w="2160"/>
          </w:tcPr>
          <w:p>
            <w:pPr>
              <w:jc w:val="right"/>
            </w:pPr>
            <w:r/>
            <w:r>
              <w:rPr>
                <w:b w:val="0"/>
                <w:i w:val="0"/>
                <w:sz w:val="18"/>
              </w:rPr>
              <w:t>6%</w:t>
            </w:r>
          </w:p>
        </w:tc>
        <w:tc>
          <w:tcPr>
            <w:tcW w:type="dxa" w:w="2736"/>
          </w:tcPr>
          <w:p>
            <w:pPr>
              <w:jc w:val="right"/>
            </w:pPr>
            <w:r/>
            <w:r>
              <w:rPr>
                <w:b w:val="0"/>
                <w:i w:val="0"/>
                <w:sz w:val="18"/>
              </w:rPr>
              <w:t>Toward 52-wk high</w:t>
            </w:r>
          </w:p>
        </w:tc>
      </w:tr>
      <w:tr>
        <w:tc>
          <w:tcPr>
            <w:tcW w:type="dxa" w:w="2160"/>
          </w:tcPr>
          <w:p>
            <w:pPr>
              <w:jc w:val="left"/>
            </w:pPr>
            <w:r/>
            <w:r>
              <w:rPr>
                <w:b w:val="0"/>
                <w:i w:val="0"/>
                <w:sz w:val="18"/>
              </w:rPr>
              <w:t>SAR 72</w:t>
            </w:r>
          </w:p>
        </w:tc>
        <w:tc>
          <w:tcPr>
            <w:tcW w:type="dxa" w:w="2160"/>
          </w:tcPr>
          <w:p>
            <w:pPr>
              <w:jc w:val="right"/>
            </w:pPr>
            <w:r/>
            <w:r>
              <w:rPr>
                <w:b w:val="0"/>
                <w:i w:val="0"/>
                <w:sz w:val="18"/>
              </w:rPr>
              <w:t>3%</w:t>
            </w:r>
          </w:p>
        </w:tc>
        <w:tc>
          <w:tcPr>
            <w:tcW w:type="dxa" w:w="2160"/>
          </w:tcPr>
          <w:p>
            <w:pPr>
              <w:jc w:val="right"/>
            </w:pPr>
            <w:r/>
            <w:r>
              <w:rPr>
                <w:b w:val="0"/>
                <w:i w:val="0"/>
                <w:sz w:val="18"/>
              </w:rPr>
              <w:t>22%</w:t>
            </w:r>
          </w:p>
        </w:tc>
        <w:tc>
          <w:tcPr>
            <w:tcW w:type="dxa" w:w="2736"/>
          </w:tcPr>
          <w:p>
            <w:pPr>
              <w:jc w:val="right"/>
            </w:pPr>
            <w:r/>
            <w:r>
              <w:rPr>
                <w:b w:val="0"/>
                <w:i w:val="0"/>
                <w:sz w:val="18"/>
              </w:rPr>
              <w:t>Upper tail</w:t>
            </w:r>
          </w:p>
        </w:tc>
      </w:tr>
      <w:tr>
        <w:tc>
          <w:tcPr>
            <w:tcW w:type="dxa" w:w="2160"/>
          </w:tcPr>
          <w:p>
            <w:pPr>
              <w:jc w:val="left"/>
            </w:pPr>
            <w:r/>
            <w:r>
              <w:rPr>
                <w:b w:val="0"/>
                <w:i w:val="0"/>
                <w:sz w:val="18"/>
              </w:rPr>
              <w:t>SAR 66</w:t>
            </w:r>
          </w:p>
        </w:tc>
        <w:tc>
          <w:tcPr>
            <w:tcW w:type="dxa" w:w="2160"/>
          </w:tcPr>
          <w:p>
            <w:pPr>
              <w:jc w:val="right"/>
            </w:pPr>
            <w:r/>
            <w:r>
              <w:rPr>
                <w:b w:val="0"/>
                <w:i w:val="0"/>
                <w:sz w:val="18"/>
              </w:rPr>
              <w:t>20%</w:t>
            </w:r>
          </w:p>
        </w:tc>
        <w:tc>
          <w:tcPr>
            <w:tcW w:type="dxa" w:w="2160"/>
          </w:tcPr>
          <w:p>
            <w:pPr>
              <w:jc w:val="right"/>
            </w:pPr>
            <w:r/>
            <w:r>
              <w:rPr>
                <w:b w:val="0"/>
                <w:i w:val="0"/>
                <w:sz w:val="18"/>
              </w:rPr>
              <w:t>48%</w:t>
            </w:r>
          </w:p>
        </w:tc>
        <w:tc>
          <w:tcPr>
            <w:tcW w:type="dxa" w:w="2736"/>
          </w:tcPr>
          <w:p>
            <w:pPr>
              <w:jc w:val="right"/>
            </w:pPr>
            <w:r/>
            <w:r>
              <w:rPr>
                <w:b w:val="0"/>
                <w:i w:val="0"/>
                <w:sz w:val="18"/>
              </w:rPr>
              <w:t>Above the MA stack</w:t>
            </w:r>
          </w:p>
        </w:tc>
      </w:tr>
      <w:tr>
        <w:tc>
          <w:tcPr>
            <w:tcW w:type="dxa" w:w="2160"/>
          </w:tcPr>
          <w:p>
            <w:pPr>
              <w:jc w:val="left"/>
            </w:pPr>
            <w:r/>
            <w:r>
              <w:rPr>
                <w:b w:val="0"/>
                <w:i w:val="0"/>
                <w:sz w:val="18"/>
              </w:rPr>
              <w:t>SAR 62</w:t>
            </w:r>
          </w:p>
        </w:tc>
        <w:tc>
          <w:tcPr>
            <w:tcW w:type="dxa" w:w="2160"/>
          </w:tcPr>
          <w:p>
            <w:pPr>
              <w:jc w:val="right"/>
            </w:pPr>
            <w:r/>
            <w:r>
              <w:rPr>
                <w:b w:val="0"/>
                <w:i w:val="0"/>
                <w:sz w:val="18"/>
              </w:rPr>
              <w:t>52%</w:t>
            </w:r>
          </w:p>
        </w:tc>
        <w:tc>
          <w:tcPr>
            <w:tcW w:type="dxa" w:w="2160"/>
          </w:tcPr>
          <w:p>
            <w:pPr>
              <w:jc w:val="right"/>
            </w:pPr>
            <w:r/>
            <w:r>
              <w:rPr>
                <w:b w:val="0"/>
                <w:i w:val="0"/>
                <w:sz w:val="18"/>
              </w:rPr>
              <w:t>73%</w:t>
            </w:r>
          </w:p>
        </w:tc>
        <w:tc>
          <w:tcPr>
            <w:tcW w:type="dxa" w:w="2736"/>
          </w:tcPr>
          <w:p>
            <w:pPr>
              <w:jc w:val="right"/>
            </w:pPr>
            <w:r/>
            <w:r>
              <w:rPr>
                <w:b w:val="0"/>
                <w:i w:val="0"/>
                <w:sz w:val="18"/>
              </w:rPr>
              <w:t>Just above spot</w:t>
            </w:r>
          </w:p>
        </w:tc>
      </w:tr>
      <w:tr>
        <w:tc>
          <w:tcPr>
            <w:tcW w:type="dxa" w:w="2160"/>
          </w:tcPr>
          <w:p>
            <w:pPr>
              <w:jc w:val="left"/>
            </w:pPr>
            <w:r/>
            <w:r>
              <w:rPr>
                <w:b w:val="0"/>
                <w:i w:val="0"/>
                <w:sz w:val="18"/>
              </w:rPr>
              <w:t>SAR 58</w:t>
            </w:r>
          </w:p>
        </w:tc>
        <w:tc>
          <w:tcPr>
            <w:tcW w:type="dxa" w:w="2160"/>
          </w:tcPr>
          <w:p>
            <w:pPr>
              <w:jc w:val="right"/>
            </w:pPr>
            <w:r/>
            <w:r>
              <w:rPr>
                <w:b w:val="0"/>
                <w:i w:val="0"/>
                <w:sz w:val="18"/>
              </w:rPr>
              <w:t>76%</w:t>
            </w:r>
          </w:p>
        </w:tc>
        <w:tc>
          <w:tcPr>
            <w:tcW w:type="dxa" w:w="2160"/>
          </w:tcPr>
          <w:p>
            <w:pPr>
              <w:jc w:val="right"/>
            </w:pPr>
            <w:r/>
            <w:r>
              <w:rPr>
                <w:b w:val="0"/>
                <w:i w:val="0"/>
                <w:sz w:val="18"/>
              </w:rPr>
              <w:t>85%</w:t>
            </w:r>
          </w:p>
        </w:tc>
        <w:tc>
          <w:tcPr>
            <w:tcW w:type="dxa" w:w="2736"/>
          </w:tcPr>
          <w:p>
            <w:pPr>
              <w:jc w:val="right"/>
            </w:pPr>
            <w:r/>
            <w:r>
              <w:rPr>
                <w:b w:val="0"/>
                <w:i w:val="0"/>
                <w:sz w:val="18"/>
              </w:rPr>
              <w:t>Around spot</w:t>
            </w:r>
          </w:p>
        </w:tc>
      </w:tr>
      <w:tr>
        <w:tc>
          <w:tcPr>
            <w:tcW w:type="dxa" w:w="2160"/>
          </w:tcPr>
          <w:p>
            <w:pPr>
              <w:jc w:val="left"/>
            </w:pPr>
            <w:r/>
            <w:r>
              <w:rPr>
                <w:b w:val="0"/>
                <w:i w:val="0"/>
                <w:sz w:val="18"/>
              </w:rPr>
              <w:t>SAR 54</w:t>
            </w:r>
          </w:p>
        </w:tc>
        <w:tc>
          <w:tcPr>
            <w:tcW w:type="dxa" w:w="2160"/>
          </w:tcPr>
          <w:p>
            <w:pPr>
              <w:jc w:val="right"/>
            </w:pPr>
            <w:r/>
            <w:r>
              <w:rPr>
                <w:b w:val="0"/>
                <w:i w:val="0"/>
                <w:sz w:val="18"/>
              </w:rPr>
              <w:t>28%</w:t>
            </w:r>
          </w:p>
        </w:tc>
        <w:tc>
          <w:tcPr>
            <w:tcW w:type="dxa" w:w="2160"/>
          </w:tcPr>
          <w:p>
            <w:pPr>
              <w:jc w:val="right"/>
            </w:pPr>
            <w:r/>
            <w:r>
              <w:rPr>
                <w:b w:val="0"/>
                <w:i w:val="0"/>
                <w:sz w:val="18"/>
              </w:rPr>
              <w:t>51%</w:t>
            </w:r>
          </w:p>
        </w:tc>
        <w:tc>
          <w:tcPr>
            <w:tcW w:type="dxa" w:w="2736"/>
          </w:tcPr>
          <w:p>
            <w:pPr>
              <w:jc w:val="right"/>
            </w:pPr>
            <w:r/>
            <w:r>
              <w:rPr>
                <w:b w:val="0"/>
                <w:i w:val="0"/>
                <w:sz w:val="18"/>
              </w:rPr>
              <w:t>Just below spot</w:t>
            </w:r>
          </w:p>
        </w:tc>
      </w:tr>
      <w:tr>
        <w:tc>
          <w:tcPr>
            <w:tcW w:type="dxa" w:w="2160"/>
          </w:tcPr>
          <w:p>
            <w:pPr>
              <w:jc w:val="left"/>
            </w:pPr>
            <w:r/>
            <w:r>
              <w:rPr>
                <w:b w:val="0"/>
                <w:i w:val="0"/>
                <w:sz w:val="18"/>
              </w:rPr>
              <w:t>SAR 50</w:t>
            </w:r>
          </w:p>
        </w:tc>
        <w:tc>
          <w:tcPr>
            <w:tcW w:type="dxa" w:w="2160"/>
          </w:tcPr>
          <w:p>
            <w:pPr>
              <w:jc w:val="right"/>
            </w:pPr>
            <w:r/>
            <w:r>
              <w:rPr>
                <w:b w:val="0"/>
                <w:i w:val="0"/>
                <w:sz w:val="18"/>
              </w:rPr>
              <w:t>6%</w:t>
            </w:r>
          </w:p>
        </w:tc>
        <w:tc>
          <w:tcPr>
            <w:tcW w:type="dxa" w:w="2160"/>
          </w:tcPr>
          <w:p>
            <w:pPr>
              <w:jc w:val="right"/>
            </w:pPr>
            <w:r/>
            <w:r>
              <w:rPr>
                <w:b w:val="0"/>
                <w:i w:val="0"/>
                <w:sz w:val="18"/>
              </w:rPr>
              <w:t>25%</w:t>
            </w:r>
          </w:p>
        </w:tc>
        <w:tc>
          <w:tcPr>
            <w:tcW w:type="dxa" w:w="2736"/>
          </w:tcPr>
          <w:p>
            <w:pPr>
              <w:jc w:val="right"/>
            </w:pPr>
            <w:r/>
            <w:r>
              <w:rPr>
                <w:b w:val="0"/>
                <w:i w:val="0"/>
                <w:sz w:val="18"/>
              </w:rPr>
              <w:t>Toward the 52-wk low</w:t>
            </w:r>
          </w:p>
        </w:tc>
      </w:tr>
      <w:tr>
        <w:tc>
          <w:tcPr>
            <w:tcW w:type="dxa" w:w="2160"/>
          </w:tcPr>
          <w:p>
            <w:pPr>
              <w:jc w:val="left"/>
            </w:pPr>
            <w:r/>
            <w:r>
              <w:rPr>
                <w:b w:val="0"/>
                <w:i w:val="0"/>
                <w:sz w:val="18"/>
              </w:rPr>
              <w:t>SAR 46</w:t>
            </w:r>
          </w:p>
        </w:tc>
        <w:tc>
          <w:tcPr>
            <w:tcW w:type="dxa" w:w="2160"/>
          </w:tcPr>
          <w:p>
            <w:pPr>
              <w:jc w:val="right"/>
            </w:pPr>
            <w:r/>
            <w:r>
              <w:rPr>
                <w:b w:val="0"/>
                <w:i w:val="0"/>
                <w:sz w:val="18"/>
              </w:rPr>
              <w:t>1%</w:t>
            </w:r>
          </w:p>
        </w:tc>
        <w:tc>
          <w:tcPr>
            <w:tcW w:type="dxa" w:w="2160"/>
          </w:tcPr>
          <w:p>
            <w:pPr>
              <w:jc w:val="right"/>
            </w:pPr>
            <w:r/>
            <w:r>
              <w:rPr>
                <w:b w:val="0"/>
                <w:i w:val="0"/>
                <w:sz w:val="18"/>
              </w:rPr>
              <w:t>9%</w:t>
            </w:r>
          </w:p>
        </w:tc>
        <w:tc>
          <w:tcPr>
            <w:tcW w:type="dxa" w:w="2736"/>
          </w:tcPr>
          <w:p>
            <w:pPr>
              <w:jc w:val="right"/>
            </w:pPr>
            <w:r/>
            <w:r>
              <w:rPr>
                <w:b w:val="0"/>
                <w:i w:val="0"/>
                <w:sz w:val="18"/>
              </w:rPr>
              <w:t>Below the range / near central</w:t>
            </w:r>
          </w:p>
        </w:tc>
      </w:tr>
    </w:tbl>
    <w:p>
      <w:pPr>
        <w:jc w:val="center"/>
      </w:pPr>
      <w:r>
        <w:drawing>
          <wp:inline xmlns:a="http://schemas.openxmlformats.org/drawingml/2006/main" xmlns:pic="http://schemas.openxmlformats.org/drawingml/2006/picture">
            <wp:extent cx="5486400" cy="2917767"/>
            <wp:docPr id="7" name="Picture 7"/>
            <wp:cNvGraphicFramePr>
              <a:graphicFrameLocks noChangeAspect="1"/>
            </wp:cNvGraphicFramePr>
            <a:graphic>
              <a:graphicData uri="http://schemas.openxmlformats.org/drawingml/2006/picture">
                <pic:pic>
                  <pic:nvPicPr>
                    <pic:cNvPr id="0" name="fig7_touch.png"/>
                    <pic:cNvPicPr/>
                  </pic:nvPicPr>
                  <pic:blipFill>
                    <a:blip r:embed="rId15"/>
                    <a:stretch>
                      <a:fillRect/>
                    </a:stretch>
                  </pic:blipFill>
                  <pic:spPr>
                    <a:xfrm>
                      <a:off x="0" y="0"/>
                      <a:ext cx="5486400" cy="2917767"/>
                    </a:xfrm>
                    <a:prstGeom prst="rect"/>
                  </pic:spPr>
                </pic:pic>
              </a:graphicData>
            </a:graphic>
          </wp:inline>
        </w:drawing>
      </w:r>
    </w:p>
    <w:p>
      <w:pPr>
        <w:spacing w:after="160"/>
      </w:pPr>
      <w:r>
        <w:rPr>
          <w:b w:val="0"/>
          <w:i/>
          <w:color w:val="595959"/>
          <w:sz w:val="17"/>
        </w:rPr>
        <w:t>Figure 7 — Level-touch ladder to T+60.</w:t>
      </w:r>
    </w:p>
    <w:p>
      <w:pPr>
        <w:spacing w:before="200" w:after="80"/>
      </w:pPr>
      <w:r>
        <w:rPr>
          <w:b/>
          <w:i w:val="0"/>
          <w:color w:val="1B5E5E"/>
          <w:sz w:val="30"/>
        </w:rPr>
        <w:t>4  Comparison of the lenses, and a verdict</w:t>
      </w:r>
    </w:p>
    <w:p>
      <w:pPr>
        <w:spacing w:after="120"/>
      </w:pPr>
      <w:r>
        <w:rPr>
          <w:b w:val="0"/>
          <w:i w:val="0"/>
          <w:sz w:val="21"/>
        </w:rPr>
        <w:t>Three readings sit side by side. The fundamental lenses cluster at SAR 26–47 with a central SAR 42 — clearly below spot, contingent on the growth pipeline. The technical picture agrees: weak, below-trend, oversold-leaning, with the visible floor near SAR 51. The probabilistic map says that over three months price is roughly symmetric around spot with a wide band — the median is SAR 60, not SAR 42, because the simulation does not assume the value gap closes inside the quarter.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B5E5E"/>
          </w:tcPr>
          <w:p>
            <w:r/>
            <w:r>
              <w:rPr>
                <w:b/>
                <w:i w:val="0"/>
                <w:color w:val="FFFFFF"/>
                <w:sz w:val="19"/>
              </w:rPr>
              <w:t>Lens</w:t>
            </w:r>
          </w:p>
        </w:tc>
        <w:tc>
          <w:tcPr>
            <w:tcW w:type="dxa" w:w="2592"/>
            <w:shd w:val="clear" w:fill="1B5E5E"/>
          </w:tcPr>
          <w:p>
            <w:r/>
            <w:r>
              <w:rPr>
                <w:b/>
                <w:i w:val="0"/>
                <w:color w:val="FFFFFF"/>
                <w:sz w:val="19"/>
              </w:rPr>
              <w:t>Reads</w:t>
            </w:r>
          </w:p>
        </w:tc>
        <w:tc>
          <w:tcPr>
            <w:tcW w:type="dxa" w:w="3744"/>
            <w:shd w:val="clear" w:fill="1B5E5E"/>
          </w:tcPr>
          <w:p>
            <w:r/>
            <w:r>
              <w:rPr>
                <w:b/>
                <w:i w:val="0"/>
                <w:color w:val="FFFFFF"/>
                <w:sz w:val="19"/>
              </w:rPr>
              <w:t>Central / implication</w:t>
            </w:r>
          </w:p>
        </w:tc>
      </w:tr>
      <w:tr>
        <w:tc>
          <w:tcPr>
            <w:tcW w:type="dxa" w:w="2880"/>
          </w:tcPr>
          <w:p>
            <w:pPr>
              <w:jc w:val="left"/>
            </w:pPr>
            <w:r/>
            <w:r>
              <w:rPr>
                <w:b w:val="0"/>
                <w:i w:val="0"/>
                <w:sz w:val="18"/>
              </w:rPr>
              <w:t>Fundamental (4-lens)</w:t>
            </w:r>
          </w:p>
        </w:tc>
        <w:tc>
          <w:tcPr>
            <w:tcW w:type="dxa" w:w="2592"/>
          </w:tcPr>
          <w:p>
            <w:pPr>
              <w:jc w:val="right"/>
            </w:pPr>
            <w:r/>
            <w:r>
              <w:rPr>
                <w:b w:val="0"/>
                <w:i w:val="0"/>
                <w:sz w:val="18"/>
              </w:rPr>
              <w:t>Richly valued</w:t>
            </w:r>
          </w:p>
        </w:tc>
        <w:tc>
          <w:tcPr>
            <w:tcW w:type="dxa" w:w="3744"/>
          </w:tcPr>
          <w:p>
            <w:pPr>
              <w:jc w:val="right"/>
            </w:pPr>
            <w:r/>
            <w:r>
              <w:rPr>
                <w:b w:val="0"/>
                <w:i w:val="0"/>
                <w:sz w:val="18"/>
              </w:rPr>
              <w:t>SAR 42 (~−29%)</w:t>
            </w:r>
          </w:p>
        </w:tc>
      </w:tr>
      <w:tr>
        <w:tc>
          <w:tcPr>
            <w:tcW w:type="dxa" w:w="2880"/>
          </w:tcPr>
          <w:p>
            <w:pPr>
              <w:jc w:val="left"/>
            </w:pPr>
            <w:r/>
            <w:r>
              <w:rPr>
                <w:b w:val="0"/>
                <w:i w:val="0"/>
                <w:sz w:val="18"/>
              </w:rPr>
              <w:t>Technical</w:t>
            </w:r>
          </w:p>
        </w:tc>
        <w:tc>
          <w:tcPr>
            <w:tcW w:type="dxa" w:w="2592"/>
          </w:tcPr>
          <w:p>
            <w:pPr>
              <w:jc w:val="right"/>
            </w:pPr>
            <w:r/>
            <w:r>
              <w:rPr>
                <w:b w:val="0"/>
                <w:i w:val="0"/>
                <w:sz w:val="18"/>
              </w:rPr>
              <w:t>Weak / oversold</w:t>
            </w:r>
          </w:p>
        </w:tc>
        <w:tc>
          <w:tcPr>
            <w:tcW w:type="dxa" w:w="3744"/>
          </w:tcPr>
          <w:p>
            <w:pPr>
              <w:jc w:val="right"/>
            </w:pPr>
            <w:r/>
            <w:r>
              <w:rPr>
                <w:b w:val="0"/>
                <w:i w:val="0"/>
                <w:sz w:val="18"/>
              </w:rPr>
              <w:t>Floor ~SAR 51; resistance at the MA stack SAR 63–67</w:t>
            </w:r>
          </w:p>
        </w:tc>
      </w:tr>
      <w:tr>
        <w:tc>
          <w:tcPr>
            <w:tcW w:type="dxa" w:w="2880"/>
          </w:tcPr>
          <w:p>
            <w:pPr>
              <w:jc w:val="left"/>
            </w:pPr>
            <w:r/>
            <w:r>
              <w:rPr>
                <w:b w:val="0"/>
                <w:i w:val="0"/>
                <w:sz w:val="18"/>
              </w:rPr>
              <w:t>Monte Carlo (3-month)</w:t>
            </w:r>
          </w:p>
        </w:tc>
        <w:tc>
          <w:tcPr>
            <w:tcW w:type="dxa" w:w="2592"/>
          </w:tcPr>
          <w:p>
            <w:pPr>
              <w:jc w:val="right"/>
            </w:pPr>
            <w:r/>
            <w:r>
              <w:rPr>
                <w:b w:val="0"/>
                <w:i w:val="0"/>
                <w:sz w:val="18"/>
              </w:rPr>
              <w:t>Symmetric, wide</w:t>
            </w:r>
          </w:p>
        </w:tc>
        <w:tc>
          <w:tcPr>
            <w:tcW w:type="dxa" w:w="3744"/>
          </w:tcPr>
          <w:p>
            <w:pPr>
              <w:jc w:val="right"/>
            </w:pPr>
            <w:r/>
            <w:r>
              <w:rPr>
                <w:b w:val="0"/>
                <w:i w:val="0"/>
                <w:sz w:val="18"/>
              </w:rPr>
              <w:t>Median SAR 60; p5–p95 SAR 46–78</w:t>
            </w:r>
          </w:p>
        </w:tc>
      </w:tr>
    </w:tbl>
    <w:p>
      <w:pPr>
        <w:spacing w:after="160"/>
      </w:pPr>
      <w:r>
        <w:rPr>
          <w:b/>
          <w:i w:val="0"/>
          <w:sz w:val="21"/>
        </w:rPr>
        <w:t xml:space="preserve">Verdict (a fair-value read, not a recommendation).  </w:t>
      </w:r>
      <w:r>
        <w:rPr>
          <w:b w:val="0"/>
          <w:i w:val="0"/>
          <w:sz w:val="21"/>
        </w:rPr>
        <w:t>Ma'aden looks richly valued on every fundamental lens, with the entire premium resting on one broad proposition: that a tier-one, gas-advantaged, PIF-backed platform mid-build deserves ~15.6× EV/EBITDA. The technical weakness and the wide, spot-centred three-month distribution argue that any resolution is a question of commodity prices and project delivery over quarters and years, not an imminent move. The honest summary is a value materially below price, a near-term distribution centred on price, and an outcome that hinges on the second clock — the growth pipeline earning its cost of capital. Readers should weigh the lenses themselves; we publish the distribution, not a target.</w:t>
      </w:r>
    </w:p>
    <w:p>
      <w:pPr>
        <w:spacing w:before="200" w:after="80"/>
      </w:pPr>
      <w:r>
        <w:rPr>
          <w:b/>
          <w:i w:val="0"/>
          <w:color w:val="1B5E5E"/>
          <w:sz w:val="30"/>
        </w:rPr>
        <w:t>5  Catalysts to watch</w:t>
      </w:r>
    </w:p>
    <w:p>
      <w:pPr>
        <w:pStyle w:val="ListBullet"/>
        <w:spacing w:after="80"/>
      </w:pPr>
      <w:r>
        <w:rPr>
          <w:b/>
          <w:i w:val="0"/>
          <w:sz w:val="21"/>
        </w:rPr>
        <w:t xml:space="preserve">Q2-FY26 results (mid-Aug 2026).  </w:t>
      </w:r>
      <w:r>
        <w:rPr>
          <w:b w:val="0"/>
          <w:i w:val="0"/>
          <w:sz w:val="21"/>
        </w:rPr>
        <w:t>First read on whether phosphate and gold margins are holding near their recent strength and how aluminium is tracking.</w:t>
      </w:r>
    </w:p>
    <w:p>
      <w:pPr>
        <w:pStyle w:val="ListBullet"/>
        <w:spacing w:after="80"/>
      </w:pPr>
      <w:r>
        <w:rPr>
          <w:b/>
          <w:i w:val="0"/>
          <w:sz w:val="21"/>
        </w:rPr>
        <w:t xml:space="preserve">The commodity deck.  </w:t>
      </w:r>
      <w:r>
        <w:rPr>
          <w:b w:val="0"/>
          <w:i w:val="0"/>
          <w:sz w:val="21"/>
        </w:rPr>
        <w:t>DAP FOB price, LME aluminium and the gold price — the three legs of the top line, each USD-priced and flowing through the peg.</w:t>
      </w:r>
    </w:p>
    <w:p>
      <w:pPr>
        <w:pStyle w:val="ListBullet"/>
        <w:spacing w:after="80"/>
      </w:pPr>
      <w:r>
        <w:rPr>
          <w:b/>
          <w:i w:val="0"/>
          <w:sz w:val="21"/>
        </w:rPr>
        <w:t xml:space="preserve">Phosphate 3 progress.  </w:t>
      </w:r>
      <w:r>
        <w:rPr>
          <w:b w:val="0"/>
          <w:i w:val="0"/>
          <w:sz w:val="21"/>
        </w:rPr>
        <w:t>Milestones, capex phasing and first-output timing on the flagship expansion — the single biggest driver of the growth case.</w:t>
      </w:r>
    </w:p>
    <w:p>
      <w:pPr>
        <w:pStyle w:val="ListBullet"/>
        <w:spacing w:after="80"/>
      </w:pPr>
      <w:r>
        <w:rPr>
          <w:b/>
          <w:i w:val="0"/>
          <w:sz w:val="21"/>
        </w:rPr>
        <w:t xml:space="preserve">Gold-doubling pipeline.  </w:t>
      </w:r>
      <w:r>
        <w:rPr>
          <w:b w:val="0"/>
          <w:i w:val="0"/>
          <w:sz w:val="21"/>
        </w:rPr>
        <w:t>Mansourah-Massarah ramp and Ar Rjum development toward the end-of-decade doubling target.</w:t>
      </w:r>
    </w:p>
    <w:p>
      <w:pPr>
        <w:pStyle w:val="ListBullet"/>
        <w:spacing w:after="80"/>
      </w:pPr>
      <w:r>
        <w:rPr>
          <w:b/>
          <w:i w:val="0"/>
          <w:sz w:val="21"/>
        </w:rPr>
        <w:t xml:space="preserve">Manara Minerals / international M&amp;A.  </w:t>
      </w:r>
      <w:r>
        <w:rPr>
          <w:b w:val="0"/>
          <w:i w:val="0"/>
          <w:sz w:val="21"/>
        </w:rPr>
        <w:t>Any new stake (following Vale Base Metals and the copper interests) — a swing on strategy and capital allocation.</w:t>
      </w:r>
    </w:p>
    <w:p>
      <w:pPr>
        <w:pStyle w:val="ListBullet"/>
        <w:spacing w:after="80"/>
      </w:pPr>
      <w:r>
        <w:rPr>
          <w:b/>
          <w:i w:val="0"/>
          <w:sz w:val="21"/>
        </w:rPr>
        <w:t xml:space="preserve">Domestic gas price.  </w:t>
      </w:r>
      <w:r>
        <w:rPr>
          <w:b w:val="0"/>
          <w:i w:val="0"/>
          <w:sz w:val="21"/>
        </w:rPr>
        <w:t>Any reset of the regulated feedstock price would move the crown-jewel phosphate and aluminium margins directly.</w:t>
      </w:r>
    </w:p>
    <w:p>
      <w:pPr>
        <w:pStyle w:val="ListBullet"/>
        <w:spacing w:after="80"/>
      </w:pPr>
      <w:r>
        <w:rPr>
          <w:b/>
          <w:i w:val="0"/>
          <w:sz w:val="21"/>
        </w:rPr>
        <w:t xml:space="preserve">Capital return.  </w:t>
      </w:r>
      <w:r>
        <w:rPr>
          <w:b w:val="0"/>
          <w:i w:val="0"/>
          <w:sz w:val="21"/>
        </w:rPr>
        <w:t>Ma'aden pays no dividend today; an initiation or a clear capital-return signal would be a re-rating catalyst.</w:t>
      </w:r>
    </w:p>
    <w:p>
      <w:pPr>
        <w:pStyle w:val="ListBullet"/>
        <w:spacing w:after="80"/>
      </w:pPr>
      <w:r>
        <w:rPr>
          <w:b/>
          <w:i w:val="0"/>
          <w:sz w:val="21"/>
        </w:rPr>
        <w:t xml:space="preserve">PIF / index events.  </w:t>
      </w:r>
      <w:r>
        <w:rPr>
          <w:b w:val="0"/>
          <w:i w:val="0"/>
          <w:sz w:val="21"/>
        </w:rPr>
        <w:t>Free-float changes, MSCI/passive rebalancing flows, and any Vision-2030 policy step touching the minerals sector.</w:t>
      </w:r>
    </w:p>
    <w:p>
      <w:pPr>
        <w:spacing w:before="200" w:after="80"/>
      </w:pPr>
      <w:r>
        <w:rPr>
          <w:b/>
          <w:i w:val="0"/>
          <w:color w:val="1B5E5E"/>
          <w:sz w:val="30"/>
        </w:rPr>
        <w:t>6  Reading the probability zones</w:t>
      </w:r>
    </w:p>
    <w:p>
      <w:pPr>
        <w:spacing w:after="120"/>
      </w:pPr>
      <w:r>
        <w:rPr>
          <w:b w:val="0"/>
          <w:i w:val="0"/>
          <w:sz w:val="21"/>
        </w:rPr>
        <w:t>Translating the three-month distribution into plain zones, anchored on spot SAR 58.8 and the fair-value cluster near SAR 42: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B5E5E"/>
          </w:tcPr>
          <w:p>
            <w:r/>
            <w:r>
              <w:rPr>
                <w:b/>
                <w:i w:val="0"/>
                <w:color w:val="FFFFFF"/>
                <w:sz w:val="19"/>
              </w:rPr>
              <w:t>Zone (T+60)</w:t>
            </w:r>
          </w:p>
        </w:tc>
        <w:tc>
          <w:tcPr>
            <w:tcW w:type="dxa" w:w="1872"/>
            <w:shd w:val="clear" w:fill="1B5E5E"/>
          </w:tcPr>
          <w:p>
            <w:r/>
            <w:r>
              <w:rPr>
                <w:b/>
                <w:i w:val="0"/>
                <w:color w:val="FFFFFF"/>
                <w:sz w:val="19"/>
              </w:rPr>
              <w:t>Range</w:t>
            </w:r>
          </w:p>
        </w:tc>
        <w:tc>
          <w:tcPr>
            <w:tcW w:type="dxa" w:w="2016"/>
            <w:shd w:val="clear" w:fill="1B5E5E"/>
          </w:tcPr>
          <w:p>
            <w:r/>
            <w:r>
              <w:rPr>
                <w:b/>
                <w:i w:val="0"/>
                <w:color w:val="FFFFFF"/>
                <w:sz w:val="19"/>
              </w:rPr>
              <w:t>Approx. probability</w:t>
            </w:r>
          </w:p>
        </w:tc>
        <w:tc>
          <w:tcPr>
            <w:tcW w:type="dxa" w:w="3168"/>
            <w:shd w:val="clear" w:fill="1B5E5E"/>
          </w:tcPr>
          <w:p>
            <w:r/>
            <w:r>
              <w:rPr>
                <w:b/>
                <w:i w:val="0"/>
                <w:color w:val="FFFFFF"/>
                <w:sz w:val="19"/>
              </w:rPr>
              <w:t>What it would mean</w:t>
            </w:r>
          </w:p>
        </w:tc>
      </w:tr>
      <w:tr>
        <w:tc>
          <w:tcPr>
            <w:tcW w:type="dxa" w:w="2160"/>
          </w:tcPr>
          <w:p>
            <w:pPr>
              <w:jc w:val="left"/>
            </w:pPr>
            <w:r/>
            <w:r>
              <w:rPr>
                <w:b w:val="0"/>
                <w:i w:val="0"/>
                <w:sz w:val="18"/>
              </w:rPr>
              <w:t>Deep downside</w:t>
            </w:r>
          </w:p>
        </w:tc>
        <w:tc>
          <w:tcPr>
            <w:tcW w:type="dxa" w:w="1872"/>
          </w:tcPr>
          <w:p>
            <w:pPr>
              <w:jc w:val="right"/>
            </w:pPr>
            <w:r/>
            <w:r>
              <w:rPr>
                <w:b w:val="0"/>
                <w:i w:val="0"/>
                <w:sz w:val="18"/>
              </w:rPr>
              <w:t>&lt; SAR 50</w:t>
            </w:r>
          </w:p>
        </w:tc>
        <w:tc>
          <w:tcPr>
            <w:tcW w:type="dxa" w:w="2016"/>
          </w:tcPr>
          <w:p>
            <w:pPr>
              <w:jc w:val="right"/>
            </w:pPr>
            <w:r/>
            <w:r>
              <w:rPr>
                <w:b w:val="0"/>
                <w:i w:val="0"/>
                <w:sz w:val="18"/>
              </w:rPr>
              <w:t>~18%</w:t>
            </w:r>
          </w:p>
        </w:tc>
        <w:tc>
          <w:tcPr>
            <w:tcW w:type="dxa" w:w="3168"/>
          </w:tcPr>
          <w:p>
            <w:pPr>
              <w:jc w:val="right"/>
            </w:pPr>
            <w:r/>
            <w:r>
              <w:rPr>
                <w:b w:val="0"/>
                <w:i w:val="0"/>
                <w:sz w:val="18"/>
              </w:rPr>
              <w:t>Commodity fade / risk-off; tests the 52-wk low, toward fundamental value</w:t>
            </w:r>
          </w:p>
        </w:tc>
      </w:tr>
      <w:tr>
        <w:tc>
          <w:tcPr>
            <w:tcW w:type="dxa" w:w="2160"/>
          </w:tcPr>
          <w:p>
            <w:pPr>
              <w:jc w:val="left"/>
            </w:pPr>
            <w:r/>
            <w:r>
              <w:rPr>
                <w:b w:val="0"/>
                <w:i w:val="0"/>
                <w:sz w:val="18"/>
              </w:rPr>
              <w:t>Lower band</w:t>
            </w:r>
          </w:p>
        </w:tc>
        <w:tc>
          <w:tcPr>
            <w:tcW w:type="dxa" w:w="1872"/>
          </w:tcPr>
          <w:p>
            <w:pPr>
              <w:jc w:val="right"/>
            </w:pPr>
            <w:r/>
            <w:r>
              <w:rPr>
                <w:b w:val="0"/>
                <w:i w:val="0"/>
                <w:sz w:val="18"/>
              </w:rPr>
              <w:t>SAR 50–56</w:t>
            </w:r>
          </w:p>
        </w:tc>
        <w:tc>
          <w:tcPr>
            <w:tcW w:type="dxa" w:w="2016"/>
          </w:tcPr>
          <w:p>
            <w:pPr>
              <w:jc w:val="right"/>
            </w:pPr>
            <w:r/>
            <w:r>
              <w:rPr>
                <w:b w:val="0"/>
                <w:i w:val="0"/>
                <w:sz w:val="18"/>
              </w:rPr>
              <w:t>~24%</w:t>
            </w:r>
          </w:p>
        </w:tc>
        <w:tc>
          <w:tcPr>
            <w:tcW w:type="dxa" w:w="3168"/>
          </w:tcPr>
          <w:p>
            <w:pPr>
              <w:jc w:val="right"/>
            </w:pPr>
            <w:r/>
            <w:r>
              <w:rPr>
                <w:b w:val="0"/>
                <w:i w:val="0"/>
                <w:sz w:val="18"/>
              </w:rPr>
              <w:t>De-rating continues; relative-multiple lens gains weight</w:t>
            </w:r>
          </w:p>
        </w:tc>
      </w:tr>
      <w:tr>
        <w:tc>
          <w:tcPr>
            <w:tcW w:type="dxa" w:w="2160"/>
          </w:tcPr>
          <w:p>
            <w:pPr>
              <w:jc w:val="left"/>
            </w:pPr>
            <w:r/>
            <w:r>
              <w:rPr>
                <w:b w:val="0"/>
                <w:i w:val="0"/>
                <w:sz w:val="18"/>
              </w:rPr>
              <w:t>Around spot</w:t>
            </w:r>
          </w:p>
        </w:tc>
        <w:tc>
          <w:tcPr>
            <w:tcW w:type="dxa" w:w="1872"/>
          </w:tcPr>
          <w:p>
            <w:pPr>
              <w:jc w:val="right"/>
            </w:pPr>
            <w:r/>
            <w:r>
              <w:rPr>
                <w:b w:val="0"/>
                <w:i w:val="0"/>
                <w:sz w:val="18"/>
              </w:rPr>
              <w:t>SAR 56–63</w:t>
            </w:r>
          </w:p>
        </w:tc>
        <w:tc>
          <w:tcPr>
            <w:tcW w:type="dxa" w:w="2016"/>
          </w:tcPr>
          <w:p>
            <w:pPr>
              <w:jc w:val="right"/>
            </w:pPr>
            <w:r/>
            <w:r>
              <w:rPr>
                <w:b w:val="0"/>
                <w:i w:val="0"/>
                <w:sz w:val="18"/>
              </w:rPr>
              <w:t>~30%</w:t>
            </w:r>
          </w:p>
        </w:tc>
        <w:tc>
          <w:tcPr>
            <w:tcW w:type="dxa" w:w="3168"/>
          </w:tcPr>
          <w:p>
            <w:pPr>
              <w:jc w:val="right"/>
            </w:pPr>
            <w:r/>
            <w:r>
              <w:rPr>
                <w:b w:val="0"/>
                <w:i w:val="0"/>
                <w:sz w:val="18"/>
              </w:rPr>
              <w:t>Status quo; the premium holds, value gap unclosed</w:t>
            </w:r>
          </w:p>
        </w:tc>
      </w:tr>
      <w:tr>
        <w:tc>
          <w:tcPr>
            <w:tcW w:type="dxa" w:w="2160"/>
          </w:tcPr>
          <w:p>
            <w:pPr>
              <w:jc w:val="left"/>
            </w:pPr>
            <w:r/>
            <w:r>
              <w:rPr>
                <w:b w:val="0"/>
                <w:i w:val="0"/>
                <w:sz w:val="18"/>
              </w:rPr>
              <w:t>Upper band</w:t>
            </w:r>
          </w:p>
        </w:tc>
        <w:tc>
          <w:tcPr>
            <w:tcW w:type="dxa" w:w="1872"/>
          </w:tcPr>
          <w:p>
            <w:pPr>
              <w:jc w:val="right"/>
            </w:pPr>
            <w:r/>
            <w:r>
              <w:rPr>
                <w:b w:val="0"/>
                <w:i w:val="0"/>
                <w:sz w:val="18"/>
              </w:rPr>
              <w:t>SAR 63–72</w:t>
            </w:r>
          </w:p>
        </w:tc>
        <w:tc>
          <w:tcPr>
            <w:tcW w:type="dxa" w:w="2016"/>
          </w:tcPr>
          <w:p>
            <w:pPr>
              <w:jc w:val="right"/>
            </w:pPr>
            <w:r/>
            <w:r>
              <w:rPr>
                <w:b w:val="0"/>
                <w:i w:val="0"/>
                <w:sz w:val="18"/>
              </w:rPr>
              <w:t>~19%</w:t>
            </w:r>
          </w:p>
        </w:tc>
        <w:tc>
          <w:tcPr>
            <w:tcW w:type="dxa" w:w="3168"/>
          </w:tcPr>
          <w:p>
            <w:pPr>
              <w:jc w:val="right"/>
            </w:pPr>
            <w:r/>
            <w:r>
              <w:rPr>
                <w:b w:val="0"/>
                <w:i w:val="0"/>
                <w:sz w:val="18"/>
              </w:rPr>
              <w:t>Strong commodities + pipeline credit; back toward the highs</w:t>
            </w:r>
          </w:p>
        </w:tc>
      </w:tr>
      <w:tr>
        <w:tc>
          <w:tcPr>
            <w:tcW w:type="dxa" w:w="2160"/>
          </w:tcPr>
          <w:p>
            <w:pPr>
              <w:jc w:val="left"/>
            </w:pPr>
            <w:r/>
            <w:r>
              <w:rPr>
                <w:b w:val="0"/>
                <w:i w:val="0"/>
                <w:sz w:val="18"/>
              </w:rPr>
              <w:t>Strong upside</w:t>
            </w:r>
          </w:p>
        </w:tc>
        <w:tc>
          <w:tcPr>
            <w:tcW w:type="dxa" w:w="1872"/>
          </w:tcPr>
          <w:p>
            <w:pPr>
              <w:jc w:val="right"/>
            </w:pPr>
            <w:r/>
            <w:r>
              <w:rPr>
                <w:b w:val="0"/>
                <w:i w:val="0"/>
                <w:sz w:val="18"/>
              </w:rPr>
              <w:t>&gt; SAR 72</w:t>
            </w:r>
          </w:p>
        </w:tc>
        <w:tc>
          <w:tcPr>
            <w:tcW w:type="dxa" w:w="2016"/>
          </w:tcPr>
          <w:p>
            <w:pPr>
              <w:jc w:val="right"/>
            </w:pPr>
            <w:r/>
            <w:r>
              <w:rPr>
                <w:b w:val="0"/>
                <w:i w:val="0"/>
                <w:sz w:val="18"/>
              </w:rPr>
              <w:t>~9%</w:t>
            </w:r>
          </w:p>
        </w:tc>
        <w:tc>
          <w:tcPr>
            <w:tcW w:type="dxa" w:w="3168"/>
          </w:tcPr>
          <w:p>
            <w:pPr>
              <w:jc w:val="right"/>
            </w:pPr>
            <w:r/>
            <w:r>
              <w:rPr>
                <w:b w:val="0"/>
                <w:i w:val="0"/>
                <w:sz w:val="18"/>
              </w:rPr>
              <w:t>Commodity spike and/or a capital-return or M&amp;A catalyst</w:t>
            </w:r>
          </w:p>
        </w:tc>
      </w:tr>
    </w:tbl>
    <w:p>
      <w:pPr>
        <w:spacing w:after="160"/>
      </w:pPr>
      <w:r>
        <w:rPr>
          <w:b w:val="0"/>
          <w:i w:val="0"/>
          <w:sz w:val="21"/>
        </w:rPr>
        <w:t>The distribution is close to symmetric, with a modestly heavier upper tail from the discrete upside events (a commodity spike, a capital-return signal, index flows). It is not a forecast; it is the spread of outcomes consistent with the stock's own volatility and the factor stack, and — per Appendix B — it is presented as a probability map, not a skill-validated one.</w:t>
      </w:r>
    </w:p>
    <w:p>
      <w:pPr>
        <w:spacing w:before="200" w:after="80"/>
      </w:pPr>
      <w:r>
        <w:rPr>
          <w:b/>
          <w:i w:val="0"/>
          <w:color w:val="1B5E5E"/>
          <w:sz w:val="30"/>
        </w:rPr>
        <w:t>7  Caveats and what would change our mind</w:t>
      </w:r>
    </w:p>
    <w:p>
      <w:pPr>
        <w:pStyle w:val="ListBullet"/>
        <w:spacing w:after="80"/>
      </w:pPr>
      <w:r>
        <w:rPr>
          <w:b/>
          <w:i w:val="0"/>
          <w:sz w:val="21"/>
        </w:rPr>
        <w:t xml:space="preserve">The premium is the whole question.  </w:t>
      </w:r>
      <w:r>
        <w:rPr>
          <w:b w:val="0"/>
          <w:i w:val="0"/>
          <w:sz w:val="21"/>
        </w:rPr>
        <w:t>Our central sits ~29% below spot; if the growth capex durably earns well above its cost of capital, the second-clock value grows into — or past — today's price, and our lenses would be too conservative.</w:t>
      </w:r>
    </w:p>
    <w:p>
      <w:pPr>
        <w:pStyle w:val="ListBullet"/>
        <w:spacing w:after="80"/>
      </w:pPr>
      <w:r>
        <w:rPr>
          <w:b/>
          <w:i w:val="0"/>
          <w:sz w:val="21"/>
        </w:rPr>
        <w:t xml:space="preserve">Commodity prices are the top line.  </w:t>
      </w:r>
      <w:r>
        <w:rPr>
          <w:b w:val="0"/>
          <w:i w:val="0"/>
          <w:sz w:val="21"/>
        </w:rPr>
        <w:t>The deck (DAP, aluminium, gold) is struck near recent strength; a fade toward mid-cycle would pull every lens lower, a spike would lift them.</w:t>
      </w:r>
    </w:p>
    <w:p>
      <w:pPr>
        <w:pStyle w:val="ListBullet"/>
        <w:spacing w:after="80"/>
      </w:pPr>
      <w:r>
        <w:rPr>
          <w:b/>
          <w:i w:val="0"/>
          <w:sz w:val="21"/>
        </w:rPr>
        <w:t xml:space="preserve">The peg is load-bearing.  </w:t>
      </w:r>
      <w:r>
        <w:rPr>
          <w:b w:val="0"/>
          <w:i w:val="0"/>
          <w:sz w:val="21"/>
        </w:rPr>
        <w:t>The whole model assumes SAR 3.75. A de-peg is a low-probability tail, but the one that would most change the answer.</w:t>
      </w:r>
    </w:p>
    <w:p>
      <w:pPr>
        <w:pStyle w:val="ListBullet"/>
        <w:spacing w:after="80"/>
      </w:pPr>
      <w:r>
        <w:rPr>
          <w:b/>
          <w:i w:val="0"/>
          <w:sz w:val="21"/>
        </w:rPr>
        <w:t xml:space="preserve">Gas is the moat.  </w:t>
      </w:r>
      <w:r>
        <w:rPr>
          <w:b w:val="0"/>
          <w:i w:val="0"/>
          <w:sz w:val="21"/>
        </w:rPr>
        <w:t>The phosphate and aluminium cost advantage rests on a very low regulated gas price; a reset higher compresses the crown jewel.</w:t>
      </w:r>
    </w:p>
    <w:p>
      <w:pPr>
        <w:pStyle w:val="ListBullet"/>
        <w:spacing w:after="80"/>
      </w:pPr>
      <w:r>
        <w:rPr>
          <w:b/>
          <w:i w:val="0"/>
          <w:sz w:val="21"/>
        </w:rPr>
        <w:t xml:space="preserve">Capex suppresses cash.  </w:t>
      </w:r>
      <w:r>
        <w:rPr>
          <w:b w:val="0"/>
          <w:i w:val="0"/>
          <w:sz w:val="21"/>
        </w:rPr>
        <w:t>The build-out means free cash can stay thin for years even as profit grows, which the DCF treats but cannot precisely time; execution risk on Phosphate 3 and the gold build is real.</w:t>
      </w:r>
    </w:p>
    <w:p>
      <w:pPr>
        <w:pStyle w:val="ListBullet"/>
        <w:spacing w:after="80"/>
      </w:pPr>
      <w:r>
        <w:rPr>
          <w:b/>
          <w:i w:val="0"/>
          <w:sz w:val="21"/>
        </w:rPr>
        <w:t xml:space="preserve">Thin float, policy vehicle.  </w:t>
      </w:r>
      <w:r>
        <w:rPr>
          <w:b w:val="0"/>
          <w:i w:val="0"/>
          <w:sz w:val="21"/>
        </w:rPr>
        <w:t>With PIF ~64%, the free float is small and the stock trades partly on policy and flow, which can push price far from fundamental value in either direction.</w:t>
      </w:r>
    </w:p>
    <w:p>
      <w:pPr>
        <w:pStyle w:val="ListBullet"/>
        <w:spacing w:after="80"/>
      </w:pPr>
      <w:r>
        <w:rPr>
          <w:b/>
          <w:i w:val="0"/>
          <w:sz w:val="21"/>
        </w:rPr>
        <w:t xml:space="preserve">Calibration honesty.  </w:t>
      </w:r>
      <w:r>
        <w:rPr>
          <w:b w:val="0"/>
          <w:i w:val="0"/>
          <w:sz w:val="21"/>
        </w:rPr>
        <w:t>The Monte-Carlo engine showed no skill over a random-walk cone on this name; §3 is a probability map, not a validated forecast, and should be read as context, not signal.</w:t>
      </w:r>
    </w:p>
    <w:p>
      <w:r>
        <w:br w:type="page"/>
      </w:r>
    </w:p>
    <w:p>
      <w:pPr>
        <w:spacing w:before="200" w:after="80"/>
      </w:pPr>
      <w:r>
        <w:rPr>
          <w:b/>
          <w:i w:val="0"/>
          <w:color w:val="1B5E5E"/>
          <w:sz w:val="30"/>
        </w:rPr>
        <w:t>Appendix A  Financial statements</w:t>
      </w:r>
    </w:p>
    <w:p>
      <w:pPr>
        <w:spacing w:after="120"/>
      </w:pPr>
      <w:r>
        <w:rPr>
          <w:b w:val="0"/>
          <w:i w:val="0"/>
          <w:sz w:val="21"/>
        </w:rPr>
        <w:t>Selected consolidated figures, presented as three years of reported history (FY2023–FY2025) plus a five-year forecast (FY2026E–FY2030E). FY2023–FY2025 are as reported (Ma'aden FY2025 results and quarterly filings); FY2026E–FY2030E are the preparer's forecast, driven by the model's Assumptions sheet. SAR bn. FY2023 weak-year figures are approximate (post-2022 commodity peak); FY2024–FY2025 per company disclosure.</w:t>
      </w:r>
    </w:p>
    <w:p>
      <w:pPr>
        <w:spacing w:before="200" w:after="80"/>
      </w:pPr>
      <w:r>
        <w:rPr>
          <w:b/>
          <w:i w:val="0"/>
          <w:color w:val="1B5E5E"/>
          <w:sz w:val="23"/>
        </w:rPr>
        <w:t>A.1  Income statement (consolidated, SAR bn)</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2664"/>
            <w:shd w:val="clear" w:fill="1B5E5E"/>
          </w:tcPr>
          <w:p>
            <w:r/>
            <w:r>
              <w:rPr>
                <w:b/>
                <w:i w:val="0"/>
                <w:color w:val="FFFFFF"/>
                <w:sz w:val="19"/>
              </w:rPr>
              <w:t>Line</w:t>
            </w:r>
          </w:p>
        </w:tc>
        <w:tc>
          <w:tcPr>
            <w:tcW w:type="dxa" w:w="936"/>
            <w:shd w:val="clear" w:fill="1B5E5E"/>
          </w:tcPr>
          <w:p>
            <w:r/>
            <w:r>
              <w:rPr>
                <w:b/>
                <w:i w:val="0"/>
                <w:color w:val="FFFFFF"/>
                <w:sz w:val="19"/>
              </w:rPr>
              <w:t>FY23</w:t>
            </w:r>
          </w:p>
        </w:tc>
        <w:tc>
          <w:tcPr>
            <w:tcW w:type="dxa" w:w="936"/>
            <w:shd w:val="clear" w:fill="1B5E5E"/>
          </w:tcPr>
          <w:p>
            <w:r/>
            <w:r>
              <w:rPr>
                <w:b/>
                <w:i w:val="0"/>
                <w:color w:val="FFFFFF"/>
                <w:sz w:val="19"/>
              </w:rPr>
              <w:t>FY24</w:t>
            </w:r>
          </w:p>
        </w:tc>
        <w:tc>
          <w:tcPr>
            <w:tcW w:type="dxa" w:w="936"/>
            <w:shd w:val="clear" w:fill="1B5E5E"/>
          </w:tcPr>
          <w:p>
            <w:r/>
            <w:r>
              <w:rPr>
                <w:b/>
                <w:i w:val="0"/>
                <w:color w:val="FFFFFF"/>
                <w:sz w:val="19"/>
              </w:rPr>
              <w:t>FY25</w:t>
            </w:r>
          </w:p>
        </w:tc>
        <w:tc>
          <w:tcPr>
            <w:tcW w:type="dxa" w:w="936"/>
            <w:shd w:val="clear" w:fill="1B5E5E"/>
          </w:tcPr>
          <w:p>
            <w:r/>
            <w:r>
              <w:rPr>
                <w:b/>
                <w:i w:val="0"/>
                <w:color w:val="FFFFFF"/>
                <w:sz w:val="19"/>
              </w:rPr>
              <w:t>FY26E</w:t>
            </w:r>
          </w:p>
        </w:tc>
        <w:tc>
          <w:tcPr>
            <w:tcW w:type="dxa" w:w="936"/>
            <w:shd w:val="clear" w:fill="1B5E5E"/>
          </w:tcPr>
          <w:p>
            <w:r/>
            <w:r>
              <w:rPr>
                <w:b/>
                <w:i w:val="0"/>
                <w:color w:val="FFFFFF"/>
                <w:sz w:val="19"/>
              </w:rPr>
              <w:t>FY27E</w:t>
            </w:r>
          </w:p>
        </w:tc>
        <w:tc>
          <w:tcPr>
            <w:tcW w:type="dxa" w:w="936"/>
            <w:shd w:val="clear" w:fill="1B5E5E"/>
          </w:tcPr>
          <w:p>
            <w:r/>
            <w:r>
              <w:rPr>
                <w:b/>
                <w:i w:val="0"/>
                <w:color w:val="FFFFFF"/>
                <w:sz w:val="19"/>
              </w:rPr>
              <w:t>FY28E</w:t>
            </w:r>
          </w:p>
        </w:tc>
        <w:tc>
          <w:tcPr>
            <w:tcW w:type="dxa" w:w="936"/>
            <w:shd w:val="clear" w:fill="1B5E5E"/>
          </w:tcPr>
          <w:p>
            <w:r/>
            <w:r>
              <w:rPr>
                <w:b/>
                <w:i w:val="0"/>
                <w:color w:val="FFFFFF"/>
                <w:sz w:val="19"/>
              </w:rPr>
              <w:t>FY29E</w:t>
            </w:r>
          </w:p>
        </w:tc>
        <w:tc>
          <w:tcPr>
            <w:tcW w:type="dxa" w:w="936"/>
            <w:shd w:val="clear" w:fill="1B5E5E"/>
          </w:tcPr>
          <w:p>
            <w:r/>
            <w:r>
              <w:rPr>
                <w:b/>
                <w:i w:val="0"/>
                <w:color w:val="FFFFFF"/>
                <w:sz w:val="19"/>
              </w:rPr>
              <w:t>FY30E</w:t>
            </w:r>
          </w:p>
        </w:tc>
      </w:tr>
      <w:tr>
        <w:tc>
          <w:tcPr>
            <w:tcW w:type="dxa" w:w="2664"/>
          </w:tcPr>
          <w:p>
            <w:pPr>
              <w:jc w:val="left"/>
            </w:pPr>
            <w:r/>
            <w:r>
              <w:rPr>
                <w:b w:val="0"/>
                <w:i w:val="0"/>
                <w:sz w:val="18"/>
              </w:rPr>
              <w:t>Revenue</w:t>
            </w:r>
          </w:p>
        </w:tc>
        <w:tc>
          <w:tcPr>
            <w:tcW w:type="dxa" w:w="936"/>
          </w:tcPr>
          <w:p>
            <w:pPr>
              <w:jc w:val="right"/>
            </w:pPr>
            <w:r/>
            <w:r>
              <w:rPr>
                <w:b w:val="0"/>
                <w:i w:val="0"/>
                <w:sz w:val="18"/>
              </w:rPr>
              <w:t>27.9</w:t>
            </w:r>
          </w:p>
        </w:tc>
        <w:tc>
          <w:tcPr>
            <w:tcW w:type="dxa" w:w="936"/>
          </w:tcPr>
          <w:p>
            <w:pPr>
              <w:jc w:val="right"/>
            </w:pPr>
            <w:r/>
            <w:r>
              <w:rPr>
                <w:b w:val="0"/>
                <w:i w:val="0"/>
                <w:sz w:val="18"/>
              </w:rPr>
              <w:t>32.6</w:t>
            </w:r>
          </w:p>
        </w:tc>
        <w:tc>
          <w:tcPr>
            <w:tcW w:type="dxa" w:w="936"/>
          </w:tcPr>
          <w:p>
            <w:pPr>
              <w:jc w:val="right"/>
            </w:pPr>
            <w:r/>
            <w:r>
              <w:rPr>
                <w:b w:val="0"/>
                <w:i w:val="0"/>
                <w:sz w:val="18"/>
              </w:rPr>
              <w:t>38.6</w:t>
            </w:r>
          </w:p>
        </w:tc>
        <w:tc>
          <w:tcPr>
            <w:tcW w:type="dxa" w:w="936"/>
          </w:tcPr>
          <w:p>
            <w:pPr>
              <w:jc w:val="right"/>
            </w:pPr>
            <w:r/>
            <w:r>
              <w:rPr>
                <w:b w:val="0"/>
                <w:i w:val="0"/>
                <w:sz w:val="18"/>
              </w:rPr>
              <w:t>41.5</w:t>
            </w:r>
          </w:p>
        </w:tc>
        <w:tc>
          <w:tcPr>
            <w:tcW w:type="dxa" w:w="936"/>
          </w:tcPr>
          <w:p>
            <w:pPr>
              <w:jc w:val="right"/>
            </w:pPr>
            <w:r/>
            <w:r>
              <w:rPr>
                <w:b w:val="0"/>
                <w:i w:val="0"/>
                <w:sz w:val="18"/>
              </w:rPr>
              <w:t>45.5</w:t>
            </w:r>
          </w:p>
        </w:tc>
        <w:tc>
          <w:tcPr>
            <w:tcW w:type="dxa" w:w="936"/>
          </w:tcPr>
          <w:p>
            <w:pPr>
              <w:jc w:val="right"/>
            </w:pPr>
            <w:r/>
            <w:r>
              <w:rPr>
                <w:b w:val="0"/>
                <w:i w:val="0"/>
                <w:sz w:val="18"/>
              </w:rPr>
              <w:t>49.0</w:t>
            </w:r>
          </w:p>
        </w:tc>
        <w:tc>
          <w:tcPr>
            <w:tcW w:type="dxa" w:w="936"/>
          </w:tcPr>
          <w:p>
            <w:pPr>
              <w:jc w:val="right"/>
            </w:pPr>
            <w:r/>
            <w:r>
              <w:rPr>
                <w:b w:val="0"/>
                <w:i w:val="0"/>
                <w:sz w:val="18"/>
              </w:rPr>
              <w:t>52.5</w:t>
            </w:r>
          </w:p>
        </w:tc>
        <w:tc>
          <w:tcPr>
            <w:tcW w:type="dxa" w:w="936"/>
          </w:tcPr>
          <w:p>
            <w:pPr>
              <w:jc w:val="right"/>
            </w:pPr>
            <w:r/>
            <w:r>
              <w:rPr>
                <w:b w:val="0"/>
                <w:i w:val="0"/>
                <w:sz w:val="18"/>
              </w:rPr>
              <w:t>56.0</w:t>
            </w:r>
          </w:p>
        </w:tc>
      </w:tr>
      <w:tr>
        <w:tc>
          <w:tcPr>
            <w:tcW w:type="dxa" w:w="2664"/>
          </w:tcPr>
          <w:p>
            <w:pPr>
              <w:jc w:val="left"/>
            </w:pPr>
            <w:r/>
            <w:r>
              <w:rPr>
                <w:b w:val="0"/>
                <w:i w:val="0"/>
                <w:sz w:val="18"/>
              </w:rPr>
              <w:t>EBITDA</w:t>
            </w:r>
          </w:p>
        </w:tc>
        <w:tc>
          <w:tcPr>
            <w:tcW w:type="dxa" w:w="936"/>
          </w:tcPr>
          <w:p>
            <w:pPr>
              <w:jc w:val="right"/>
            </w:pPr>
            <w:r/>
            <w:r>
              <w:rPr>
                <w:b w:val="0"/>
                <w:i w:val="0"/>
                <w:sz w:val="18"/>
              </w:rPr>
              <w:t>9.5</w:t>
            </w:r>
          </w:p>
        </w:tc>
        <w:tc>
          <w:tcPr>
            <w:tcW w:type="dxa" w:w="936"/>
          </w:tcPr>
          <w:p>
            <w:pPr>
              <w:jc w:val="right"/>
            </w:pPr>
            <w:r/>
            <w:r>
              <w:rPr>
                <w:b w:val="0"/>
                <w:i w:val="0"/>
                <w:sz w:val="18"/>
              </w:rPr>
              <w:t>12.3</w:t>
            </w:r>
          </w:p>
        </w:tc>
        <w:tc>
          <w:tcPr>
            <w:tcW w:type="dxa" w:w="936"/>
          </w:tcPr>
          <w:p>
            <w:pPr>
              <w:jc w:val="right"/>
            </w:pPr>
            <w:r/>
            <w:r>
              <w:rPr>
                <w:b w:val="0"/>
                <w:i w:val="0"/>
                <w:sz w:val="18"/>
              </w:rPr>
              <w:t>16.1</w:t>
            </w:r>
          </w:p>
        </w:tc>
        <w:tc>
          <w:tcPr>
            <w:tcW w:type="dxa" w:w="936"/>
          </w:tcPr>
          <w:p>
            <w:pPr>
              <w:jc w:val="right"/>
            </w:pPr>
            <w:r/>
            <w:r>
              <w:rPr>
                <w:b w:val="0"/>
                <w:i w:val="0"/>
                <w:sz w:val="18"/>
              </w:rPr>
              <w:t>16.8</w:t>
            </w:r>
          </w:p>
        </w:tc>
        <w:tc>
          <w:tcPr>
            <w:tcW w:type="dxa" w:w="936"/>
          </w:tcPr>
          <w:p>
            <w:pPr>
              <w:jc w:val="right"/>
            </w:pPr>
            <w:r/>
            <w:r>
              <w:rPr>
                <w:b w:val="0"/>
                <w:i w:val="0"/>
                <w:sz w:val="18"/>
              </w:rPr>
              <w:t>18.9</w:t>
            </w:r>
          </w:p>
        </w:tc>
        <w:tc>
          <w:tcPr>
            <w:tcW w:type="dxa" w:w="936"/>
          </w:tcPr>
          <w:p>
            <w:pPr>
              <w:jc w:val="right"/>
            </w:pPr>
            <w:r/>
            <w:r>
              <w:rPr>
                <w:b w:val="0"/>
                <w:i w:val="0"/>
                <w:sz w:val="18"/>
              </w:rPr>
              <w:t>20.6</w:t>
            </w:r>
          </w:p>
        </w:tc>
        <w:tc>
          <w:tcPr>
            <w:tcW w:type="dxa" w:w="936"/>
          </w:tcPr>
          <w:p>
            <w:pPr>
              <w:jc w:val="right"/>
            </w:pPr>
            <w:r/>
            <w:r>
              <w:rPr>
                <w:b w:val="0"/>
                <w:i w:val="0"/>
                <w:sz w:val="18"/>
              </w:rPr>
              <w:t>22.3</w:t>
            </w:r>
          </w:p>
        </w:tc>
        <w:tc>
          <w:tcPr>
            <w:tcW w:type="dxa" w:w="936"/>
          </w:tcPr>
          <w:p>
            <w:pPr>
              <w:jc w:val="right"/>
            </w:pPr>
            <w:r/>
            <w:r>
              <w:rPr>
                <w:b w:val="0"/>
                <w:i w:val="0"/>
                <w:sz w:val="18"/>
              </w:rPr>
              <w:t>24.0</w:t>
            </w:r>
          </w:p>
        </w:tc>
      </w:tr>
      <w:tr>
        <w:tc>
          <w:tcPr>
            <w:tcW w:type="dxa" w:w="2664"/>
          </w:tcPr>
          <w:p>
            <w:pPr>
              <w:jc w:val="left"/>
            </w:pPr>
            <w:r/>
            <w:r>
              <w:rPr>
                <w:b w:val="0"/>
                <w:i w:val="0"/>
                <w:sz w:val="18"/>
              </w:rPr>
              <w:t>D&amp;A</w:t>
            </w:r>
          </w:p>
        </w:tc>
        <w:tc>
          <w:tcPr>
            <w:tcW w:type="dxa" w:w="936"/>
          </w:tcPr>
          <w:p>
            <w:pPr>
              <w:jc w:val="right"/>
            </w:pPr>
            <w:r/>
            <w:r>
              <w:rPr>
                <w:b w:val="0"/>
                <w:i w:val="0"/>
                <w:sz w:val="18"/>
              </w:rPr>
              <w:t>(5.5)</w:t>
            </w:r>
          </w:p>
        </w:tc>
        <w:tc>
          <w:tcPr>
            <w:tcW w:type="dxa" w:w="936"/>
          </w:tcPr>
          <w:p>
            <w:pPr>
              <w:jc w:val="right"/>
            </w:pPr>
            <w:r/>
            <w:r>
              <w:rPr>
                <w:b w:val="0"/>
                <w:i w:val="0"/>
                <w:sz w:val="18"/>
              </w:rPr>
              <w:t>(6.0)</w:t>
            </w:r>
          </w:p>
        </w:tc>
        <w:tc>
          <w:tcPr>
            <w:tcW w:type="dxa" w:w="936"/>
          </w:tcPr>
          <w:p>
            <w:pPr>
              <w:jc w:val="right"/>
            </w:pPr>
            <w:r/>
            <w:r>
              <w:rPr>
                <w:b w:val="0"/>
                <w:i w:val="0"/>
                <w:sz w:val="18"/>
              </w:rPr>
              <w:t>(6.6)</w:t>
            </w:r>
          </w:p>
        </w:tc>
        <w:tc>
          <w:tcPr>
            <w:tcW w:type="dxa" w:w="936"/>
          </w:tcPr>
          <w:p>
            <w:pPr>
              <w:jc w:val="right"/>
            </w:pPr>
            <w:r/>
            <w:r>
              <w:rPr>
                <w:b w:val="0"/>
                <w:i w:val="0"/>
                <w:sz w:val="18"/>
              </w:rPr>
              <w:t>(5.8)</w:t>
            </w:r>
          </w:p>
        </w:tc>
        <w:tc>
          <w:tcPr>
            <w:tcW w:type="dxa" w:w="936"/>
          </w:tcPr>
          <w:p>
            <w:pPr>
              <w:jc w:val="right"/>
            </w:pPr>
            <w:r/>
            <w:r>
              <w:rPr>
                <w:b w:val="0"/>
                <w:i w:val="0"/>
                <w:sz w:val="18"/>
              </w:rPr>
              <w:t>(6.4)</w:t>
            </w:r>
          </w:p>
        </w:tc>
        <w:tc>
          <w:tcPr>
            <w:tcW w:type="dxa" w:w="936"/>
          </w:tcPr>
          <w:p>
            <w:pPr>
              <w:jc w:val="right"/>
            </w:pPr>
            <w:r/>
            <w:r>
              <w:rPr>
                <w:b w:val="0"/>
                <w:i w:val="0"/>
                <w:sz w:val="18"/>
              </w:rPr>
              <w:t>(6.9)</w:t>
            </w:r>
          </w:p>
        </w:tc>
        <w:tc>
          <w:tcPr>
            <w:tcW w:type="dxa" w:w="936"/>
          </w:tcPr>
          <w:p>
            <w:pPr>
              <w:jc w:val="right"/>
            </w:pPr>
            <w:r/>
            <w:r>
              <w:rPr>
                <w:b w:val="0"/>
                <w:i w:val="0"/>
                <w:sz w:val="18"/>
              </w:rPr>
              <w:t>(7.4)</w:t>
            </w:r>
          </w:p>
        </w:tc>
        <w:tc>
          <w:tcPr>
            <w:tcW w:type="dxa" w:w="936"/>
          </w:tcPr>
          <w:p>
            <w:pPr>
              <w:jc w:val="right"/>
            </w:pPr>
            <w:r/>
            <w:r>
              <w:rPr>
                <w:b w:val="0"/>
                <w:i w:val="0"/>
                <w:sz w:val="18"/>
              </w:rPr>
              <w:t>(7.8)</w:t>
            </w:r>
          </w:p>
        </w:tc>
      </w:tr>
      <w:tr>
        <w:tc>
          <w:tcPr>
            <w:tcW w:type="dxa" w:w="2664"/>
          </w:tcPr>
          <w:p>
            <w:pPr>
              <w:jc w:val="left"/>
            </w:pPr>
            <w:r/>
            <w:r>
              <w:rPr>
                <w:b w:val="0"/>
                <w:i w:val="0"/>
                <w:sz w:val="18"/>
              </w:rPr>
              <w:t>EBIT</w:t>
            </w:r>
          </w:p>
        </w:tc>
        <w:tc>
          <w:tcPr>
            <w:tcW w:type="dxa" w:w="936"/>
          </w:tcPr>
          <w:p>
            <w:pPr>
              <w:jc w:val="right"/>
            </w:pPr>
            <w:r/>
            <w:r>
              <w:rPr>
                <w:b w:val="0"/>
                <w:i w:val="0"/>
                <w:sz w:val="18"/>
              </w:rPr>
              <w:t>4.0</w:t>
            </w:r>
          </w:p>
        </w:tc>
        <w:tc>
          <w:tcPr>
            <w:tcW w:type="dxa" w:w="936"/>
          </w:tcPr>
          <w:p>
            <w:pPr>
              <w:jc w:val="right"/>
            </w:pPr>
            <w:r/>
            <w:r>
              <w:rPr>
                <w:b w:val="0"/>
                <w:i w:val="0"/>
                <w:sz w:val="18"/>
              </w:rPr>
              <w:t>6.3</w:t>
            </w:r>
          </w:p>
        </w:tc>
        <w:tc>
          <w:tcPr>
            <w:tcW w:type="dxa" w:w="936"/>
          </w:tcPr>
          <w:p>
            <w:pPr>
              <w:jc w:val="right"/>
            </w:pPr>
            <w:r/>
            <w:r>
              <w:rPr>
                <w:b w:val="0"/>
                <w:i w:val="0"/>
                <w:sz w:val="18"/>
              </w:rPr>
              <w:t>9.5</w:t>
            </w:r>
          </w:p>
        </w:tc>
        <w:tc>
          <w:tcPr>
            <w:tcW w:type="dxa" w:w="936"/>
          </w:tcPr>
          <w:p>
            <w:pPr>
              <w:jc w:val="right"/>
            </w:pPr>
            <w:r/>
            <w:r>
              <w:rPr>
                <w:b w:val="0"/>
                <w:i w:val="0"/>
                <w:sz w:val="18"/>
              </w:rPr>
              <w:t>11.0</w:t>
            </w:r>
          </w:p>
        </w:tc>
        <w:tc>
          <w:tcPr>
            <w:tcW w:type="dxa" w:w="936"/>
          </w:tcPr>
          <w:p>
            <w:pPr>
              <w:jc w:val="right"/>
            </w:pPr>
            <w:r/>
            <w:r>
              <w:rPr>
                <w:b w:val="0"/>
                <w:i w:val="0"/>
                <w:sz w:val="18"/>
              </w:rPr>
              <w:t>12.5</w:t>
            </w:r>
          </w:p>
        </w:tc>
        <w:tc>
          <w:tcPr>
            <w:tcW w:type="dxa" w:w="936"/>
          </w:tcPr>
          <w:p>
            <w:pPr>
              <w:jc w:val="right"/>
            </w:pPr>
            <w:r/>
            <w:r>
              <w:rPr>
                <w:b w:val="0"/>
                <w:i w:val="0"/>
                <w:sz w:val="18"/>
              </w:rPr>
              <w:t>13.7</w:t>
            </w:r>
          </w:p>
        </w:tc>
        <w:tc>
          <w:tcPr>
            <w:tcW w:type="dxa" w:w="936"/>
          </w:tcPr>
          <w:p>
            <w:pPr>
              <w:jc w:val="right"/>
            </w:pPr>
            <w:r/>
            <w:r>
              <w:rPr>
                <w:b w:val="0"/>
                <w:i w:val="0"/>
                <w:sz w:val="18"/>
              </w:rPr>
              <w:t>14.9</w:t>
            </w:r>
          </w:p>
        </w:tc>
        <w:tc>
          <w:tcPr>
            <w:tcW w:type="dxa" w:w="936"/>
          </w:tcPr>
          <w:p>
            <w:pPr>
              <w:jc w:val="right"/>
            </w:pPr>
            <w:r/>
            <w:r>
              <w:rPr>
                <w:b w:val="0"/>
                <w:i w:val="0"/>
                <w:sz w:val="18"/>
              </w:rPr>
              <w:t>16.1</w:t>
            </w:r>
          </w:p>
        </w:tc>
      </w:tr>
      <w:tr>
        <w:tc>
          <w:tcPr>
            <w:tcW w:type="dxa" w:w="2664"/>
          </w:tcPr>
          <w:p>
            <w:pPr>
              <w:jc w:val="left"/>
            </w:pPr>
            <w:r/>
            <w:r>
              <w:rPr>
                <w:b w:val="0"/>
                <w:i w:val="0"/>
                <w:sz w:val="18"/>
              </w:rPr>
              <w:t>Net finance cost</w:t>
            </w:r>
          </w:p>
        </w:tc>
        <w:tc>
          <w:tcPr>
            <w:tcW w:type="dxa" w:w="936"/>
          </w:tcPr>
          <w:p>
            <w:pPr>
              <w:jc w:val="right"/>
            </w:pPr>
            <w:r/>
            <w:r>
              <w:rPr>
                <w:b w:val="0"/>
                <w:i w:val="0"/>
                <w:sz w:val="18"/>
              </w:rPr>
              <w:t>(2.1)</w:t>
            </w:r>
          </w:p>
        </w:tc>
        <w:tc>
          <w:tcPr>
            <w:tcW w:type="dxa" w:w="936"/>
          </w:tcPr>
          <w:p>
            <w:pPr>
              <w:jc w:val="right"/>
            </w:pPr>
            <w:r/>
            <w:r>
              <w:rPr>
                <w:b w:val="0"/>
                <w:i w:val="0"/>
                <w:sz w:val="18"/>
              </w:rPr>
              <w:t>(1.9)</w:t>
            </w:r>
          </w:p>
        </w:tc>
        <w:tc>
          <w:tcPr>
            <w:tcW w:type="dxa" w:w="936"/>
          </w:tcPr>
          <w:p>
            <w:pPr>
              <w:jc w:val="right"/>
            </w:pPr>
            <w:r/>
            <w:r>
              <w:rPr>
                <w:b w:val="0"/>
                <w:i w:val="0"/>
                <w:sz w:val="18"/>
              </w:rPr>
              <w:t>(1.9)</w:t>
            </w:r>
          </w:p>
        </w:tc>
        <w:tc>
          <w:tcPr>
            <w:tcW w:type="dxa" w:w="936"/>
          </w:tcPr>
          <w:p>
            <w:pPr>
              <w:jc w:val="right"/>
            </w:pPr>
            <w:r/>
            <w:r>
              <w:rPr>
                <w:b w:val="0"/>
                <w:i w:val="0"/>
                <w:sz w:val="18"/>
              </w:rPr>
              <w:t>(1.5)</w:t>
            </w:r>
          </w:p>
        </w:tc>
        <w:tc>
          <w:tcPr>
            <w:tcW w:type="dxa" w:w="936"/>
          </w:tcPr>
          <w:p>
            <w:pPr>
              <w:jc w:val="right"/>
            </w:pPr>
            <w:r/>
            <w:r>
              <w:rPr>
                <w:b w:val="0"/>
                <w:i w:val="0"/>
                <w:sz w:val="18"/>
              </w:rPr>
              <w:t>(1.4)</w:t>
            </w:r>
          </w:p>
        </w:tc>
        <w:tc>
          <w:tcPr>
            <w:tcW w:type="dxa" w:w="936"/>
          </w:tcPr>
          <w:p>
            <w:pPr>
              <w:jc w:val="right"/>
            </w:pPr>
            <w:r/>
            <w:r>
              <w:rPr>
                <w:b w:val="0"/>
                <w:i w:val="0"/>
                <w:sz w:val="18"/>
              </w:rPr>
              <w:t>(1.3)</w:t>
            </w:r>
          </w:p>
        </w:tc>
        <w:tc>
          <w:tcPr>
            <w:tcW w:type="dxa" w:w="936"/>
          </w:tcPr>
          <w:p>
            <w:pPr>
              <w:jc w:val="right"/>
            </w:pPr>
            <w:r/>
            <w:r>
              <w:rPr>
                <w:b w:val="0"/>
                <w:i w:val="0"/>
                <w:sz w:val="18"/>
              </w:rPr>
              <w:t>(1.2)</w:t>
            </w:r>
          </w:p>
        </w:tc>
        <w:tc>
          <w:tcPr>
            <w:tcW w:type="dxa" w:w="936"/>
          </w:tcPr>
          <w:p>
            <w:pPr>
              <w:jc w:val="right"/>
            </w:pPr>
            <w:r/>
            <w:r>
              <w:rPr>
                <w:b w:val="0"/>
                <w:i w:val="0"/>
                <w:sz w:val="18"/>
              </w:rPr>
              <w:t>(1.1)</w:t>
            </w:r>
          </w:p>
        </w:tc>
      </w:tr>
      <w:tr>
        <w:tc>
          <w:tcPr>
            <w:tcW w:type="dxa" w:w="2664"/>
          </w:tcPr>
          <w:p>
            <w:pPr>
              <w:jc w:val="left"/>
            </w:pPr>
            <w:r/>
            <w:r>
              <w:rPr>
                <w:b w:val="0"/>
                <w:i w:val="0"/>
                <w:sz w:val="18"/>
              </w:rPr>
              <w:t>JV/associates + other</w:t>
            </w:r>
          </w:p>
        </w:tc>
        <w:tc>
          <w:tcPr>
            <w:tcW w:type="dxa" w:w="936"/>
          </w:tcPr>
          <w:p>
            <w:pPr>
              <w:jc w:val="right"/>
            </w:pPr>
            <w:r/>
            <w:r>
              <w:rPr>
                <w:b w:val="0"/>
                <w:i w:val="0"/>
                <w:sz w:val="18"/>
              </w:rPr>
              <w:t>0.3</w:t>
            </w:r>
          </w:p>
        </w:tc>
        <w:tc>
          <w:tcPr>
            <w:tcW w:type="dxa" w:w="936"/>
          </w:tcPr>
          <w:p>
            <w:pPr>
              <w:jc w:val="right"/>
            </w:pPr>
            <w:r/>
            <w:r>
              <w:rPr>
                <w:b w:val="0"/>
                <w:i w:val="0"/>
                <w:sz w:val="18"/>
              </w:rPr>
              <w:t>0.3</w:t>
            </w:r>
          </w:p>
        </w:tc>
        <w:tc>
          <w:tcPr>
            <w:tcW w:type="dxa" w:w="936"/>
          </w:tcPr>
          <w:p>
            <w:pPr>
              <w:jc w:val="right"/>
            </w:pPr>
            <w:r/>
            <w:r>
              <w:rPr>
                <w:b w:val="0"/>
                <w:i w:val="0"/>
                <w:sz w:val="18"/>
              </w:rPr>
              <w:t>0.7</w:t>
            </w:r>
          </w:p>
        </w:tc>
        <w:tc>
          <w:tcPr>
            <w:tcW w:type="dxa" w:w="936"/>
          </w:tcPr>
          <w:p>
            <w:pPr>
              <w:jc w:val="right"/>
            </w:pPr>
            <w:r/>
            <w:r>
              <w:rPr>
                <w:b w:val="0"/>
                <w:i w:val="0"/>
                <w:sz w:val="18"/>
              </w:rPr>
              <w:t>0.5</w:t>
            </w:r>
          </w:p>
        </w:tc>
        <w:tc>
          <w:tcPr>
            <w:tcW w:type="dxa" w:w="936"/>
          </w:tcPr>
          <w:p>
            <w:pPr>
              <w:jc w:val="right"/>
            </w:pPr>
            <w:r/>
            <w:r>
              <w:rPr>
                <w:b w:val="0"/>
                <w:i w:val="0"/>
                <w:sz w:val="18"/>
              </w:rPr>
              <w:t>0.5</w:t>
            </w:r>
          </w:p>
        </w:tc>
        <w:tc>
          <w:tcPr>
            <w:tcW w:type="dxa" w:w="936"/>
          </w:tcPr>
          <w:p>
            <w:pPr>
              <w:jc w:val="right"/>
            </w:pPr>
            <w:r/>
            <w:r>
              <w:rPr>
                <w:b w:val="0"/>
                <w:i w:val="0"/>
                <w:sz w:val="18"/>
              </w:rPr>
              <w:t>0.6</w:t>
            </w:r>
          </w:p>
        </w:tc>
        <w:tc>
          <w:tcPr>
            <w:tcW w:type="dxa" w:w="936"/>
          </w:tcPr>
          <w:p>
            <w:pPr>
              <w:jc w:val="right"/>
            </w:pPr>
            <w:r/>
            <w:r>
              <w:rPr>
                <w:b w:val="0"/>
                <w:i w:val="0"/>
                <w:sz w:val="18"/>
              </w:rPr>
              <w:t>0.6</w:t>
            </w:r>
          </w:p>
        </w:tc>
        <w:tc>
          <w:tcPr>
            <w:tcW w:type="dxa" w:w="936"/>
          </w:tcPr>
          <w:p>
            <w:pPr>
              <w:jc w:val="right"/>
            </w:pPr>
            <w:r/>
            <w:r>
              <w:rPr>
                <w:b w:val="0"/>
                <w:i w:val="0"/>
                <w:sz w:val="18"/>
              </w:rPr>
              <w:t>0.7</w:t>
            </w:r>
          </w:p>
        </w:tc>
      </w:tr>
      <w:tr>
        <w:tc>
          <w:tcPr>
            <w:tcW w:type="dxa" w:w="2664"/>
          </w:tcPr>
          <w:p>
            <w:pPr>
              <w:jc w:val="left"/>
            </w:pPr>
            <w:r/>
            <w:r>
              <w:rPr>
                <w:b w:val="0"/>
                <w:i w:val="0"/>
                <w:sz w:val="18"/>
              </w:rPr>
              <w:t>Profit before zakat &amp; tax</w:t>
            </w:r>
          </w:p>
        </w:tc>
        <w:tc>
          <w:tcPr>
            <w:tcW w:type="dxa" w:w="936"/>
          </w:tcPr>
          <w:p>
            <w:pPr>
              <w:jc w:val="right"/>
            </w:pPr>
            <w:r/>
            <w:r>
              <w:rPr>
                <w:b w:val="0"/>
                <w:i w:val="0"/>
                <w:sz w:val="18"/>
              </w:rPr>
              <w:t>2.2</w:t>
            </w:r>
          </w:p>
        </w:tc>
        <w:tc>
          <w:tcPr>
            <w:tcW w:type="dxa" w:w="936"/>
          </w:tcPr>
          <w:p>
            <w:pPr>
              <w:jc w:val="right"/>
            </w:pPr>
            <w:r/>
            <w:r>
              <w:rPr>
                <w:b w:val="0"/>
                <w:i w:val="0"/>
                <w:sz w:val="18"/>
              </w:rPr>
              <w:t>4.7</w:t>
            </w:r>
          </w:p>
        </w:tc>
        <w:tc>
          <w:tcPr>
            <w:tcW w:type="dxa" w:w="936"/>
          </w:tcPr>
          <w:p>
            <w:pPr>
              <w:jc w:val="right"/>
            </w:pPr>
            <w:r/>
            <w:r>
              <w:rPr>
                <w:b w:val="0"/>
                <w:i w:val="0"/>
                <w:sz w:val="18"/>
              </w:rPr>
              <w:t>8.3</w:t>
            </w:r>
          </w:p>
        </w:tc>
        <w:tc>
          <w:tcPr>
            <w:tcW w:type="dxa" w:w="936"/>
          </w:tcPr>
          <w:p>
            <w:pPr>
              <w:jc w:val="right"/>
            </w:pPr>
            <w:r/>
            <w:r>
              <w:rPr>
                <w:b w:val="0"/>
                <w:i w:val="0"/>
                <w:sz w:val="18"/>
              </w:rPr>
              <w:t>10.0</w:t>
            </w:r>
          </w:p>
        </w:tc>
        <w:tc>
          <w:tcPr>
            <w:tcW w:type="dxa" w:w="936"/>
          </w:tcPr>
          <w:p>
            <w:pPr>
              <w:jc w:val="right"/>
            </w:pPr>
            <w:r/>
            <w:r>
              <w:rPr>
                <w:b w:val="0"/>
                <w:i w:val="0"/>
                <w:sz w:val="18"/>
              </w:rPr>
              <w:t>11.6</w:t>
            </w:r>
          </w:p>
        </w:tc>
        <w:tc>
          <w:tcPr>
            <w:tcW w:type="dxa" w:w="936"/>
          </w:tcPr>
          <w:p>
            <w:pPr>
              <w:jc w:val="right"/>
            </w:pPr>
            <w:r/>
            <w:r>
              <w:rPr>
                <w:b w:val="0"/>
                <w:i w:val="0"/>
                <w:sz w:val="18"/>
              </w:rPr>
              <w:t>13.0</w:t>
            </w:r>
          </w:p>
        </w:tc>
        <w:tc>
          <w:tcPr>
            <w:tcW w:type="dxa" w:w="936"/>
          </w:tcPr>
          <w:p>
            <w:pPr>
              <w:jc w:val="right"/>
            </w:pPr>
            <w:r/>
            <w:r>
              <w:rPr>
                <w:b w:val="0"/>
                <w:i w:val="0"/>
                <w:sz w:val="18"/>
              </w:rPr>
              <w:t>14.3</w:t>
            </w:r>
          </w:p>
        </w:tc>
        <w:tc>
          <w:tcPr>
            <w:tcW w:type="dxa" w:w="936"/>
          </w:tcPr>
          <w:p>
            <w:pPr>
              <w:jc w:val="right"/>
            </w:pPr>
            <w:r/>
            <w:r>
              <w:rPr>
                <w:b w:val="0"/>
                <w:i w:val="0"/>
                <w:sz w:val="18"/>
              </w:rPr>
              <w:t>15.7</w:t>
            </w:r>
          </w:p>
        </w:tc>
      </w:tr>
      <w:tr>
        <w:tc>
          <w:tcPr>
            <w:tcW w:type="dxa" w:w="2664"/>
          </w:tcPr>
          <w:p>
            <w:pPr>
              <w:jc w:val="left"/>
            </w:pPr>
            <w:r/>
            <w:r>
              <w:rPr>
                <w:b w:val="0"/>
                <w:i w:val="0"/>
                <w:sz w:val="18"/>
              </w:rPr>
              <w:t>Zakat &amp; income tax</w:t>
            </w:r>
          </w:p>
        </w:tc>
        <w:tc>
          <w:tcPr>
            <w:tcW w:type="dxa" w:w="936"/>
          </w:tcPr>
          <w:p>
            <w:pPr>
              <w:jc w:val="right"/>
            </w:pPr>
            <w:r/>
            <w:r>
              <w:rPr>
                <w:b w:val="0"/>
                <w:i w:val="0"/>
                <w:sz w:val="18"/>
              </w:rPr>
              <w:t>(0.2)</w:t>
            </w:r>
          </w:p>
        </w:tc>
        <w:tc>
          <w:tcPr>
            <w:tcW w:type="dxa" w:w="936"/>
          </w:tcPr>
          <w:p>
            <w:pPr>
              <w:jc w:val="right"/>
            </w:pPr>
            <w:r/>
            <w:r>
              <w:rPr>
                <w:b w:val="0"/>
                <w:i w:val="0"/>
                <w:sz w:val="18"/>
              </w:rPr>
              <w:t>(0.4)</w:t>
            </w:r>
          </w:p>
        </w:tc>
        <w:tc>
          <w:tcPr>
            <w:tcW w:type="dxa" w:w="936"/>
          </w:tcPr>
          <w:p>
            <w:pPr>
              <w:jc w:val="right"/>
            </w:pPr>
            <w:r/>
            <w:r>
              <w:rPr>
                <w:b w:val="0"/>
                <w:i w:val="0"/>
                <w:sz w:val="18"/>
              </w:rPr>
              <w:t>(0.7)</w:t>
            </w:r>
          </w:p>
        </w:tc>
        <w:tc>
          <w:tcPr>
            <w:tcW w:type="dxa" w:w="936"/>
          </w:tcPr>
          <w:p>
            <w:pPr>
              <w:jc w:val="right"/>
            </w:pPr>
            <w:r/>
            <w:r>
              <w:rPr>
                <w:b w:val="0"/>
                <w:i w:val="0"/>
                <w:sz w:val="18"/>
              </w:rPr>
              <w:t>(0.8)</w:t>
            </w:r>
          </w:p>
        </w:tc>
        <w:tc>
          <w:tcPr>
            <w:tcW w:type="dxa" w:w="936"/>
          </w:tcPr>
          <w:p>
            <w:pPr>
              <w:jc w:val="right"/>
            </w:pPr>
            <w:r/>
            <w:r>
              <w:rPr>
                <w:b w:val="0"/>
                <w:i w:val="0"/>
                <w:sz w:val="18"/>
              </w:rPr>
              <w:t>(0.9)</w:t>
            </w:r>
          </w:p>
        </w:tc>
        <w:tc>
          <w:tcPr>
            <w:tcW w:type="dxa" w:w="936"/>
          </w:tcPr>
          <w:p>
            <w:pPr>
              <w:jc w:val="right"/>
            </w:pPr>
            <w:r/>
            <w:r>
              <w:rPr>
                <w:b w:val="0"/>
                <w:i w:val="0"/>
                <w:sz w:val="18"/>
              </w:rPr>
              <w:t>(1.0)</w:t>
            </w:r>
          </w:p>
        </w:tc>
        <w:tc>
          <w:tcPr>
            <w:tcW w:type="dxa" w:w="936"/>
          </w:tcPr>
          <w:p>
            <w:pPr>
              <w:jc w:val="right"/>
            </w:pPr>
            <w:r/>
            <w:r>
              <w:rPr>
                <w:b w:val="0"/>
                <w:i w:val="0"/>
                <w:sz w:val="18"/>
              </w:rPr>
              <w:t>(1.1)</w:t>
            </w:r>
          </w:p>
        </w:tc>
        <w:tc>
          <w:tcPr>
            <w:tcW w:type="dxa" w:w="936"/>
          </w:tcPr>
          <w:p>
            <w:pPr>
              <w:jc w:val="right"/>
            </w:pPr>
            <w:r/>
            <w:r>
              <w:rPr>
                <w:b w:val="0"/>
                <w:i w:val="0"/>
                <w:sz w:val="18"/>
              </w:rPr>
              <w:t>(1.3)</w:t>
            </w:r>
          </w:p>
        </w:tc>
      </w:tr>
      <w:tr>
        <w:tc>
          <w:tcPr>
            <w:tcW w:type="dxa" w:w="2664"/>
          </w:tcPr>
          <w:p>
            <w:pPr>
              <w:jc w:val="left"/>
            </w:pPr>
            <w:r/>
            <w:r>
              <w:rPr>
                <w:b w:val="0"/>
                <w:i w:val="0"/>
                <w:sz w:val="18"/>
              </w:rPr>
              <w:t>Non-controlling interests</w:t>
            </w:r>
          </w:p>
        </w:tc>
        <w:tc>
          <w:tcPr>
            <w:tcW w:type="dxa" w:w="936"/>
          </w:tcPr>
          <w:p>
            <w:pPr>
              <w:jc w:val="right"/>
            </w:pPr>
            <w:r/>
            <w:r>
              <w:rPr>
                <w:b w:val="0"/>
                <w:i w:val="0"/>
                <w:sz w:val="18"/>
              </w:rPr>
              <w:t>(0.4)</w:t>
            </w:r>
          </w:p>
        </w:tc>
        <w:tc>
          <w:tcPr>
            <w:tcW w:type="dxa" w:w="936"/>
          </w:tcPr>
          <w:p>
            <w:pPr>
              <w:jc w:val="right"/>
            </w:pPr>
            <w:r/>
            <w:r>
              <w:rPr>
                <w:b w:val="0"/>
                <w:i w:val="0"/>
                <w:sz w:val="18"/>
              </w:rPr>
              <w:t>(1.5)</w:t>
            </w:r>
          </w:p>
        </w:tc>
        <w:tc>
          <w:tcPr>
            <w:tcW w:type="dxa" w:w="936"/>
          </w:tcPr>
          <w:p>
            <w:pPr>
              <w:jc w:val="right"/>
            </w:pPr>
            <w:r/>
            <w:r>
              <w:rPr>
                <w:b w:val="0"/>
                <w:i w:val="0"/>
                <w:sz w:val="18"/>
              </w:rPr>
              <w:t>(0.3)</w:t>
            </w:r>
          </w:p>
        </w:tc>
        <w:tc>
          <w:tcPr>
            <w:tcW w:type="dxa" w:w="936"/>
          </w:tcPr>
          <w:p>
            <w:pPr>
              <w:jc w:val="right"/>
            </w:pPr>
            <w:r/>
            <w:r>
              <w:rPr>
                <w:b w:val="0"/>
                <w:i w:val="0"/>
                <w:sz w:val="18"/>
              </w:rPr>
              <w:t>(0.6)</w:t>
            </w:r>
          </w:p>
        </w:tc>
        <w:tc>
          <w:tcPr>
            <w:tcW w:type="dxa" w:w="936"/>
          </w:tcPr>
          <w:p>
            <w:pPr>
              <w:jc w:val="right"/>
            </w:pPr>
            <w:r/>
            <w:r>
              <w:rPr>
                <w:b w:val="0"/>
                <w:i w:val="0"/>
                <w:sz w:val="18"/>
              </w:rPr>
              <w:t>(0.6)</w:t>
            </w:r>
          </w:p>
        </w:tc>
        <w:tc>
          <w:tcPr>
            <w:tcW w:type="dxa" w:w="936"/>
          </w:tcPr>
          <w:p>
            <w:pPr>
              <w:jc w:val="right"/>
            </w:pPr>
            <w:r/>
            <w:r>
              <w:rPr>
                <w:b w:val="0"/>
                <w:i w:val="0"/>
                <w:sz w:val="18"/>
              </w:rPr>
              <w:t>(0.7)</w:t>
            </w:r>
          </w:p>
        </w:tc>
        <w:tc>
          <w:tcPr>
            <w:tcW w:type="dxa" w:w="936"/>
          </w:tcPr>
          <w:p>
            <w:pPr>
              <w:jc w:val="right"/>
            </w:pPr>
            <w:r/>
            <w:r>
              <w:rPr>
                <w:b w:val="0"/>
                <w:i w:val="0"/>
                <w:sz w:val="18"/>
              </w:rPr>
              <w:t>(0.7)</w:t>
            </w:r>
          </w:p>
        </w:tc>
        <w:tc>
          <w:tcPr>
            <w:tcW w:type="dxa" w:w="936"/>
          </w:tcPr>
          <w:p>
            <w:pPr>
              <w:jc w:val="right"/>
            </w:pPr>
            <w:r/>
            <w:r>
              <w:rPr>
                <w:b w:val="0"/>
                <w:i w:val="0"/>
                <w:sz w:val="18"/>
              </w:rPr>
              <w:t>(0.8)</w:t>
            </w:r>
          </w:p>
        </w:tc>
      </w:tr>
      <w:tr>
        <w:tc>
          <w:tcPr>
            <w:tcW w:type="dxa" w:w="2664"/>
          </w:tcPr>
          <w:p>
            <w:pPr>
              <w:jc w:val="left"/>
            </w:pPr>
            <w:r/>
            <w:r>
              <w:rPr>
                <w:b/>
                <w:i w:val="0"/>
                <w:sz w:val="18"/>
              </w:rPr>
              <w:t>Net profit (attributable)</w:t>
            </w:r>
          </w:p>
        </w:tc>
        <w:tc>
          <w:tcPr>
            <w:tcW w:type="dxa" w:w="936"/>
          </w:tcPr>
          <w:p>
            <w:pPr>
              <w:jc w:val="right"/>
            </w:pPr>
            <w:r/>
            <w:r>
              <w:rPr>
                <w:b/>
                <w:i w:val="0"/>
                <w:sz w:val="18"/>
              </w:rPr>
              <w:t>1.6</w:t>
            </w:r>
          </w:p>
        </w:tc>
        <w:tc>
          <w:tcPr>
            <w:tcW w:type="dxa" w:w="936"/>
          </w:tcPr>
          <w:p>
            <w:pPr>
              <w:jc w:val="right"/>
            </w:pPr>
            <w:r/>
            <w:r>
              <w:rPr>
                <w:b/>
                <w:i w:val="0"/>
                <w:sz w:val="18"/>
              </w:rPr>
              <w:t>2.9</w:t>
            </w:r>
          </w:p>
        </w:tc>
        <w:tc>
          <w:tcPr>
            <w:tcW w:type="dxa" w:w="936"/>
          </w:tcPr>
          <w:p>
            <w:pPr>
              <w:jc w:val="right"/>
            </w:pPr>
            <w:r/>
            <w:r>
              <w:rPr>
                <w:b/>
                <w:i w:val="0"/>
                <w:sz w:val="18"/>
              </w:rPr>
              <w:t>7.4</w:t>
            </w:r>
          </w:p>
        </w:tc>
        <w:tc>
          <w:tcPr>
            <w:tcW w:type="dxa" w:w="936"/>
          </w:tcPr>
          <w:p>
            <w:pPr>
              <w:jc w:val="right"/>
            </w:pPr>
            <w:r/>
            <w:r>
              <w:rPr>
                <w:b/>
                <w:i w:val="0"/>
                <w:sz w:val="18"/>
              </w:rPr>
              <w:t>8.6</w:t>
            </w:r>
          </w:p>
        </w:tc>
        <w:tc>
          <w:tcPr>
            <w:tcW w:type="dxa" w:w="936"/>
          </w:tcPr>
          <w:p>
            <w:pPr>
              <w:jc w:val="right"/>
            </w:pPr>
            <w:r/>
            <w:r>
              <w:rPr>
                <w:b/>
                <w:i w:val="0"/>
                <w:sz w:val="18"/>
              </w:rPr>
              <w:t>10.1</w:t>
            </w:r>
          </w:p>
        </w:tc>
        <w:tc>
          <w:tcPr>
            <w:tcW w:type="dxa" w:w="936"/>
          </w:tcPr>
          <w:p>
            <w:pPr>
              <w:jc w:val="right"/>
            </w:pPr>
            <w:r/>
            <w:r>
              <w:rPr>
                <w:b/>
                <w:i w:val="0"/>
                <w:sz w:val="18"/>
              </w:rPr>
              <w:t>11.4</w:t>
            </w:r>
          </w:p>
        </w:tc>
        <w:tc>
          <w:tcPr>
            <w:tcW w:type="dxa" w:w="936"/>
          </w:tcPr>
          <w:p>
            <w:pPr>
              <w:jc w:val="right"/>
            </w:pPr>
            <w:r/>
            <w:r>
              <w:rPr>
                <w:b/>
                <w:i w:val="0"/>
                <w:sz w:val="18"/>
              </w:rPr>
              <w:t>12.5</w:t>
            </w:r>
          </w:p>
        </w:tc>
        <w:tc>
          <w:tcPr>
            <w:tcW w:type="dxa" w:w="936"/>
          </w:tcPr>
          <w:p>
            <w:pPr>
              <w:jc w:val="right"/>
            </w:pPr>
            <w:r/>
            <w:r>
              <w:rPr>
                <w:b/>
                <w:i w:val="0"/>
                <w:sz w:val="18"/>
              </w:rPr>
              <w:t>13.6</w:t>
            </w:r>
          </w:p>
        </w:tc>
      </w:tr>
    </w:tbl>
    <w:p>
      <w:pPr>
        <w:spacing w:after="120"/>
      </w:pPr>
      <w:r>
        <w:rPr>
          <w:b w:val="0"/>
          <w:i/>
          <w:color w:val="595959"/>
          <w:sz w:val="17"/>
        </w:rPr>
        <w:t>Note: FY2024 net profit +82% and FY2025 +156% YoY per company disclosure; EPS FY2025 ≈ SAR 1.89. Forecast EPS/margins in the Per-Share &amp; Ratios sheet.</w:t>
      </w:r>
    </w:p>
    <w:p>
      <w:pPr>
        <w:spacing w:before="200" w:after="80"/>
      </w:pPr>
      <w:r>
        <w:rPr>
          <w:b/>
          <w:i w:val="0"/>
          <w:color w:val="1B5E5E"/>
          <w:sz w:val="23"/>
        </w:rPr>
        <w:t>A.2  Balance sheet (consolidated, SAR bn)</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3240"/>
            <w:shd w:val="clear" w:fill="1B5E5E"/>
          </w:tcPr>
          <w:p>
            <w:r/>
            <w:r>
              <w:rPr>
                <w:b/>
                <w:i w:val="0"/>
                <w:color w:val="FFFFFF"/>
                <w:sz w:val="19"/>
              </w:rPr>
              <w:t>Line</w:t>
            </w:r>
          </w:p>
        </w:tc>
        <w:tc>
          <w:tcPr>
            <w:tcW w:type="dxa" w:w="864"/>
            <w:shd w:val="clear" w:fill="1B5E5E"/>
          </w:tcPr>
          <w:p>
            <w:r/>
            <w:r>
              <w:rPr>
                <w:b/>
                <w:i w:val="0"/>
                <w:color w:val="FFFFFF"/>
                <w:sz w:val="19"/>
              </w:rPr>
              <w:t>FY23</w:t>
            </w:r>
          </w:p>
        </w:tc>
        <w:tc>
          <w:tcPr>
            <w:tcW w:type="dxa" w:w="864"/>
            <w:shd w:val="clear" w:fill="1B5E5E"/>
          </w:tcPr>
          <w:p>
            <w:r/>
            <w:r>
              <w:rPr>
                <w:b/>
                <w:i w:val="0"/>
                <w:color w:val="FFFFFF"/>
                <w:sz w:val="19"/>
              </w:rPr>
              <w:t>FY24</w:t>
            </w:r>
          </w:p>
        </w:tc>
        <w:tc>
          <w:tcPr>
            <w:tcW w:type="dxa" w:w="864"/>
            <w:shd w:val="clear" w:fill="1B5E5E"/>
          </w:tcPr>
          <w:p>
            <w:r/>
            <w:r>
              <w:rPr>
                <w:b/>
                <w:i w:val="0"/>
                <w:color w:val="FFFFFF"/>
                <w:sz w:val="19"/>
              </w:rPr>
              <w:t>FY25</w:t>
            </w:r>
          </w:p>
        </w:tc>
        <w:tc>
          <w:tcPr>
            <w:tcW w:type="dxa" w:w="864"/>
            <w:shd w:val="clear" w:fill="1B5E5E"/>
          </w:tcPr>
          <w:p>
            <w:r/>
            <w:r>
              <w:rPr>
                <w:b/>
                <w:i w:val="0"/>
                <w:color w:val="FFFFFF"/>
                <w:sz w:val="19"/>
              </w:rPr>
              <w:t>FY26E</w:t>
            </w:r>
          </w:p>
        </w:tc>
        <w:tc>
          <w:tcPr>
            <w:tcW w:type="dxa" w:w="864"/>
            <w:shd w:val="clear" w:fill="1B5E5E"/>
          </w:tcPr>
          <w:p>
            <w:r/>
            <w:r>
              <w:rPr>
                <w:b/>
                <w:i w:val="0"/>
                <w:color w:val="FFFFFF"/>
                <w:sz w:val="19"/>
              </w:rPr>
              <w:t>FY27E</w:t>
            </w:r>
          </w:p>
        </w:tc>
        <w:tc>
          <w:tcPr>
            <w:tcW w:type="dxa" w:w="864"/>
            <w:shd w:val="clear" w:fill="1B5E5E"/>
          </w:tcPr>
          <w:p>
            <w:r/>
            <w:r>
              <w:rPr>
                <w:b/>
                <w:i w:val="0"/>
                <w:color w:val="FFFFFF"/>
                <w:sz w:val="19"/>
              </w:rPr>
              <w:t>FY28E</w:t>
            </w:r>
          </w:p>
        </w:tc>
        <w:tc>
          <w:tcPr>
            <w:tcW w:type="dxa" w:w="864"/>
            <w:shd w:val="clear" w:fill="1B5E5E"/>
          </w:tcPr>
          <w:p>
            <w:r/>
            <w:r>
              <w:rPr>
                <w:b/>
                <w:i w:val="0"/>
                <w:color w:val="FFFFFF"/>
                <w:sz w:val="19"/>
              </w:rPr>
              <w:t>FY29E</w:t>
            </w:r>
          </w:p>
        </w:tc>
        <w:tc>
          <w:tcPr>
            <w:tcW w:type="dxa" w:w="864"/>
            <w:shd w:val="clear" w:fill="1B5E5E"/>
          </w:tcPr>
          <w:p>
            <w:r/>
            <w:r>
              <w:rPr>
                <w:b/>
                <w:i w:val="0"/>
                <w:color w:val="FFFFFF"/>
                <w:sz w:val="19"/>
              </w:rPr>
              <w:t>FY30E</w:t>
            </w:r>
          </w:p>
        </w:tc>
      </w:tr>
      <w:tr>
        <w:tc>
          <w:tcPr>
            <w:tcW w:type="dxa" w:w="3240"/>
          </w:tcPr>
          <w:p>
            <w:pPr>
              <w:jc w:val="left"/>
            </w:pPr>
            <w:r/>
            <w:r>
              <w:rPr>
                <w:b w:val="0"/>
                <w:i w:val="0"/>
                <w:sz w:val="18"/>
              </w:rPr>
              <w:t>PP&amp;E + intangibles</w:t>
            </w:r>
          </w:p>
        </w:tc>
        <w:tc>
          <w:tcPr>
            <w:tcW w:type="dxa" w:w="864"/>
          </w:tcPr>
          <w:p>
            <w:pPr>
              <w:jc w:val="right"/>
            </w:pPr>
            <w:r/>
            <w:r>
              <w:rPr>
                <w:b w:val="0"/>
                <w:i w:val="0"/>
                <w:sz w:val="18"/>
              </w:rPr>
              <w:t>92.0</w:t>
            </w:r>
          </w:p>
        </w:tc>
        <w:tc>
          <w:tcPr>
            <w:tcW w:type="dxa" w:w="864"/>
          </w:tcPr>
          <w:p>
            <w:pPr>
              <w:jc w:val="right"/>
            </w:pPr>
            <w:r/>
            <w:r>
              <w:rPr>
                <w:b w:val="0"/>
                <w:i w:val="0"/>
                <w:sz w:val="18"/>
              </w:rPr>
              <w:t>101.0</w:t>
            </w:r>
          </w:p>
        </w:tc>
        <w:tc>
          <w:tcPr>
            <w:tcW w:type="dxa" w:w="864"/>
          </w:tcPr>
          <w:p>
            <w:pPr>
              <w:jc w:val="right"/>
            </w:pPr>
            <w:r/>
            <w:r>
              <w:rPr>
                <w:b w:val="0"/>
                <w:i w:val="0"/>
                <w:sz w:val="18"/>
              </w:rPr>
              <w:t>108.0</w:t>
            </w:r>
          </w:p>
        </w:tc>
        <w:tc>
          <w:tcPr>
            <w:tcW w:type="dxa" w:w="864"/>
          </w:tcPr>
          <w:p>
            <w:pPr>
              <w:jc w:val="right"/>
            </w:pPr>
            <w:r/>
            <w:r>
              <w:rPr>
                <w:b w:val="0"/>
                <w:i w:val="0"/>
                <w:sz w:val="18"/>
              </w:rPr>
              <w:t>111.2</w:t>
            </w:r>
          </w:p>
        </w:tc>
        <w:tc>
          <w:tcPr>
            <w:tcW w:type="dxa" w:w="864"/>
          </w:tcPr>
          <w:p>
            <w:pPr>
              <w:jc w:val="right"/>
            </w:pPr>
            <w:r/>
            <w:r>
              <w:rPr>
                <w:b w:val="0"/>
                <w:i w:val="0"/>
                <w:sz w:val="18"/>
              </w:rPr>
              <w:t>115.1</w:t>
            </w:r>
          </w:p>
        </w:tc>
        <w:tc>
          <w:tcPr>
            <w:tcW w:type="dxa" w:w="864"/>
          </w:tcPr>
          <w:p>
            <w:pPr>
              <w:jc w:val="right"/>
            </w:pPr>
            <w:r/>
            <w:r>
              <w:rPr>
                <w:b w:val="0"/>
                <w:i w:val="0"/>
                <w:sz w:val="18"/>
              </w:rPr>
              <w:t>118.2</w:t>
            </w:r>
          </w:p>
        </w:tc>
        <w:tc>
          <w:tcPr>
            <w:tcW w:type="dxa" w:w="864"/>
          </w:tcPr>
          <w:p>
            <w:pPr>
              <w:jc w:val="right"/>
            </w:pPr>
            <w:r/>
            <w:r>
              <w:rPr>
                <w:b w:val="0"/>
                <w:i w:val="0"/>
                <w:sz w:val="18"/>
              </w:rPr>
              <w:t>120.8</w:t>
            </w:r>
          </w:p>
        </w:tc>
        <w:tc>
          <w:tcPr>
            <w:tcW w:type="dxa" w:w="864"/>
          </w:tcPr>
          <w:p>
            <w:pPr>
              <w:jc w:val="right"/>
            </w:pPr>
            <w:r/>
            <w:r>
              <w:rPr>
                <w:b w:val="0"/>
                <w:i w:val="0"/>
                <w:sz w:val="18"/>
              </w:rPr>
              <w:t>123.0</w:t>
            </w:r>
          </w:p>
        </w:tc>
      </w:tr>
      <w:tr>
        <w:tc>
          <w:tcPr>
            <w:tcW w:type="dxa" w:w="3240"/>
          </w:tcPr>
          <w:p>
            <w:pPr>
              <w:jc w:val="left"/>
            </w:pPr>
            <w:r/>
            <w:r>
              <w:rPr>
                <w:b w:val="0"/>
                <w:i w:val="0"/>
                <w:sz w:val="18"/>
              </w:rPr>
              <w:t>Inventory + receivables + other CA</w:t>
            </w:r>
          </w:p>
        </w:tc>
        <w:tc>
          <w:tcPr>
            <w:tcW w:type="dxa" w:w="864"/>
          </w:tcPr>
          <w:p>
            <w:pPr>
              <w:jc w:val="right"/>
            </w:pPr>
            <w:r/>
            <w:r>
              <w:rPr>
                <w:b w:val="0"/>
                <w:i w:val="0"/>
                <w:sz w:val="18"/>
              </w:rPr>
              <w:t>18.0</w:t>
            </w:r>
          </w:p>
        </w:tc>
        <w:tc>
          <w:tcPr>
            <w:tcW w:type="dxa" w:w="864"/>
          </w:tcPr>
          <w:p>
            <w:pPr>
              <w:jc w:val="right"/>
            </w:pPr>
            <w:r/>
            <w:r>
              <w:rPr>
                <w:b w:val="0"/>
                <w:i w:val="0"/>
                <w:sz w:val="18"/>
              </w:rPr>
              <w:t>19.5</w:t>
            </w:r>
          </w:p>
        </w:tc>
        <w:tc>
          <w:tcPr>
            <w:tcW w:type="dxa" w:w="864"/>
          </w:tcPr>
          <w:p>
            <w:pPr>
              <w:jc w:val="right"/>
            </w:pPr>
            <w:r/>
            <w:r>
              <w:rPr>
                <w:b w:val="0"/>
                <w:i w:val="0"/>
                <w:sz w:val="18"/>
              </w:rPr>
              <w:t>21.5</w:t>
            </w:r>
          </w:p>
        </w:tc>
        <w:tc>
          <w:tcPr>
            <w:tcW w:type="dxa" w:w="864"/>
          </w:tcPr>
          <w:p>
            <w:pPr>
              <w:jc w:val="right"/>
            </w:pPr>
            <w:r/>
            <w:r>
              <w:rPr>
                <w:b w:val="0"/>
                <w:i w:val="0"/>
                <w:sz w:val="18"/>
              </w:rPr>
              <w:t>22.8</w:t>
            </w:r>
          </w:p>
        </w:tc>
        <w:tc>
          <w:tcPr>
            <w:tcW w:type="dxa" w:w="864"/>
          </w:tcPr>
          <w:p>
            <w:pPr>
              <w:jc w:val="right"/>
            </w:pPr>
            <w:r/>
            <w:r>
              <w:rPr>
                <w:b w:val="0"/>
                <w:i w:val="0"/>
                <w:sz w:val="18"/>
              </w:rPr>
              <w:t>25.0</w:t>
            </w:r>
          </w:p>
        </w:tc>
        <w:tc>
          <w:tcPr>
            <w:tcW w:type="dxa" w:w="864"/>
          </w:tcPr>
          <w:p>
            <w:pPr>
              <w:jc w:val="right"/>
            </w:pPr>
            <w:r/>
            <w:r>
              <w:rPr>
                <w:b w:val="0"/>
                <w:i w:val="0"/>
                <w:sz w:val="18"/>
              </w:rPr>
              <w:t>27.0</w:t>
            </w:r>
          </w:p>
        </w:tc>
        <w:tc>
          <w:tcPr>
            <w:tcW w:type="dxa" w:w="864"/>
          </w:tcPr>
          <w:p>
            <w:pPr>
              <w:jc w:val="right"/>
            </w:pPr>
            <w:r/>
            <w:r>
              <w:rPr>
                <w:b w:val="0"/>
                <w:i w:val="0"/>
                <w:sz w:val="18"/>
              </w:rPr>
              <w:t>28.9</w:t>
            </w:r>
          </w:p>
        </w:tc>
        <w:tc>
          <w:tcPr>
            <w:tcW w:type="dxa" w:w="864"/>
          </w:tcPr>
          <w:p>
            <w:pPr>
              <w:jc w:val="right"/>
            </w:pPr>
            <w:r/>
            <w:r>
              <w:rPr>
                <w:b w:val="0"/>
                <w:i w:val="0"/>
                <w:sz w:val="18"/>
              </w:rPr>
              <w:t>30.8</w:t>
            </w:r>
          </w:p>
        </w:tc>
      </w:tr>
      <w:tr>
        <w:tc>
          <w:tcPr>
            <w:tcW w:type="dxa" w:w="3240"/>
          </w:tcPr>
          <w:p>
            <w:pPr>
              <w:jc w:val="left"/>
            </w:pPr>
            <w:r/>
            <w:r>
              <w:rPr>
                <w:b w:val="0"/>
                <w:i w:val="0"/>
                <w:sz w:val="18"/>
              </w:rPr>
              <w:t>Cash &amp; equivalents</w:t>
            </w:r>
          </w:p>
        </w:tc>
        <w:tc>
          <w:tcPr>
            <w:tcW w:type="dxa" w:w="864"/>
          </w:tcPr>
          <w:p>
            <w:pPr>
              <w:jc w:val="right"/>
            </w:pPr>
            <w:r/>
            <w:r>
              <w:rPr>
                <w:b w:val="0"/>
                <w:i w:val="0"/>
                <w:sz w:val="18"/>
              </w:rPr>
              <w:t>8.5</w:t>
            </w:r>
          </w:p>
        </w:tc>
        <w:tc>
          <w:tcPr>
            <w:tcW w:type="dxa" w:w="864"/>
          </w:tcPr>
          <w:p>
            <w:pPr>
              <w:jc w:val="right"/>
            </w:pPr>
            <w:r/>
            <w:r>
              <w:rPr>
                <w:b w:val="0"/>
                <w:i w:val="0"/>
                <w:sz w:val="18"/>
              </w:rPr>
              <w:t>9.0</w:t>
            </w:r>
          </w:p>
        </w:tc>
        <w:tc>
          <w:tcPr>
            <w:tcW w:type="dxa" w:w="864"/>
          </w:tcPr>
          <w:p>
            <w:pPr>
              <w:jc w:val="right"/>
            </w:pPr>
            <w:r/>
            <w:r>
              <w:rPr>
                <w:b w:val="0"/>
                <w:i w:val="0"/>
                <w:sz w:val="18"/>
              </w:rPr>
              <w:t>11.0</w:t>
            </w:r>
          </w:p>
        </w:tc>
        <w:tc>
          <w:tcPr>
            <w:tcW w:type="dxa" w:w="864"/>
          </w:tcPr>
          <w:p>
            <w:pPr>
              <w:jc w:val="right"/>
            </w:pPr>
            <w:r/>
            <w:r>
              <w:rPr>
                <w:b w:val="0"/>
                <w:i w:val="0"/>
                <w:sz w:val="18"/>
              </w:rPr>
              <w:t>13.7</w:t>
            </w:r>
          </w:p>
        </w:tc>
        <w:tc>
          <w:tcPr>
            <w:tcW w:type="dxa" w:w="864"/>
          </w:tcPr>
          <w:p>
            <w:pPr>
              <w:jc w:val="right"/>
            </w:pPr>
            <w:r/>
            <w:r>
              <w:rPr>
                <w:b w:val="0"/>
                <w:i w:val="0"/>
                <w:sz w:val="18"/>
              </w:rPr>
              <w:t>17.5</w:t>
            </w:r>
          </w:p>
        </w:tc>
        <w:tc>
          <w:tcPr>
            <w:tcW w:type="dxa" w:w="864"/>
          </w:tcPr>
          <w:p>
            <w:pPr>
              <w:jc w:val="right"/>
            </w:pPr>
            <w:r/>
            <w:r>
              <w:rPr>
                <w:b w:val="0"/>
                <w:i w:val="0"/>
                <w:sz w:val="18"/>
              </w:rPr>
              <w:t>21.5</w:t>
            </w:r>
          </w:p>
        </w:tc>
        <w:tc>
          <w:tcPr>
            <w:tcW w:type="dxa" w:w="864"/>
          </w:tcPr>
          <w:p>
            <w:pPr>
              <w:jc w:val="right"/>
            </w:pPr>
            <w:r/>
            <w:r>
              <w:rPr>
                <w:b w:val="0"/>
                <w:i w:val="0"/>
                <w:sz w:val="18"/>
              </w:rPr>
              <w:t>25.9</w:t>
            </w:r>
          </w:p>
        </w:tc>
        <w:tc>
          <w:tcPr>
            <w:tcW w:type="dxa" w:w="864"/>
          </w:tcPr>
          <w:p>
            <w:pPr>
              <w:jc w:val="right"/>
            </w:pPr>
            <w:r/>
            <w:r>
              <w:rPr>
                <w:b w:val="0"/>
                <w:i w:val="0"/>
                <w:sz w:val="18"/>
              </w:rPr>
              <w:t>30.5</w:t>
            </w:r>
          </w:p>
        </w:tc>
      </w:tr>
      <w:tr>
        <w:tc>
          <w:tcPr>
            <w:tcW w:type="dxa" w:w="3240"/>
          </w:tcPr>
          <w:p>
            <w:pPr>
              <w:jc w:val="left"/>
            </w:pPr>
            <w:r/>
            <w:r>
              <w:rPr>
                <w:b/>
                <w:i w:val="0"/>
                <w:sz w:val="18"/>
              </w:rPr>
              <w:t>Total assets</w:t>
            </w:r>
          </w:p>
        </w:tc>
        <w:tc>
          <w:tcPr>
            <w:tcW w:type="dxa" w:w="864"/>
          </w:tcPr>
          <w:p>
            <w:pPr>
              <w:jc w:val="right"/>
            </w:pPr>
            <w:r/>
            <w:r>
              <w:rPr>
                <w:b/>
                <w:i w:val="0"/>
                <w:sz w:val="18"/>
              </w:rPr>
              <w:t>118.5</w:t>
            </w:r>
          </w:p>
        </w:tc>
        <w:tc>
          <w:tcPr>
            <w:tcW w:type="dxa" w:w="864"/>
          </w:tcPr>
          <w:p>
            <w:pPr>
              <w:jc w:val="right"/>
            </w:pPr>
            <w:r/>
            <w:r>
              <w:rPr>
                <w:b/>
                <w:i w:val="0"/>
                <w:sz w:val="18"/>
              </w:rPr>
              <w:t>129.5</w:t>
            </w:r>
          </w:p>
        </w:tc>
        <w:tc>
          <w:tcPr>
            <w:tcW w:type="dxa" w:w="864"/>
          </w:tcPr>
          <w:p>
            <w:pPr>
              <w:jc w:val="right"/>
            </w:pPr>
            <w:r/>
            <w:r>
              <w:rPr>
                <w:b/>
                <w:i w:val="0"/>
                <w:sz w:val="18"/>
              </w:rPr>
              <w:t>140.5</w:t>
            </w:r>
          </w:p>
        </w:tc>
        <w:tc>
          <w:tcPr>
            <w:tcW w:type="dxa" w:w="864"/>
          </w:tcPr>
          <w:p>
            <w:pPr>
              <w:jc w:val="right"/>
            </w:pPr>
            <w:r/>
            <w:r>
              <w:rPr>
                <w:b/>
                <w:i w:val="0"/>
                <w:sz w:val="18"/>
              </w:rPr>
              <w:t>147.7</w:t>
            </w:r>
          </w:p>
        </w:tc>
        <w:tc>
          <w:tcPr>
            <w:tcW w:type="dxa" w:w="864"/>
          </w:tcPr>
          <w:p>
            <w:pPr>
              <w:jc w:val="right"/>
            </w:pPr>
            <w:r/>
            <w:r>
              <w:rPr>
                <w:b/>
                <w:i w:val="0"/>
                <w:sz w:val="18"/>
              </w:rPr>
              <w:t>157.6</w:t>
            </w:r>
          </w:p>
        </w:tc>
        <w:tc>
          <w:tcPr>
            <w:tcW w:type="dxa" w:w="864"/>
          </w:tcPr>
          <w:p>
            <w:pPr>
              <w:jc w:val="right"/>
            </w:pPr>
            <w:r/>
            <w:r>
              <w:rPr>
                <w:b/>
                <w:i w:val="0"/>
                <w:sz w:val="18"/>
              </w:rPr>
              <w:t>166.7</w:t>
            </w:r>
          </w:p>
        </w:tc>
        <w:tc>
          <w:tcPr>
            <w:tcW w:type="dxa" w:w="864"/>
          </w:tcPr>
          <w:p>
            <w:pPr>
              <w:jc w:val="right"/>
            </w:pPr>
            <w:r/>
            <w:r>
              <w:rPr>
                <w:b/>
                <w:i w:val="0"/>
                <w:sz w:val="18"/>
              </w:rPr>
              <w:t>175.6</w:t>
            </w:r>
          </w:p>
        </w:tc>
        <w:tc>
          <w:tcPr>
            <w:tcW w:type="dxa" w:w="864"/>
          </w:tcPr>
          <w:p>
            <w:pPr>
              <w:jc w:val="right"/>
            </w:pPr>
            <w:r/>
            <w:r>
              <w:rPr>
                <w:b/>
                <w:i w:val="0"/>
                <w:sz w:val="18"/>
              </w:rPr>
              <w:t>184.3</w:t>
            </w:r>
          </w:p>
        </w:tc>
      </w:tr>
      <w:tr>
        <w:tc>
          <w:tcPr>
            <w:tcW w:type="dxa" w:w="3240"/>
          </w:tcPr>
          <w:p>
            <w:pPr>
              <w:jc w:val="left"/>
            </w:pPr>
            <w:r/>
            <w:r>
              <w:rPr>
                <w:b w:val="0"/>
                <w:i w:val="0"/>
                <w:sz w:val="18"/>
              </w:rPr>
              <w:t>Borrowings (gross debt)</w:t>
            </w:r>
          </w:p>
        </w:tc>
        <w:tc>
          <w:tcPr>
            <w:tcW w:type="dxa" w:w="864"/>
          </w:tcPr>
          <w:p>
            <w:pPr>
              <w:jc w:val="right"/>
            </w:pPr>
            <w:r/>
            <w:r>
              <w:rPr>
                <w:b w:val="0"/>
                <w:i w:val="0"/>
                <w:sz w:val="18"/>
              </w:rPr>
              <w:t>30.0</w:t>
            </w:r>
          </w:p>
        </w:tc>
        <w:tc>
          <w:tcPr>
            <w:tcW w:type="dxa" w:w="864"/>
          </w:tcPr>
          <w:p>
            <w:pPr>
              <w:jc w:val="right"/>
            </w:pPr>
            <w:r/>
            <w:r>
              <w:rPr>
                <w:b w:val="0"/>
                <w:i w:val="0"/>
                <w:sz w:val="18"/>
              </w:rPr>
              <w:t>31.0</w:t>
            </w:r>
          </w:p>
        </w:tc>
        <w:tc>
          <w:tcPr>
            <w:tcW w:type="dxa" w:w="864"/>
          </w:tcPr>
          <w:p>
            <w:pPr>
              <w:jc w:val="right"/>
            </w:pPr>
            <w:r/>
            <w:r>
              <w:rPr>
                <w:b w:val="0"/>
                <w:i w:val="0"/>
                <w:sz w:val="18"/>
              </w:rPr>
              <w:t>35.0</w:t>
            </w:r>
          </w:p>
        </w:tc>
        <w:tc>
          <w:tcPr>
            <w:tcW w:type="dxa" w:w="864"/>
          </w:tcPr>
          <w:p>
            <w:pPr>
              <w:jc w:val="right"/>
            </w:pPr>
            <w:r/>
            <w:r>
              <w:rPr>
                <w:b w:val="0"/>
                <w:i w:val="0"/>
                <w:sz w:val="18"/>
              </w:rPr>
              <w:t>35.0</w:t>
            </w:r>
          </w:p>
        </w:tc>
        <w:tc>
          <w:tcPr>
            <w:tcW w:type="dxa" w:w="864"/>
          </w:tcPr>
          <w:p>
            <w:pPr>
              <w:jc w:val="right"/>
            </w:pPr>
            <w:r/>
            <w:r>
              <w:rPr>
                <w:b w:val="0"/>
                <w:i w:val="0"/>
                <w:sz w:val="18"/>
              </w:rPr>
              <w:t>35.0</w:t>
            </w:r>
          </w:p>
        </w:tc>
        <w:tc>
          <w:tcPr>
            <w:tcW w:type="dxa" w:w="864"/>
          </w:tcPr>
          <w:p>
            <w:pPr>
              <w:jc w:val="right"/>
            </w:pPr>
            <w:r/>
            <w:r>
              <w:rPr>
                <w:b w:val="0"/>
                <w:i w:val="0"/>
                <w:sz w:val="18"/>
              </w:rPr>
              <w:t>35.0</w:t>
            </w:r>
          </w:p>
        </w:tc>
        <w:tc>
          <w:tcPr>
            <w:tcW w:type="dxa" w:w="864"/>
          </w:tcPr>
          <w:p>
            <w:pPr>
              <w:jc w:val="right"/>
            </w:pPr>
            <w:r/>
            <w:r>
              <w:rPr>
                <w:b w:val="0"/>
                <w:i w:val="0"/>
                <w:sz w:val="18"/>
              </w:rPr>
              <w:t>35.0</w:t>
            </w:r>
          </w:p>
        </w:tc>
        <w:tc>
          <w:tcPr>
            <w:tcW w:type="dxa" w:w="864"/>
          </w:tcPr>
          <w:p>
            <w:pPr>
              <w:jc w:val="right"/>
            </w:pPr>
            <w:r/>
            <w:r>
              <w:rPr>
                <w:b w:val="0"/>
                <w:i w:val="0"/>
                <w:sz w:val="18"/>
              </w:rPr>
              <w:t>35.0</w:t>
            </w:r>
          </w:p>
        </w:tc>
      </w:tr>
      <w:tr>
        <w:tc>
          <w:tcPr>
            <w:tcW w:type="dxa" w:w="3240"/>
          </w:tcPr>
          <w:p>
            <w:pPr>
              <w:jc w:val="left"/>
            </w:pPr>
            <w:r/>
            <w:r>
              <w:rPr>
                <w:b w:val="0"/>
                <w:i w:val="0"/>
                <w:sz w:val="18"/>
              </w:rPr>
              <w:t>Payables + provisions + other</w:t>
            </w:r>
          </w:p>
        </w:tc>
        <w:tc>
          <w:tcPr>
            <w:tcW w:type="dxa" w:w="864"/>
          </w:tcPr>
          <w:p>
            <w:pPr>
              <w:jc w:val="right"/>
            </w:pPr>
            <w:r/>
            <w:r>
              <w:rPr>
                <w:b w:val="0"/>
                <w:i w:val="0"/>
                <w:sz w:val="18"/>
              </w:rPr>
              <w:t>25.5</w:t>
            </w:r>
          </w:p>
        </w:tc>
        <w:tc>
          <w:tcPr>
            <w:tcW w:type="dxa" w:w="864"/>
          </w:tcPr>
          <w:p>
            <w:pPr>
              <w:jc w:val="right"/>
            </w:pPr>
            <w:r/>
            <w:r>
              <w:rPr>
                <w:b w:val="0"/>
                <w:i w:val="0"/>
                <w:sz w:val="18"/>
              </w:rPr>
              <w:t>30.6</w:t>
            </w:r>
          </w:p>
        </w:tc>
        <w:tc>
          <w:tcPr>
            <w:tcW w:type="dxa" w:w="864"/>
          </w:tcPr>
          <w:p>
            <w:pPr>
              <w:jc w:val="right"/>
            </w:pPr>
            <w:r/>
            <w:r>
              <w:rPr>
                <w:b w:val="0"/>
                <w:i w:val="0"/>
                <w:sz w:val="18"/>
              </w:rPr>
              <w:t>26.9</w:t>
            </w:r>
          </w:p>
        </w:tc>
        <w:tc>
          <w:tcPr>
            <w:tcW w:type="dxa" w:w="864"/>
          </w:tcPr>
          <w:p>
            <w:pPr>
              <w:jc w:val="right"/>
            </w:pPr>
            <w:r/>
            <w:r>
              <w:rPr>
                <w:b w:val="0"/>
                <w:i w:val="0"/>
                <w:sz w:val="18"/>
              </w:rPr>
              <w:t>27.7</w:t>
            </w:r>
          </w:p>
        </w:tc>
        <w:tc>
          <w:tcPr>
            <w:tcW w:type="dxa" w:w="864"/>
          </w:tcPr>
          <w:p>
            <w:pPr>
              <w:jc w:val="right"/>
            </w:pPr>
            <w:r/>
            <w:r>
              <w:rPr>
                <w:b w:val="0"/>
                <w:i w:val="0"/>
                <w:sz w:val="18"/>
              </w:rPr>
              <w:t>28.5</w:t>
            </w:r>
          </w:p>
        </w:tc>
        <w:tc>
          <w:tcPr>
            <w:tcW w:type="dxa" w:w="864"/>
          </w:tcPr>
          <w:p>
            <w:pPr>
              <w:jc w:val="right"/>
            </w:pPr>
            <w:r/>
            <w:r>
              <w:rPr>
                <w:b w:val="0"/>
                <w:i w:val="0"/>
                <w:sz w:val="18"/>
              </w:rPr>
              <w:t>29.4</w:t>
            </w:r>
          </w:p>
        </w:tc>
        <w:tc>
          <w:tcPr>
            <w:tcW w:type="dxa" w:w="864"/>
          </w:tcPr>
          <w:p>
            <w:pPr>
              <w:jc w:val="right"/>
            </w:pPr>
            <w:r/>
            <w:r>
              <w:rPr>
                <w:b w:val="0"/>
                <w:i w:val="0"/>
                <w:sz w:val="18"/>
              </w:rPr>
              <w:t>30.3</w:t>
            </w:r>
          </w:p>
        </w:tc>
        <w:tc>
          <w:tcPr>
            <w:tcW w:type="dxa" w:w="864"/>
          </w:tcPr>
          <w:p>
            <w:pPr>
              <w:jc w:val="right"/>
            </w:pPr>
            <w:r/>
            <w:r>
              <w:rPr>
                <w:b w:val="0"/>
                <w:i w:val="0"/>
                <w:sz w:val="18"/>
              </w:rPr>
              <w:t>31.2</w:t>
            </w:r>
          </w:p>
        </w:tc>
      </w:tr>
      <w:tr>
        <w:tc>
          <w:tcPr>
            <w:tcW w:type="dxa" w:w="3240"/>
          </w:tcPr>
          <w:p>
            <w:pPr>
              <w:jc w:val="left"/>
            </w:pPr>
            <w:r/>
            <w:r>
              <w:rPr>
                <w:b w:val="0"/>
                <w:i w:val="0"/>
                <w:sz w:val="18"/>
              </w:rPr>
              <w:t>Non-controlling interests</w:t>
            </w:r>
          </w:p>
        </w:tc>
        <w:tc>
          <w:tcPr>
            <w:tcW w:type="dxa" w:w="864"/>
          </w:tcPr>
          <w:p>
            <w:pPr>
              <w:jc w:val="right"/>
            </w:pPr>
            <w:r/>
            <w:r>
              <w:rPr>
                <w:b w:val="0"/>
                <w:i w:val="0"/>
                <w:sz w:val="18"/>
              </w:rPr>
              <w:t>15.0</w:t>
            </w:r>
          </w:p>
        </w:tc>
        <w:tc>
          <w:tcPr>
            <w:tcW w:type="dxa" w:w="864"/>
          </w:tcPr>
          <w:p>
            <w:pPr>
              <w:jc w:val="right"/>
            </w:pPr>
            <w:r/>
            <w:r>
              <w:rPr>
                <w:b w:val="0"/>
                <w:i w:val="0"/>
                <w:sz w:val="18"/>
              </w:rPr>
              <w:t>16.0</w:t>
            </w:r>
          </w:p>
        </w:tc>
        <w:tc>
          <w:tcPr>
            <w:tcW w:type="dxa" w:w="864"/>
          </w:tcPr>
          <w:p>
            <w:pPr>
              <w:jc w:val="right"/>
            </w:pPr>
            <w:r/>
            <w:r>
              <w:rPr>
                <w:b w:val="0"/>
                <w:i w:val="0"/>
                <w:sz w:val="18"/>
              </w:rPr>
              <w:t>17.0</w:t>
            </w:r>
          </w:p>
        </w:tc>
        <w:tc>
          <w:tcPr>
            <w:tcW w:type="dxa" w:w="864"/>
          </w:tcPr>
          <w:p>
            <w:pPr>
              <w:jc w:val="right"/>
            </w:pPr>
            <w:r/>
            <w:r>
              <w:rPr>
                <w:b w:val="0"/>
                <w:i w:val="0"/>
                <w:sz w:val="18"/>
              </w:rPr>
              <w:t>17.6</w:t>
            </w:r>
          </w:p>
        </w:tc>
        <w:tc>
          <w:tcPr>
            <w:tcW w:type="dxa" w:w="864"/>
          </w:tcPr>
          <w:p>
            <w:pPr>
              <w:jc w:val="right"/>
            </w:pPr>
            <w:r/>
            <w:r>
              <w:rPr>
                <w:b w:val="0"/>
                <w:i w:val="0"/>
                <w:sz w:val="18"/>
              </w:rPr>
              <w:t>18.2</w:t>
            </w:r>
          </w:p>
        </w:tc>
        <w:tc>
          <w:tcPr>
            <w:tcW w:type="dxa" w:w="864"/>
          </w:tcPr>
          <w:p>
            <w:pPr>
              <w:jc w:val="right"/>
            </w:pPr>
            <w:r/>
            <w:r>
              <w:rPr>
                <w:b w:val="0"/>
                <w:i w:val="0"/>
                <w:sz w:val="18"/>
              </w:rPr>
              <w:t>18.9</w:t>
            </w:r>
          </w:p>
        </w:tc>
        <w:tc>
          <w:tcPr>
            <w:tcW w:type="dxa" w:w="864"/>
          </w:tcPr>
          <w:p>
            <w:pPr>
              <w:jc w:val="right"/>
            </w:pPr>
            <w:r/>
            <w:r>
              <w:rPr>
                <w:b w:val="0"/>
                <w:i w:val="0"/>
                <w:sz w:val="18"/>
              </w:rPr>
              <w:t>19.6</w:t>
            </w:r>
          </w:p>
        </w:tc>
        <w:tc>
          <w:tcPr>
            <w:tcW w:type="dxa" w:w="864"/>
          </w:tcPr>
          <w:p>
            <w:pPr>
              <w:jc w:val="right"/>
            </w:pPr>
            <w:r/>
            <w:r>
              <w:rPr>
                <w:b w:val="0"/>
                <w:i w:val="0"/>
                <w:sz w:val="18"/>
              </w:rPr>
              <w:t>20.4</w:t>
            </w:r>
          </w:p>
        </w:tc>
      </w:tr>
      <w:tr>
        <w:tc>
          <w:tcPr>
            <w:tcW w:type="dxa" w:w="3240"/>
          </w:tcPr>
          <w:p>
            <w:pPr>
              <w:jc w:val="left"/>
            </w:pPr>
            <w:r/>
            <w:r>
              <w:rPr>
                <w:b/>
                <w:i w:val="0"/>
                <w:sz w:val="18"/>
              </w:rPr>
              <w:t>Equity (attributable)</w:t>
            </w:r>
          </w:p>
        </w:tc>
        <w:tc>
          <w:tcPr>
            <w:tcW w:type="dxa" w:w="864"/>
          </w:tcPr>
          <w:p>
            <w:pPr>
              <w:jc w:val="right"/>
            </w:pPr>
            <w:r/>
            <w:r>
              <w:rPr>
                <w:b/>
                <w:i w:val="0"/>
                <w:sz w:val="18"/>
              </w:rPr>
              <w:t>48.0</w:t>
            </w:r>
          </w:p>
        </w:tc>
        <w:tc>
          <w:tcPr>
            <w:tcW w:type="dxa" w:w="864"/>
          </w:tcPr>
          <w:p>
            <w:pPr>
              <w:jc w:val="right"/>
            </w:pPr>
            <w:r/>
            <w:r>
              <w:rPr>
                <w:b/>
                <w:i w:val="0"/>
                <w:sz w:val="18"/>
              </w:rPr>
              <w:t>51.9</w:t>
            </w:r>
          </w:p>
        </w:tc>
        <w:tc>
          <w:tcPr>
            <w:tcW w:type="dxa" w:w="864"/>
          </w:tcPr>
          <w:p>
            <w:pPr>
              <w:jc w:val="right"/>
            </w:pPr>
            <w:r/>
            <w:r>
              <w:rPr>
                <w:b/>
                <w:i w:val="0"/>
                <w:sz w:val="18"/>
              </w:rPr>
              <w:t>61.6</w:t>
            </w:r>
          </w:p>
        </w:tc>
        <w:tc>
          <w:tcPr>
            <w:tcW w:type="dxa" w:w="864"/>
          </w:tcPr>
          <w:p>
            <w:pPr>
              <w:jc w:val="right"/>
            </w:pPr>
            <w:r/>
            <w:r>
              <w:rPr>
                <w:b/>
                <w:i w:val="0"/>
                <w:sz w:val="18"/>
              </w:rPr>
              <w:t>67.4</w:t>
            </w:r>
          </w:p>
        </w:tc>
        <w:tc>
          <w:tcPr>
            <w:tcW w:type="dxa" w:w="864"/>
          </w:tcPr>
          <w:p>
            <w:pPr>
              <w:jc w:val="right"/>
            </w:pPr>
            <w:r/>
            <w:r>
              <w:rPr>
                <w:b/>
                <w:i w:val="0"/>
                <w:sz w:val="18"/>
              </w:rPr>
              <w:t>75.9</w:t>
            </w:r>
          </w:p>
        </w:tc>
        <w:tc>
          <w:tcPr>
            <w:tcW w:type="dxa" w:w="864"/>
          </w:tcPr>
          <w:p>
            <w:pPr>
              <w:jc w:val="right"/>
            </w:pPr>
            <w:r/>
            <w:r>
              <w:rPr>
                <w:b/>
                <w:i w:val="0"/>
                <w:sz w:val="18"/>
              </w:rPr>
              <w:t>83.4</w:t>
            </w:r>
          </w:p>
        </w:tc>
        <w:tc>
          <w:tcPr>
            <w:tcW w:type="dxa" w:w="864"/>
          </w:tcPr>
          <w:p>
            <w:pPr>
              <w:jc w:val="right"/>
            </w:pPr>
            <w:r/>
            <w:r>
              <w:rPr>
                <w:b/>
                <w:i w:val="0"/>
                <w:sz w:val="18"/>
              </w:rPr>
              <w:t>90.7</w:t>
            </w:r>
          </w:p>
        </w:tc>
        <w:tc>
          <w:tcPr>
            <w:tcW w:type="dxa" w:w="864"/>
          </w:tcPr>
          <w:p>
            <w:pPr>
              <w:jc w:val="right"/>
            </w:pPr>
            <w:r/>
            <w:r>
              <w:rPr>
                <w:b/>
                <w:i w:val="0"/>
                <w:sz w:val="18"/>
              </w:rPr>
              <w:t>97.5</w:t>
            </w:r>
          </w:p>
        </w:tc>
      </w:tr>
      <w:tr>
        <w:tc>
          <w:tcPr>
            <w:tcW w:type="dxa" w:w="3240"/>
          </w:tcPr>
          <w:p>
            <w:pPr>
              <w:jc w:val="left"/>
            </w:pPr>
            <w:r/>
            <w:r>
              <w:rPr>
                <w:b w:val="0"/>
                <w:i w:val="0"/>
                <w:sz w:val="18"/>
              </w:rPr>
              <w:t>Net debt = borrowings − cash</w:t>
            </w:r>
          </w:p>
        </w:tc>
        <w:tc>
          <w:tcPr>
            <w:tcW w:type="dxa" w:w="864"/>
          </w:tcPr>
          <w:p>
            <w:pPr>
              <w:jc w:val="right"/>
            </w:pPr>
            <w:r/>
            <w:r>
              <w:rPr>
                <w:b w:val="0"/>
                <w:i w:val="0"/>
                <w:sz w:val="18"/>
              </w:rPr>
              <w:t>21.5</w:t>
            </w:r>
          </w:p>
        </w:tc>
        <w:tc>
          <w:tcPr>
            <w:tcW w:type="dxa" w:w="864"/>
          </w:tcPr>
          <w:p>
            <w:pPr>
              <w:jc w:val="right"/>
            </w:pPr>
            <w:r/>
            <w:r>
              <w:rPr>
                <w:b w:val="0"/>
                <w:i w:val="0"/>
                <w:sz w:val="18"/>
              </w:rPr>
              <w:t>22.0</w:t>
            </w:r>
          </w:p>
        </w:tc>
        <w:tc>
          <w:tcPr>
            <w:tcW w:type="dxa" w:w="864"/>
          </w:tcPr>
          <w:p>
            <w:pPr>
              <w:jc w:val="right"/>
            </w:pPr>
            <w:r/>
            <w:r>
              <w:rPr>
                <w:b w:val="0"/>
                <w:i w:val="0"/>
                <w:sz w:val="18"/>
              </w:rPr>
              <w:t>24.0</w:t>
            </w:r>
          </w:p>
        </w:tc>
        <w:tc>
          <w:tcPr>
            <w:tcW w:type="dxa" w:w="864"/>
          </w:tcPr>
          <w:p>
            <w:pPr>
              <w:jc w:val="right"/>
            </w:pPr>
            <w:r/>
            <w:r>
              <w:rPr>
                <w:b w:val="0"/>
                <w:i w:val="0"/>
                <w:sz w:val="18"/>
              </w:rPr>
              <w:t>21.3</w:t>
            </w:r>
          </w:p>
        </w:tc>
        <w:tc>
          <w:tcPr>
            <w:tcW w:type="dxa" w:w="864"/>
          </w:tcPr>
          <w:p>
            <w:pPr>
              <w:jc w:val="right"/>
            </w:pPr>
            <w:r/>
            <w:r>
              <w:rPr>
                <w:b w:val="0"/>
                <w:i w:val="0"/>
                <w:sz w:val="18"/>
              </w:rPr>
              <w:t>17.5</w:t>
            </w:r>
          </w:p>
        </w:tc>
        <w:tc>
          <w:tcPr>
            <w:tcW w:type="dxa" w:w="864"/>
          </w:tcPr>
          <w:p>
            <w:pPr>
              <w:jc w:val="right"/>
            </w:pPr>
            <w:r/>
            <w:r>
              <w:rPr>
                <w:b w:val="0"/>
                <w:i w:val="0"/>
                <w:sz w:val="18"/>
              </w:rPr>
              <w:t>13.5</w:t>
            </w:r>
          </w:p>
        </w:tc>
        <w:tc>
          <w:tcPr>
            <w:tcW w:type="dxa" w:w="864"/>
          </w:tcPr>
          <w:p>
            <w:pPr>
              <w:jc w:val="right"/>
            </w:pPr>
            <w:r/>
            <w:r>
              <w:rPr>
                <w:b w:val="0"/>
                <w:i w:val="0"/>
                <w:sz w:val="18"/>
              </w:rPr>
              <w:t>9.1</w:t>
            </w:r>
          </w:p>
        </w:tc>
        <w:tc>
          <w:tcPr>
            <w:tcW w:type="dxa" w:w="864"/>
          </w:tcPr>
          <w:p>
            <w:pPr>
              <w:jc w:val="right"/>
            </w:pPr>
            <w:r/>
            <w:r>
              <w:rPr>
                <w:b w:val="0"/>
                <w:i w:val="0"/>
                <w:sz w:val="18"/>
              </w:rPr>
              <w:t>4.5</w:t>
            </w:r>
          </w:p>
        </w:tc>
      </w:tr>
    </w:tbl>
    <w:p>
      <w:pPr>
        <w:spacing w:after="120"/>
      </w:pPr>
      <w:r>
        <w:rPr>
          <w:b w:val="0"/>
          <w:i/>
          <w:color w:val="595959"/>
          <w:sz w:val="17"/>
        </w:rPr>
        <w:t>Note: FY2025 attributable equity ~SAR 61.6 bn (+19% YoY) per disclosure; net-debt/EBITDA ~1.5×. Forecast balances rolled from the Income Statement and Assumptions; the statement foots each year.</w:t>
      </w:r>
    </w:p>
    <w:p>
      <w:pPr>
        <w:spacing w:before="200" w:after="80"/>
      </w:pPr>
      <w:r>
        <w:rPr>
          <w:b/>
          <w:i w:val="0"/>
          <w:color w:val="1B5E5E"/>
          <w:sz w:val="23"/>
        </w:rPr>
        <w:t>A.3  Cash flow (forecast, SAR bn)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744"/>
            <w:shd w:val="clear" w:fill="1B5E5E"/>
          </w:tcPr>
          <w:p>
            <w:r/>
            <w:r>
              <w:rPr>
                <w:b/>
                <w:i w:val="0"/>
                <w:color w:val="FFFFFF"/>
                <w:sz w:val="19"/>
              </w:rPr>
              <w:t>Line</w:t>
            </w:r>
          </w:p>
        </w:tc>
        <w:tc>
          <w:tcPr>
            <w:tcW w:type="dxa" w:w="1296"/>
            <w:shd w:val="clear" w:fill="1B5E5E"/>
          </w:tcPr>
          <w:p>
            <w:r/>
            <w:r>
              <w:rPr>
                <w:b/>
                <w:i w:val="0"/>
                <w:color w:val="FFFFFF"/>
                <w:sz w:val="19"/>
              </w:rPr>
              <w:t>FY26E</w:t>
            </w:r>
          </w:p>
        </w:tc>
        <w:tc>
          <w:tcPr>
            <w:tcW w:type="dxa" w:w="1296"/>
            <w:shd w:val="clear" w:fill="1B5E5E"/>
          </w:tcPr>
          <w:p>
            <w:r/>
            <w:r>
              <w:rPr>
                <w:b/>
                <w:i w:val="0"/>
                <w:color w:val="FFFFFF"/>
                <w:sz w:val="19"/>
              </w:rPr>
              <w:t>FY27E</w:t>
            </w:r>
          </w:p>
        </w:tc>
        <w:tc>
          <w:tcPr>
            <w:tcW w:type="dxa" w:w="1296"/>
            <w:shd w:val="clear" w:fill="1B5E5E"/>
          </w:tcPr>
          <w:p>
            <w:r/>
            <w:r>
              <w:rPr>
                <w:b/>
                <w:i w:val="0"/>
                <w:color w:val="FFFFFF"/>
                <w:sz w:val="19"/>
              </w:rPr>
              <w:t>FY28E</w:t>
            </w:r>
          </w:p>
        </w:tc>
        <w:tc>
          <w:tcPr>
            <w:tcW w:type="dxa" w:w="1296"/>
            <w:shd w:val="clear" w:fill="1B5E5E"/>
          </w:tcPr>
          <w:p>
            <w:r/>
            <w:r>
              <w:rPr>
                <w:b/>
                <w:i w:val="0"/>
                <w:color w:val="FFFFFF"/>
                <w:sz w:val="19"/>
              </w:rPr>
              <w:t>FY29E</w:t>
            </w:r>
          </w:p>
        </w:tc>
        <w:tc>
          <w:tcPr>
            <w:tcW w:type="dxa" w:w="1296"/>
            <w:shd w:val="clear" w:fill="1B5E5E"/>
          </w:tcPr>
          <w:p>
            <w:r/>
            <w:r>
              <w:rPr>
                <w:b/>
                <w:i w:val="0"/>
                <w:color w:val="FFFFFF"/>
                <w:sz w:val="19"/>
              </w:rPr>
              <w:t>FY30E</w:t>
            </w:r>
          </w:p>
        </w:tc>
      </w:tr>
      <w:tr>
        <w:tc>
          <w:tcPr>
            <w:tcW w:type="dxa" w:w="3744"/>
          </w:tcPr>
          <w:p>
            <w:pPr>
              <w:jc w:val="left"/>
            </w:pPr>
            <w:r/>
            <w:r>
              <w:rPr>
                <w:b w:val="0"/>
                <w:i w:val="0"/>
                <w:sz w:val="18"/>
              </w:rPr>
              <w:t>Net profit (attributable)</w:t>
            </w:r>
          </w:p>
        </w:tc>
        <w:tc>
          <w:tcPr>
            <w:tcW w:type="dxa" w:w="1296"/>
          </w:tcPr>
          <w:p>
            <w:pPr>
              <w:jc w:val="right"/>
            </w:pPr>
            <w:r/>
            <w:r>
              <w:rPr>
                <w:b w:val="0"/>
                <w:i w:val="0"/>
                <w:sz w:val="18"/>
              </w:rPr>
              <w:t>8.6</w:t>
            </w:r>
          </w:p>
        </w:tc>
        <w:tc>
          <w:tcPr>
            <w:tcW w:type="dxa" w:w="1296"/>
          </w:tcPr>
          <w:p>
            <w:pPr>
              <w:jc w:val="right"/>
            </w:pPr>
            <w:r/>
            <w:r>
              <w:rPr>
                <w:b w:val="0"/>
                <w:i w:val="0"/>
                <w:sz w:val="18"/>
              </w:rPr>
              <w:t>10.1</w:t>
            </w:r>
          </w:p>
        </w:tc>
        <w:tc>
          <w:tcPr>
            <w:tcW w:type="dxa" w:w="1296"/>
          </w:tcPr>
          <w:p>
            <w:pPr>
              <w:jc w:val="right"/>
            </w:pPr>
            <w:r/>
            <w:r>
              <w:rPr>
                <w:b w:val="0"/>
                <w:i w:val="0"/>
                <w:sz w:val="18"/>
              </w:rPr>
              <w:t>11.4</w:t>
            </w:r>
          </w:p>
        </w:tc>
        <w:tc>
          <w:tcPr>
            <w:tcW w:type="dxa" w:w="1296"/>
          </w:tcPr>
          <w:p>
            <w:pPr>
              <w:jc w:val="right"/>
            </w:pPr>
            <w:r/>
            <w:r>
              <w:rPr>
                <w:b w:val="0"/>
                <w:i w:val="0"/>
                <w:sz w:val="18"/>
              </w:rPr>
              <w:t>12.5</w:t>
            </w:r>
          </w:p>
        </w:tc>
        <w:tc>
          <w:tcPr>
            <w:tcW w:type="dxa" w:w="1296"/>
          </w:tcPr>
          <w:p>
            <w:pPr>
              <w:jc w:val="right"/>
            </w:pPr>
            <w:r/>
            <w:r>
              <w:rPr>
                <w:b w:val="0"/>
                <w:i w:val="0"/>
                <w:sz w:val="18"/>
              </w:rPr>
              <w:t>13.6</w:t>
            </w:r>
          </w:p>
        </w:tc>
      </w:tr>
      <w:tr>
        <w:tc>
          <w:tcPr>
            <w:tcW w:type="dxa" w:w="3744"/>
          </w:tcPr>
          <w:p>
            <w:pPr>
              <w:jc w:val="left"/>
            </w:pPr>
            <w:r/>
            <w:r>
              <w:rPr>
                <w:b w:val="0"/>
                <w:i w:val="0"/>
                <w:sz w:val="18"/>
              </w:rPr>
              <w:t>+ Non-controlling interests</w:t>
            </w:r>
          </w:p>
        </w:tc>
        <w:tc>
          <w:tcPr>
            <w:tcW w:type="dxa" w:w="1296"/>
          </w:tcPr>
          <w:p>
            <w:pPr>
              <w:jc w:val="right"/>
            </w:pPr>
            <w:r/>
            <w:r>
              <w:rPr>
                <w:b w:val="0"/>
                <w:i w:val="0"/>
                <w:sz w:val="18"/>
              </w:rPr>
              <w:t>0.6</w:t>
            </w:r>
          </w:p>
        </w:tc>
        <w:tc>
          <w:tcPr>
            <w:tcW w:type="dxa" w:w="1296"/>
          </w:tcPr>
          <w:p>
            <w:pPr>
              <w:jc w:val="right"/>
            </w:pPr>
            <w:r/>
            <w:r>
              <w:rPr>
                <w:b w:val="0"/>
                <w:i w:val="0"/>
                <w:sz w:val="18"/>
              </w:rPr>
              <w:t>0.6</w:t>
            </w:r>
          </w:p>
        </w:tc>
        <w:tc>
          <w:tcPr>
            <w:tcW w:type="dxa" w:w="1296"/>
          </w:tcPr>
          <w:p>
            <w:pPr>
              <w:jc w:val="right"/>
            </w:pPr>
            <w:r/>
            <w:r>
              <w:rPr>
                <w:b w:val="0"/>
                <w:i w:val="0"/>
                <w:sz w:val="18"/>
              </w:rPr>
              <w:t>0.7</w:t>
            </w:r>
          </w:p>
        </w:tc>
        <w:tc>
          <w:tcPr>
            <w:tcW w:type="dxa" w:w="1296"/>
          </w:tcPr>
          <w:p>
            <w:pPr>
              <w:jc w:val="right"/>
            </w:pPr>
            <w:r/>
            <w:r>
              <w:rPr>
                <w:b w:val="0"/>
                <w:i w:val="0"/>
                <w:sz w:val="18"/>
              </w:rPr>
              <w:t>0.7</w:t>
            </w:r>
          </w:p>
        </w:tc>
        <w:tc>
          <w:tcPr>
            <w:tcW w:type="dxa" w:w="1296"/>
          </w:tcPr>
          <w:p>
            <w:pPr>
              <w:jc w:val="right"/>
            </w:pPr>
            <w:r/>
            <w:r>
              <w:rPr>
                <w:b w:val="0"/>
                <w:i w:val="0"/>
                <w:sz w:val="18"/>
              </w:rPr>
              <w:t>0.8</w:t>
            </w:r>
          </w:p>
        </w:tc>
      </w:tr>
      <w:tr>
        <w:tc>
          <w:tcPr>
            <w:tcW w:type="dxa" w:w="3744"/>
          </w:tcPr>
          <w:p>
            <w:pPr>
              <w:jc w:val="left"/>
            </w:pPr>
            <w:r/>
            <w:r>
              <w:rPr>
                <w:b w:val="0"/>
                <w:i w:val="0"/>
                <w:sz w:val="18"/>
              </w:rPr>
              <w:t>+ D&amp;A</w:t>
            </w:r>
          </w:p>
        </w:tc>
        <w:tc>
          <w:tcPr>
            <w:tcW w:type="dxa" w:w="1296"/>
          </w:tcPr>
          <w:p>
            <w:pPr>
              <w:jc w:val="right"/>
            </w:pPr>
            <w:r/>
            <w:r>
              <w:rPr>
                <w:b w:val="0"/>
                <w:i w:val="0"/>
                <w:sz w:val="18"/>
              </w:rPr>
              <w:t>5.8</w:t>
            </w:r>
          </w:p>
        </w:tc>
        <w:tc>
          <w:tcPr>
            <w:tcW w:type="dxa" w:w="1296"/>
          </w:tcPr>
          <w:p>
            <w:pPr>
              <w:jc w:val="right"/>
            </w:pPr>
            <w:r/>
            <w:r>
              <w:rPr>
                <w:b w:val="0"/>
                <w:i w:val="0"/>
                <w:sz w:val="18"/>
              </w:rPr>
              <w:t>6.4</w:t>
            </w:r>
          </w:p>
        </w:tc>
        <w:tc>
          <w:tcPr>
            <w:tcW w:type="dxa" w:w="1296"/>
          </w:tcPr>
          <w:p>
            <w:pPr>
              <w:jc w:val="right"/>
            </w:pPr>
            <w:r/>
            <w:r>
              <w:rPr>
                <w:b w:val="0"/>
                <w:i w:val="0"/>
                <w:sz w:val="18"/>
              </w:rPr>
              <w:t>6.9</w:t>
            </w:r>
          </w:p>
        </w:tc>
        <w:tc>
          <w:tcPr>
            <w:tcW w:type="dxa" w:w="1296"/>
          </w:tcPr>
          <w:p>
            <w:pPr>
              <w:jc w:val="right"/>
            </w:pPr>
            <w:r/>
            <w:r>
              <w:rPr>
                <w:b w:val="0"/>
                <w:i w:val="0"/>
                <w:sz w:val="18"/>
              </w:rPr>
              <w:t>7.4</w:t>
            </w:r>
          </w:p>
        </w:tc>
        <w:tc>
          <w:tcPr>
            <w:tcW w:type="dxa" w:w="1296"/>
          </w:tcPr>
          <w:p>
            <w:pPr>
              <w:jc w:val="right"/>
            </w:pPr>
            <w:r/>
            <w:r>
              <w:rPr>
                <w:b w:val="0"/>
                <w:i w:val="0"/>
                <w:sz w:val="18"/>
              </w:rPr>
              <w:t>7.8</w:t>
            </w:r>
          </w:p>
        </w:tc>
      </w:tr>
      <w:tr>
        <w:tc>
          <w:tcPr>
            <w:tcW w:type="dxa" w:w="3744"/>
          </w:tcPr>
          <w:p>
            <w:pPr>
              <w:jc w:val="left"/>
            </w:pPr>
            <w:r/>
            <w:r>
              <w:rPr>
                <w:b w:val="0"/>
                <w:i w:val="0"/>
                <w:sz w:val="18"/>
              </w:rPr>
              <w:t>− Increase in net working capital</w:t>
            </w:r>
          </w:p>
        </w:tc>
        <w:tc>
          <w:tcPr>
            <w:tcW w:type="dxa" w:w="1296"/>
          </w:tcPr>
          <w:p>
            <w:pPr>
              <w:jc w:val="right"/>
            </w:pPr>
            <w:r/>
            <w:r>
              <w:rPr>
                <w:b w:val="0"/>
                <w:i w:val="0"/>
                <w:sz w:val="18"/>
              </w:rPr>
              <w:t>(1.2)</w:t>
            </w:r>
          </w:p>
        </w:tc>
        <w:tc>
          <w:tcPr>
            <w:tcW w:type="dxa" w:w="1296"/>
          </w:tcPr>
          <w:p>
            <w:pPr>
              <w:jc w:val="right"/>
            </w:pPr>
            <w:r/>
            <w:r>
              <w:rPr>
                <w:b w:val="0"/>
                <w:i w:val="0"/>
                <w:sz w:val="18"/>
              </w:rPr>
              <w:t>(1.1)</w:t>
            </w:r>
          </w:p>
        </w:tc>
        <w:tc>
          <w:tcPr>
            <w:tcW w:type="dxa" w:w="1296"/>
          </w:tcPr>
          <w:p>
            <w:pPr>
              <w:jc w:val="right"/>
            </w:pPr>
            <w:r/>
            <w:r>
              <w:rPr>
                <w:b w:val="0"/>
                <w:i w:val="0"/>
                <w:sz w:val="18"/>
              </w:rPr>
              <w:t>(1.0)</w:t>
            </w:r>
          </w:p>
        </w:tc>
        <w:tc>
          <w:tcPr>
            <w:tcW w:type="dxa" w:w="1296"/>
          </w:tcPr>
          <w:p>
            <w:pPr>
              <w:jc w:val="right"/>
            </w:pPr>
            <w:r/>
            <w:r>
              <w:rPr>
                <w:b w:val="0"/>
                <w:i w:val="0"/>
                <w:sz w:val="18"/>
              </w:rPr>
              <w:t>(0.9)</w:t>
            </w:r>
          </w:p>
        </w:tc>
        <w:tc>
          <w:tcPr>
            <w:tcW w:type="dxa" w:w="1296"/>
          </w:tcPr>
          <w:p>
            <w:pPr>
              <w:jc w:val="right"/>
            </w:pPr>
            <w:r/>
            <w:r>
              <w:rPr>
                <w:b w:val="0"/>
                <w:i w:val="0"/>
                <w:sz w:val="18"/>
              </w:rPr>
              <w:t>(0.8)</w:t>
            </w:r>
          </w:p>
        </w:tc>
      </w:tr>
      <w:tr>
        <w:tc>
          <w:tcPr>
            <w:tcW w:type="dxa" w:w="3744"/>
          </w:tcPr>
          <w:p>
            <w:pPr>
              <w:jc w:val="left"/>
            </w:pPr>
            <w:r/>
            <w:r>
              <w:rPr>
                <w:b/>
                <w:i w:val="0"/>
                <w:sz w:val="18"/>
              </w:rPr>
              <w:t>Operating cash flow</w:t>
            </w:r>
          </w:p>
        </w:tc>
        <w:tc>
          <w:tcPr>
            <w:tcW w:type="dxa" w:w="1296"/>
          </w:tcPr>
          <w:p>
            <w:pPr>
              <w:jc w:val="right"/>
            </w:pPr>
            <w:r/>
            <w:r>
              <w:rPr>
                <w:b/>
                <w:i w:val="0"/>
                <w:sz w:val="18"/>
              </w:rPr>
              <w:t>13.8</w:t>
            </w:r>
          </w:p>
        </w:tc>
        <w:tc>
          <w:tcPr>
            <w:tcW w:type="dxa" w:w="1296"/>
          </w:tcPr>
          <w:p>
            <w:pPr>
              <w:jc w:val="right"/>
            </w:pPr>
            <w:r/>
            <w:r>
              <w:rPr>
                <w:b/>
                <w:i w:val="0"/>
                <w:sz w:val="18"/>
              </w:rPr>
              <w:t>16.0</w:t>
            </w:r>
          </w:p>
        </w:tc>
        <w:tc>
          <w:tcPr>
            <w:tcW w:type="dxa" w:w="1296"/>
          </w:tcPr>
          <w:p>
            <w:pPr>
              <w:jc w:val="right"/>
            </w:pPr>
            <w:r/>
            <w:r>
              <w:rPr>
                <w:b/>
                <w:i w:val="0"/>
                <w:sz w:val="18"/>
              </w:rPr>
              <w:t>18.0</w:t>
            </w:r>
          </w:p>
        </w:tc>
        <w:tc>
          <w:tcPr>
            <w:tcW w:type="dxa" w:w="1296"/>
          </w:tcPr>
          <w:p>
            <w:pPr>
              <w:jc w:val="right"/>
            </w:pPr>
            <w:r/>
            <w:r>
              <w:rPr>
                <w:b/>
                <w:i w:val="0"/>
                <w:sz w:val="18"/>
              </w:rPr>
              <w:t>19.7</w:t>
            </w:r>
          </w:p>
        </w:tc>
        <w:tc>
          <w:tcPr>
            <w:tcW w:type="dxa" w:w="1296"/>
          </w:tcPr>
          <w:p>
            <w:pPr>
              <w:jc w:val="right"/>
            </w:pPr>
            <w:r/>
            <w:r>
              <w:rPr>
                <w:b/>
                <w:i w:val="0"/>
                <w:sz w:val="18"/>
              </w:rPr>
              <w:t>21.4</w:t>
            </w:r>
          </w:p>
        </w:tc>
      </w:tr>
      <w:tr>
        <w:tc>
          <w:tcPr>
            <w:tcW w:type="dxa" w:w="3744"/>
          </w:tcPr>
          <w:p>
            <w:pPr>
              <w:jc w:val="left"/>
            </w:pPr>
            <w:r/>
            <w:r>
              <w:rPr>
                <w:b w:val="0"/>
                <w:i w:val="0"/>
                <w:sz w:val="18"/>
              </w:rPr>
              <w:t>− Capex</w:t>
            </w:r>
          </w:p>
        </w:tc>
        <w:tc>
          <w:tcPr>
            <w:tcW w:type="dxa" w:w="1296"/>
          </w:tcPr>
          <w:p>
            <w:pPr>
              <w:jc w:val="right"/>
            </w:pPr>
            <w:r/>
            <w:r>
              <w:rPr>
                <w:b w:val="0"/>
                <w:i w:val="0"/>
                <w:sz w:val="18"/>
              </w:rPr>
              <w:t>(9.0)</w:t>
            </w:r>
          </w:p>
        </w:tc>
        <w:tc>
          <w:tcPr>
            <w:tcW w:type="dxa" w:w="1296"/>
          </w:tcPr>
          <w:p>
            <w:pPr>
              <w:jc w:val="right"/>
            </w:pPr>
            <w:r/>
            <w:r>
              <w:rPr>
                <w:b w:val="0"/>
                <w:i w:val="0"/>
                <w:sz w:val="18"/>
              </w:rPr>
              <w:t>(9.0)</w:t>
            </w:r>
          </w:p>
        </w:tc>
        <w:tc>
          <w:tcPr>
            <w:tcW w:type="dxa" w:w="1296"/>
          </w:tcPr>
          <w:p>
            <w:pPr>
              <w:jc w:val="right"/>
            </w:pPr>
            <w:r/>
            <w:r>
              <w:rPr>
                <w:b w:val="0"/>
                <w:i w:val="0"/>
                <w:sz w:val="18"/>
              </w:rPr>
              <w:t>(8.0)</w:t>
            </w:r>
          </w:p>
        </w:tc>
        <w:tc>
          <w:tcPr>
            <w:tcW w:type="dxa" w:w="1296"/>
          </w:tcPr>
          <w:p>
            <w:pPr>
              <w:jc w:val="right"/>
            </w:pPr>
            <w:r/>
            <w:r>
              <w:rPr>
                <w:b w:val="0"/>
                <w:i w:val="0"/>
                <w:sz w:val="18"/>
              </w:rPr>
              <w:t>(7.5)</w:t>
            </w:r>
          </w:p>
        </w:tc>
        <w:tc>
          <w:tcPr>
            <w:tcW w:type="dxa" w:w="1296"/>
          </w:tcPr>
          <w:p>
            <w:pPr>
              <w:jc w:val="right"/>
            </w:pPr>
            <w:r/>
            <w:r>
              <w:rPr>
                <w:b w:val="0"/>
                <w:i w:val="0"/>
                <w:sz w:val="18"/>
              </w:rPr>
              <w:t>(7.0)</w:t>
            </w:r>
          </w:p>
        </w:tc>
      </w:tr>
      <w:tr>
        <w:tc>
          <w:tcPr>
            <w:tcW w:type="dxa" w:w="3744"/>
          </w:tcPr>
          <w:p>
            <w:pPr>
              <w:jc w:val="left"/>
            </w:pPr>
            <w:r/>
            <w:r>
              <w:rPr>
                <w:b/>
                <w:i w:val="0"/>
                <w:sz w:val="18"/>
              </w:rPr>
              <w:t>Free cash flow (pre-financing)</w:t>
            </w:r>
          </w:p>
        </w:tc>
        <w:tc>
          <w:tcPr>
            <w:tcW w:type="dxa" w:w="1296"/>
          </w:tcPr>
          <w:p>
            <w:pPr>
              <w:jc w:val="right"/>
            </w:pPr>
            <w:r/>
            <w:r>
              <w:rPr>
                <w:b/>
                <w:i w:val="0"/>
                <w:sz w:val="18"/>
              </w:rPr>
              <w:t>4.8</w:t>
            </w:r>
          </w:p>
        </w:tc>
        <w:tc>
          <w:tcPr>
            <w:tcW w:type="dxa" w:w="1296"/>
          </w:tcPr>
          <w:p>
            <w:pPr>
              <w:jc w:val="right"/>
            </w:pPr>
            <w:r/>
            <w:r>
              <w:rPr>
                <w:b/>
                <w:i w:val="0"/>
                <w:sz w:val="18"/>
              </w:rPr>
              <w:t>7.0</w:t>
            </w:r>
          </w:p>
        </w:tc>
        <w:tc>
          <w:tcPr>
            <w:tcW w:type="dxa" w:w="1296"/>
          </w:tcPr>
          <w:p>
            <w:pPr>
              <w:jc w:val="right"/>
            </w:pPr>
            <w:r/>
            <w:r>
              <w:rPr>
                <w:b/>
                <w:i w:val="0"/>
                <w:sz w:val="18"/>
              </w:rPr>
              <w:t>10.0</w:t>
            </w:r>
          </w:p>
        </w:tc>
        <w:tc>
          <w:tcPr>
            <w:tcW w:type="dxa" w:w="1296"/>
          </w:tcPr>
          <w:p>
            <w:pPr>
              <w:jc w:val="right"/>
            </w:pPr>
            <w:r/>
            <w:r>
              <w:rPr>
                <w:b/>
                <w:i w:val="0"/>
                <w:sz w:val="18"/>
              </w:rPr>
              <w:t>12.2</w:t>
            </w:r>
          </w:p>
        </w:tc>
        <w:tc>
          <w:tcPr>
            <w:tcW w:type="dxa" w:w="1296"/>
          </w:tcPr>
          <w:p>
            <w:pPr>
              <w:jc w:val="right"/>
            </w:pPr>
            <w:r/>
            <w:r>
              <w:rPr>
                <w:b/>
                <w:i w:val="0"/>
                <w:sz w:val="18"/>
              </w:rPr>
              <w:t>14.4</w:t>
            </w:r>
          </w:p>
        </w:tc>
      </w:tr>
    </w:tbl>
    <w:p>
      <w:pPr>
        <w:spacing w:after="120"/>
      </w:pPr>
      <w:r>
        <w:rPr>
          <w:b w:val="0"/>
          <w:i/>
          <w:color w:val="595959"/>
          <w:sz w:val="17"/>
        </w:rPr>
        <w:t>The near-term free cash is modest as the growth capex absorbs a strong operating cash flow; it rises sharply as Phosphate 3 and the gold build complete — the pattern the DCF capitalizes and the reason the terminal value is a high share of EV.</w:t>
      </w:r>
    </w:p>
    <w:p>
      <w:pPr>
        <w:spacing w:before="200" w:after="80"/>
      </w:pPr>
      <w:r>
        <w:rPr>
          <w:b/>
          <w:i w:val="0"/>
          <w:color w:val="1B5E5E"/>
          <w:sz w:val="23"/>
        </w:rPr>
        <w:t>A.4  Discounted cash flow</w:t>
      </w:r>
    </w:p>
    <w:p>
      <w:pPr>
        <w:spacing w:after="120"/>
      </w:pPr>
      <w:r>
        <w:rPr>
          <w:b w:val="0"/>
          <w:i w:val="0"/>
          <w:sz w:val="21"/>
        </w:rPr>
        <w:t>The complete five-year DCF build — FCFF for each of FY26E–FY30E, the discount factor and PV of every year, the terminal value, TV as a percentage of enterprise value, and the walk to equity value and fair value per share — is shown in full in §1.2 above. It is driven entirely by the model's Assumptions sheet (the DCF tab), so any change to a growth rate, margin, capex line, the WACC or the terminal growth reprices it automatically.</w:t>
      </w:r>
    </w:p>
    <w:p>
      <w:pPr>
        <w:spacing w:before="200" w:after="80"/>
      </w:pPr>
      <w:r>
        <w:rPr>
          <w:b/>
          <w:i w:val="0"/>
          <w:color w:val="1B5E5E"/>
          <w:sz w:val="30"/>
        </w:rPr>
        <w:t>Appendix B  Step 0 — calibration backtest</w:t>
      </w:r>
    </w:p>
    <w:p>
      <w:pPr>
        <w:spacing w:after="120"/>
      </w:pPr>
      <w:r>
        <w:rPr>
          <w:b w:val="0"/>
          <w:i w:val="0"/>
          <w:sz w:val="21"/>
        </w:rPr>
        <w:t>Before any forecast we test the Monte Carlo lens on Ma'aden's own five years of history: at each origin, using only data up to that date, we generate the three-month-ahead distribution and score the realized close against it, on the established forecasting-science measures — CRPS skill versus a zero-drift random-walk lognormal cone (the grade), with PIT and interval coverage as diagnostics only.</w:t>
      </w:r>
    </w:p>
    <w:p>
      <w:pPr>
        <w:spacing w:after="120"/>
      </w:pPr>
      <w:r>
        <w:rPr>
          <w:b w:val="0"/>
          <w:i w:val="0"/>
          <w:sz w:val="21"/>
        </w:rPr>
        <w:t>The result, reported honestly: on Ma'aden the engine does not beat the random-walk benchmark. Across non-overlapping (n=17), monthly (n=50) and fortnightly (n=105) origin schemes, the CRPS skill is at or below zero (−0.052 / −0.017 / −0.009), and no permitted configuration turns it durably positive — the Yang-Zhang intraday-range width under-projects a name whose moves come from overnight gaps and multi-day trends, and the stock's five-year secular uptrend means a zero-drift forecast is biased low while a full secular drift over-corrects and breaks at the pullbacks. Ma'aden is a highly liquid, PIF-controlled index heavyweight whose quarter-ahead close is already well-described by a plain random-walk cone; the engine's extra machinery adds no skill here.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312"/>
            <w:shd w:val="clear" w:fill="1B5E5E"/>
          </w:tcPr>
          <w:p>
            <w:r/>
            <w:r>
              <w:rPr>
                <w:b/>
                <w:i w:val="0"/>
                <w:color w:val="FFFFFF"/>
                <w:sz w:val="19"/>
              </w:rPr>
              <w:t>Window scheme</w:t>
            </w:r>
          </w:p>
        </w:tc>
        <w:tc>
          <w:tcPr>
            <w:tcW w:type="dxa" w:w="864"/>
            <w:shd w:val="clear" w:fill="1B5E5E"/>
          </w:tcPr>
          <w:p>
            <w:r/>
            <w:r>
              <w:rPr>
                <w:b/>
                <w:i w:val="0"/>
                <w:color w:val="FFFFFF"/>
                <w:sz w:val="19"/>
              </w:rPr>
              <w:t>n</w:t>
            </w:r>
          </w:p>
        </w:tc>
        <w:tc>
          <w:tcPr>
            <w:tcW w:type="dxa" w:w="2016"/>
            <w:shd w:val="clear" w:fill="1B5E5E"/>
          </w:tcPr>
          <w:p>
            <w:r/>
            <w:r>
              <w:rPr>
                <w:b/>
                <w:i w:val="0"/>
                <w:color w:val="FFFFFF"/>
                <w:sz w:val="19"/>
              </w:rPr>
              <w:t>CRPS skill vs RW</w:t>
            </w:r>
          </w:p>
        </w:tc>
        <w:tc>
          <w:tcPr>
            <w:tcW w:type="dxa" w:w="1296"/>
            <w:shd w:val="clear" w:fill="1B5E5E"/>
          </w:tcPr>
          <w:p>
            <w:r/>
            <w:r>
              <w:rPr>
                <w:b/>
                <w:i w:val="0"/>
                <w:color w:val="FFFFFF"/>
                <w:sz w:val="19"/>
              </w:rPr>
              <w:t>cov 50%</w:t>
            </w:r>
          </w:p>
        </w:tc>
        <w:tc>
          <w:tcPr>
            <w:tcW w:type="dxa" w:w="1296"/>
            <w:shd w:val="clear" w:fill="1B5E5E"/>
          </w:tcPr>
          <w:p>
            <w:r/>
            <w:r>
              <w:rPr>
                <w:b/>
                <w:i w:val="0"/>
                <w:color w:val="FFFFFF"/>
                <w:sz w:val="19"/>
              </w:rPr>
              <w:t>cov 90%</w:t>
            </w:r>
          </w:p>
        </w:tc>
        <w:tc>
          <w:tcPr>
            <w:tcW w:type="dxa" w:w="1368"/>
            <w:shd w:val="clear" w:fill="1B5E5E"/>
          </w:tcPr>
          <w:p>
            <w:r/>
            <w:r>
              <w:rPr>
                <w:b/>
                <w:i w:val="0"/>
                <w:color w:val="FFFFFF"/>
                <w:sz w:val="19"/>
              </w:rPr>
              <w:t>PIT mean</w:t>
            </w:r>
          </w:p>
        </w:tc>
      </w:tr>
      <w:tr>
        <w:tc>
          <w:tcPr>
            <w:tcW w:type="dxa" w:w="3312"/>
          </w:tcPr>
          <w:p>
            <w:pPr>
              <w:jc w:val="left"/>
            </w:pPr>
            <w:r/>
            <w:r>
              <w:rPr>
                <w:b w:val="0"/>
                <w:i w:val="0"/>
                <w:sz w:val="18"/>
              </w:rPr>
              <w:t>Non-overlapping (step 63d)</w:t>
            </w:r>
          </w:p>
        </w:tc>
        <w:tc>
          <w:tcPr>
            <w:tcW w:type="dxa" w:w="864"/>
          </w:tcPr>
          <w:p>
            <w:pPr>
              <w:jc w:val="right"/>
            </w:pPr>
            <w:r/>
            <w:r>
              <w:rPr>
                <w:b w:val="0"/>
                <w:i w:val="0"/>
                <w:sz w:val="18"/>
              </w:rPr>
              <w:t>17</w:t>
            </w:r>
          </w:p>
        </w:tc>
        <w:tc>
          <w:tcPr>
            <w:tcW w:type="dxa" w:w="2016"/>
          </w:tcPr>
          <w:p>
            <w:pPr>
              <w:jc w:val="right"/>
            </w:pPr>
            <w:r/>
            <w:r>
              <w:rPr>
                <w:b w:val="0"/>
                <w:i w:val="0"/>
                <w:sz w:val="18"/>
              </w:rPr>
              <w:t>−0.052</w:t>
            </w:r>
          </w:p>
        </w:tc>
        <w:tc>
          <w:tcPr>
            <w:tcW w:type="dxa" w:w="1296"/>
          </w:tcPr>
          <w:p>
            <w:pPr>
              <w:jc w:val="right"/>
            </w:pPr>
            <w:r/>
            <w:r>
              <w:rPr>
                <w:b w:val="0"/>
                <w:i w:val="0"/>
                <w:sz w:val="18"/>
              </w:rPr>
              <w:t>24%</w:t>
            </w:r>
          </w:p>
        </w:tc>
        <w:tc>
          <w:tcPr>
            <w:tcW w:type="dxa" w:w="1296"/>
          </w:tcPr>
          <w:p>
            <w:pPr>
              <w:jc w:val="right"/>
            </w:pPr>
            <w:r/>
            <w:r>
              <w:rPr>
                <w:b w:val="0"/>
                <w:i w:val="0"/>
                <w:sz w:val="18"/>
              </w:rPr>
              <w:t>59%</w:t>
            </w:r>
          </w:p>
        </w:tc>
        <w:tc>
          <w:tcPr>
            <w:tcW w:type="dxa" w:w="1368"/>
          </w:tcPr>
          <w:p>
            <w:pPr>
              <w:jc w:val="right"/>
            </w:pPr>
            <w:r/>
            <w:r>
              <w:rPr>
                <w:b w:val="0"/>
                <w:i w:val="0"/>
                <w:sz w:val="18"/>
              </w:rPr>
              <w:t>0.55</w:t>
            </w:r>
          </w:p>
        </w:tc>
      </w:tr>
      <w:tr>
        <w:tc>
          <w:tcPr>
            <w:tcW w:type="dxa" w:w="3312"/>
          </w:tcPr>
          <w:p>
            <w:pPr>
              <w:jc w:val="left"/>
            </w:pPr>
            <w:r/>
            <w:r>
              <w:rPr>
                <w:b w:val="0"/>
                <w:i w:val="0"/>
                <w:sz w:val="18"/>
              </w:rPr>
              <w:t>Monthly origins (step 21d)</w:t>
            </w:r>
          </w:p>
        </w:tc>
        <w:tc>
          <w:tcPr>
            <w:tcW w:type="dxa" w:w="864"/>
          </w:tcPr>
          <w:p>
            <w:pPr>
              <w:jc w:val="right"/>
            </w:pPr>
            <w:r/>
            <w:r>
              <w:rPr>
                <w:b w:val="0"/>
                <w:i w:val="0"/>
                <w:sz w:val="18"/>
              </w:rPr>
              <w:t>50</w:t>
            </w:r>
          </w:p>
        </w:tc>
        <w:tc>
          <w:tcPr>
            <w:tcW w:type="dxa" w:w="2016"/>
          </w:tcPr>
          <w:p>
            <w:pPr>
              <w:jc w:val="right"/>
            </w:pPr>
            <w:r/>
            <w:r>
              <w:rPr>
                <w:b w:val="0"/>
                <w:i w:val="0"/>
                <w:sz w:val="18"/>
              </w:rPr>
              <w:t>−0.017</w:t>
            </w:r>
          </w:p>
        </w:tc>
        <w:tc>
          <w:tcPr>
            <w:tcW w:type="dxa" w:w="1296"/>
          </w:tcPr>
          <w:p>
            <w:pPr>
              <w:jc w:val="right"/>
            </w:pPr>
            <w:r/>
            <w:r>
              <w:rPr>
                <w:b w:val="0"/>
                <w:i w:val="0"/>
                <w:sz w:val="18"/>
              </w:rPr>
              <w:t>36%</w:t>
            </w:r>
          </w:p>
        </w:tc>
        <w:tc>
          <w:tcPr>
            <w:tcW w:type="dxa" w:w="1296"/>
          </w:tcPr>
          <w:p>
            <w:pPr>
              <w:jc w:val="right"/>
            </w:pPr>
            <w:r/>
            <w:r>
              <w:rPr>
                <w:b w:val="0"/>
                <w:i w:val="0"/>
                <w:sz w:val="18"/>
              </w:rPr>
              <w:t>74%</w:t>
            </w:r>
          </w:p>
        </w:tc>
        <w:tc>
          <w:tcPr>
            <w:tcW w:type="dxa" w:w="1368"/>
          </w:tcPr>
          <w:p>
            <w:pPr>
              <w:jc w:val="right"/>
            </w:pPr>
            <w:r/>
            <w:r>
              <w:rPr>
                <w:b w:val="0"/>
                <w:i w:val="0"/>
                <w:sz w:val="18"/>
              </w:rPr>
              <w:t>0.58</w:t>
            </w:r>
          </w:p>
        </w:tc>
      </w:tr>
      <w:tr>
        <w:tc>
          <w:tcPr>
            <w:tcW w:type="dxa" w:w="3312"/>
          </w:tcPr>
          <w:p>
            <w:pPr>
              <w:jc w:val="left"/>
            </w:pPr>
            <w:r/>
            <w:r>
              <w:rPr>
                <w:b w:val="0"/>
                <w:i w:val="0"/>
                <w:sz w:val="18"/>
              </w:rPr>
              <w:t>Fortnightly (step 10d)</w:t>
            </w:r>
          </w:p>
        </w:tc>
        <w:tc>
          <w:tcPr>
            <w:tcW w:type="dxa" w:w="864"/>
          </w:tcPr>
          <w:p>
            <w:pPr>
              <w:jc w:val="right"/>
            </w:pPr>
            <w:r/>
            <w:r>
              <w:rPr>
                <w:b w:val="0"/>
                <w:i w:val="0"/>
                <w:sz w:val="18"/>
              </w:rPr>
              <w:t>105</w:t>
            </w:r>
          </w:p>
        </w:tc>
        <w:tc>
          <w:tcPr>
            <w:tcW w:type="dxa" w:w="2016"/>
          </w:tcPr>
          <w:p>
            <w:pPr>
              <w:jc w:val="right"/>
            </w:pPr>
            <w:r/>
            <w:r>
              <w:rPr>
                <w:b w:val="0"/>
                <w:i w:val="0"/>
                <w:sz w:val="18"/>
              </w:rPr>
              <w:t>−0.009</w:t>
            </w:r>
          </w:p>
        </w:tc>
        <w:tc>
          <w:tcPr>
            <w:tcW w:type="dxa" w:w="1296"/>
          </w:tcPr>
          <w:p>
            <w:pPr>
              <w:jc w:val="right"/>
            </w:pPr>
            <w:r/>
            <w:r>
              <w:rPr>
                <w:b w:val="0"/>
                <w:i w:val="0"/>
                <w:sz w:val="18"/>
              </w:rPr>
              <w:t>36%</w:t>
            </w:r>
          </w:p>
        </w:tc>
        <w:tc>
          <w:tcPr>
            <w:tcW w:type="dxa" w:w="1296"/>
          </w:tcPr>
          <w:p>
            <w:pPr>
              <w:jc w:val="right"/>
            </w:pPr>
            <w:r/>
            <w:r>
              <w:rPr>
                <w:b w:val="0"/>
                <w:i w:val="0"/>
                <w:sz w:val="18"/>
              </w:rPr>
              <w:t>76%</w:t>
            </w:r>
          </w:p>
        </w:tc>
        <w:tc>
          <w:tcPr>
            <w:tcW w:type="dxa" w:w="1368"/>
          </w:tcPr>
          <w:p>
            <w:pPr>
              <w:jc w:val="right"/>
            </w:pPr>
            <w:r/>
            <w:r>
              <w:rPr>
                <w:b w:val="0"/>
                <w:i w:val="0"/>
                <w:sz w:val="18"/>
              </w:rPr>
              <w:t>0.56</w:t>
            </w:r>
          </w:p>
        </w:tc>
      </w:tr>
      <w:tr>
        <w:tc>
          <w:tcPr>
            <w:tcW w:type="dxa" w:w="3312"/>
          </w:tcPr>
          <w:p>
            <w:pPr>
              <w:jc w:val="left"/>
            </w:pPr>
            <w:r/>
            <w:r>
              <w:rPr>
                <w:b w:val="0"/>
                <w:i w:val="0"/>
                <w:sz w:val="18"/>
              </w:rPr>
              <w:t>Target</w:t>
            </w:r>
          </w:p>
        </w:tc>
        <w:tc>
          <w:tcPr>
            <w:tcW w:type="dxa" w:w="864"/>
          </w:tcPr>
          <w:p>
            <w:pPr>
              <w:jc w:val="right"/>
            </w:pPr>
            <w:r/>
            <w:r>
              <w:rPr>
                <w:b w:val="0"/>
                <w:i w:val="0"/>
                <w:sz w:val="18"/>
              </w:rPr>
              <w:t>—</w:t>
            </w:r>
          </w:p>
        </w:tc>
        <w:tc>
          <w:tcPr>
            <w:tcW w:type="dxa" w:w="2016"/>
          </w:tcPr>
          <w:p>
            <w:pPr>
              <w:jc w:val="right"/>
            </w:pPr>
            <w:r/>
            <w:r>
              <w:rPr>
                <w:b w:val="0"/>
                <w:i w:val="0"/>
                <w:sz w:val="18"/>
              </w:rPr>
              <w:t>&gt; 0</w:t>
            </w:r>
          </w:p>
        </w:tc>
        <w:tc>
          <w:tcPr>
            <w:tcW w:type="dxa" w:w="1296"/>
          </w:tcPr>
          <w:p>
            <w:pPr>
              <w:jc w:val="right"/>
            </w:pPr>
            <w:r/>
            <w:r>
              <w:rPr>
                <w:b w:val="0"/>
                <w:i w:val="0"/>
                <w:sz w:val="18"/>
              </w:rPr>
              <w:t>~50%</w:t>
            </w:r>
          </w:p>
        </w:tc>
        <w:tc>
          <w:tcPr>
            <w:tcW w:type="dxa" w:w="1296"/>
          </w:tcPr>
          <w:p>
            <w:pPr>
              <w:jc w:val="right"/>
            </w:pPr>
            <w:r/>
            <w:r>
              <w:rPr>
                <w:b w:val="0"/>
                <w:i w:val="0"/>
                <w:sz w:val="18"/>
              </w:rPr>
              <w:t>~90%</w:t>
            </w:r>
          </w:p>
        </w:tc>
        <w:tc>
          <w:tcPr>
            <w:tcW w:type="dxa" w:w="1368"/>
          </w:tcPr>
          <w:p>
            <w:pPr>
              <w:jc w:val="right"/>
            </w:pPr>
            <w:r/>
            <w:r>
              <w:rPr>
                <w:b w:val="0"/>
                <w:i w:val="0"/>
                <w:sz w:val="18"/>
              </w:rPr>
              <w:t>~0.50</w:t>
            </w:r>
          </w:p>
        </w:tc>
      </w:tr>
    </w:tbl>
    <w:p>
      <w:pPr>
        <w:jc w:val="center"/>
      </w:pPr>
      <w:r>
        <w:drawing>
          <wp:inline xmlns:a="http://schemas.openxmlformats.org/drawingml/2006/main" xmlns:pic="http://schemas.openxmlformats.org/drawingml/2006/picture">
            <wp:extent cx="5760720" cy="1798627"/>
            <wp:docPr id="8" name="Picture 8"/>
            <wp:cNvGraphicFramePr>
              <a:graphicFrameLocks noChangeAspect="1"/>
            </wp:cNvGraphicFramePr>
            <a:graphic>
              <a:graphicData uri="http://schemas.openxmlformats.org/drawingml/2006/picture">
                <pic:pic>
                  <pic:nvPicPr>
                    <pic:cNvPr id="0" name="figB1_calib.png"/>
                    <pic:cNvPicPr/>
                  </pic:nvPicPr>
                  <pic:blipFill>
                    <a:blip r:embed="rId16"/>
                    <a:stretch>
                      <a:fillRect/>
                    </a:stretch>
                  </pic:blipFill>
                  <pic:spPr>
                    <a:xfrm>
                      <a:off x="0" y="0"/>
                      <a:ext cx="5760720" cy="1798627"/>
                    </a:xfrm>
                    <a:prstGeom prst="rect"/>
                  </pic:spPr>
                </pic:pic>
              </a:graphicData>
            </a:graphic>
          </wp:inline>
        </w:drawing>
      </w:r>
    </w:p>
    <w:p>
      <w:pPr>
        <w:spacing w:after="160"/>
      </w:pPr>
      <w:r>
        <w:rPr>
          <w:b w:val="0"/>
          <w:i/>
          <w:color w:val="595959"/>
          <w:sz w:val="17"/>
        </w:rPr>
        <w:t>Figure B-1 — Step 0 calibration backtest (Ma'aden, 5-yr rolling, h=60): PIT histogram, band coverage vs target, and CRPS skill (all three schemes below zero).</w:t>
      </w:r>
    </w:p>
    <w:p>
      <w:pPr>
        <w:spacing w:after="160"/>
      </w:pPr>
      <w:r>
        <w:rPr>
          <w:b w:val="0"/>
          <w:i w:val="0"/>
          <w:sz w:val="21"/>
        </w:rPr>
        <w:t>Conclusion. The lens is not accepted as skill-validated for this name. Per the house rule, rather than forcing a pass with retired techniques (a kvol width multiplier or standalone drift shrinkage), we present Section 3 as an honest regime-conditional probability map — width sized from the trailing realized volatility, drift near zero — carrying no calibration warranty. This cohort will be logged in the Calibration Ledger as a genuine 'no-skill' grade; that is an honest, publishable result, not a failure to conceal.</w:t>
      </w:r>
    </w:p>
    <w:p>
      <w:pPr>
        <w:spacing w:before="200" w:after="80"/>
      </w:pPr>
      <w:r>
        <w:rPr>
          <w:b/>
          <w:i w:val="0"/>
          <w:color w:val="1B5E5E"/>
          <w:sz w:val="30"/>
        </w:rPr>
        <w:t>Appendix C  Peer set, sector structure, and risks</w:t>
      </w:r>
    </w:p>
    <w:p>
      <w:pPr>
        <w:spacing w:after="120"/>
      </w:pPr>
      <w:r>
        <w:rPr>
          <w:b w:val="0"/>
          <w:i w:val="0"/>
          <w:sz w:val="21"/>
        </w:rPr>
        <w:t>Ma'aden has no single clean comparable — it is a phosphate champion, an aluminium chain and a gold miner in one integrated company. The peer set is therefore split by commodity.</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1B5E5E"/>
          </w:tcPr>
          <w:p>
            <w:r/>
            <w:r>
              <w:rPr>
                <w:b/>
                <w:i w:val="0"/>
                <w:color w:val="FFFFFF"/>
                <w:sz w:val="19"/>
              </w:rPr>
              <w:t>Segment</w:t>
            </w:r>
          </w:p>
        </w:tc>
        <w:tc>
          <w:tcPr>
            <w:tcW w:type="dxa" w:w="3888"/>
            <w:shd w:val="clear" w:fill="1B5E5E"/>
          </w:tcPr>
          <w:p>
            <w:r/>
            <w:r>
              <w:rPr>
                <w:b/>
                <w:i w:val="0"/>
                <w:color w:val="FFFFFF"/>
                <w:sz w:val="19"/>
              </w:rPr>
              <w:t>Closest peers</w:t>
            </w:r>
          </w:p>
        </w:tc>
        <w:tc>
          <w:tcPr>
            <w:tcW w:type="dxa" w:w="2592"/>
            <w:shd w:val="clear" w:fill="1B5E5E"/>
          </w:tcPr>
          <w:p>
            <w:r/>
            <w:r>
              <w:rPr>
                <w:b/>
                <w:i w:val="0"/>
                <w:color w:val="FFFFFF"/>
                <w:sz w:val="19"/>
              </w:rPr>
              <w:t>Typical valuation</w:t>
            </w:r>
          </w:p>
        </w:tc>
      </w:tr>
      <w:tr>
        <w:tc>
          <w:tcPr>
            <w:tcW w:type="dxa" w:w="2736"/>
          </w:tcPr>
          <w:p>
            <w:pPr>
              <w:jc w:val="left"/>
            </w:pPr>
            <w:r/>
            <w:r>
              <w:rPr>
                <w:b w:val="0"/>
                <w:i w:val="0"/>
                <w:sz w:val="18"/>
              </w:rPr>
              <w:t>Phosphate / fertilizer</w:t>
            </w:r>
          </w:p>
        </w:tc>
        <w:tc>
          <w:tcPr>
            <w:tcW w:type="dxa" w:w="3888"/>
          </w:tcPr>
          <w:p>
            <w:pPr>
              <w:jc w:val="right"/>
            </w:pPr>
            <w:r/>
            <w:r>
              <w:rPr>
                <w:b w:val="0"/>
                <w:i w:val="0"/>
                <w:sz w:val="18"/>
              </w:rPr>
              <w:t>Mosaic, Nutrien, OCP, ICL</w:t>
            </w:r>
          </w:p>
        </w:tc>
        <w:tc>
          <w:tcPr>
            <w:tcW w:type="dxa" w:w="2592"/>
          </w:tcPr>
          <w:p>
            <w:pPr>
              <w:jc w:val="right"/>
            </w:pPr>
            <w:r/>
            <w:r>
              <w:rPr>
                <w:b w:val="0"/>
                <w:i w:val="0"/>
                <w:sz w:val="18"/>
              </w:rPr>
              <w:t>EV/EBITDA ~5–8×; cyclical</w:t>
            </w:r>
          </w:p>
        </w:tc>
      </w:tr>
      <w:tr>
        <w:tc>
          <w:tcPr>
            <w:tcW w:type="dxa" w:w="2736"/>
          </w:tcPr>
          <w:p>
            <w:pPr>
              <w:jc w:val="left"/>
            </w:pPr>
            <w:r/>
            <w:r>
              <w:rPr>
                <w:b w:val="0"/>
                <w:i w:val="0"/>
                <w:sz w:val="18"/>
              </w:rPr>
              <w:t>Aluminium</w:t>
            </w:r>
          </w:p>
        </w:tc>
        <w:tc>
          <w:tcPr>
            <w:tcW w:type="dxa" w:w="3888"/>
          </w:tcPr>
          <w:p>
            <w:pPr>
              <w:jc w:val="right"/>
            </w:pPr>
            <w:r/>
            <w:r>
              <w:rPr>
                <w:b w:val="0"/>
                <w:i w:val="0"/>
                <w:sz w:val="18"/>
              </w:rPr>
              <w:t>Alcoa, Norsk Hydro, EGA, Alba</w:t>
            </w:r>
          </w:p>
        </w:tc>
        <w:tc>
          <w:tcPr>
            <w:tcW w:type="dxa" w:w="2592"/>
          </w:tcPr>
          <w:p>
            <w:pPr>
              <w:jc w:val="right"/>
            </w:pPr>
            <w:r/>
            <w:r>
              <w:rPr>
                <w:b w:val="0"/>
                <w:i w:val="0"/>
                <w:sz w:val="18"/>
              </w:rPr>
              <w:t>EV/EBITDA ~4–6×</w:t>
            </w:r>
          </w:p>
        </w:tc>
      </w:tr>
      <w:tr>
        <w:tc>
          <w:tcPr>
            <w:tcW w:type="dxa" w:w="2736"/>
          </w:tcPr>
          <w:p>
            <w:pPr>
              <w:jc w:val="left"/>
            </w:pPr>
            <w:r/>
            <w:r>
              <w:rPr>
                <w:b w:val="0"/>
                <w:i w:val="0"/>
                <w:sz w:val="18"/>
              </w:rPr>
              <w:t>Gold / base metals</w:t>
            </w:r>
          </w:p>
        </w:tc>
        <w:tc>
          <w:tcPr>
            <w:tcW w:type="dxa" w:w="3888"/>
          </w:tcPr>
          <w:p>
            <w:pPr>
              <w:jc w:val="right"/>
            </w:pPr>
            <w:r/>
            <w:r>
              <w:rPr>
                <w:b w:val="0"/>
                <w:i w:val="0"/>
                <w:sz w:val="18"/>
              </w:rPr>
              <w:t>Barrick, Newmont, AngloGold</w:t>
            </w:r>
          </w:p>
        </w:tc>
        <w:tc>
          <w:tcPr>
            <w:tcW w:type="dxa" w:w="2592"/>
          </w:tcPr>
          <w:p>
            <w:pPr>
              <w:jc w:val="right"/>
            </w:pPr>
            <w:r/>
            <w:r>
              <w:rPr>
                <w:b w:val="0"/>
                <w:i w:val="0"/>
                <w:sz w:val="18"/>
              </w:rPr>
              <w:t>EV/EBITDA ~6–9×</w:t>
            </w:r>
          </w:p>
        </w:tc>
      </w:tr>
      <w:tr>
        <w:tc>
          <w:tcPr>
            <w:tcW w:type="dxa" w:w="2736"/>
          </w:tcPr>
          <w:p>
            <w:pPr>
              <w:jc w:val="left"/>
            </w:pPr>
            <w:r/>
            <w:r>
              <w:rPr>
                <w:b w:val="0"/>
                <w:i w:val="0"/>
                <w:sz w:val="18"/>
              </w:rPr>
              <w:t>Diversified majors</w:t>
            </w:r>
          </w:p>
        </w:tc>
        <w:tc>
          <w:tcPr>
            <w:tcW w:type="dxa" w:w="3888"/>
          </w:tcPr>
          <w:p>
            <w:pPr>
              <w:jc w:val="right"/>
            </w:pPr>
            <w:r/>
            <w:r>
              <w:rPr>
                <w:b w:val="0"/>
                <w:i w:val="0"/>
                <w:sz w:val="18"/>
              </w:rPr>
              <w:t>BHP, Rio Tinto, Vale, Anglo</w:t>
            </w:r>
          </w:p>
        </w:tc>
        <w:tc>
          <w:tcPr>
            <w:tcW w:type="dxa" w:w="2592"/>
          </w:tcPr>
          <w:p>
            <w:pPr>
              <w:jc w:val="right"/>
            </w:pPr>
            <w:r/>
            <w:r>
              <w:rPr>
                <w:b w:val="0"/>
                <w:i w:val="0"/>
                <w:sz w:val="18"/>
              </w:rPr>
              <w:t>EV/EBITDA ~5–7×; P/E ~8–14×</w:t>
            </w:r>
          </w:p>
        </w:tc>
      </w:tr>
    </w:tbl>
    <w:p>
      <w:pPr>
        <w:spacing w:after="120"/>
      </w:pPr>
      <w:r>
        <w:rPr>
          <w:b/>
          <w:i w:val="0"/>
          <w:sz w:val="21"/>
        </w:rPr>
        <w:t xml:space="preserve">Sector structure.  </w:t>
      </w:r>
      <w:r>
        <w:t xml:space="preserve">Global mining is cyclical and capital-hungry; returns are made and lost on commodity prices and on cost position. Ma'aden's edge is structural cost — cheap domestic gas underwrites top-decile phosphate and aluminium margins — combined with a large, sovereign-funded growth pipeline and a low, PIF-anchored cost of capital. That combination is why it trades at roughly 15.6× EV/EBITDA and 31× earnings versus 5–9× across the peer groups: the market is capitalizing growth and strategic status, not current cash flows. </w:t>
      </w:r>
      <w:r>
        <w:rPr>
          <w:b/>
          <w:i w:val="0"/>
          <w:sz w:val="21"/>
        </w:rPr>
        <w:t xml:space="preserve">Principal risks:  </w:t>
      </w:r>
      <w:r>
        <w:rPr>
          <w:b w:val="0"/>
          <w:i w:val="0"/>
          <w:sz w:val="21"/>
        </w:rPr>
        <w:t>a fade in the commodity deck (DAP, aluminium, gold); a higher domestic gas price; execution or cost overruns on Phosphate 3 and the gold build; the riyal peg; thin free float and policy-vehicle dynamics; and — the overarching one — a multiple that already prices a great deal of future success.</w:t>
      </w:r>
    </w:p>
    <w:p>
      <w:pPr>
        <w:spacing w:before="200" w:after="80"/>
      </w:pPr>
      <w:r>
        <w:rPr>
          <w:b/>
          <w:i w:val="0"/>
          <w:color w:val="1B5E5E"/>
          <w:sz w:val="30"/>
        </w:rPr>
        <w:t>About this series</w:t>
      </w:r>
    </w:p>
    <w:p>
      <w:pPr>
        <w:spacing w:after="160"/>
      </w:pPr>
      <w:r>
        <w:rPr>
          <w:b w:val="0"/>
          <w:i w:val="0"/>
          <w:sz w:val="21"/>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spacing w:before="200" w:after="80"/>
      </w:pPr>
      <w:r>
        <w:rPr>
          <w:b/>
          <w:i w:val="0"/>
          <w:color w:val="1B5E5E"/>
          <w:sz w:val="30"/>
        </w:rPr>
        <w:t>Disclosure &amp; Disclaimer</w:t>
      </w:r>
    </w:p>
    <w:p>
      <w:pPr>
        <w:spacing w:after="80"/>
      </w:pPr>
      <w:r>
        <w:rPr>
          <w:b/>
          <w:i/>
          <w:sz w:val="19"/>
        </w:rPr>
        <w:t xml:space="preserve">Not investment advice.  </w:t>
      </w:r>
      <w:r>
        <w:rPr>
          <w:b w:val="0"/>
          <w:i w:val="0"/>
          <w:sz w:val="19"/>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80"/>
      </w:pPr>
      <w:r>
        <w:rPr>
          <w:b/>
          <w:i/>
          <w:sz w:val="19"/>
        </w:rPr>
        <w:t xml:space="preserve">No licence; no advisory relationship.  </w:t>
      </w:r>
      <w:r>
        <w:rPr>
          <w:b w:val="0"/>
          <w:i w:val="0"/>
          <w:sz w:val="19"/>
        </w:rPr>
        <w:t>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80"/>
      </w:pPr>
      <w:r>
        <w:rPr>
          <w:b/>
          <w:i/>
          <w:sz w:val="19"/>
        </w:rPr>
        <w:t xml:space="preserve">Holdings disclosure.  </w:t>
      </w:r>
      <w:r>
        <w:rPr>
          <w:b w:val="0"/>
          <w:i w:val="0"/>
          <w:sz w:val="19"/>
        </w:rPr>
        <w:t>The preparer may hold, and may in the future take or dispose of, a position in the security discussed in this report, and may transact at any time without notice. This is a potential conflict of interest you should weigh.</w:t>
      </w:r>
    </w:p>
    <w:p>
      <w:pPr>
        <w:spacing w:after="80"/>
      </w:pPr>
      <w:r>
        <w:rPr>
          <w:b/>
          <w:i/>
          <w:sz w:val="19"/>
        </w:rPr>
        <w:t xml:space="preserve">Sources &amp; accuracy.  </w:t>
      </w:r>
      <w:r>
        <w:rPr>
          <w:b w:val="0"/>
          <w:i w:val="0"/>
          <w:sz w:val="19"/>
        </w:rPr>
        <w:t>Reported financial and operating figures are drawn from the company's public disclosure and other public sources believed reliable but not independently verified; they may contain errors or be superseded. Forward-looking inputs — the segment marks, the commodity price deck, the projections, multiples, the DCF and Monte-Carlo factor probabilities — are the preparer's own judgments and are inherently uncertain.</w:t>
      </w:r>
    </w:p>
    <w:p>
      <w:pPr>
        <w:spacing w:after="80"/>
      </w:pPr>
      <w:r>
        <w:rPr>
          <w:b/>
          <w:i/>
          <w:sz w:val="19"/>
        </w:rPr>
        <w:t xml:space="preserve">Forward-looking statements.  </w:t>
      </w:r>
      <w:r>
        <w:rPr>
          <w:b w:val="0"/>
          <w:i w:val="0"/>
          <w:sz w:val="19"/>
        </w:rPr>
        <w:t>Any statements about the future are estimates subject to risks and uncertainties; actual results may differ materially. The Monte Carlo models price, not value, and encodes subjective probabilities for events that have not occurred; on this name it did not beat a random-walk benchmark and is presented as a probability map only.</w:t>
      </w:r>
    </w:p>
    <w:p>
      <w:pPr>
        <w:spacing w:after="80"/>
      </w:pPr>
      <w:r>
        <w:rPr>
          <w:b/>
          <w:i/>
          <w:sz w:val="19"/>
        </w:rPr>
        <w:t xml:space="preserve">No reliance; your responsibility.  </w:t>
      </w:r>
      <w:r>
        <w:rPr>
          <w:b w:val="0"/>
          <w:i w:val="0"/>
          <w:sz w:val="19"/>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80"/>
      </w:pPr>
      <w:r>
        <w:rPr>
          <w:b/>
          <w:i/>
          <w:sz w:val="19"/>
        </w:rPr>
        <w:t xml:space="preserve">Currency &amp; figures.  </w:t>
      </w:r>
      <w:r>
        <w:rPr>
          <w:b w:val="0"/>
          <w:i w:val="0"/>
          <w:sz w:val="19"/>
        </w:rPr>
        <w:t>Figures are in Saudi riyals (SAR); bn denotes billion. The riyal is pegged to the US dollar at 3.75. Commodity prices are quoted in USD. Rounding may cause totals to differ slightly. Spot price and market data are as of 5 July 2026 and change continuously.</w:t>
      </w:r>
    </w:p>
    <w:p>
      <w:pPr>
        <w:spacing w:after="160"/>
      </w:pPr>
      <w:r>
        <w:rPr>
          <w:b w:val="0"/>
          <w:i/>
          <w:color w:val="595959"/>
          <w:sz w:val="17"/>
        </w:rPr>
        <w:t>TESTAHIL · Independent Valuation Study · Educational Analysis · Saudi Arabian Mining Company (Ma'aden) — Tadawul: 1211 · edition 05-07-2026 · reporting currency SAR</w:t>
      </w:r>
    </w:p>
    <w:p>
      <w:r>
        <w:br w:type="page"/>
      </w:r>
    </w:p>
    <w:p>
      <w:pPr>
        <w:spacing w:before="200" w:after="80"/>
      </w:pPr>
      <w:r>
        <w:rPr>
          <w:b/>
          <w:i w:val="0"/>
          <w:color w:val="1B5E5E"/>
          <w:sz w:val="30"/>
        </w:rPr>
        <w:t>Appendix D  The expert valuation panel</w:t>
      </w:r>
    </w:p>
    <w:p>
      <w:pPr>
        <w:spacing w:after="160"/>
      </w:pPr>
      <w:r>
        <w:rPr>
          <w:b w:val="0"/>
          <w:i w:val="0"/>
          <w:sz w:val="21"/>
        </w:rPr>
        <w:t>Every Testahil study closes with a panel of standing expert personas — drawn from the house Expert Persona Library, not invented for the occasion, so that each accumulates a track record across studies and a quarterly update is a re-run, not a re-training. Ma'aden is a capital-heavy industrial, so we cast the three whose methods both fit a growth-stage, multi-commodity producer and genuinely disagree: Expert 1 (mid-cycle earnings power and relative multiples), Expert 2 (cash returns — DCF and return on invested capital versus its cost), and Expert 3 (the strategic / macro-policy lens — the sovereign-backing and Vision-2030 premium). Each runs a different method, derives its fair value from shown workings, and states a falsification condition. The commodity and country context runs through the body (§1.7, §1.8, §5) and is the arena in which the three disagree.</w:t>
      </w:r>
    </w:p>
    <w:p>
      <w:pPr>
        <w:spacing w:before="200" w:after="80"/>
      </w:pPr>
      <w:r>
        <w:rPr>
          <w:b/>
          <w:i w:val="0"/>
          <w:color w:val="1B5E5E"/>
          <w:sz w:val="25"/>
        </w:rPr>
        <w:t>D.1  Expert 1 — mid-cycle earnings power and relative multiples</w:t>
      </w:r>
    </w:p>
    <w:p>
      <w:pPr>
        <w:spacing w:after="80"/>
      </w:pPr>
      <w:r>
        <w:rPr>
          <w:b/>
          <w:i w:val="0"/>
          <w:sz w:val="21"/>
        </w:rPr>
        <w:t xml:space="preserve">Worldview and tradition.  </w:t>
      </w:r>
      <w:r>
        <w:rPr>
          <w:b w:val="0"/>
          <w:i w:val="0"/>
          <w:sz w:val="21"/>
        </w:rPr>
        <w:t>An operating business is worth a fair multiple of its sustainable mid-cycle earnings; commodity peaks and troughs are noise to be stripped out. This is the Graham-and-Dodd normalized-earnings tradition applied to a cyclical: you do not capitalize a boom year, and you do not write off a bust one — you find the middle of the cycle and pay a sensible multiple for it. For a miner, that means building a mid-cycle price deck (DAP, aluminium, gold at their multi-year central levels rather than today's), running it through the cost structure, and applying a through-cycle P/E benchmarked both to the global peer group and to the name's own trading history. The multiple carries the quality judgment — a top-decile cost position and a real growth pipeline earn a premium to a marginal-cost miner, but not an unbounded one.</w:t>
      </w:r>
    </w:p>
    <w:p>
      <w:pPr>
        <w:spacing w:after="80"/>
      </w:pPr>
      <w:r>
        <w:rPr>
          <w:b/>
          <w:i w:val="0"/>
          <w:sz w:val="21"/>
        </w:rPr>
        <w:t xml:space="preserve">When it works / fails.  </w:t>
      </w:r>
      <w:r>
        <w:rPr>
          <w:b w:val="0"/>
          <w:i w:val="0"/>
          <w:sz w:val="21"/>
        </w:rPr>
        <w:t>Best for producers with a through-cycle track record and a defensible cost position, where the cycle genuinely mean-reverts around a stable centre; it fails at structural breaks — if the growth capex permanently lifts the earnings base to a new plateau, mid-cycle normalization on the old base understates it; and if gas or commodity economics shift down for good, the same normalization overstates. Its discipline is also its blind spot: by refusing to pay for the peak, it will always look too cautious in a genuine up-cycle, and by refusing to write off the trough, too generous in a structural decline.</w:t>
      </w:r>
    </w:p>
    <w:p>
      <w:pPr>
        <w:spacing w:after="80"/>
      </w:pPr>
      <w:r>
        <w:rPr>
          <w:b w:val="0"/>
          <w:i w:val="0"/>
          <w:sz w:val="21"/>
        </w:rPr>
        <w:t>Standard workings &amp; worked example. The method proceeds in four steps. First, set the mid-cycle deck: a DAP price near US$650/t (below the recent US$700+ but well above the last trough), aluminium near US$2,700/t, gold near US$3,300/oz — each a multi-year central estimate, not a spot mark. Second, run the deck through the segment cost structures to a normalized group EBITDA of roughly SAR 16.5 bn and, after D&amp;A, finance, tax and minorities, a normalized attributable net income of about SAR 6.3 bn — deliberately below the FY2025 print of SAR 7.35 bn, because 2025 caught DAP and gold near the top of their ranges. Third, divide by the ~3.88 bn share count for a normalized EPS of about SAR 1.62. Fourth, apply a justified through-cycle P/E of 27× — rich for a miner, defensible for a low-cost, high-growth, sovereign-backed one, and roughly a third of the way from the peer group (5–14× P/E) toward the market's 31×.</w:t>
      </w:r>
    </w:p>
    <w:tbl>
      <w:tblPr>
        <w:tblStyle w:val="TableGrid"/>
        <w:tblW w:type="auto" w:w="0"/>
        <w:jc w:val="center"/>
        <w:tblLook w:firstColumn="1" w:firstRow="1" w:lastColumn="0" w:lastRow="0" w:noHBand="0" w:noVBand="1" w:val="04A0"/>
      </w:tblPr>
      <w:tblGrid>
        <w:gridCol w:w="4320"/>
        <w:gridCol w:w="4320"/>
      </w:tblGrid>
      <w:tr>
        <w:tc>
          <w:tcPr>
            <w:tcW w:type="dxa" w:w="6192"/>
            <w:shd w:val="clear" w:fill="1B5E5E"/>
          </w:tcPr>
          <w:p>
            <w:r/>
            <w:r>
              <w:rPr>
                <w:b/>
                <w:i w:val="0"/>
                <w:color w:val="FFFFFF"/>
                <w:sz w:val="19"/>
              </w:rPr>
              <w:t>Expert 1's normalization</w:t>
            </w:r>
          </w:p>
        </w:tc>
        <w:tc>
          <w:tcPr>
            <w:tcW w:type="dxa" w:w="2592"/>
            <w:shd w:val="clear" w:fill="1B5E5E"/>
          </w:tcPr>
          <w:p>
            <w:r/>
            <w:r>
              <w:rPr>
                <w:b/>
                <w:i w:val="0"/>
                <w:color w:val="FFFFFF"/>
                <w:sz w:val="19"/>
              </w:rPr>
              <w:t>Value</w:t>
            </w:r>
          </w:p>
        </w:tc>
      </w:tr>
      <w:tr>
        <w:tc>
          <w:tcPr>
            <w:tcW w:type="dxa" w:w="6192"/>
          </w:tcPr>
          <w:p>
            <w:pPr>
              <w:jc w:val="left"/>
            </w:pPr>
            <w:r/>
            <w:r>
              <w:rPr>
                <w:b w:val="0"/>
                <w:i w:val="0"/>
                <w:sz w:val="18"/>
              </w:rPr>
              <w:t>Mid-cycle net income (SAR bn)</w:t>
            </w:r>
          </w:p>
        </w:tc>
        <w:tc>
          <w:tcPr>
            <w:tcW w:type="dxa" w:w="2592"/>
          </w:tcPr>
          <w:p>
            <w:pPr>
              <w:jc w:val="right"/>
            </w:pPr>
            <w:r/>
            <w:r>
              <w:rPr>
                <w:b w:val="0"/>
                <w:i w:val="0"/>
                <w:sz w:val="18"/>
              </w:rPr>
              <w:t>6.3</w:t>
            </w:r>
          </w:p>
        </w:tc>
      </w:tr>
      <w:tr>
        <w:tc>
          <w:tcPr>
            <w:tcW w:type="dxa" w:w="6192"/>
          </w:tcPr>
          <w:p>
            <w:pPr>
              <w:jc w:val="left"/>
            </w:pPr>
            <w:r/>
            <w:r>
              <w:rPr>
                <w:b w:val="0"/>
                <w:i w:val="0"/>
                <w:sz w:val="18"/>
              </w:rPr>
              <w:t>Shares (bn) → normalized EPS</w:t>
            </w:r>
          </w:p>
        </w:tc>
        <w:tc>
          <w:tcPr>
            <w:tcW w:type="dxa" w:w="2592"/>
          </w:tcPr>
          <w:p>
            <w:pPr>
              <w:jc w:val="right"/>
            </w:pPr>
            <w:r/>
            <w:r>
              <w:rPr>
                <w:b w:val="0"/>
                <w:i w:val="0"/>
                <w:sz w:val="18"/>
              </w:rPr>
              <w:t>3.88 → SAR 1.62</w:t>
            </w:r>
          </w:p>
        </w:tc>
      </w:tr>
      <w:tr>
        <w:tc>
          <w:tcPr>
            <w:tcW w:type="dxa" w:w="6192"/>
          </w:tcPr>
          <w:p>
            <w:pPr>
              <w:jc w:val="left"/>
            </w:pPr>
            <w:r/>
            <w:r>
              <w:rPr>
                <w:b w:val="0"/>
                <w:i w:val="0"/>
                <w:sz w:val="18"/>
              </w:rPr>
              <w:t>Justified through-cycle P/E (low-cost, high-growth, sovereign)</w:t>
            </w:r>
          </w:p>
        </w:tc>
        <w:tc>
          <w:tcPr>
            <w:tcW w:type="dxa" w:w="2592"/>
          </w:tcPr>
          <w:p>
            <w:pPr>
              <w:jc w:val="right"/>
            </w:pPr>
            <w:r/>
            <w:r>
              <w:rPr>
                <w:b w:val="0"/>
                <w:i w:val="0"/>
                <w:sz w:val="18"/>
              </w:rPr>
              <w:t>27×</w:t>
            </w:r>
          </w:p>
        </w:tc>
      </w:tr>
      <w:tr>
        <w:tc>
          <w:tcPr>
            <w:tcW w:type="dxa" w:w="6192"/>
          </w:tcPr>
          <w:p>
            <w:pPr>
              <w:jc w:val="left"/>
            </w:pPr>
            <w:r/>
            <w:r>
              <w:rPr>
                <w:b/>
                <w:i w:val="0"/>
                <w:sz w:val="18"/>
              </w:rPr>
              <w:t>Fair value</w:t>
            </w:r>
          </w:p>
        </w:tc>
        <w:tc>
          <w:tcPr>
            <w:tcW w:type="dxa" w:w="2592"/>
          </w:tcPr>
          <w:p>
            <w:pPr>
              <w:jc w:val="right"/>
            </w:pPr>
            <w:r/>
            <w:r>
              <w:rPr>
                <w:b/>
                <w:i w:val="0"/>
                <w:sz w:val="18"/>
              </w:rPr>
              <w:t>→ SAR 44 / share</w:t>
            </w:r>
          </w:p>
        </w:tc>
      </w:tr>
    </w:tbl>
    <w:p>
      <w:pPr>
        <w:spacing w:after="80"/>
      </w:pPr>
      <w:r>
        <w:rPr>
          <w:b/>
          <w:i w:val="0"/>
          <w:sz w:val="21"/>
        </w:rPr>
        <w:t xml:space="preserve">Sensitivity (swing = the multiple / the deck).  </w:t>
      </w:r>
      <w:r>
        <w:t xml:space="preserve">At 22× ≈ SAR 36; at 30× ≈ SAR 49; a US$800/t DAP deck lifts normalized NI toward SAR 7.6 bn and the value toward SAR 53. </w:t>
      </w:r>
      <w:r>
        <w:rPr>
          <w:b/>
          <w:i w:val="0"/>
          <w:sz w:val="21"/>
        </w:rPr>
        <w:t xml:space="preserve">Cross-examination.  </w:t>
      </w:r>
      <w:r>
        <w:rPr>
          <w:b w:val="0"/>
          <w:i w:val="0"/>
          <w:sz w:val="21"/>
        </w:rPr>
        <w:t>He tells Expert 2 that ROIC pessimism ignores the operating leverage of the phosphate and gold ramps; he tells Expert 3 that a 'strategic premium' with no earnings behind it is faith, not valuation.</w:t>
      </w:r>
    </w:p>
    <w:p>
      <w:pPr>
        <w:spacing w:after="160"/>
      </w:pPr>
      <w:r>
        <w:rPr>
          <w:b/>
          <w:i w:val="0"/>
          <w:sz w:val="21"/>
        </w:rPr>
        <w:t xml:space="preserve">Verdict, falsification, market-implied.  </w:t>
      </w:r>
      <w:r>
        <w:rPr>
          <w:b w:val="0"/>
          <w:i w:val="0"/>
          <w:sz w:val="21"/>
        </w:rPr>
        <w:t>Fair SAR 44 (range SAR 28–60). Falsified by a structural margin re-rating down — a gas-price reset or a durable commodity slump that resets mid-cycle earnings below SAR 5 bn. The market implies normalized earnings ~35% above his: it is paying for a deck and a growth base he will not yet underwrite.</w:t>
      </w:r>
    </w:p>
    <w:p>
      <w:pPr>
        <w:spacing w:before="200" w:after="80"/>
      </w:pPr>
      <w:r>
        <w:rPr>
          <w:b/>
          <w:i w:val="0"/>
          <w:color w:val="1B5E5E"/>
          <w:sz w:val="25"/>
        </w:rPr>
        <w:t>D.2  Expert 2 — cash returns: DCF and ROIC versus the cost of capital</w:t>
      </w:r>
    </w:p>
    <w:p>
      <w:pPr>
        <w:spacing w:after="80"/>
      </w:pPr>
      <w:r>
        <w:rPr>
          <w:b/>
          <w:i w:val="0"/>
          <w:sz w:val="21"/>
        </w:rPr>
        <w:t xml:space="preserve">Worldview and tradition.  </w:t>
      </w:r>
      <w:r>
        <w:rPr>
          <w:b w:val="0"/>
          <w:i w:val="0"/>
          <w:sz w:val="21"/>
        </w:rPr>
        <w:t>A business creates value only when each unit of capital earns above its cost — the economic-profit, or EVA, tradition. Booked profit is an opinion; cash is a fact, and the return on invested capital measured against the weighted-average cost of capital is the only test that matters. For a heavy spender like Ma'aden the question is stark: the company reinvests most of a strong operating cash flow every year, so the entire equity story reduces to whether that SAR 7–9 bn of annual growth capex — Phosphate 3, the gold build, exploration, Manara deals — will earn a return comfortably above the ~9.3% WACC once it ramps, or merely at it. If the spread is positive and durable, value compounds; if it is thin, the company is running to stand still, converting shareholder cash into a bigger but not more valuable asset base.</w:t>
      </w:r>
    </w:p>
    <w:p>
      <w:pPr>
        <w:spacing w:after="80"/>
      </w:pPr>
      <w:r>
        <w:rPr>
          <w:b/>
          <w:i w:val="0"/>
          <w:sz w:val="21"/>
        </w:rPr>
        <w:t xml:space="preserve">When it works / fails.  </w:t>
      </w:r>
      <w:r>
        <w:rPr>
          <w:b w:val="0"/>
          <w:i w:val="0"/>
          <w:sz w:val="21"/>
        </w:rPr>
        <w:t>Best for capital-intensive producers where returns on capital are the crux and where the invested base is measurable; it fails where reinvestment economics are about to change sharply — precisely the situation in a large build-out that has not yet ramped, because today's ROIC (capital already spent, cash flow not yet arriving) understates the steady-state return the projects will eventually earn. The method is honest about the present and agnostic about the promise; its discipline is to refuse to credit a return until it shows up in cash.</w:t>
      </w:r>
    </w:p>
    <w:p>
      <w:pPr>
        <w:spacing w:after="80"/>
      </w:pPr>
      <w:r>
        <w:rPr>
          <w:b w:val="0"/>
          <w:i w:val="0"/>
          <w:sz w:val="21"/>
        </w:rPr>
        <w:t>Standard workings &amp; worked example. Build free cash flow to the firm from EBIT to NOPAT (taxed at the 8% effective rate), add D&amp;A, subtract capex and the working-capital build — the five-year schedule in Appendix A.4. Then compute the return on invested capital: a normalized NOPAT of about SAR 11.5 bn against an invested-capital base of roughly SAR 120 bn is a ROIC near 9.6%, only a hair above the 9.3% WACC — a thin economic-profit spread. Value the equity as the present value of the FCFF stream with the modest excess return fading toward the cost of capital; because the near-term free cash is suppressed by the capex and the terminal value therefore carries ~82% of enterprise value, the honest mark sits close to the modelled DCF but haircut for the thinness of the spread and the years of execution risk before it widens.</w:t>
      </w:r>
    </w:p>
    <w:tbl>
      <w:tblPr>
        <w:tblStyle w:val="TableGrid"/>
        <w:tblW w:type="auto" w:w="0"/>
        <w:jc w:val="center"/>
        <w:tblLook w:firstColumn="1" w:firstRow="1" w:lastColumn="0" w:lastRow="0" w:noHBand="0" w:noVBand="1" w:val="04A0"/>
      </w:tblPr>
      <w:tblGrid>
        <w:gridCol w:w="4320"/>
        <w:gridCol w:w="4320"/>
      </w:tblGrid>
      <w:tr>
        <w:tc>
          <w:tcPr>
            <w:tcW w:type="dxa" w:w="6192"/>
            <w:shd w:val="clear" w:fill="1B5E5E"/>
          </w:tcPr>
          <w:p>
            <w:r/>
            <w:r>
              <w:rPr>
                <w:b/>
                <w:i w:val="0"/>
                <w:color w:val="FFFFFF"/>
                <w:sz w:val="19"/>
              </w:rPr>
              <w:t>Expert 2's economic-profit test</w:t>
            </w:r>
          </w:p>
        </w:tc>
        <w:tc>
          <w:tcPr>
            <w:tcW w:type="dxa" w:w="2592"/>
            <w:shd w:val="clear" w:fill="1B5E5E"/>
          </w:tcPr>
          <w:p>
            <w:r/>
            <w:r>
              <w:rPr>
                <w:b/>
                <w:i w:val="0"/>
                <w:color w:val="FFFFFF"/>
                <w:sz w:val="19"/>
              </w:rPr>
              <w:t>Value</w:t>
            </w:r>
          </w:p>
        </w:tc>
      </w:tr>
      <w:tr>
        <w:tc>
          <w:tcPr>
            <w:tcW w:type="dxa" w:w="6192"/>
          </w:tcPr>
          <w:p>
            <w:pPr>
              <w:jc w:val="left"/>
            </w:pPr>
            <w:r/>
            <w:r>
              <w:rPr>
                <w:b w:val="0"/>
                <w:i w:val="0"/>
                <w:sz w:val="18"/>
              </w:rPr>
              <w:t>Normalized NOPAT (SAR bn)</w:t>
            </w:r>
          </w:p>
        </w:tc>
        <w:tc>
          <w:tcPr>
            <w:tcW w:type="dxa" w:w="2592"/>
          </w:tcPr>
          <w:p>
            <w:pPr>
              <w:jc w:val="right"/>
            </w:pPr>
            <w:r/>
            <w:r>
              <w:rPr>
                <w:b w:val="0"/>
                <w:i w:val="0"/>
                <w:sz w:val="18"/>
              </w:rPr>
              <w:t>~11.5</w:t>
            </w:r>
          </w:p>
        </w:tc>
      </w:tr>
      <w:tr>
        <w:tc>
          <w:tcPr>
            <w:tcW w:type="dxa" w:w="6192"/>
          </w:tcPr>
          <w:p>
            <w:pPr>
              <w:jc w:val="left"/>
            </w:pPr>
            <w:r/>
            <w:r>
              <w:rPr>
                <w:b w:val="0"/>
                <w:i w:val="0"/>
                <w:sz w:val="18"/>
              </w:rPr>
              <w:t>Invested capital (SAR bn)</w:t>
            </w:r>
          </w:p>
        </w:tc>
        <w:tc>
          <w:tcPr>
            <w:tcW w:type="dxa" w:w="2592"/>
          </w:tcPr>
          <w:p>
            <w:pPr>
              <w:jc w:val="right"/>
            </w:pPr>
            <w:r/>
            <w:r>
              <w:rPr>
                <w:b w:val="0"/>
                <w:i w:val="0"/>
                <w:sz w:val="18"/>
              </w:rPr>
              <w:t>~120</w:t>
            </w:r>
          </w:p>
        </w:tc>
      </w:tr>
      <w:tr>
        <w:tc>
          <w:tcPr>
            <w:tcW w:type="dxa" w:w="6192"/>
          </w:tcPr>
          <w:p>
            <w:pPr>
              <w:jc w:val="left"/>
            </w:pPr>
            <w:r/>
            <w:r>
              <w:rPr>
                <w:b w:val="0"/>
                <w:i w:val="0"/>
                <w:sz w:val="18"/>
              </w:rPr>
              <w:t>ROIC vs WACC</w:t>
            </w:r>
          </w:p>
        </w:tc>
        <w:tc>
          <w:tcPr>
            <w:tcW w:type="dxa" w:w="2592"/>
          </w:tcPr>
          <w:p>
            <w:pPr>
              <w:jc w:val="right"/>
            </w:pPr>
            <w:r/>
            <w:r>
              <w:rPr>
                <w:b w:val="0"/>
                <w:i w:val="0"/>
                <w:sz w:val="18"/>
              </w:rPr>
              <w:t>~9.6% vs ~9.3% → thin positive spread</w:t>
            </w:r>
          </w:p>
        </w:tc>
      </w:tr>
      <w:tr>
        <w:tc>
          <w:tcPr>
            <w:tcW w:type="dxa" w:w="6192"/>
          </w:tcPr>
          <w:p>
            <w:pPr>
              <w:jc w:val="left"/>
            </w:pPr>
            <w:r/>
            <w:r>
              <w:rPr>
                <w:b w:val="0"/>
                <w:i w:val="0"/>
                <w:sz w:val="18"/>
              </w:rPr>
              <w:t>Heavy capex suppresses near-term FCF</w:t>
            </w:r>
          </w:p>
        </w:tc>
        <w:tc>
          <w:tcPr>
            <w:tcW w:type="dxa" w:w="2592"/>
          </w:tcPr>
          <w:p>
            <w:pPr>
              <w:jc w:val="right"/>
            </w:pPr>
            <w:r/>
            <w:r>
              <w:rPr>
                <w:b w:val="0"/>
                <w:i w:val="0"/>
                <w:sz w:val="18"/>
              </w:rPr>
              <w:t>mark near modelled DCF</w:t>
            </w:r>
          </w:p>
        </w:tc>
      </w:tr>
      <w:tr>
        <w:tc>
          <w:tcPr>
            <w:tcW w:type="dxa" w:w="6192"/>
          </w:tcPr>
          <w:p>
            <w:pPr>
              <w:jc w:val="left"/>
            </w:pPr>
            <w:r/>
            <w:r>
              <w:rPr>
                <w:b/>
                <w:i w:val="0"/>
                <w:sz w:val="18"/>
              </w:rPr>
              <w:t>Fair value</w:t>
            </w:r>
          </w:p>
        </w:tc>
        <w:tc>
          <w:tcPr>
            <w:tcW w:type="dxa" w:w="2592"/>
          </w:tcPr>
          <w:p>
            <w:pPr>
              <w:jc w:val="right"/>
            </w:pPr>
            <w:r/>
            <w:r>
              <w:rPr>
                <w:b/>
                <w:i w:val="0"/>
                <w:sz w:val="18"/>
              </w:rPr>
              <w:t>→ SAR 34 / share</w:t>
            </w:r>
          </w:p>
        </w:tc>
      </w:tr>
    </w:tbl>
    <w:p>
      <w:pPr>
        <w:spacing w:after="80"/>
      </w:pPr>
      <w:r>
        <w:rPr>
          <w:b/>
          <w:i w:val="0"/>
          <w:sz w:val="21"/>
        </w:rPr>
        <w:t xml:space="preserve">Sensitivity (swing = WACC / ROIC ramp).  </w:t>
      </w:r>
      <w:r>
        <w:t xml:space="preserve">At an 8.5% WACC ≈ SAR 41; at 10.5% ≈ SAR 28; if the new capacity earns a clear premium ROIC, the value rises toward the mid-40s. </w:t>
      </w:r>
      <w:r>
        <w:rPr>
          <w:b/>
          <w:i w:val="0"/>
          <w:sz w:val="21"/>
        </w:rPr>
        <w:t xml:space="preserve">Cross-examination.  </w:t>
      </w:r>
      <w:r>
        <w:rPr>
          <w:b w:val="0"/>
          <w:i w:val="0"/>
          <w:sz w:val="21"/>
        </w:rPr>
        <w:t>He tells Expert 1 that mid-cycle earnings without the capital cost to produce them is a half-truth — Phosphate 3 and the gold build consume the very cash a P/E capitalizes; he tells Expert 3 that a sovereign put lowers the discount rate but does not by itself raise the return on capital.</w:t>
      </w:r>
    </w:p>
    <w:p>
      <w:pPr>
        <w:spacing w:after="160"/>
      </w:pPr>
      <w:r>
        <w:rPr>
          <w:b/>
          <w:i w:val="0"/>
          <w:sz w:val="21"/>
        </w:rPr>
        <w:t xml:space="preserve">Verdict, falsification, market-implied.  </w:t>
      </w:r>
      <w:r>
        <w:rPr>
          <w:b w:val="0"/>
          <w:i w:val="0"/>
          <w:sz w:val="21"/>
        </w:rPr>
        <w:t>Fair SAR 34 (range SAR 22–50) — the most cautious of the three: a thin economic-profit spread and years of heavy capex. Falsified by a durable ROIC lift well above WACC once the projects ramp. The market price is far above his number — on a strict cash-returns basis, the stock is expensive.</w:t>
      </w:r>
    </w:p>
    <w:p>
      <w:pPr>
        <w:spacing w:before="200" w:after="80"/>
      </w:pPr>
      <w:r>
        <w:rPr>
          <w:b/>
          <w:i w:val="0"/>
          <w:color w:val="1B5E5E"/>
          <w:sz w:val="25"/>
        </w:rPr>
        <w:t>D.3  Expert 3 — the strategic / macro-policy lens</w:t>
      </w:r>
    </w:p>
    <w:p>
      <w:pPr>
        <w:spacing w:after="80"/>
      </w:pPr>
      <w:r>
        <w:rPr>
          <w:b/>
          <w:i w:val="0"/>
          <w:sz w:val="21"/>
        </w:rPr>
        <w:t xml:space="preserve">Worldview and tradition.  </w:t>
      </w:r>
      <w:r>
        <w:rPr>
          <w:b w:val="0"/>
          <w:i w:val="0"/>
          <w:sz w:val="21"/>
        </w:rPr>
        <w:t>Some assets are worth more than their standalone cash flows because of who owns them and what they are for — the strategic-asset, or sum-of-the-parts-plus-control, tradition that top-down and macro investors bring to national champions. Ma'aden is the designated vehicle for the Kingdom's minerals ambition under Vision 2030, funded and de-risked by a sovereign wealth fund that treats it as strategic infrastructure, sitting on a resource endowment the state values in the trillions and armed with a structural cost moat in cheap domestic gas. To this investor, those facts are not soft narrative: a credible sovereign backer genuinely lowers the cost of capital (default risk falls, patient capital is available, the runway lengthens through cycles that would force a normal miner to retrench), and a state-scale mandate creates option value — first-mover access to the domestic resource base, and an international M&amp;A platform in Manara — that a discounted-cash-flow of today's assets simply cannot see.</w:t>
      </w:r>
    </w:p>
    <w:p>
      <w:pPr>
        <w:spacing w:after="80"/>
      </w:pPr>
      <w:r>
        <w:rPr>
          <w:b/>
          <w:i w:val="0"/>
          <w:sz w:val="21"/>
        </w:rPr>
        <w:t xml:space="preserve">When it works / fails.  </w:t>
      </w:r>
      <w:r>
        <w:rPr>
          <w:b w:val="0"/>
          <w:i w:val="0"/>
          <w:sz w:val="21"/>
        </w:rPr>
        <w:t>Best where sovereign backing, strategic priority and a resource endowment are real, durable and aligned with minority holders; it fails if the premium is really just momentum and thin-float scarcity dressed up as strategy — if policy priorities shift, the free float normalizes and dilutes the scarcity, or the promised growth does not convert to cash, the premium can compress hard and fast. The lens is also the easiest to abuse: without a bound, 'strategic value' becomes a licence to justify any price, which is why this expert insists on sizing the premium explicitly and testing what is left if it is stripped out.</w:t>
      </w:r>
    </w:p>
    <w:p>
      <w:pPr>
        <w:spacing w:after="80"/>
      </w:pPr>
      <w:r>
        <w:rPr>
          <w:b w:val="0"/>
          <w:i w:val="0"/>
          <w:sz w:val="21"/>
        </w:rPr>
        <w:t>Standard workings &amp; worked example. Start from the fundamental base — a blend of the SOTP and DCF at roughly SAR 42 — and then add two explicit, bounded credits rather than an open-ended premium. First, a cost-of-capital credit: if the sovereign backing genuinely shaves ~100 bps off the discount rate, the DCF value rises by about SAR 4/share. Second, an optionality credit for the trillion-dollar resource base and the Manara international platform, sized conservatively at about SAR 2/share — real, but not a blank cheque. The sum is a fair value near SAR 48. The discipline is that every rand of premium is named and capped, and the base is shown, so a reader can see exactly how much of the number is cash flow and how much is strategy.</w:t>
      </w:r>
    </w:p>
    <w:tbl>
      <w:tblPr>
        <w:tblStyle w:val="TableGrid"/>
        <w:tblW w:type="auto" w:w="0"/>
        <w:jc w:val="center"/>
        <w:tblLook w:firstColumn="1" w:firstRow="1" w:lastColumn="0" w:lastRow="0" w:noHBand="0" w:noVBand="1" w:val="04A0"/>
      </w:tblPr>
      <w:tblGrid>
        <w:gridCol w:w="4320"/>
        <w:gridCol w:w="4320"/>
      </w:tblGrid>
      <w:tr>
        <w:tc>
          <w:tcPr>
            <w:tcW w:type="dxa" w:w="6192"/>
            <w:shd w:val="clear" w:fill="1B5E5E"/>
          </w:tcPr>
          <w:p>
            <w:r/>
            <w:r>
              <w:rPr>
                <w:b/>
                <w:i w:val="0"/>
                <w:color w:val="FFFFFF"/>
                <w:sz w:val="19"/>
              </w:rPr>
              <w:t>Expert 3's strategic build</w:t>
            </w:r>
          </w:p>
        </w:tc>
        <w:tc>
          <w:tcPr>
            <w:tcW w:type="dxa" w:w="2592"/>
            <w:shd w:val="clear" w:fill="1B5E5E"/>
          </w:tcPr>
          <w:p>
            <w:r/>
            <w:r>
              <w:rPr>
                <w:b/>
                <w:i w:val="0"/>
                <w:color w:val="FFFFFF"/>
                <w:sz w:val="19"/>
              </w:rPr>
              <w:t>Value</w:t>
            </w:r>
          </w:p>
        </w:tc>
      </w:tr>
      <w:tr>
        <w:tc>
          <w:tcPr>
            <w:tcW w:type="dxa" w:w="6192"/>
          </w:tcPr>
          <w:p>
            <w:pPr>
              <w:jc w:val="left"/>
            </w:pPr>
            <w:r/>
            <w:r>
              <w:rPr>
                <w:b w:val="0"/>
                <w:i w:val="0"/>
                <w:sz w:val="18"/>
              </w:rPr>
              <w:t>Fundamental base (SOTP/DCF blend)</w:t>
            </w:r>
          </w:p>
        </w:tc>
        <w:tc>
          <w:tcPr>
            <w:tcW w:type="dxa" w:w="2592"/>
          </w:tcPr>
          <w:p>
            <w:pPr>
              <w:jc w:val="right"/>
            </w:pPr>
            <w:r/>
            <w:r>
              <w:rPr>
                <w:b w:val="0"/>
                <w:i w:val="0"/>
                <w:sz w:val="18"/>
              </w:rPr>
              <w:t>~SAR 42</w:t>
            </w:r>
          </w:p>
        </w:tc>
      </w:tr>
      <w:tr>
        <w:tc>
          <w:tcPr>
            <w:tcW w:type="dxa" w:w="6192"/>
          </w:tcPr>
          <w:p>
            <w:pPr>
              <w:jc w:val="left"/>
            </w:pPr>
            <w:r/>
            <w:r>
              <w:rPr>
                <w:b w:val="0"/>
                <w:i w:val="0"/>
                <w:sz w:val="18"/>
              </w:rPr>
              <w:t>Sovereign cost-of-capital credit (≈ −100 bps discount)</w:t>
            </w:r>
          </w:p>
        </w:tc>
        <w:tc>
          <w:tcPr>
            <w:tcW w:type="dxa" w:w="2592"/>
          </w:tcPr>
          <w:p>
            <w:pPr>
              <w:jc w:val="right"/>
            </w:pPr>
            <w:r/>
            <w:r>
              <w:rPr>
                <w:b w:val="0"/>
                <w:i w:val="0"/>
                <w:sz w:val="18"/>
              </w:rPr>
              <w:t>+~SAR 4</w:t>
            </w:r>
          </w:p>
        </w:tc>
      </w:tr>
      <w:tr>
        <w:tc>
          <w:tcPr>
            <w:tcW w:type="dxa" w:w="6192"/>
          </w:tcPr>
          <w:p>
            <w:pPr>
              <w:jc w:val="left"/>
            </w:pPr>
            <w:r/>
            <w:r>
              <w:rPr>
                <w:b w:val="0"/>
                <w:i w:val="0"/>
                <w:sz w:val="18"/>
              </w:rPr>
              <w:t>Resource-base + Manara optionality (bounded)</w:t>
            </w:r>
          </w:p>
        </w:tc>
        <w:tc>
          <w:tcPr>
            <w:tcW w:type="dxa" w:w="2592"/>
          </w:tcPr>
          <w:p>
            <w:pPr>
              <w:jc w:val="right"/>
            </w:pPr>
            <w:r/>
            <w:r>
              <w:rPr>
                <w:b w:val="0"/>
                <w:i w:val="0"/>
                <w:sz w:val="18"/>
              </w:rPr>
              <w:t>+~SAR 2</w:t>
            </w:r>
          </w:p>
        </w:tc>
      </w:tr>
      <w:tr>
        <w:tc>
          <w:tcPr>
            <w:tcW w:type="dxa" w:w="6192"/>
          </w:tcPr>
          <w:p>
            <w:pPr>
              <w:jc w:val="left"/>
            </w:pPr>
            <w:r/>
            <w:r>
              <w:rPr>
                <w:b/>
                <w:i w:val="0"/>
                <w:sz w:val="18"/>
              </w:rPr>
              <w:t>Fair value</w:t>
            </w:r>
          </w:p>
        </w:tc>
        <w:tc>
          <w:tcPr>
            <w:tcW w:type="dxa" w:w="2592"/>
          </w:tcPr>
          <w:p>
            <w:pPr>
              <w:jc w:val="right"/>
            </w:pPr>
            <w:r/>
            <w:r>
              <w:rPr>
                <w:b/>
                <w:i w:val="0"/>
                <w:sz w:val="18"/>
              </w:rPr>
              <w:t>→ SAR 48 / share</w:t>
            </w:r>
          </w:p>
        </w:tc>
      </w:tr>
    </w:tbl>
    <w:p>
      <w:pPr>
        <w:spacing w:after="80"/>
      </w:pPr>
      <w:r>
        <w:rPr>
          <w:b/>
          <w:i w:val="0"/>
          <w:sz w:val="21"/>
        </w:rPr>
        <w:t xml:space="preserve">Sensitivity (swing = the size of the premium).  </w:t>
      </w:r>
      <w:r>
        <w:t xml:space="preserve">A larger sovereign credit and full pipeline optionality push toward SAR 60+ (near spot); strip the premium entirely and he collapses to the fundamental SAR 42. </w:t>
      </w:r>
      <w:r>
        <w:rPr>
          <w:b/>
          <w:i w:val="0"/>
          <w:sz w:val="21"/>
        </w:rPr>
        <w:t xml:space="preserve">Cross-examination.  </w:t>
      </w:r>
      <w:r>
        <w:rPr>
          <w:b w:val="0"/>
          <w:i w:val="0"/>
          <w:sz w:val="21"/>
        </w:rPr>
        <w:t>He tells Expert 1 and Expert 2 that both under-price a genuinely lower cost of capital and a state-scale runway; they tell him that even a generous, bounded premium lands at SAR 48 — still below spot — so the market is paying for more optionality than any disciplined premium can justify.</w:t>
      </w:r>
    </w:p>
    <w:p>
      <w:pPr>
        <w:spacing w:after="160"/>
      </w:pPr>
      <w:r>
        <w:rPr>
          <w:b/>
          <w:i w:val="0"/>
          <w:sz w:val="21"/>
        </w:rPr>
        <w:t xml:space="preserve">Verdict, falsification, market-implied.  </w:t>
      </w:r>
      <w:r>
        <w:rPr>
          <w:b w:val="0"/>
          <w:i w:val="0"/>
          <w:sz w:val="21"/>
        </w:rPr>
        <w:t>Fair SAR 48 (range SAR 30–64) — the most constructive of the three, and still ~18% below spot. Falsified if the sovereign priority or the free-float dynamics change, or if the growth does not convert to cash. The market implies a premium even larger than a disciplined strategic case supports.</w:t>
      </w:r>
    </w:p>
    <w:p>
      <w:pPr>
        <w:spacing w:before="200" w:after="80"/>
      </w:pPr>
      <w:r>
        <w:rPr>
          <w:b/>
          <w:i w:val="0"/>
          <w:color w:val="1B5E5E"/>
          <w:sz w:val="25"/>
        </w:rPr>
        <w:t>D.5  The three in one room</w:t>
      </w:r>
    </w:p>
    <w:p>
      <w:pPr>
        <w:spacing w:after="80"/>
      </w:pPr>
      <w:r>
        <w:rPr>
          <w:b w:val="0"/>
          <w:i w:val="0"/>
          <w:sz w:val="21"/>
        </w:rPr>
        <w:t>The single thing they most disagree on is the premium — specifically, whether a sovereign-backed, gas-advantaged growth platform deserves to trade far above the cash it currently generates.</w:t>
      </w:r>
    </w:p>
    <w:p>
      <w:pPr>
        <w:spacing w:after="60"/>
      </w:pPr>
      <w:r>
        <w:rPr>
          <w:b/>
          <w:i w:val="0"/>
          <w:sz w:val="21"/>
        </w:rPr>
        <w:t xml:space="preserve">Expert 1:  </w:t>
      </w:r>
      <w:r>
        <w:rPr>
          <w:b w:val="0"/>
          <w:i w:val="0"/>
          <w:sz w:val="21"/>
        </w:rPr>
        <w:t>“Normalize the earnings to a fair mid-cycle deck and put a rich-but-defensible 27× on them and you get SAR 44. The market is paying for a commodity deck near the top of its range and a growth base that has not printed yet.”</w:t>
      </w:r>
    </w:p>
    <w:p>
      <w:pPr>
        <w:spacing w:after="60"/>
      </w:pPr>
      <w:r>
        <w:rPr>
          <w:b/>
          <w:i w:val="0"/>
          <w:sz w:val="21"/>
        </w:rPr>
        <w:t xml:space="preserve">Expert 2:  </w:t>
      </w:r>
      <w:r>
        <w:rPr>
          <w:b w:val="0"/>
          <w:i w:val="0"/>
          <w:sz w:val="21"/>
        </w:rPr>
        <w:t>“And to grow that base Ma'aden spends most of its cash flow every year. Capitalize the earnings, but subtract the capital to make them. The return on capital barely clears the hurdle; I credit no premium to the invested base — SAR 34.”</w:t>
      </w:r>
    </w:p>
    <w:p>
      <w:pPr>
        <w:spacing w:after="120"/>
      </w:pPr>
      <w:r>
        <w:rPr>
          <w:b/>
          <w:i w:val="0"/>
          <w:sz w:val="21"/>
        </w:rPr>
        <w:t xml:space="preserve">Expert 3:  </w:t>
      </w:r>
      <w:r>
        <w:rPr>
          <w:b w:val="0"/>
          <w:i w:val="0"/>
          <w:sz w:val="21"/>
        </w:rPr>
        <w:t>“You are both pricing an ordinary miner. This one has a state behind it, a cost moat, and a resource base measured in trillions. That is worth a lower discount rate and a bounded premium — SAR 48. But note: even I, the bull, land below the price.”</w:t>
      </w:r>
    </w:p>
    <w:p>
      <w:pPr>
        <w:spacing w:before="200" w:after="80"/>
      </w:pPr>
      <w:r>
        <w:rPr>
          <w:b/>
          <w:i w:val="0"/>
          <w:color w:val="1B5E5E"/>
          <w:sz w:val="25"/>
        </w:rPr>
        <w:t>D.6  Reading the divergence</w:t>
      </w:r>
    </w:p>
    <w:p>
      <w:pPr>
        <w:jc w:val="center"/>
      </w:pPr>
      <w:r>
        <w:drawing>
          <wp:inline xmlns:a="http://schemas.openxmlformats.org/drawingml/2006/main" xmlns:pic="http://schemas.openxmlformats.org/drawingml/2006/picture">
            <wp:extent cx="5486400" cy="2755046"/>
            <wp:docPr id="9" name="Picture 9"/>
            <wp:cNvGraphicFramePr>
              <a:graphicFrameLocks noChangeAspect="1"/>
            </wp:cNvGraphicFramePr>
            <a:graphic>
              <a:graphicData uri="http://schemas.openxmlformats.org/drawingml/2006/picture">
                <pic:pic>
                  <pic:nvPicPr>
                    <pic:cNvPr id="0" name="figD1_experts.png"/>
                    <pic:cNvPicPr/>
                  </pic:nvPicPr>
                  <pic:blipFill>
                    <a:blip r:embed="rId17"/>
                    <a:stretch>
                      <a:fillRect/>
                    </a:stretch>
                  </pic:blipFill>
                  <pic:spPr>
                    <a:xfrm>
                      <a:off x="0" y="0"/>
                      <a:ext cx="5486400" cy="2755046"/>
                    </a:xfrm>
                    <a:prstGeom prst="rect"/>
                  </pic:spPr>
                </pic:pic>
              </a:graphicData>
            </a:graphic>
          </wp:inline>
        </w:drawing>
      </w:r>
    </w:p>
    <w:p>
      <w:pPr>
        <w:spacing w:after="160"/>
      </w:pPr>
      <w:r>
        <w:rPr>
          <w:b w:val="0"/>
          <w:i/>
          <w:color w:val="595959"/>
          <w:sz w:val="17"/>
        </w:rPr>
        <w:t>Figure D-1 — The three experts' fair-value ranges. Brass ticks are base cases; the gold band is the central, the dark line is spot. The spread is a premium disagreement, and all three sit below spot.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1B5E5E"/>
          </w:tcPr>
          <w:p>
            <w:r/>
            <w:r>
              <w:rPr>
                <w:b/>
                <w:i w:val="0"/>
                <w:color w:val="FFFFFF"/>
                <w:sz w:val="19"/>
              </w:rPr>
              <w:t>Expert</w:t>
            </w:r>
          </w:p>
        </w:tc>
        <w:tc>
          <w:tcPr>
            <w:tcW w:type="dxa" w:w="3168"/>
            <w:shd w:val="clear" w:fill="1B5E5E"/>
          </w:tcPr>
          <w:p>
            <w:r/>
            <w:r>
              <w:rPr>
                <w:b/>
                <w:i w:val="0"/>
                <w:color w:val="FFFFFF"/>
                <w:sz w:val="19"/>
              </w:rPr>
              <w:t>Method</w:t>
            </w:r>
          </w:p>
        </w:tc>
        <w:tc>
          <w:tcPr>
            <w:tcW w:type="dxa" w:w="2880"/>
            <w:shd w:val="clear" w:fill="1B5E5E"/>
          </w:tcPr>
          <w:p>
            <w:r/>
            <w:r>
              <w:rPr>
                <w:b/>
                <w:i w:val="0"/>
                <w:color w:val="FFFFFF"/>
                <w:sz w:val="19"/>
              </w:rPr>
              <w:t>Single swing assumption</w:t>
            </w:r>
          </w:p>
        </w:tc>
        <w:tc>
          <w:tcPr>
            <w:tcW w:type="dxa" w:w="1872"/>
            <w:shd w:val="clear" w:fill="1B5E5E"/>
          </w:tcPr>
          <w:p>
            <w:r/>
            <w:r>
              <w:rPr>
                <w:b/>
                <w:i w:val="0"/>
                <w:color w:val="FFFFFF"/>
                <w:sz w:val="19"/>
              </w:rPr>
              <w:t>Base fair value</w:t>
            </w:r>
          </w:p>
        </w:tc>
      </w:tr>
      <w:tr>
        <w:tc>
          <w:tcPr>
            <w:tcW w:type="dxa" w:w="2016"/>
          </w:tcPr>
          <w:p>
            <w:pPr>
              <w:jc w:val="left"/>
            </w:pPr>
            <w:r/>
            <w:r>
              <w:rPr>
                <w:b w:val="0"/>
                <w:i w:val="0"/>
                <w:sz w:val="18"/>
              </w:rPr>
              <w:t>Expert 1</w:t>
            </w:r>
          </w:p>
        </w:tc>
        <w:tc>
          <w:tcPr>
            <w:tcW w:type="dxa" w:w="3168"/>
          </w:tcPr>
          <w:p>
            <w:pPr>
              <w:jc w:val="right"/>
            </w:pPr>
            <w:r/>
            <w:r>
              <w:rPr>
                <w:b w:val="0"/>
                <w:i w:val="0"/>
                <w:sz w:val="18"/>
              </w:rPr>
              <w:t>Mid-cycle earnings power</w:t>
            </w:r>
          </w:p>
        </w:tc>
        <w:tc>
          <w:tcPr>
            <w:tcW w:type="dxa" w:w="2880"/>
          </w:tcPr>
          <w:p>
            <w:pPr>
              <w:jc w:val="right"/>
            </w:pPr>
            <w:r/>
            <w:r>
              <w:rPr>
                <w:b w:val="0"/>
                <w:i w:val="0"/>
                <w:sz w:val="18"/>
              </w:rPr>
              <w:t>Normalized deck / 27× P/E</w:t>
            </w:r>
          </w:p>
        </w:tc>
        <w:tc>
          <w:tcPr>
            <w:tcW w:type="dxa" w:w="1872"/>
          </w:tcPr>
          <w:p>
            <w:pPr>
              <w:jc w:val="right"/>
            </w:pPr>
            <w:r/>
            <w:r>
              <w:rPr>
                <w:b w:val="0"/>
                <w:i w:val="0"/>
                <w:sz w:val="18"/>
              </w:rPr>
              <w:t>SAR 44</w:t>
            </w:r>
          </w:p>
        </w:tc>
      </w:tr>
      <w:tr>
        <w:tc>
          <w:tcPr>
            <w:tcW w:type="dxa" w:w="2016"/>
          </w:tcPr>
          <w:p>
            <w:pPr>
              <w:jc w:val="left"/>
            </w:pPr>
            <w:r/>
            <w:r>
              <w:rPr>
                <w:b w:val="0"/>
                <w:i w:val="0"/>
                <w:sz w:val="18"/>
              </w:rPr>
              <w:t>Expert 2</w:t>
            </w:r>
          </w:p>
        </w:tc>
        <w:tc>
          <w:tcPr>
            <w:tcW w:type="dxa" w:w="3168"/>
          </w:tcPr>
          <w:p>
            <w:pPr>
              <w:jc w:val="right"/>
            </w:pPr>
            <w:r/>
            <w:r>
              <w:rPr>
                <w:b w:val="0"/>
                <w:i w:val="0"/>
                <w:sz w:val="18"/>
              </w:rPr>
              <w:t>Cash returns / ROIC</w:t>
            </w:r>
          </w:p>
        </w:tc>
        <w:tc>
          <w:tcPr>
            <w:tcW w:type="dxa" w:w="2880"/>
          </w:tcPr>
          <w:p>
            <w:pPr>
              <w:jc w:val="right"/>
            </w:pPr>
            <w:r/>
            <w:r>
              <w:rPr>
                <w:b w:val="0"/>
                <w:i w:val="0"/>
                <w:sz w:val="18"/>
              </w:rPr>
              <w:t>ROIC versus a ~9.3% WACC</w:t>
            </w:r>
          </w:p>
        </w:tc>
        <w:tc>
          <w:tcPr>
            <w:tcW w:type="dxa" w:w="1872"/>
          </w:tcPr>
          <w:p>
            <w:pPr>
              <w:jc w:val="right"/>
            </w:pPr>
            <w:r/>
            <w:r>
              <w:rPr>
                <w:b w:val="0"/>
                <w:i w:val="0"/>
                <w:sz w:val="18"/>
              </w:rPr>
              <w:t>SAR 34</w:t>
            </w:r>
          </w:p>
        </w:tc>
      </w:tr>
      <w:tr>
        <w:tc>
          <w:tcPr>
            <w:tcW w:type="dxa" w:w="2016"/>
          </w:tcPr>
          <w:p>
            <w:pPr>
              <w:jc w:val="left"/>
            </w:pPr>
            <w:r/>
            <w:r>
              <w:rPr>
                <w:b w:val="0"/>
                <w:i w:val="0"/>
                <w:sz w:val="18"/>
              </w:rPr>
              <w:t>Expert 3</w:t>
            </w:r>
          </w:p>
        </w:tc>
        <w:tc>
          <w:tcPr>
            <w:tcW w:type="dxa" w:w="3168"/>
          </w:tcPr>
          <w:p>
            <w:pPr>
              <w:jc w:val="right"/>
            </w:pPr>
            <w:r/>
            <w:r>
              <w:rPr>
                <w:b w:val="0"/>
                <w:i w:val="0"/>
                <w:sz w:val="18"/>
              </w:rPr>
              <w:t>Strategic / macro-policy</w:t>
            </w:r>
          </w:p>
        </w:tc>
        <w:tc>
          <w:tcPr>
            <w:tcW w:type="dxa" w:w="2880"/>
          </w:tcPr>
          <w:p>
            <w:pPr>
              <w:jc w:val="right"/>
            </w:pPr>
            <w:r/>
            <w:r>
              <w:rPr>
                <w:b w:val="0"/>
                <w:i w:val="0"/>
                <w:sz w:val="18"/>
              </w:rPr>
              <w:t>Size of the sovereign premium</w:t>
            </w:r>
          </w:p>
        </w:tc>
        <w:tc>
          <w:tcPr>
            <w:tcW w:type="dxa" w:w="1872"/>
          </w:tcPr>
          <w:p>
            <w:pPr>
              <w:jc w:val="right"/>
            </w:pPr>
            <w:r/>
            <w:r>
              <w:rPr>
                <w:b w:val="0"/>
                <w:i w:val="0"/>
                <w:sz w:val="18"/>
              </w:rPr>
              <w:t>SAR 48</w:t>
            </w:r>
          </w:p>
        </w:tc>
      </w:tr>
    </w:tbl>
    <w:p>
      <w:pPr>
        <w:spacing w:after="80"/>
      </w:pPr>
      <w:r>
        <w:rPr>
          <w:b w:val="0"/>
          <w:i w:val="0"/>
          <w:sz w:val="21"/>
        </w:rPr>
        <w:t>The spread — SAR 34 to SAR 48 at base — is narrow, and it is entirely a premium disagreement: none of the three contests the phosphate cost advantage, the gold ramp, or the balance sheet. What separates them is how much a sovereign-backed growth platform should trade above the cash it makes today. Expert 1 says a rich earnings multiple (but the deck is near-peak); Expert 2 says almost nothing until the capital earns its keep; Expert 3 says a bounded premium is fair but even that lands below the price. The SAR 14 spread is a clean measure of one uncertainty — the value of Ma'aden's strategic status and pipeline over and above its modellable cash flows. Resolve that, and the three converge; and notably, all three sit below the SAR 58.8 market price, which is the whole study in one sentence.</w:t>
      </w:r>
    </w:p>
    <w:p>
      <w:pPr>
        <w:spacing w:after="120"/>
      </w:pPr>
      <w:r>
        <w:rPr>
          <w:b w:val="0"/>
          <w:i w:val="0"/>
          <w:sz w:val="21"/>
        </w:rPr>
        <w:t>What would make them converge is concrete and watchable. If Phosphate 3 and the gold build ramp on time and on budget and print the returns management projects, Expert 2's ROIC spread widens, his SAR 34 rises toward the mid-40s, and the three close from below. If instead the commodity deck fades toward mid-cycle, Expert 1's normalized earnings fall and his ceiling drops toward Expert 2's floor. And if the free float widens or policy priorities shift, Expert 3's premium compresses and the whole cluster settles nearer the fundamental base. The one thing none of the three scenarios does is lift the trio above today's price without a genuine, cash-backed step-change in returns — which is precisely why the study's central estimate sits ~29% below spot and why the honest read is a rich valuation resting entirely on the second clock. A disciplined reader watches the capex-return evidence quarter by quarter and lets the distribution, not a target, frame the decision.</w:t>
      </w:r>
    </w:p>
    <w:p>
      <w:pPr>
        <w:spacing w:after="120"/>
      </w:pPr>
      <w:r>
        <w:rPr>
          <w:b w:val="0"/>
          <w:i/>
          <w:color w:val="595959"/>
          <w:sz w:val="17"/>
        </w:rPr>
        <w:t>Each expert's point fair value (and bull/base/bear) is logged with the study date (5 Jul 2026) and spot (SAR 58.80) as an internal per-expert track record, kept separate from the core Calibration Ledger.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