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i w:val="false"/>
          <w:iCs w:val="false"/>
          <w:color w:val="1C6B62"/>
          <w:sz w:val="22"/>
          <w:szCs w:val="22"/>
        </w:rPr>
        <w:t xml:space="preserve">Independent Valuation Study — Educational Analysis</w:t>
      </w:r>
    </w:p>
    <w:p>
      <w:pPr>
        <w:spacing w:after="60"/>
      </w:pPr>
      <w:r>
        <w:rPr>
          <w:rFonts w:ascii="Arial" w:cs="Arial" w:eastAsia="Arial" w:hAnsi="Arial"/>
          <w:b/>
          <w:bCs/>
          <w:i w:val="false"/>
          <w:iCs w:val="false"/>
          <w:color w:val="1C3A36"/>
          <w:sz w:val="36"/>
          <w:szCs w:val="36"/>
        </w:rPr>
        <w:t xml:space="preserve">Orascom Investment Holding S.A.E.  (EGX: OIH)</w:t>
      </w:r>
    </w:p>
    <w:p>
      <w:pPr>
        <w:spacing w:after="140" w:before="0"/>
      </w:pPr>
      <w:r>
        <w:rPr>
          <w:rFonts w:ascii="Georgia" w:cs="Georgia" w:eastAsia="Georgia" w:hAnsi="Georgia"/>
          <w:b w:val="false"/>
          <w:bCs w:val="false"/>
          <w:i/>
          <w:iCs/>
          <w:color w:val="444444"/>
          <w:sz w:val="21"/>
          <w:szCs w:val="21"/>
        </w:rPr>
        <w:t xml:space="preserve">Fundamental analysis · Technical analysis · Monte Carlo simulation — one integrated read</w:t>
      </w:r>
    </w:p>
    <w:p>
      <w:pPr>
        <w:spacing w:after="160" w:before="0"/>
      </w:pPr>
      <w:r>
        <w:rPr>
          <w:rFonts w:ascii="Georgia" w:cs="Georgia" w:eastAsia="Georgia" w:hAnsi="Georgia"/>
          <w:b/>
          <w:bCs/>
          <w:i w:val="false"/>
          <w:iCs w:val="false"/>
          <w:color w:val="222222"/>
          <w:sz w:val="20"/>
          <w:szCs w:val="20"/>
        </w:rPr>
        <w:t xml:space="preserve">Anchor: </w:t>
      </w:r>
      <w:r>
        <w:rPr>
          <w:rFonts w:ascii="Georgia" w:cs="Georgia" w:eastAsia="Georgia" w:hAnsi="Georgia"/>
          <w:b w:val="false"/>
          <w:bCs w:val="false"/>
          <w:i w:val="false"/>
          <w:iCs w:val="false"/>
          <w:color w:val="222222"/>
          <w:sz w:val="20"/>
          <w:szCs w:val="20"/>
        </w:rPr>
        <w:t xml:space="preserve">EGP 1.41 (01 Jul 2026 close) · 5,245.69m shares · mkt cap ~EGP 7.40bn (~US$151m at EGP/USD 49.09) · the Sawiris-family listed holding company, whose crown asset is the </w:t>
      </w:r>
      <w:r>
        <w:rPr>
          <w:rFonts w:ascii="Georgia" w:cs="Georgia" w:eastAsia="Georgia" w:hAnsi="Georgia"/>
          <w:b/>
          <w:bCs/>
          <w:i w:val="false"/>
          <w:iCs w:val="false"/>
          <w:color w:val="222222"/>
          <w:sz w:val="20"/>
          <w:szCs w:val="20"/>
        </w:rPr>
        <w:t xml:space="preserve">Giza Pyramids plateau visitor-services concession</w:t>
      </w:r>
      <w:r>
        <w:rPr>
          <w:rFonts w:ascii="Georgia" w:cs="Georgia" w:eastAsia="Georgia" w:hAnsi="Georgia"/>
          <w:b w:val="false"/>
          <w:bCs w:val="false"/>
          <w:i w:val="false"/>
          <w:iCs w:val="false"/>
          <w:color w:val="222222"/>
          <w:sz w:val="20"/>
          <w:szCs w:val="20"/>
        </w:rPr>
        <w:t xml:space="preserve"> (Orascom Pyramids Entertainment + the Sound &amp; Light show), sitting beside ~US$114m of cash trapped in North Korea, the 60% Koryolink associate, the Lighthouse Energy renewables fund and an interest-free EUR/USD loan owed back to Koryolink · prices and probabilities computed 01 Jul 2026 from the attached daily history · primary lens: holding-company NAV with the concession valued by DCF · the OPE platform value and the DPRK cash/loan pair are the swing factors.</w:t>
      </w:r>
    </w:p>
    <w:tbl>
      <w:tblPr>
        <w:tblW w:type="dxa" w:w="9600"/>
        <w:tblBorders>
          <w:top w:val="single" w:color="C0A45F" w:sz="8"/>
          <w:left w:val="single" w:color="C0A45F" w:sz="8"/>
          <w:bottom w:val="single" w:color="C0A45F" w:sz="8"/>
          <w:right w:val="single" w:color="C0A45F" w:sz="8"/>
          <w:insideH w:val="none"/>
          <w:insideV w:val="none"/>
        </w:tblBorders>
      </w:tblPr>
      <w:tblGrid>
        <w:gridCol w:w="9600"/>
      </w:tblGrid>
      <w:tr>
        <w:tc>
          <w:tcPr>
            <w:tcW w:type="dxa" w:w="9600"/>
            <w:shd w:fill="F2F0EA" w:val="clear"/>
            <w:tcMar>
              <w:top w:type="dxa" w:w="120"/>
              <w:left w:type="dxa" w:w="140"/>
              <w:bottom w:type="dxa" w:w="120"/>
              <w:right w:type="dxa" w:w="140"/>
            </w:tcMar>
          </w:tcPr>
          <w:p>
            <w:pPr>
              <w:spacing w:after="80"/>
            </w:pPr>
            <w:r>
              <w:rPr>
                <w:rFonts w:ascii="Georgia" w:cs="Georgia" w:eastAsia="Georgia" w:hAnsi="Georgia"/>
                <w:b/>
                <w:bCs/>
                <w:i w:val="false"/>
                <w:iCs w:val="false"/>
                <w:color w:val="222222"/>
                <w:sz w:val="18"/>
                <w:szCs w:val="18"/>
              </w:rPr>
              <w:t xml:space="preserve">READ FIRST — what this document is, and is not.</w:t>
            </w:r>
            <w:r>
              <w:rPr>
                <w:rFonts w:ascii="Georgia" w:cs="Georgia" w:eastAsia="Georgia" w:hAnsi="Georgia"/>
                <w:b w:val="false"/>
                <w:bCs w:val="false"/>
                <w:i w:val="false"/>
                <w:iCs w:val="false"/>
                <w:color w:val="222222"/>
                <w:sz w:val="18"/>
                <w:szCs w:val="18"/>
              </w:rPr>
              <w:t xml:space="preserve"> 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the Egyptian Financial Regulatory Authority or any other securities regulator in any jurisdiction, holds no brokerage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the company’s own disclosure (IFRS consolidated statements FY2023 and FY2024, audited by KPMG Luxembourg with a qualified opinion; EAS quarterly filings through 9M-2025); forward-looking inputs — the mark on the Pyramids platform, the DPRK recovery assumptions, the holdco discount, the multiples, the DCF and the Monte-Carlo factor probabilities — are the preparer’s judgments and are flagged throughout. A note on the audit: the auditor was unable to verify the recoverability of the North Korean cash and the Koryolink stake; those balances are carried at management’s estimates and this study treats that uncertainty explicitly rather than hiding it. Consult a licensed financial advisor before any investment decision.</w:t>
            </w:r>
          </w:p>
        </w:tc>
      </w:tr>
    </w:tbl>
    <w:p>
      <w:pPr>
        <w:spacing w:after="80" w:before="0"/>
      </w:pPr>
      <w:r>
        <w:rPr>
          <w:rFonts w:ascii="Georgia" w:cs="Georgia" w:eastAsia="Georgia" w:hAnsi="Georgia"/>
          <w:b w:val="false"/>
          <w:bCs w:val="false"/>
          <w:i w:val="false"/>
          <w:iCs w:val="false"/>
          <w:color w:val="222222"/>
          <w:sz w:val="20"/>
          <w:szCs w:val="20"/>
        </w:rPr>
        <w:t xml:space="preserve"/>
      </w:r>
    </w:p>
    <w:p>
      <w:pPr>
        <w:pBdr>
          <w:bottom w:val="single" w:color="C0A45F" w:sz="8"/>
        </w:pBdr>
        <w:spacing w:after="140" w:before="300"/>
      </w:pPr>
      <w:r>
        <w:rPr>
          <w:rFonts w:ascii="Arial" w:cs="Arial" w:eastAsia="Arial" w:hAnsi="Arial"/>
          <w:b/>
          <w:bCs/>
          <w:i w:val="false"/>
          <w:iCs w:val="false"/>
          <w:color w:val="1C3A36"/>
          <w:sz w:val="28"/>
          <w:szCs w:val="28"/>
        </w:rPr>
        <w:t xml:space="preserve">Headline</w:t>
      </w:r>
    </w:p>
    <w:p>
      <w:pPr>
        <w:spacing w:after="120" w:before="0"/>
      </w:pPr>
      <w:r>
        <w:rPr>
          <w:rFonts w:ascii="Georgia" w:cs="Georgia" w:eastAsia="Georgia" w:hAnsi="Georgia"/>
          <w:b/>
          <w:bCs/>
          <w:i w:val="false"/>
          <w:iCs w:val="false"/>
          <w:color w:val="222222"/>
          <w:sz w:val="20"/>
          <w:szCs w:val="20"/>
        </w:rPr>
        <w:t xml:space="preserve">The model’s read: the market has already paid for the Pyramids — the price sits far above what the audited books can support, and the case for EGP 1.41 is a bull case, not a base case. </w:t>
      </w:r>
      <w:r>
        <w:rPr>
          <w:rFonts w:ascii="Georgia" w:cs="Georgia" w:eastAsia="Georgia" w:hAnsi="Georgia"/>
          <w:b w:val="false"/>
          <w:bCs w:val="false"/>
          <w:i w:val="false"/>
          <w:iCs w:val="false"/>
          <w:color w:val="222222"/>
          <w:sz w:val="20"/>
          <w:szCs w:val="20"/>
        </w:rPr>
        <w:t xml:space="preserve">At EGP 1.41 the shares trade roughly </w:t>
      </w:r>
      <w:r>
        <w:rPr>
          <w:rFonts w:ascii="Georgia" w:cs="Georgia" w:eastAsia="Georgia" w:hAnsi="Georgia"/>
          <w:b/>
          <w:bCs/>
          <w:i w:val="false"/>
          <w:iCs w:val="false"/>
          <w:color w:val="222222"/>
          <w:sz w:val="20"/>
          <w:szCs w:val="20"/>
        </w:rPr>
        <w:t xml:space="preserve">80% above our weighted central estimate of EGP 0.78</w:t>
      </w:r>
      <w:r>
        <w:rPr>
          <w:rFonts w:ascii="Georgia" w:cs="Georgia" w:eastAsia="Georgia" w:hAnsi="Georgia"/>
          <w:b w:val="false"/>
          <w:bCs w:val="false"/>
          <w:i w:val="false"/>
          <w:iCs w:val="false"/>
          <w:color w:val="222222"/>
          <w:sz w:val="20"/>
          <w:szCs w:val="20"/>
        </w:rPr>
        <w:t xml:space="preserve">. The primary lens — a holding-company NAV that marks every asset at its audited carrying value and puts a DCF on the plateau concession — lands at EGP 0.81 after a 15% holdco discount; a consolidated DCF that charges central costs against the operating business is stricter at EGP 0.48; a peer P/NAV read gives EGP 0.72; and only a normalized-earnings view of the concession at maturity (EGP 1.03) approaches the tape. The gap is not a mystery: the market is paying today for three things the accountable NAV does not yet contain — the Pyramids platform at maturity rather than at its ramp-stage DCF, some recovery of the US$114m trapped in North Korea beyond the 50% the auditors allow, and the Sawiris platform premium that Egyptian retail money habitually awards this counter. Technically the stock is the mirror image of TMPV’s setup: a 74% one-year advance consolidating just under the 50-day average with RSI at 62 — the tape is strong precisely where the fundamentals are stretched. Over three months the Monte Carlo — whose drift is the tape’s own validated secular trend, never the §1 value gap — places the 50% band at </w:t>
      </w:r>
      <w:r>
        <w:rPr>
          <w:rFonts w:ascii="Georgia" w:cs="Georgia" w:eastAsia="Georgia" w:hAnsi="Georgia"/>
          <w:b/>
          <w:bCs/>
          <w:i w:val="false"/>
          <w:iCs w:val="false"/>
          <w:color w:val="222222"/>
          <w:sz w:val="20"/>
          <w:szCs w:val="20"/>
        </w:rPr>
        <w:t xml:space="preserve">EGP 1.36–1.80</w:t>
      </w:r>
      <w:r>
        <w:rPr>
          <w:rFonts w:ascii="Georgia" w:cs="Georgia" w:eastAsia="Georgia" w:hAnsi="Georgia"/>
          <w:b w:val="false"/>
          <w:bCs w:val="false"/>
          <w:i w:val="false"/>
          <w:iCs w:val="false"/>
          <w:color w:val="222222"/>
          <w:sz w:val="20"/>
          <w:szCs w:val="20"/>
        </w:rPr>
        <w:t xml:space="preserve"> with a median of 1.57.</w:t>
      </w:r>
    </w:p>
    <w:p>
      <w:pPr>
        <w:pBdr>
          <w:bottom w:val="single" w:color="C0A45F" w:sz="8"/>
        </w:pBdr>
        <w:spacing w:after="140" w:before="300"/>
      </w:pPr>
      <w:r>
        <w:rPr>
          <w:rFonts w:ascii="Arial" w:cs="Arial" w:eastAsia="Arial" w:hAnsi="Arial"/>
          <w:b/>
          <w:bCs/>
          <w:i w:val="false"/>
          <w:iCs w:val="false"/>
          <w:color w:val="1C3A36"/>
          <w:sz w:val="28"/>
          <w:szCs w:val="28"/>
        </w:rPr>
        <w:t xml:space="preserve">Valuation summary — every read at a glance</w:t>
      </w:r>
    </w:p>
    <w:p>
      <w:pPr>
        <w:spacing w:after="120" w:before="0"/>
      </w:pPr>
      <w:r>
        <w:rPr>
          <w:rFonts w:ascii="Georgia" w:cs="Georgia" w:eastAsia="Georgia" w:hAnsi="Georgia"/>
          <w:b w:val="false"/>
          <w:bCs w:val="false"/>
          <w:i w:val="false"/>
          <w:iCs w:val="false"/>
          <w:color w:val="222222"/>
          <w:sz w:val="20"/>
          <w:szCs w:val="20"/>
        </w:rPr>
        <w:t xml:space="preserve">One table for the four reads that follow — what the business is worth (fundamental), what the tape is doing (technical), where price could travel over three months (Monte Carlo), and how three independent expert methods land. Every row is developed in the sections and appendices below.</w:t>
      </w:r>
    </w:p>
    <w:tbl>
      <w:tblPr>
        <w:tblW w:type="dxa" w:w="9600"/>
        <w:tblBorders>
          <w:top w:val="single" w:color="BBBBBB" w:sz="4"/>
          <w:left w:val="none"/>
          <w:bottom w:val="single" w:color="BBBBBB" w:sz="4"/>
          <w:right w:val="none"/>
          <w:insideH w:val="single" w:color="DDDDDD" w:sz="2"/>
          <w:insideV w:val="single" w:color="EEEEEE" w:sz="2"/>
        </w:tblBorders>
      </w:tblPr>
      <w:tblGrid>
        <w:gridCol w:w="2500"/>
        <w:gridCol w:w="3300"/>
        <w:gridCol w:w="1900"/>
        <w:gridCol w:w="1900"/>
      </w:tblGrid>
      <w:tr>
        <w:trPr>
          <w:tblHeader/>
        </w:trPr>
        <w:tc>
          <w:tcPr>
            <w:tcW w:type="dxa" w:w="2500"/>
            <w:shd w:fill="1C3A36" w:val="clear"/>
            <w:tcMar>
              <w:top w:type="dxa" w:w="40"/>
              <w:left w:type="dxa" w:w="80"/>
              <w:bottom w:type="dxa" w:w="40"/>
              <w:right w:type="dxa" w:w="80"/>
            </w:tcMar>
          </w:tcPr>
          <w:p>
            <w:pPr>
              <w:jc w:val="left"/>
            </w:pPr>
            <w:r>
              <w:rPr>
                <w:rFonts w:ascii="Arial" w:cs="Arial" w:eastAsia="Arial" w:hAnsi="Arial"/>
                <w:b/>
                <w:bCs/>
                <w:i w:val="false"/>
                <w:iCs w:val="false"/>
                <w:color w:val="FFFFFF"/>
                <w:sz w:val="17"/>
                <w:szCs w:val="17"/>
              </w:rPr>
              <w:t xml:space="preserve">Lens / read</w:t>
            </w:r>
          </w:p>
        </w:tc>
        <w:tc>
          <w:tcPr>
            <w:tcW w:type="dxa" w:w="33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7"/>
                <w:szCs w:val="17"/>
              </w:rPr>
              <w:t xml:space="preserve">What it measures</w:t>
            </w:r>
          </w:p>
        </w:tc>
        <w:tc>
          <w:tcPr>
            <w:tcW w:type="dxa" w:w="19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7"/>
                <w:szCs w:val="17"/>
              </w:rPr>
              <w:t xml:space="preserve">Output</w:t>
            </w:r>
          </w:p>
        </w:tc>
        <w:tc>
          <w:tcPr>
            <w:tcW w:type="dxa" w:w="19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7"/>
                <w:szCs w:val="17"/>
              </w:rPr>
              <w:t xml:space="preserve">Takeaway</w:t>
            </w:r>
          </w:p>
        </w:tc>
      </w:tr>
      <w:tr>
        <w:tc>
          <w:tcPr>
            <w:tcW w:type="dxa" w:w="2500"/>
            <w:shd w:fill="F2F0EA" w:val="clear"/>
            <w:tcMar>
              <w:top w:type="dxa" w:w="40"/>
              <w:left w:type="dxa" w:w="80"/>
              <w:bottom w:type="dxa" w:w="40"/>
              <w:right w:type="dxa" w:w="80"/>
            </w:tcMar>
          </w:tcPr>
          <w:p>
            <w:pPr>
              <w:jc w:val="left"/>
            </w:pPr>
            <w:r>
              <w:rPr>
                <w:rFonts w:ascii="Arial" w:cs="Arial" w:eastAsia="Arial" w:hAnsi="Arial"/>
                <w:b/>
                <w:bCs/>
                <w:i w:val="false"/>
                <w:iCs w:val="false"/>
                <w:color w:val="222222"/>
                <w:sz w:val="17"/>
                <w:szCs w:val="17"/>
              </w:rPr>
              <w:t xml:space="preserve">FUNDAMENTAL — what the business is worth (the anchor)</w:t>
            </w:r>
          </w:p>
        </w:tc>
        <w:tc>
          <w:tcPr>
            <w:tcW w:type="dxa" w:w="33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7"/>
                <w:szCs w:val="17"/>
              </w:rPr>
              <w:t xml:space="preserve"/>
            </w:r>
          </w:p>
        </w:tc>
        <w:tc>
          <w:tcPr>
            <w:tcW w:type="dxa" w:w="19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7"/>
                <w:szCs w:val="17"/>
              </w:rPr>
              <w:t xml:space="preserve"/>
            </w:r>
          </w:p>
        </w:tc>
        <w:tc>
          <w:tcPr>
            <w:tcW w:type="dxa" w:w="19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7"/>
                <w:szCs w:val="17"/>
              </w:rPr>
              <w:t xml:space="preserve"/>
            </w:r>
          </w:p>
        </w:tc>
      </w:tr>
      <w:tr>
        <w:tc>
          <w:tcPr>
            <w:tcW w:type="dxa" w:w="25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Holdco NAV (primary)</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Marked assets + OPE DCF, less 15% discount</w:t>
            </w:r>
          </w:p>
        </w:tc>
        <w:tc>
          <w:tcPr>
            <w:tcW w:type="dxa" w:w="1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EGP 0.81</w:t>
            </w:r>
          </w:p>
        </w:tc>
        <w:tc>
          <w:tcPr>
            <w:tcW w:type="dxa" w:w="1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−42% vs spot</w:t>
            </w:r>
          </w:p>
        </w:tc>
      </w:tr>
      <w:tr>
        <w:tc>
          <w:tcPr>
            <w:tcW w:type="dxa" w:w="25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Consolidated DCF</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FCFF of the operating business + financial assets</w:t>
            </w:r>
          </w:p>
        </w:tc>
        <w:tc>
          <w:tcPr>
            <w:tcW w:type="dxa" w:w="1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EGP 0.48</w:t>
            </w:r>
          </w:p>
        </w:tc>
        <w:tc>
          <w:tcPr>
            <w:tcW w:type="dxa" w:w="1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−66% · the floor</w:t>
            </w:r>
          </w:p>
        </w:tc>
      </w:tr>
      <w:tr>
        <w:tc>
          <w:tcPr>
            <w:tcW w:type="dxa" w:w="25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Relative (P/NAV)</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Peer holdco multiple on pre-discount NAV</w:t>
            </w:r>
          </w:p>
        </w:tc>
        <w:tc>
          <w:tcPr>
            <w:tcW w:type="dxa" w:w="1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EGP 0.72</w:t>
            </w:r>
          </w:p>
        </w:tc>
        <w:tc>
          <w:tcPr>
            <w:tcW w:type="dxa" w:w="1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−49%</w:t>
            </w:r>
          </w:p>
        </w:tc>
      </w:tr>
      <w:tr>
        <w:tc>
          <w:tcPr>
            <w:tcW w:type="dxa" w:w="25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Normalized earnings</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Concession at maturity × justified P/E</w:t>
            </w:r>
          </w:p>
        </w:tc>
        <w:tc>
          <w:tcPr>
            <w:tcW w:type="dxa" w:w="1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EGP 1.03</w:t>
            </w:r>
          </w:p>
        </w:tc>
        <w:tc>
          <w:tcPr>
            <w:tcW w:type="dxa" w:w="1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−27% · the ceiling</w:t>
            </w:r>
          </w:p>
        </w:tc>
      </w:tr>
      <w:tr>
        <w:tc>
          <w:tcPr>
            <w:tcW w:type="dxa" w:w="2500"/>
            <w:shd w:fill="F2F0EA" w:val="clear"/>
            <w:tcMar>
              <w:top w:type="dxa" w:w="40"/>
              <w:left w:type="dxa" w:w="80"/>
              <w:bottom w:type="dxa" w:w="40"/>
              <w:right w:type="dxa" w:w="80"/>
            </w:tcMar>
          </w:tcPr>
          <w:p>
            <w:pPr>
              <w:jc w:val="left"/>
            </w:pPr>
            <w:r>
              <w:rPr>
                <w:rFonts w:ascii="Arial" w:cs="Arial" w:eastAsia="Arial" w:hAnsi="Arial"/>
                <w:b/>
                <w:bCs/>
                <w:i w:val="false"/>
                <w:iCs w:val="false"/>
                <w:color w:val="222222"/>
                <w:sz w:val="17"/>
                <w:szCs w:val="17"/>
              </w:rPr>
              <w:t xml:space="preserve">Weighted central</w:t>
            </w:r>
          </w:p>
        </w:tc>
        <w:tc>
          <w:tcPr>
            <w:tcW w:type="dxa" w:w="33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7"/>
                <w:szCs w:val="17"/>
              </w:rPr>
              <w:t xml:space="preserve">Blend 45 / 20 / 15 / 20</w:t>
            </w:r>
          </w:p>
        </w:tc>
        <w:tc>
          <w:tcPr>
            <w:tcW w:type="dxa" w:w="19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7"/>
                <w:szCs w:val="17"/>
              </w:rPr>
              <w:t xml:space="preserve">EGP 0.78</w:t>
            </w:r>
          </w:p>
        </w:tc>
        <w:tc>
          <w:tcPr>
            <w:tcW w:type="dxa" w:w="19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7"/>
                <w:szCs w:val="17"/>
              </w:rPr>
              <w:t xml:space="preserve">−45% vs EGP 1.41</w:t>
            </w:r>
          </w:p>
        </w:tc>
      </w:tr>
      <w:tr>
        <w:tc>
          <w:tcPr>
            <w:tcW w:type="dxa" w:w="2500"/>
            <w:shd w:fill="F2F0EA" w:val="clear"/>
            <w:tcMar>
              <w:top w:type="dxa" w:w="40"/>
              <w:left w:type="dxa" w:w="80"/>
              <w:bottom w:type="dxa" w:w="40"/>
              <w:right w:type="dxa" w:w="80"/>
            </w:tcMar>
          </w:tcPr>
          <w:p>
            <w:pPr>
              <w:jc w:val="left"/>
            </w:pPr>
            <w:r>
              <w:rPr>
                <w:rFonts w:ascii="Arial" w:cs="Arial" w:eastAsia="Arial" w:hAnsi="Arial"/>
                <w:b/>
                <w:bCs/>
                <w:i w:val="false"/>
                <w:iCs w:val="false"/>
                <w:color w:val="222222"/>
                <w:sz w:val="17"/>
                <w:szCs w:val="17"/>
              </w:rPr>
              <w:t xml:space="preserve">TECHNICAL — what the tape is doing (timing, not value)</w:t>
            </w:r>
          </w:p>
        </w:tc>
        <w:tc>
          <w:tcPr>
            <w:tcW w:type="dxa" w:w="33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7"/>
                <w:szCs w:val="17"/>
              </w:rPr>
              <w:t xml:space="preserve"/>
            </w:r>
          </w:p>
        </w:tc>
        <w:tc>
          <w:tcPr>
            <w:tcW w:type="dxa" w:w="19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7"/>
                <w:szCs w:val="17"/>
              </w:rPr>
              <w:t xml:space="preserve"/>
            </w:r>
          </w:p>
        </w:tc>
        <w:tc>
          <w:tcPr>
            <w:tcW w:type="dxa" w:w="19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7"/>
                <w:szCs w:val="17"/>
              </w:rPr>
              <w:t xml:space="preserve"/>
            </w:r>
          </w:p>
        </w:tc>
      </w:tr>
      <w:tr>
        <w:tc>
          <w:tcPr>
            <w:tcW w:type="dxa" w:w="25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Trend &amp; momentum</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Price vs the 20/50/100/200-day averages</w:t>
            </w:r>
          </w:p>
        </w:tc>
        <w:tc>
          <w:tcPr>
            <w:tcW w:type="dxa" w:w="1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Above 3 of 4</w:t>
            </w:r>
          </w:p>
        </w:tc>
        <w:tc>
          <w:tcPr>
            <w:tcW w:type="dxa" w:w="1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Uptrend, consolidating</w:t>
            </w:r>
          </w:p>
        </w:tc>
      </w:tr>
      <w:tr>
        <w:tc>
          <w:tcPr>
            <w:tcW w:type="dxa" w:w="25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Momentum / range</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RSI · MACD · 52-week range</w:t>
            </w:r>
          </w:p>
        </w:tc>
        <w:tc>
          <w:tcPr>
            <w:tcW w:type="dxa" w:w="1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RSI 62 · MACD ≈ 0 · 0.80–1.58</w:t>
            </w:r>
          </w:p>
        </w:tc>
        <w:tc>
          <w:tcPr>
            <w:tcW w:type="dxa" w:w="1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Upper quarter of range</w:t>
            </w:r>
          </w:p>
        </w:tc>
      </w:tr>
      <w:tr>
        <w:tc>
          <w:tcPr>
            <w:tcW w:type="dxa" w:w="2500"/>
            <w:shd w:fill="F2F0EA" w:val="clear"/>
            <w:tcMar>
              <w:top w:type="dxa" w:w="40"/>
              <w:left w:type="dxa" w:w="80"/>
              <w:bottom w:type="dxa" w:w="40"/>
              <w:right w:type="dxa" w:w="80"/>
            </w:tcMar>
          </w:tcPr>
          <w:p>
            <w:pPr>
              <w:jc w:val="left"/>
            </w:pPr>
            <w:r>
              <w:rPr>
                <w:rFonts w:ascii="Arial" w:cs="Arial" w:eastAsia="Arial" w:hAnsi="Arial"/>
                <w:b/>
                <w:bCs/>
                <w:i w:val="false"/>
                <w:iCs w:val="false"/>
                <w:color w:val="222222"/>
                <w:sz w:val="17"/>
                <w:szCs w:val="17"/>
              </w:rPr>
              <w:t xml:space="preserve">MONTE CARLO — where price could go in 3 months (paths from spot)</w:t>
            </w:r>
          </w:p>
        </w:tc>
        <w:tc>
          <w:tcPr>
            <w:tcW w:type="dxa" w:w="33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7"/>
                <w:szCs w:val="17"/>
              </w:rPr>
              <w:t xml:space="preserve"/>
            </w:r>
          </w:p>
        </w:tc>
        <w:tc>
          <w:tcPr>
            <w:tcW w:type="dxa" w:w="19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7"/>
                <w:szCs w:val="17"/>
              </w:rPr>
              <w:t xml:space="preserve"/>
            </w:r>
          </w:p>
        </w:tc>
        <w:tc>
          <w:tcPr>
            <w:tcW w:type="dxa" w:w="19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7"/>
                <w:szCs w:val="17"/>
              </w:rPr>
              <w:t xml:space="preserve"/>
            </w:r>
          </w:p>
        </w:tc>
      </w:tr>
      <w:tr>
        <w:tc>
          <w:tcPr>
            <w:tcW w:type="dxa" w:w="25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T+20 sessions</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50,000 paths · 16 factors</w:t>
            </w:r>
          </w:p>
        </w:tc>
        <w:tc>
          <w:tcPr>
            <w:tcW w:type="dxa" w:w="1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p5 1.18 · p50 1.46 · p95 1.80</w:t>
            </w:r>
          </w:p>
        </w:tc>
        <w:tc>
          <w:tcPr>
            <w:tcW w:type="dxa" w:w="1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Median above spot</w:t>
            </w:r>
          </w:p>
        </w:tc>
      </w:tr>
      <w:tr>
        <w:tc>
          <w:tcPr>
            <w:tcW w:type="dxa" w:w="25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T+60 sessions</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same engine, longer horizon</w:t>
            </w:r>
          </w:p>
        </w:tc>
        <w:tc>
          <w:tcPr>
            <w:tcW w:type="dxa" w:w="1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p5 1.09 · p50 1.57 · p95 2.23</w:t>
            </w:r>
          </w:p>
        </w:tc>
        <w:tc>
          <w:tcPr>
            <w:tcW w:type="dxa" w:w="1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Wide, right-skewed</w:t>
            </w:r>
          </w:p>
        </w:tc>
      </w:tr>
      <w:tr>
        <w:tc>
          <w:tcPr>
            <w:tcW w:type="dxa" w:w="2500"/>
            <w:shd w:fill="F2F0EA" w:val="clear"/>
            <w:tcMar>
              <w:top w:type="dxa" w:w="40"/>
              <w:left w:type="dxa" w:w="80"/>
              <w:bottom w:type="dxa" w:w="40"/>
              <w:right w:type="dxa" w:w="80"/>
            </w:tcMar>
          </w:tcPr>
          <w:p>
            <w:pPr>
              <w:jc w:val="left"/>
            </w:pPr>
            <w:r>
              <w:rPr>
                <w:rFonts w:ascii="Arial" w:cs="Arial" w:eastAsia="Arial" w:hAnsi="Arial"/>
                <w:b/>
                <w:bCs/>
                <w:i w:val="false"/>
                <w:iCs w:val="false"/>
                <w:color w:val="222222"/>
                <w:sz w:val="17"/>
                <w:szCs w:val="17"/>
              </w:rPr>
              <w:t xml:space="preserve">EXPERT PANEL — three independent methods (Appendix D)</w:t>
            </w:r>
          </w:p>
        </w:tc>
        <w:tc>
          <w:tcPr>
            <w:tcW w:type="dxa" w:w="33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7"/>
                <w:szCs w:val="17"/>
              </w:rPr>
              <w:t xml:space="preserve"/>
            </w:r>
          </w:p>
        </w:tc>
        <w:tc>
          <w:tcPr>
            <w:tcW w:type="dxa" w:w="19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7"/>
                <w:szCs w:val="17"/>
              </w:rPr>
              <w:t xml:space="preserve"/>
            </w:r>
          </w:p>
        </w:tc>
        <w:tc>
          <w:tcPr>
            <w:tcW w:type="dxa" w:w="19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7"/>
                <w:szCs w:val="17"/>
              </w:rPr>
              <w:t xml:space="preserve"/>
            </w:r>
          </w:p>
        </w:tc>
      </w:tr>
      <w:tr>
        <w:tc>
          <w:tcPr>
            <w:tcW w:type="dxa" w:w="25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Expert 1 — NAV &amp; the holdco discount</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Marked parts less discount</w:t>
            </w:r>
          </w:p>
        </w:tc>
        <w:tc>
          <w:tcPr>
            <w:tcW w:type="dxa" w:w="1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EGP 0.81</w:t>
            </w:r>
          </w:p>
        </w:tc>
        <w:tc>
          <w:tcPr>
            <w:tcW w:type="dxa" w:w="1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The anchor</w:t>
            </w:r>
          </w:p>
        </w:tc>
      </w:tr>
      <w:tr>
        <w:tc>
          <w:tcPr>
            <w:tcW w:type="dxa" w:w="25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Expert 2 — forensic accountant</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Audited equity, unverifiable marks struck</w:t>
            </w:r>
          </w:p>
        </w:tc>
        <w:tc>
          <w:tcPr>
            <w:tcW w:type="dxa" w:w="1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EGP 0.37</w:t>
            </w:r>
          </w:p>
        </w:tc>
        <w:tc>
          <w:tcPr>
            <w:tcW w:type="dxa" w:w="1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Most bearish</w:t>
            </w:r>
          </w:p>
        </w:tc>
      </w:tr>
      <w:tr>
        <w:tc>
          <w:tcPr>
            <w:tcW w:type="dxa" w:w="25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Expert 3 — macro-policy scenarios</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FX × tourism × flows scenario tree</w:t>
            </w:r>
          </w:p>
        </w:tc>
        <w:tc>
          <w:tcPr>
            <w:tcW w:type="dxa" w:w="1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EGP 1.18</w:t>
            </w:r>
          </w:p>
        </w:tc>
        <w:tc>
          <w:tcPr>
            <w:tcW w:type="dxa" w:w="1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Closest to the tape</w:t>
            </w:r>
          </w:p>
        </w:tc>
      </w:tr>
    </w:tbl>
    <w:p>
      <w:pPr>
        <w:spacing w:after="60" w:before="0"/>
      </w:pPr>
      <w:r>
        <w:rPr>
          <w:rFonts w:ascii="Georgia" w:cs="Georgia" w:eastAsia="Georgia" w:hAnsi="Georgia"/>
          <w:b w:val="false"/>
          <w:bCs w:val="false"/>
          <w:i w:val="false"/>
          <w:iCs w:val="false"/>
          <w:color w:val="222222"/>
          <w:sz w:val="20"/>
          <w:szCs w:val="20"/>
        </w:rPr>
        <w:t xml:space="preserve"/>
      </w:r>
    </w:p>
    <w:p>
      <w:pPr>
        <w:pBdr>
          <w:bottom w:val="single" w:color="C0A45F" w:sz="8"/>
        </w:pBdr>
        <w:spacing w:after="140" w:before="300"/>
      </w:pPr>
      <w:r>
        <w:rPr>
          <w:rFonts w:ascii="Arial" w:cs="Arial" w:eastAsia="Arial" w:hAnsi="Arial"/>
          <w:b/>
          <w:bCs/>
          <w:i w:val="false"/>
          <w:iCs w:val="false"/>
          <w:color w:val="1C3A36"/>
          <w:sz w:val="28"/>
          <w:szCs w:val="28"/>
        </w:rPr>
        <w:t xml:space="preserve">Company overview — Orascom Investment Holding at a glance</w:t>
      </w:r>
    </w:p>
    <w:tbl>
      <w:tblPr>
        <w:tblW w:type="dxa" w:w="9600"/>
        <w:tblBorders>
          <w:top w:val="single" w:color="BBBBBB" w:sz="4"/>
          <w:left w:val="none"/>
          <w:bottom w:val="single" w:color="BBBBBB" w:sz="4"/>
          <w:right w:val="none"/>
          <w:insideH w:val="single" w:color="DDDDDD" w:sz="2"/>
          <w:insideV w:val="single" w:color="EEEEEE" w:sz="2"/>
        </w:tblBorders>
      </w:tblPr>
      <w:tblGrid>
        <w:gridCol w:w="2300"/>
        <w:gridCol w:w="7300"/>
      </w:tblGrid>
      <w:tr>
        <w:trPr>
          <w:tblHeader/>
        </w:trPr>
        <w:tc>
          <w:tcPr>
            <w:tcW w:type="dxa" w:w="2300"/>
            <w:shd w:fill="1C3A36" w:val="clear"/>
            <w:tcMar>
              <w:top w:type="dxa" w:w="40"/>
              <w:left w:type="dxa" w:w="80"/>
              <w:bottom w:type="dxa" w:w="40"/>
              <w:right w:type="dxa" w:w="80"/>
            </w:tcMar>
          </w:tcPr>
          <w:p>
            <w:pPr>
              <w:jc w:val="left"/>
            </w:pPr>
            <w:r>
              <w:rPr>
                <w:rFonts w:ascii="Arial" w:cs="Arial" w:eastAsia="Arial" w:hAnsi="Arial"/>
                <w:b/>
                <w:bCs/>
                <w:i w:val="false"/>
                <w:iCs w:val="false"/>
                <w:color w:val="FFFFFF"/>
                <w:sz w:val="16"/>
                <w:szCs w:val="16"/>
              </w:rPr>
              <w:t xml:space="preserve">Item</w:t>
            </w:r>
          </w:p>
        </w:tc>
        <w:tc>
          <w:tcPr>
            <w:tcW w:type="dxa" w:w="73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6"/>
                <w:szCs w:val="16"/>
              </w:rPr>
              <w:t xml:space="preserve">Value</w:t>
            </w:r>
          </w:p>
        </w:tc>
      </w:tr>
      <w:tr>
        <w:tc>
          <w:tcPr>
            <w:tcW w:type="dxa" w:w="23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Listing</w:t>
            </w:r>
          </w:p>
        </w:tc>
        <w:tc>
          <w:tcPr>
            <w:tcW w:type="dxa" w:w="7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EGX: OIH (ISIN EGS693V1C014); GDRs on the LSE (US68555D2062)</w:t>
            </w:r>
          </w:p>
        </w:tc>
      </w:tr>
      <w:tr>
        <w:tc>
          <w:tcPr>
            <w:tcW w:type="dxa" w:w="23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Shares outstanding</w:t>
            </w:r>
          </w:p>
        </w:tc>
        <w:tc>
          <w:tcPr>
            <w:tcW w:type="dxa" w:w="7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5,245,690,620 · paid-in capital EGP 577.0m (par EGP 0.11)</w:t>
            </w:r>
          </w:p>
        </w:tc>
      </w:tr>
      <w:tr>
        <w:tc>
          <w:tcPr>
            <w:tcW w:type="dxa" w:w="23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Market cap</w:t>
            </w:r>
          </w:p>
        </w:tc>
        <w:tc>
          <w:tcPr>
            <w:tcW w:type="dxa" w:w="7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~EGP 7.40bn (~US$151m) at EGP 1.41</w:t>
            </w:r>
          </w:p>
        </w:tc>
      </w:tr>
      <w:tr>
        <w:tc>
          <w:tcPr>
            <w:tcW w:type="dxa" w:w="23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Parent</w:t>
            </w:r>
          </w:p>
        </w:tc>
        <w:tc>
          <w:tcPr>
            <w:tcW w:type="dxa" w:w="7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Orascom TMT Investments S.à r.l. — the Sawiris family vehicle; Naguib Sawiris executive chairman</w:t>
            </w:r>
          </w:p>
        </w:tc>
      </w:tr>
      <w:tr>
        <w:tc>
          <w:tcPr>
            <w:tcW w:type="dxa" w:w="23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What it is</w:t>
            </w:r>
          </w:p>
        </w:tc>
        <w:tc>
          <w:tcPr>
            <w:tcW w:type="dxa" w:w="7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A holding company: destination entertainment (Giza plateau), a DPRK telecom legacy, a renewables PE fund, legacy property</w:t>
            </w:r>
          </w:p>
        </w:tc>
      </w:tr>
      <w:tr>
        <w:tc>
          <w:tcPr>
            <w:tcW w:type="dxa" w:w="23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Crown asset</w:t>
            </w:r>
          </w:p>
        </w:tc>
        <w:tc>
          <w:tcPr>
            <w:tcW w:type="dxa" w:w="7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Orascom Pyramids Entertainment + Sound &amp; Light: visitor services at the Giza Pyramids under a 2018 protocol with the Supreme Council of Antiquities; strict 50-50 revenue share with the state</w:t>
            </w:r>
          </w:p>
        </w:tc>
      </w:tr>
      <w:tr>
        <w:tc>
          <w:tcPr>
            <w:tcW w:type="dxa" w:w="23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DPRK block</w:t>
            </w:r>
          </w:p>
        </w:tc>
        <w:tc>
          <w:tcPr>
            <w:tcW w:type="dxa" w:w="7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~US$114m cash inside North Korea (50% ECL) · 60% of Koryolink, equity-accounted, profits recognized then fully impaired · US$90.5m interest-free loan owed back to Koryolink</w:t>
            </w:r>
          </w:p>
        </w:tc>
      </w:tr>
      <w:tr>
        <w:tc>
          <w:tcPr>
            <w:tcW w:type="dxa" w:w="23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Other assets</w:t>
            </w:r>
          </w:p>
        </w:tc>
        <w:tc>
          <w:tcPr>
            <w:tcW w:type="dxa" w:w="7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Lighthouse Energy Fund SCSp US$28.5m (Level-3) · São Paulo investment property (discontinued) · net cash US$45.7m ex-DPRK</w:t>
            </w:r>
          </w:p>
        </w:tc>
      </w:tr>
      <w:tr>
        <w:tc>
          <w:tcPr>
            <w:tcW w:type="dxa" w:w="23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FY2024 (IFRS, US$)</w:t>
            </w:r>
          </w:p>
        </w:tc>
        <w:tc>
          <w:tcPr>
            <w:tcW w:type="dxa" w:w="7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Revenue $7.9m · operating loss $22.2m · net loss $6.8m · equity $54.4m</w:t>
            </w:r>
          </w:p>
        </w:tc>
      </w:tr>
      <w:tr>
        <w:tc>
          <w:tcPr>
            <w:tcW w:type="dxa" w:w="23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9M-2025 (EAS, EGP)</w:t>
            </w:r>
          </w:p>
        </w:tc>
        <w:tc>
          <w:tcPr>
            <w:tcW w:type="dxa" w:w="7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Revenue EGP 441m (9M-24: 215) · net loss EGP 806m · total assets EGP 9.51bn</w:t>
            </w:r>
          </w:p>
        </w:tc>
      </w:tr>
      <w:tr>
        <w:tc>
          <w:tcPr>
            <w:tcW w:type="dxa" w:w="23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Auditor / filings</w:t>
            </w:r>
          </w:p>
        </w:tc>
        <w:tc>
          <w:tcPr>
            <w:tcW w:type="dxa" w:w="7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KPMG Luxembourg — qualified opinion (DPRK cash, Koryolink, OTL Lebanon); chronically late (FY23 IFRS authorised Nov-2025, FY24 in Dec-2025)</w:t>
            </w:r>
          </w:p>
        </w:tc>
      </w:tr>
      <w:tr>
        <w:tc>
          <w:tcPr>
            <w:tcW w:type="dxa" w:w="23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Dividends</w:t>
            </w:r>
          </w:p>
        </w:tc>
        <w:tc>
          <w:tcPr>
            <w:tcW w:type="dxa" w:w="7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Never paid; none planned</w:t>
            </w:r>
          </w:p>
        </w:tc>
      </w:tr>
    </w:tbl>
    <w:p>
      <w:pPr>
        <w:spacing w:after="60" w:before="0"/>
      </w:pPr>
      <w:r>
        <w:rPr>
          <w:rFonts w:ascii="Georgia" w:cs="Georgia" w:eastAsia="Georgia" w:hAnsi="Georgia"/>
          <w:b w:val="false"/>
          <w:bCs w:val="false"/>
          <w:i w:val="false"/>
          <w:iCs w:val="false"/>
          <w:color w:val="222222"/>
          <w:sz w:val="20"/>
          <w:szCs w:val="20"/>
        </w:rPr>
        <w:t xml:space="preserve"/>
      </w:r>
    </w:p>
    <w:p>
      <w:pPr>
        <w:pBdr>
          <w:bottom w:val="single" w:color="C0A45F" w:sz="8"/>
        </w:pBdr>
        <w:spacing w:after="140" w:before="300"/>
      </w:pPr>
      <w:r>
        <w:rPr>
          <w:rFonts w:ascii="Arial" w:cs="Arial" w:eastAsia="Arial" w:hAnsi="Arial"/>
          <w:b/>
          <w:bCs/>
          <w:i w:val="false"/>
          <w:iCs w:val="false"/>
          <w:color w:val="1C3A36"/>
          <w:sz w:val="28"/>
          <w:szCs w:val="28"/>
        </w:rPr>
        <w:t xml:space="preserve">1  Fundamental valuation</w:t>
      </w:r>
    </w:p>
    <w:p>
      <w:pPr>
        <w:spacing w:after="120" w:before="0"/>
      </w:pPr>
      <w:r>
        <w:rPr>
          <w:rFonts w:ascii="Georgia" w:cs="Georgia" w:eastAsia="Georgia" w:hAnsi="Georgia"/>
          <w:b w:val="false"/>
          <w:bCs w:val="false"/>
          <w:i w:val="false"/>
          <w:iCs w:val="false"/>
          <w:color w:val="222222"/>
          <w:sz w:val="20"/>
          <w:szCs w:val="20"/>
        </w:rPr>
        <w:t xml:space="preserve">A holding company is worth its assets, not its income statement — and OIH’s income statement is dominated by translation swings, impairment cycles and the accounting pass-through of an associate it cannot consolidate. The primary lens is therefore a </w:t>
      </w:r>
      <w:r>
        <w:rPr>
          <w:rFonts w:ascii="Georgia" w:cs="Georgia" w:eastAsia="Georgia" w:hAnsi="Georgia"/>
          <w:b/>
          <w:bCs/>
          <w:i w:val="false"/>
          <w:iCs w:val="false"/>
          <w:color w:val="222222"/>
          <w:sz w:val="20"/>
          <w:szCs w:val="20"/>
        </w:rPr>
        <w:t xml:space="preserve">holdco NAV</w:t>
      </w:r>
      <w:r>
        <w:rPr>
          <w:rFonts w:ascii="Georgia" w:cs="Georgia" w:eastAsia="Georgia" w:hAnsi="Georgia"/>
          <w:b w:val="false"/>
          <w:bCs w:val="false"/>
          <w:i w:val="false"/>
          <w:iCs w:val="false"/>
          <w:color w:val="222222"/>
          <w:sz w:val="20"/>
          <w:szCs w:val="20"/>
        </w:rPr>
        <w:t xml:space="preserve">: every asset at the mark the audited books can defend, the one growing business (the Pyramids platform) at a DCF, the liabilities at carrying value, and a holdco discount for central costs, governance and the conglomerate wrapper. Three cross-checks follow — a consolidated DCF, a peer P/NAV read and a normalized-earnings view — and §1.5 blends them.</w:t>
      </w:r>
    </w:p>
    <w:p>
      <w:pPr>
        <w:spacing w:after="110" w:before="220"/>
      </w:pPr>
      <w:r>
        <w:rPr>
          <w:rFonts w:ascii="Arial" w:cs="Arial" w:eastAsia="Arial" w:hAnsi="Arial"/>
          <w:b/>
          <w:bCs/>
          <w:i w:val="false"/>
          <w:iCs w:val="false"/>
          <w:color w:val="1C6B62"/>
          <w:sz w:val="23"/>
          <w:szCs w:val="23"/>
        </w:rPr>
        <w:t xml:space="preserve">1.1  Holding-company NAV — the primary lens</w:t>
      </w:r>
    </w:p>
    <w:p>
      <w:pPr>
        <w:spacing w:after="120" w:before="0"/>
      </w:pPr>
      <w:r>
        <w:rPr>
          <w:rFonts w:ascii="Georgia" w:cs="Georgia" w:eastAsia="Georgia" w:hAnsi="Georgia"/>
          <w:b w:val="false"/>
          <w:bCs w:val="false"/>
          <w:i w:val="false"/>
          <w:iCs w:val="false"/>
          <w:color w:val="222222"/>
          <w:sz w:val="20"/>
          <w:szCs w:val="20"/>
        </w:rPr>
        <w:t xml:space="preserve">Ten marks, each with its basis. The USD items convert at EGP/USD 49.09; the Pyramids platform is the standalone DCF of §1.2’s operating engine excluding holdco costs (the 15% discount, not a second deduction, carries those). Two conventions matter and are stated: we deduct </w:t>
      </w:r>
      <w:r>
        <w:rPr>
          <w:rFonts w:ascii="Georgia" w:cs="Georgia" w:eastAsia="Georgia" w:hAnsi="Georgia"/>
          <w:b/>
          <w:bCs/>
          <w:i w:val="false"/>
          <w:iCs w:val="false"/>
          <w:color w:val="222222"/>
          <w:sz w:val="20"/>
          <w:szCs w:val="20"/>
        </w:rPr>
        <w:t xml:space="preserve">either</w:t>
      </w:r>
      <w:r>
        <w:rPr>
          <w:rFonts w:ascii="Georgia" w:cs="Georgia" w:eastAsia="Georgia" w:hAnsi="Georgia"/>
          <w:b w:val="false"/>
          <w:bCs w:val="false"/>
          <w:i w:val="false"/>
          <w:iCs w:val="false"/>
          <w:color w:val="222222"/>
          <w:sz w:val="20"/>
          <w:szCs w:val="20"/>
        </w:rPr>
        <w:t xml:space="preserve"> capitalized central costs </w:t>
      </w:r>
      <w:r>
        <w:rPr>
          <w:rFonts w:ascii="Georgia" w:cs="Georgia" w:eastAsia="Georgia" w:hAnsi="Georgia"/>
          <w:b/>
          <w:bCs/>
          <w:i w:val="false"/>
          <w:iCs w:val="false"/>
          <w:color w:val="222222"/>
          <w:sz w:val="20"/>
          <w:szCs w:val="20"/>
        </w:rPr>
        <w:t xml:space="preserve">or</w:t>
      </w:r>
      <w:r>
        <w:rPr>
          <w:rFonts w:ascii="Georgia" w:cs="Georgia" w:eastAsia="Georgia" w:hAnsi="Georgia"/>
          <w:b w:val="false"/>
          <w:bCs w:val="false"/>
          <w:i w:val="false"/>
          <w:iCs w:val="false"/>
          <w:color w:val="222222"/>
          <w:sz w:val="20"/>
          <w:szCs w:val="20"/>
        </w:rPr>
        <w:t xml:space="preserve"> a holdco discount, never both; and the DPRK pair is carried at audited marks — cash at 50% recovery, the Koryolink loan near face — rather than netted to the wash many investors assume.</w:t>
      </w:r>
    </w:p>
    <w:tbl>
      <w:tblPr>
        <w:tblW w:type="dxa" w:w="9800"/>
        <w:tblBorders>
          <w:top w:val="single" w:color="BBBBBB" w:sz="4"/>
          <w:left w:val="none"/>
          <w:bottom w:val="single" w:color="BBBBBB" w:sz="4"/>
          <w:right w:val="none"/>
          <w:insideH w:val="single" w:color="DDDDDD" w:sz="2"/>
          <w:insideV w:val="single" w:color="EEEEEE" w:sz="2"/>
        </w:tblBorders>
      </w:tblPr>
      <w:tblGrid>
        <w:gridCol w:w="2700"/>
        <w:gridCol w:w="3700"/>
        <w:gridCol w:w="1100"/>
        <w:gridCol w:w="1100"/>
        <w:gridCol w:w="1200"/>
      </w:tblGrid>
      <w:tr>
        <w:trPr>
          <w:tblHeader/>
        </w:trPr>
        <w:tc>
          <w:tcPr>
            <w:tcW w:type="dxa" w:w="2700"/>
            <w:shd w:fill="1C3A36" w:val="clear"/>
            <w:tcMar>
              <w:top w:type="dxa" w:w="40"/>
              <w:left w:type="dxa" w:w="80"/>
              <w:bottom w:type="dxa" w:w="40"/>
              <w:right w:type="dxa" w:w="80"/>
            </w:tcMar>
          </w:tcPr>
          <w:p>
            <w:pPr>
              <w:jc w:val="left"/>
            </w:pPr>
            <w:r>
              <w:rPr>
                <w:rFonts w:ascii="Arial" w:cs="Arial" w:eastAsia="Arial" w:hAnsi="Arial"/>
                <w:b/>
                <w:bCs/>
                <w:i w:val="false"/>
                <w:iCs w:val="false"/>
                <w:color w:val="FFFFFF"/>
                <w:sz w:val="16"/>
                <w:szCs w:val="16"/>
              </w:rPr>
              <w:t xml:space="preserve">Part</w:t>
            </w:r>
          </w:p>
        </w:tc>
        <w:tc>
          <w:tcPr>
            <w:tcW w:type="dxa" w:w="37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6"/>
                <w:szCs w:val="16"/>
              </w:rPr>
              <w:t xml:space="preserve">Basis</w:t>
            </w:r>
          </w:p>
        </w:tc>
        <w:tc>
          <w:tcPr>
            <w:tcW w:type="dxa" w:w="11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6"/>
                <w:szCs w:val="16"/>
              </w:rPr>
              <w:t xml:space="preserve">US$ m</w:t>
            </w:r>
          </w:p>
        </w:tc>
        <w:tc>
          <w:tcPr>
            <w:tcW w:type="dxa" w:w="11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6"/>
                <w:szCs w:val="16"/>
              </w:rPr>
              <w:t xml:space="preserve">EGP m</w:t>
            </w:r>
          </w:p>
        </w:tc>
        <w:tc>
          <w:tcPr>
            <w:tcW w:type="dxa" w:w="12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6"/>
                <w:szCs w:val="16"/>
              </w:rPr>
              <w:t xml:space="preserve">EGP / share</w:t>
            </w:r>
          </w:p>
        </w:tc>
      </w:tr>
      <w:tr>
        <w:tc>
          <w:tcPr>
            <w:tcW w:type="dxa" w:w="27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Cash &amp; equivalents (ex-DPRK)</w:t>
            </w:r>
          </w:p>
        </w:tc>
        <w:tc>
          <w:tcPr>
            <w:tcW w:type="dxa" w:w="37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Carrying</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45.7</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2,243</w:t>
            </w:r>
          </w:p>
        </w:tc>
        <w:tc>
          <w:tcPr>
            <w:tcW w:type="dxa" w:w="12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0.43</w:t>
            </w:r>
          </w:p>
        </w:tc>
      </w:tr>
      <w:tr>
        <w:tc>
          <w:tcPr>
            <w:tcW w:type="dxa" w:w="27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DPRK cash, net of ECL</w:t>
            </w:r>
          </w:p>
        </w:tc>
        <w:tc>
          <w:tcPr>
            <w:tcW w:type="dxa" w:w="37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US$113.9m gross × (1 − 50% ECL)</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57.0</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2,796</w:t>
            </w:r>
          </w:p>
        </w:tc>
        <w:tc>
          <w:tcPr>
            <w:tcW w:type="dxa" w:w="12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0.53</w:t>
            </w:r>
          </w:p>
        </w:tc>
      </w:tr>
      <w:tr>
        <w:tc>
          <w:tcPr>
            <w:tcW w:type="dxa" w:w="27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Koryolink 60% associate</w:t>
            </w:r>
          </w:p>
        </w:tc>
        <w:tc>
          <w:tcPr>
            <w:tcW w:type="dxa" w:w="37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Carrying; profits recognized then fully impaired</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12.0</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589</w:t>
            </w:r>
          </w:p>
        </w:tc>
        <w:tc>
          <w:tcPr>
            <w:tcW w:type="dxa" w:w="12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0.11</w:t>
            </w:r>
          </w:p>
        </w:tc>
      </w:tr>
      <w:tr>
        <w:tc>
          <w:tcPr>
            <w:tcW w:type="dxa" w:w="27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Lighthouse Energy Fund</w:t>
            </w:r>
          </w:p>
        </w:tc>
        <w:tc>
          <w:tcPr>
            <w:tcW w:type="dxa" w:w="37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Level-3 fund mark (DCF, 7.5–13.5% disc.)</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28.5</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1,399</w:t>
            </w:r>
          </w:p>
        </w:tc>
        <w:tc>
          <w:tcPr>
            <w:tcW w:type="dxa" w:w="12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0.27</w:t>
            </w:r>
          </w:p>
        </w:tc>
      </w:tr>
      <w:tr>
        <w:tc>
          <w:tcPr>
            <w:tcW w:type="dxa" w:w="27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Brazil investment property</w:t>
            </w:r>
          </w:p>
        </w:tc>
        <w:tc>
          <w:tcPr>
            <w:tcW w:type="dxa" w:w="37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Carrying, est. (discontinued)</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8.0</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393</w:t>
            </w:r>
          </w:p>
        </w:tc>
        <w:tc>
          <w:tcPr>
            <w:tcW w:type="dxa" w:w="12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0.07</w:t>
            </w:r>
          </w:p>
        </w:tc>
      </w:tr>
      <w:tr>
        <w:tc>
          <w:tcPr>
            <w:tcW w:type="dxa" w:w="27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Net working capital &amp; other</w:t>
            </w:r>
          </w:p>
        </w:tc>
        <w:tc>
          <w:tcPr>
            <w:tcW w:type="dxa" w:w="37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Receivables + other − payables/provisions/tax</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0.0</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0</w:t>
            </w:r>
          </w:p>
        </w:tc>
        <w:tc>
          <w:tcPr>
            <w:tcW w:type="dxa" w:w="12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0.00</w:t>
            </w:r>
          </w:p>
        </w:tc>
      </w:tr>
      <w:tr>
        <w:tc>
          <w:tcPr>
            <w:tcW w:type="dxa" w:w="27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OPE + Sound &amp; Light platform</w:t>
            </w:r>
          </w:p>
        </w:tc>
        <w:tc>
          <w:tcPr>
            <w:tcW w:type="dxa" w:w="37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Standalone DCF of the plateau concession</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59.1</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2,900</w:t>
            </w:r>
          </w:p>
        </w:tc>
        <w:tc>
          <w:tcPr>
            <w:tcW w:type="dxa" w:w="12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0.55</w:t>
            </w:r>
          </w:p>
        </w:tc>
      </w:tr>
      <w:tr>
        <w:tc>
          <w:tcPr>
            <w:tcW w:type="dxa" w:w="27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Loan from Koryolink</w:t>
            </w:r>
          </w:p>
        </w:tc>
        <w:tc>
          <w:tcPr>
            <w:tcW w:type="dxa" w:w="37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Carrying (interest-free; unwinds toward ~US$116m)</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(90.5)</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(4,443)</w:t>
            </w:r>
          </w:p>
        </w:tc>
        <w:tc>
          <w:tcPr>
            <w:tcW w:type="dxa" w:w="12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(0.85)</w:t>
            </w:r>
          </w:p>
        </w:tc>
      </w:tr>
      <w:tr>
        <w:tc>
          <w:tcPr>
            <w:tcW w:type="dxa" w:w="27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Bank borrowings + leases</w:t>
            </w:r>
          </w:p>
        </w:tc>
        <w:tc>
          <w:tcPr>
            <w:tcW w:type="dxa" w:w="37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Carrying (saib facilities at OPE; IFRS-16)</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(17.4)</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(854)</w:t>
            </w:r>
          </w:p>
        </w:tc>
        <w:tc>
          <w:tcPr>
            <w:tcW w:type="dxa" w:w="12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(0.16)</w:t>
            </w:r>
          </w:p>
        </w:tc>
      </w:tr>
      <w:tr>
        <w:tc>
          <w:tcPr>
            <w:tcW w:type="dxa" w:w="2700"/>
            <w:shd w:fill="F2F0EA" w:val="clear"/>
            <w:tcMar>
              <w:top w:type="dxa" w:w="40"/>
              <w:left w:type="dxa" w:w="80"/>
              <w:bottom w:type="dxa" w:w="40"/>
              <w:right w:type="dxa" w:w="80"/>
            </w:tcMar>
          </w:tcPr>
          <w:p>
            <w:pPr>
              <w:jc w:val="left"/>
            </w:pPr>
            <w:r>
              <w:rPr>
                <w:rFonts w:ascii="Arial" w:cs="Arial" w:eastAsia="Arial" w:hAnsi="Arial"/>
                <w:b/>
                <w:bCs/>
                <w:i w:val="false"/>
                <w:iCs w:val="false"/>
                <w:color w:val="222222"/>
                <w:sz w:val="16"/>
                <w:szCs w:val="16"/>
              </w:rPr>
              <w:t xml:space="preserve">Σ NAV, pre-discount</w:t>
            </w:r>
          </w:p>
        </w:tc>
        <w:tc>
          <w:tcPr>
            <w:tcW w:type="dxa" w:w="37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6"/>
                <w:szCs w:val="16"/>
              </w:rPr>
              <w:t xml:space="preserve"/>
            </w:r>
          </w:p>
        </w:tc>
        <w:tc>
          <w:tcPr>
            <w:tcW w:type="dxa" w:w="11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6"/>
                <w:szCs w:val="16"/>
              </w:rPr>
              <w:t xml:space="preserve">102.3</w:t>
            </w:r>
          </w:p>
        </w:tc>
        <w:tc>
          <w:tcPr>
            <w:tcW w:type="dxa" w:w="11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6"/>
                <w:szCs w:val="16"/>
              </w:rPr>
              <w:t xml:space="preserve">5,023</w:t>
            </w:r>
          </w:p>
        </w:tc>
        <w:tc>
          <w:tcPr>
            <w:tcW w:type="dxa" w:w="12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6"/>
                <w:szCs w:val="16"/>
              </w:rPr>
              <w:t xml:space="preserve">0.96</w:t>
            </w:r>
          </w:p>
        </w:tc>
      </w:tr>
      <w:tr>
        <w:tc>
          <w:tcPr>
            <w:tcW w:type="dxa" w:w="27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less: holdco discount</w:t>
            </w:r>
          </w:p>
        </w:tc>
        <w:tc>
          <w:tcPr>
            <w:tcW w:type="dxa" w:w="37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15% — central costs, governance, filing record</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(753)</w:t>
            </w:r>
          </w:p>
        </w:tc>
        <w:tc>
          <w:tcPr>
            <w:tcW w:type="dxa" w:w="12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(0.14)</w:t>
            </w:r>
          </w:p>
        </w:tc>
      </w:tr>
      <w:tr>
        <w:tc>
          <w:tcPr>
            <w:tcW w:type="dxa" w:w="2700"/>
            <w:shd w:fill="F2F0EA" w:val="clear"/>
            <w:tcMar>
              <w:top w:type="dxa" w:w="40"/>
              <w:left w:type="dxa" w:w="80"/>
              <w:bottom w:type="dxa" w:w="40"/>
              <w:right w:type="dxa" w:w="80"/>
            </w:tcMar>
          </w:tcPr>
          <w:p>
            <w:pPr>
              <w:jc w:val="left"/>
            </w:pPr>
            <w:r>
              <w:rPr>
                <w:rFonts w:ascii="Arial" w:cs="Arial" w:eastAsia="Arial" w:hAnsi="Arial"/>
                <w:b/>
                <w:bCs/>
                <w:i w:val="false"/>
                <w:iCs w:val="false"/>
                <w:color w:val="222222"/>
                <w:sz w:val="16"/>
                <w:szCs w:val="16"/>
              </w:rPr>
              <w:t xml:space="preserve">NAV fair value</w:t>
            </w:r>
          </w:p>
        </w:tc>
        <w:tc>
          <w:tcPr>
            <w:tcW w:type="dxa" w:w="37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6"/>
                <w:szCs w:val="16"/>
              </w:rPr>
              <w:t xml:space="preserve"/>
            </w:r>
          </w:p>
        </w:tc>
        <w:tc>
          <w:tcPr>
            <w:tcW w:type="dxa" w:w="11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6"/>
                <w:szCs w:val="16"/>
              </w:rPr>
              <w:t xml:space="preserve"/>
            </w:r>
          </w:p>
        </w:tc>
        <w:tc>
          <w:tcPr>
            <w:tcW w:type="dxa" w:w="11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6"/>
                <w:szCs w:val="16"/>
              </w:rPr>
              <w:t xml:space="preserve">4,270</w:t>
            </w:r>
          </w:p>
        </w:tc>
        <w:tc>
          <w:tcPr>
            <w:tcW w:type="dxa" w:w="12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6"/>
                <w:szCs w:val="16"/>
              </w:rPr>
              <w:t xml:space="preserve">0.81</w:t>
            </w:r>
          </w:p>
        </w:tc>
      </w:tr>
    </w:tbl>
    <w:p>
      <w:pPr>
        <w:spacing w:after="60" w:before="0"/>
      </w:pPr>
      <w:r>
        <w:rPr>
          <w:rFonts w:ascii="Georgia" w:cs="Georgia" w:eastAsia="Georgia" w:hAnsi="Georgia"/>
          <w:b w:val="false"/>
          <w:bCs w:val="false"/>
          <w:i w:val="false"/>
          <w:iCs w:val="false"/>
          <w:color w:val="222222"/>
          <w:sz w:val="20"/>
          <w:szCs w:val="20"/>
        </w:rPr>
        <w:t xml:space="preserve"/>
      </w:r>
    </w:p>
    <w:p>
      <w:pPr>
        <w:spacing w:after="120" w:before="0"/>
      </w:pPr>
      <w:r>
        <w:rPr>
          <w:rFonts w:ascii="Georgia" w:cs="Georgia" w:eastAsia="Georgia" w:hAnsi="Georgia"/>
          <w:b w:val="false"/>
          <w:bCs w:val="false"/>
          <w:i w:val="false"/>
          <w:iCs w:val="false"/>
          <w:color w:val="222222"/>
          <w:sz w:val="20"/>
          <w:szCs w:val="20"/>
        </w:rPr>
        <w:t xml:space="preserve">Read the table’s shape before its total. The </w:t>
      </w:r>
      <w:r>
        <w:rPr>
          <w:rFonts w:ascii="Georgia" w:cs="Georgia" w:eastAsia="Georgia" w:hAnsi="Georgia"/>
          <w:b/>
          <w:bCs/>
          <w:i w:val="false"/>
          <w:iCs w:val="false"/>
          <w:color w:val="222222"/>
          <w:sz w:val="20"/>
          <w:szCs w:val="20"/>
        </w:rPr>
        <w:t xml:space="preserve">financial NAV excluding the Pyramids is only EGP 2.12bn (EGP 0.40/share)</w:t>
      </w:r>
      <w:r>
        <w:rPr>
          <w:rFonts w:ascii="Georgia" w:cs="Georgia" w:eastAsia="Georgia" w:hAnsi="Georgia"/>
          <w:b w:val="false"/>
          <w:bCs w:val="false"/>
          <w:i w:val="false"/>
          <w:iCs w:val="false"/>
          <w:color w:val="222222"/>
          <w:sz w:val="20"/>
          <w:szCs w:val="20"/>
        </w:rPr>
        <w:t xml:space="preserve"> — and that is after crediting EGP 2.8bn of half-written-down North Korean cash while charging the full EGP 4.4bn loan owed back to Koryolink. Everything above EGP 0.40 is concession value; everything above EGP 0.96 pre-discount is hope. The market capitalisation of EGP 7.40bn therefore implies a Pyramids platform worth roughly </w:t>
      </w:r>
      <w:r>
        <w:rPr>
          <w:rFonts w:ascii="Georgia" w:cs="Georgia" w:eastAsia="Georgia" w:hAnsi="Georgia"/>
          <w:b/>
          <w:bCs/>
          <w:i w:val="false"/>
          <w:iCs w:val="false"/>
          <w:color w:val="222222"/>
          <w:sz w:val="20"/>
          <w:szCs w:val="20"/>
        </w:rPr>
        <w:t xml:space="preserve">EGP 5.3bn pre-discount</w:t>
      </w:r>
      <w:r>
        <w:rPr>
          <w:rFonts w:ascii="Georgia" w:cs="Georgia" w:eastAsia="Georgia" w:hAnsi="Georgia"/>
          <w:b w:val="false"/>
          <w:bCs w:val="false"/>
          <w:i w:val="false"/>
          <w:iCs w:val="false"/>
          <w:color w:val="222222"/>
          <w:sz w:val="20"/>
          <w:szCs w:val="20"/>
        </w:rPr>
        <w:t xml:space="preserve"> — 1.8× our DCF and 2.6× the ~EGP 2bn OIH will have invested in it — or, alternatively, full DPRK recovery plus a platform at 1.5× our mark. §1.7 works that arithmetic explicitly.</w:t>
      </w:r>
    </w:p>
    <w:p>
      <w:pPr>
        <w:spacing w:after="110" w:before="220"/>
      </w:pPr>
      <w:r>
        <w:rPr>
          <w:rFonts w:ascii="Arial" w:cs="Arial" w:eastAsia="Arial" w:hAnsi="Arial"/>
          <w:b/>
          <w:bCs/>
          <w:i w:val="false"/>
          <w:iCs w:val="false"/>
          <w:color w:val="1C6B62"/>
          <w:sz w:val="23"/>
          <w:szCs w:val="23"/>
        </w:rPr>
        <w:t xml:space="preserve">1.2  Consolidated DCF — the cash-flow cross-check</w:t>
      </w:r>
    </w:p>
    <w:p>
      <w:pPr>
        <w:spacing w:after="120" w:before="0"/>
      </w:pPr>
      <w:r>
        <w:rPr>
          <w:rFonts w:ascii="Georgia" w:cs="Georgia" w:eastAsia="Georgia" w:hAnsi="Georgia"/>
          <w:b w:val="false"/>
          <w:bCs w:val="false"/>
          <w:i w:val="false"/>
          <w:iCs w:val="false"/>
          <w:color w:val="222222"/>
          <w:sz w:val="20"/>
          <w:szCs w:val="20"/>
        </w:rPr>
        <w:t xml:space="preserve">The cross-check values OIH as a going concern: the operating business (OPE-led) generates FCFF, charged with </w:t>
      </w:r>
      <w:r>
        <w:rPr>
          <w:rFonts w:ascii="Georgia" w:cs="Georgia" w:eastAsia="Georgia" w:hAnsi="Georgia"/>
          <w:b/>
          <w:bCs/>
          <w:i w:val="false"/>
          <w:iCs w:val="false"/>
          <w:color w:val="222222"/>
          <w:sz w:val="20"/>
          <w:szCs w:val="20"/>
        </w:rPr>
        <w:t xml:space="preserve">all</w:t>
      </w:r>
      <w:r>
        <w:rPr>
          <w:rFonts w:ascii="Georgia" w:cs="Georgia" w:eastAsia="Georgia" w:hAnsi="Georgia"/>
          <w:b w:val="false"/>
          <w:bCs w:val="false"/>
          <w:i w:val="false"/>
          <w:iCs w:val="false"/>
          <w:color w:val="222222"/>
          <w:sz w:val="20"/>
          <w:szCs w:val="20"/>
        </w:rPr>
        <w:t xml:space="preserve"> holdco costs, discounted at a 20% EGP WACC with 6% terminal growth; the financial assets are then added at their §1.1 marks. It is deliberately the sterner lens — the same central-cost drag the NAV handles with a 15% discount here compounds inside the forecast — and it lands at </w:t>
      </w:r>
      <w:r>
        <w:rPr>
          <w:rFonts w:ascii="Georgia" w:cs="Georgia" w:eastAsia="Georgia" w:hAnsi="Georgia"/>
          <w:b/>
          <w:bCs/>
          <w:i w:val="false"/>
          <w:iCs w:val="false"/>
          <w:color w:val="222222"/>
          <w:sz w:val="20"/>
          <w:szCs w:val="20"/>
        </w:rPr>
        <w:t xml:space="preserve">EGP 0.48</w:t>
      </w:r>
      <w:r>
        <w:rPr>
          <w:rFonts w:ascii="Georgia" w:cs="Georgia" w:eastAsia="Georgia" w:hAnsi="Georgia"/>
          <w:b w:val="false"/>
          <w:bCs w:val="false"/>
          <w:i w:val="false"/>
          <w:iCs w:val="false"/>
          <w:color w:val="222222"/>
          <w:sz w:val="20"/>
          <w:szCs w:val="20"/>
        </w:rPr>
        <w:t xml:space="preserve">.</w:t>
      </w:r>
    </w:p>
    <w:tbl>
      <w:tblPr>
        <w:tblW w:type="dxa" w:w="9400"/>
        <w:tblBorders>
          <w:top w:val="single" w:color="BBBBBB" w:sz="4"/>
          <w:left w:val="none"/>
          <w:bottom w:val="single" w:color="BBBBBB" w:sz="4"/>
          <w:right w:val="none"/>
          <w:insideH w:val="single" w:color="DDDDDD" w:sz="2"/>
          <w:insideV w:val="single" w:color="EEEEEE" w:sz="2"/>
        </w:tblBorders>
      </w:tblPr>
      <w:tblGrid>
        <w:gridCol w:w="1900"/>
        <w:gridCol w:w="1500"/>
        <w:gridCol w:w="1500"/>
        <w:gridCol w:w="1500"/>
        <w:gridCol w:w="1500"/>
        <w:gridCol w:w="1500"/>
      </w:tblGrid>
      <w:tr>
        <w:trPr>
          <w:tblHeader/>
        </w:trPr>
        <w:tc>
          <w:tcPr>
            <w:tcW w:type="dxa" w:w="1900"/>
            <w:shd w:fill="1C3A36" w:val="clear"/>
            <w:tcMar>
              <w:top w:type="dxa" w:w="40"/>
              <w:left w:type="dxa" w:w="80"/>
              <w:bottom w:type="dxa" w:w="40"/>
              <w:right w:type="dxa" w:w="80"/>
            </w:tcMar>
          </w:tcPr>
          <w:p>
            <w:pPr>
              <w:jc w:val="left"/>
            </w:pPr>
            <w:r>
              <w:rPr>
                <w:rFonts w:ascii="Arial" w:cs="Arial" w:eastAsia="Arial" w:hAnsi="Arial"/>
                <w:b/>
                <w:bCs/>
                <w:i w:val="false"/>
                <w:iCs w:val="false"/>
                <w:color w:val="FFFFFF"/>
                <w:sz w:val="17"/>
                <w:szCs w:val="17"/>
              </w:rPr>
              <w:t xml:space="preserve">EGP m</w:t>
            </w:r>
          </w:p>
        </w:tc>
        <w:tc>
          <w:tcPr>
            <w:tcW w:type="dxa" w:w="15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7"/>
                <w:szCs w:val="17"/>
              </w:rPr>
              <w:t xml:space="preserve">FY25E</w:t>
            </w:r>
          </w:p>
        </w:tc>
        <w:tc>
          <w:tcPr>
            <w:tcW w:type="dxa" w:w="15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7"/>
                <w:szCs w:val="17"/>
              </w:rPr>
              <w:t xml:space="preserve">FY26E</w:t>
            </w:r>
          </w:p>
        </w:tc>
        <w:tc>
          <w:tcPr>
            <w:tcW w:type="dxa" w:w="15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7"/>
                <w:szCs w:val="17"/>
              </w:rPr>
              <w:t xml:space="preserve">FY27E</w:t>
            </w:r>
          </w:p>
        </w:tc>
        <w:tc>
          <w:tcPr>
            <w:tcW w:type="dxa" w:w="15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7"/>
                <w:szCs w:val="17"/>
              </w:rPr>
              <w:t xml:space="preserve">FY28E</w:t>
            </w:r>
          </w:p>
        </w:tc>
        <w:tc>
          <w:tcPr>
            <w:tcW w:type="dxa" w:w="15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7"/>
                <w:szCs w:val="17"/>
              </w:rPr>
              <w:t xml:space="preserve">FY29E</w:t>
            </w:r>
          </w:p>
        </w:tc>
      </w:tr>
      <w:tr>
        <w:tc>
          <w:tcPr>
            <w:tcW w:type="dxa" w:w="19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EBITDA</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(224)</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232</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468</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682</w:t>
            </w:r>
          </w:p>
        </w:tc>
      </w:tr>
      <w:tr>
        <w:tc>
          <w:tcPr>
            <w:tcW w:type="dxa" w:w="19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less: tax on EBIT</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(0)</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(72)</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(113)</w:t>
            </w:r>
          </w:p>
        </w:tc>
      </w:tr>
      <w:tr>
        <w:tc>
          <w:tcPr>
            <w:tcW w:type="dxa" w:w="19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less: capex</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(450)</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(500)</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(300)</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(200)</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(150)</w:t>
            </w:r>
          </w:p>
        </w:tc>
      </w:tr>
      <w:tr>
        <w:tc>
          <w:tcPr>
            <w:tcW w:type="dxa" w:w="19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less: ΔWC</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(30)</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(40)</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(40)</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(35)</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(30)</w:t>
            </w:r>
          </w:p>
        </w:tc>
      </w:tr>
      <w:tr>
        <w:tc>
          <w:tcPr>
            <w:tcW w:type="dxa" w:w="1900"/>
            <w:shd w:fill="F2F0EA" w:val="clear"/>
            <w:tcMar>
              <w:top w:type="dxa" w:w="40"/>
              <w:left w:type="dxa" w:w="80"/>
              <w:bottom w:type="dxa" w:w="40"/>
              <w:right w:type="dxa" w:w="80"/>
            </w:tcMar>
          </w:tcPr>
          <w:p>
            <w:pPr>
              <w:jc w:val="left"/>
            </w:pPr>
            <w:r>
              <w:rPr>
                <w:rFonts w:ascii="Arial" w:cs="Arial" w:eastAsia="Arial" w:hAnsi="Arial"/>
                <w:b/>
                <w:bCs/>
                <w:i w:val="false"/>
                <w:iCs w:val="false"/>
                <w:color w:val="222222"/>
                <w:sz w:val="17"/>
                <w:szCs w:val="17"/>
              </w:rPr>
              <w:t xml:space="preserve">FCFF</w:t>
            </w:r>
          </w:p>
        </w:tc>
        <w:tc>
          <w:tcPr>
            <w:tcW w:type="dxa" w:w="15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7"/>
                <w:szCs w:val="17"/>
              </w:rPr>
              <w:t xml:space="preserve">(704)</w:t>
            </w:r>
          </w:p>
        </w:tc>
        <w:tc>
          <w:tcPr>
            <w:tcW w:type="dxa" w:w="15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7"/>
                <w:szCs w:val="17"/>
              </w:rPr>
              <w:t xml:space="preserve">(539)</w:t>
            </w:r>
          </w:p>
        </w:tc>
        <w:tc>
          <w:tcPr>
            <w:tcW w:type="dxa" w:w="15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7"/>
                <w:szCs w:val="17"/>
              </w:rPr>
              <w:t xml:space="preserve">(108)</w:t>
            </w:r>
          </w:p>
        </w:tc>
        <w:tc>
          <w:tcPr>
            <w:tcW w:type="dxa" w:w="15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7"/>
                <w:szCs w:val="17"/>
              </w:rPr>
              <w:t xml:space="preserve">161</w:t>
            </w:r>
          </w:p>
        </w:tc>
        <w:tc>
          <w:tcPr>
            <w:tcW w:type="dxa" w:w="15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7"/>
                <w:szCs w:val="17"/>
              </w:rPr>
              <w:t xml:space="preserve">389</w:t>
            </w:r>
          </w:p>
        </w:tc>
      </w:tr>
      <w:tr>
        <w:tc>
          <w:tcPr>
            <w:tcW w:type="dxa" w:w="19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PV @ 20%</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(587)</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(374)</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(63)</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78</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157</w:t>
            </w:r>
          </w:p>
        </w:tc>
      </w:tr>
    </w:tbl>
    <w:p>
      <w:pPr>
        <w:spacing w:after="60" w:before="0"/>
      </w:pPr>
      <w:r>
        <w:rPr>
          <w:rFonts w:ascii="Georgia" w:cs="Georgia" w:eastAsia="Georgia" w:hAnsi="Georgia"/>
          <w:b w:val="false"/>
          <w:bCs w:val="false"/>
          <w:i w:val="false"/>
          <w:iCs w:val="false"/>
          <w:color w:val="222222"/>
          <w:sz w:val="20"/>
          <w:szCs w:val="20"/>
        </w:rPr>
        <w:t xml:space="preserve"/>
      </w:r>
    </w:p>
    <w:p>
      <w:pPr>
        <w:spacing w:after="120" w:before="0"/>
      </w:pPr>
      <w:r>
        <w:rPr>
          <w:rFonts w:ascii="Georgia" w:cs="Georgia" w:eastAsia="Georgia" w:hAnsi="Georgia"/>
          <w:b w:val="false"/>
          <w:bCs w:val="false"/>
          <w:i w:val="false"/>
          <w:iCs w:val="false"/>
          <w:color w:val="222222"/>
          <w:sz w:val="20"/>
          <w:szCs w:val="20"/>
        </w:rPr>
        <w:t xml:space="preserve">Terminal value EGP 2,949m (FY29E FCFF × 1.06 / 0.14), PV EGP 1,185m; operating EV </w:t>
      </w:r>
      <w:r>
        <w:rPr>
          <w:rFonts w:ascii="Georgia" w:cs="Georgia" w:eastAsia="Georgia" w:hAnsi="Georgia"/>
          <w:b/>
          <w:bCs/>
          <w:i w:val="false"/>
          <w:iCs w:val="false"/>
          <w:color w:val="222222"/>
          <w:sz w:val="20"/>
          <w:szCs w:val="20"/>
        </w:rPr>
        <w:t xml:space="preserve">EGP 383m</w:t>
      </w:r>
      <w:r>
        <w:rPr>
          <w:rFonts w:ascii="Georgia" w:cs="Georgia" w:eastAsia="Georgia" w:hAnsi="Georgia"/>
          <w:b w:val="false"/>
          <w:bCs w:val="false"/>
          <w:i w:val="false"/>
          <w:iCs w:val="false"/>
          <w:color w:val="222222"/>
          <w:sz w:val="20"/>
          <w:szCs w:val="20"/>
        </w:rPr>
        <w:t xml:space="preserve">; plus net financial assets at marks EGP 2,123m → equity </w:t>
      </w:r>
      <w:r>
        <w:rPr>
          <w:rFonts w:ascii="Georgia" w:cs="Georgia" w:eastAsia="Georgia" w:hAnsi="Georgia"/>
          <w:b/>
          <w:bCs/>
          <w:i w:val="false"/>
          <w:iCs w:val="false"/>
          <w:color w:val="222222"/>
          <w:sz w:val="20"/>
          <w:szCs w:val="20"/>
        </w:rPr>
        <w:t xml:space="preserve">EGP 2,507m = EGP 0.48/share</w:t>
      </w:r>
      <w:r>
        <w:rPr>
          <w:rFonts w:ascii="Georgia" w:cs="Georgia" w:eastAsia="Georgia" w:hAnsi="Georgia"/>
          <w:b w:val="false"/>
          <w:bCs w:val="false"/>
          <w:i w:val="false"/>
          <w:iCs w:val="false"/>
          <w:color w:val="222222"/>
          <w:sz w:val="20"/>
          <w:szCs w:val="20"/>
        </w:rPr>
        <w:t xml:space="preserve">. The message of the negative early FCFF is not distress — cash on hand covers the build — it is that the concession consumes its own cash through 2027 and the listed wrapper adds EGP ~400m a year of central costs on top. A buyer of the whole company at today’s price is paying EGP 7.4bn for EGP 2.5bn of DCF value and a call option on everything going right.</w:t>
      </w:r>
    </w:p>
    <w:p>
      <w:pPr>
        <w:spacing w:after="110" w:before="220"/>
      </w:pPr>
      <w:r>
        <w:rPr>
          <w:rFonts w:ascii="Arial" w:cs="Arial" w:eastAsia="Arial" w:hAnsi="Arial"/>
          <w:b/>
          <w:bCs/>
          <w:i w:val="false"/>
          <w:iCs w:val="false"/>
          <w:color w:val="1C6B62"/>
          <w:sz w:val="23"/>
          <w:szCs w:val="23"/>
        </w:rPr>
        <w:t xml:space="preserve">1.3  Relative multiples</w:t>
      </w:r>
    </w:p>
    <w:p>
      <w:pPr>
        <w:spacing w:after="120" w:before="0"/>
      </w:pPr>
      <w:r>
        <w:rPr>
          <w:rFonts w:ascii="Georgia" w:cs="Georgia" w:eastAsia="Georgia" w:hAnsi="Georgia"/>
          <w:b w:val="false"/>
          <w:bCs w:val="false"/>
          <w:i w:val="false"/>
          <w:iCs w:val="false"/>
          <w:color w:val="222222"/>
          <w:sz w:val="20"/>
          <w:szCs w:val="20"/>
        </w:rPr>
        <w:t xml:space="preserve">EGX holding companies habitually trade at </w:t>
      </w:r>
      <w:r>
        <w:rPr>
          <w:rFonts w:ascii="Georgia" w:cs="Georgia" w:eastAsia="Georgia" w:hAnsi="Georgia"/>
          <w:b/>
          <w:bCs/>
          <w:i w:val="false"/>
          <w:iCs w:val="false"/>
          <w:color w:val="222222"/>
          <w:sz w:val="20"/>
          <w:szCs w:val="20"/>
        </w:rPr>
        <w:t xml:space="preserve">10–50% discounts to accountable NAV</w:t>
      </w:r>
      <w:r>
        <w:rPr>
          <w:rFonts w:ascii="Georgia" w:cs="Georgia" w:eastAsia="Georgia" w:hAnsi="Georgia"/>
          <w:b w:val="false"/>
          <w:bCs w:val="false"/>
          <w:i w:val="false"/>
          <w:iCs w:val="false"/>
          <w:color w:val="222222"/>
          <w:sz w:val="20"/>
          <w:szCs w:val="20"/>
        </w:rPr>
        <w:t xml:space="preserve"> — Qalaa deepest, B Investments and EK Holding nearest par. OIH is the outlier premium name. Applying a generous peer P/NAV of 0.75× to the pre-discount NAV gives </w:t>
      </w:r>
      <w:r>
        <w:rPr>
          <w:rFonts w:ascii="Georgia" w:cs="Georgia" w:eastAsia="Georgia" w:hAnsi="Georgia"/>
          <w:b/>
          <w:bCs/>
          <w:i w:val="false"/>
          <w:iCs w:val="false"/>
          <w:color w:val="222222"/>
          <w:sz w:val="20"/>
          <w:szCs w:val="20"/>
        </w:rPr>
        <w:t xml:space="preserve">EGP 0.72</w:t>
      </w:r>
      <w:r>
        <w:rPr>
          <w:rFonts w:ascii="Georgia" w:cs="Georgia" w:eastAsia="Georgia" w:hAnsi="Georgia"/>
          <w:b w:val="false"/>
          <w:bCs w:val="false"/>
          <w:i w:val="false"/>
          <w:iCs w:val="false"/>
          <w:color w:val="222222"/>
          <w:sz w:val="20"/>
          <w:szCs w:val="20"/>
        </w:rPr>
        <w:t xml:space="preserve">; even 1.0× — pricing OIH like the cleanest holdco on the exchange despite a qualified audit and Level-3 marks — reaches only EGP 0.96. A cross-read on the operating business alone (9.0× FY27E EBITDA of EGP 232m, plus financial assets) gives EGP 0.80. On every relative yardstick the stock trades as if its NAV were roughly double what the books show.</w:t>
      </w:r>
    </w:p>
    <w:tbl>
      <w:tblPr>
        <w:tblW w:type="dxa" w:w="8900"/>
        <w:tblBorders>
          <w:top w:val="single" w:color="BBBBBB" w:sz="4"/>
          <w:left w:val="none"/>
          <w:bottom w:val="single" w:color="BBBBBB" w:sz="4"/>
          <w:right w:val="none"/>
          <w:insideH w:val="single" w:color="DDDDDD" w:sz="2"/>
          <w:insideV w:val="single" w:color="EEEEEE" w:sz="2"/>
        </w:tblBorders>
      </w:tblPr>
      <w:tblGrid>
        <w:gridCol w:w="3300"/>
        <w:gridCol w:w="4000"/>
        <w:gridCol w:w="1600"/>
      </w:tblGrid>
      <w:tr>
        <w:trPr>
          <w:tblHeader/>
        </w:trPr>
        <w:tc>
          <w:tcPr>
            <w:tcW w:type="dxa" w:w="3300"/>
            <w:shd w:fill="1C3A36" w:val="clear"/>
            <w:tcMar>
              <w:top w:type="dxa" w:w="40"/>
              <w:left w:type="dxa" w:w="80"/>
              <w:bottom w:type="dxa" w:w="40"/>
              <w:right w:type="dxa" w:w="80"/>
            </w:tcMar>
          </w:tcPr>
          <w:p>
            <w:pPr>
              <w:jc w:val="left"/>
            </w:pPr>
            <w:r>
              <w:rPr>
                <w:rFonts w:ascii="Arial" w:cs="Arial" w:eastAsia="Arial" w:hAnsi="Arial"/>
                <w:b/>
                <w:bCs/>
                <w:i w:val="false"/>
                <w:iCs w:val="false"/>
                <w:color w:val="FFFFFF"/>
                <w:sz w:val="17"/>
                <w:szCs w:val="17"/>
              </w:rPr>
              <w:t xml:space="preserve">Relative read</w:t>
            </w:r>
          </w:p>
        </w:tc>
        <w:tc>
          <w:tcPr>
            <w:tcW w:type="dxa" w:w="40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7"/>
                <w:szCs w:val="17"/>
              </w:rPr>
              <w:t xml:space="preserve">Basis</w:t>
            </w:r>
          </w:p>
        </w:tc>
        <w:tc>
          <w:tcPr>
            <w:tcW w:type="dxa" w:w="16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7"/>
                <w:szCs w:val="17"/>
              </w:rPr>
              <w:t xml:space="preserve">EGP / share</w:t>
            </w:r>
          </w:p>
        </w:tc>
      </w:tr>
      <w:tr>
        <w:tc>
          <w:tcPr>
            <w:tcW w:type="dxa" w:w="33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P/NAV 0.75× (peer median, generous)</w:t>
            </w:r>
          </w:p>
        </w:tc>
        <w:tc>
          <w:tcPr>
            <w:tcW w:type="dxa" w:w="40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0.75 × EGP 0.96 pre-discount</w:t>
            </w:r>
          </w:p>
        </w:tc>
        <w:tc>
          <w:tcPr>
            <w:tcW w:type="dxa" w:w="1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0.72</w:t>
            </w:r>
          </w:p>
        </w:tc>
      </w:tr>
      <w:tr>
        <w:tc>
          <w:tcPr>
            <w:tcW w:type="dxa" w:w="33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P/NAV 1.00× (best-in-class holdco)</w:t>
            </w:r>
          </w:p>
        </w:tc>
        <w:tc>
          <w:tcPr>
            <w:tcW w:type="dxa" w:w="40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1.00 × EGP 0.96</w:t>
            </w:r>
          </w:p>
        </w:tc>
        <w:tc>
          <w:tcPr>
            <w:tcW w:type="dxa" w:w="1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0.96</w:t>
            </w:r>
          </w:p>
        </w:tc>
      </w:tr>
      <w:tr>
        <w:tc>
          <w:tcPr>
            <w:tcW w:type="dxa" w:w="33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EV/EBITDA 9.0× on FY27E + fin. assets</w:t>
            </w:r>
          </w:p>
        </w:tc>
        <w:tc>
          <w:tcPr>
            <w:tcW w:type="dxa" w:w="40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(9.0 × 232 + 2,123) / 5,245.7m</w:t>
            </w:r>
          </w:p>
        </w:tc>
        <w:tc>
          <w:tcPr>
            <w:tcW w:type="dxa" w:w="1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0.80</w:t>
            </w:r>
          </w:p>
        </w:tc>
      </w:tr>
      <w:tr>
        <w:tc>
          <w:tcPr>
            <w:tcW w:type="dxa" w:w="3300"/>
            <w:shd w:fill="F2F0EA" w:val="clear"/>
            <w:tcMar>
              <w:top w:type="dxa" w:w="40"/>
              <w:left w:type="dxa" w:w="80"/>
              <w:bottom w:type="dxa" w:w="40"/>
              <w:right w:type="dxa" w:w="80"/>
            </w:tcMar>
          </w:tcPr>
          <w:p>
            <w:pPr>
              <w:jc w:val="left"/>
            </w:pPr>
            <w:r>
              <w:rPr>
                <w:rFonts w:ascii="Arial" w:cs="Arial" w:eastAsia="Arial" w:hAnsi="Arial"/>
                <w:b/>
                <w:bCs/>
                <w:i w:val="false"/>
                <w:iCs w:val="false"/>
                <w:color w:val="222222"/>
                <w:sz w:val="17"/>
                <w:szCs w:val="17"/>
              </w:rPr>
              <w:t xml:space="preserve">Spot implies</w:t>
            </w:r>
          </w:p>
        </w:tc>
        <w:tc>
          <w:tcPr>
            <w:tcW w:type="dxa" w:w="40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7"/>
                <w:szCs w:val="17"/>
              </w:rPr>
              <w:t xml:space="preserve">P/NAV ≈ 1.47× pre-discount NAV</w:t>
            </w:r>
          </w:p>
        </w:tc>
        <w:tc>
          <w:tcPr>
            <w:tcW w:type="dxa" w:w="16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7"/>
                <w:szCs w:val="17"/>
              </w:rPr>
              <w:t xml:space="preserve">1.41</w:t>
            </w:r>
          </w:p>
        </w:tc>
      </w:tr>
    </w:tbl>
    <w:p>
      <w:pPr>
        <w:spacing w:after="60" w:before="0"/>
      </w:pPr>
      <w:r>
        <w:rPr>
          <w:rFonts w:ascii="Georgia" w:cs="Georgia" w:eastAsia="Georgia" w:hAnsi="Georgia"/>
          <w:b w:val="false"/>
          <w:bCs w:val="false"/>
          <w:i w:val="false"/>
          <w:iCs w:val="false"/>
          <w:color w:val="222222"/>
          <w:sz w:val="20"/>
          <w:szCs w:val="20"/>
        </w:rPr>
        <w:t xml:space="preserve"/>
      </w:r>
    </w:p>
    <w:p>
      <w:pPr>
        <w:spacing w:after="110" w:before="220"/>
      </w:pPr>
      <w:r>
        <w:rPr>
          <w:rFonts w:ascii="Arial" w:cs="Arial" w:eastAsia="Arial" w:hAnsi="Arial"/>
          <w:b/>
          <w:bCs/>
          <w:i w:val="false"/>
          <w:iCs w:val="false"/>
          <w:color w:val="1C6B62"/>
          <w:sz w:val="23"/>
          <w:szCs w:val="23"/>
        </w:rPr>
        <w:t xml:space="preserve">1.4  Normalized earnings power</w:t>
      </w:r>
    </w:p>
    <w:p>
      <w:pPr>
        <w:spacing w:after="120" w:before="0"/>
      </w:pPr>
      <w:r>
        <w:rPr>
          <w:rFonts w:ascii="Georgia" w:cs="Georgia" w:eastAsia="Georgia" w:hAnsi="Georgia"/>
          <w:b w:val="false"/>
          <w:bCs w:val="false"/>
          <w:i w:val="false"/>
          <w:iCs w:val="false"/>
          <w:color w:val="222222"/>
          <w:sz w:val="20"/>
          <w:szCs w:val="20"/>
        </w:rPr>
        <w:t xml:space="preserve">The friendliest defensible lens asks what OIH earns once the plateau is mature: entertainment revenue of ~EGP 2.6bn at a 42–44% EBITDA margin, holdco costs held, no FX noise, no DPRK impairment cycle — call it </w:t>
      </w:r>
      <w:r>
        <w:rPr>
          <w:rFonts w:ascii="Georgia" w:cs="Georgia" w:eastAsia="Georgia" w:hAnsi="Georgia"/>
          <w:b/>
          <w:bCs/>
          <w:i w:val="false"/>
          <w:iCs w:val="false"/>
          <w:color w:val="222222"/>
          <w:sz w:val="20"/>
          <w:szCs w:val="20"/>
        </w:rPr>
        <w:t xml:space="preserve">EGP 450m of attributable mid-cycle earnings</w:t>
      </w:r>
      <w:r>
        <w:rPr>
          <w:rFonts w:ascii="Georgia" w:cs="Georgia" w:eastAsia="Georgia" w:hAnsi="Georgia"/>
          <w:b w:val="false"/>
          <w:bCs w:val="false"/>
          <w:i w:val="false"/>
          <w:iCs w:val="false"/>
          <w:color w:val="222222"/>
          <w:sz w:val="20"/>
          <w:szCs w:val="20"/>
        </w:rPr>
        <w:t xml:space="preserve">. At a justified 12× P/E for a growing concession inside a holdco wrapper, that is </w:t>
      </w:r>
      <w:r>
        <w:rPr>
          <w:rFonts w:ascii="Georgia" w:cs="Georgia" w:eastAsia="Georgia" w:hAnsi="Georgia"/>
          <w:b/>
          <w:bCs/>
          <w:i w:val="false"/>
          <w:iCs w:val="false"/>
          <w:color w:val="222222"/>
          <w:sz w:val="20"/>
          <w:szCs w:val="20"/>
        </w:rPr>
        <w:t xml:space="preserve">EGP 1.03/share</w:t>
      </w:r>
      <w:r>
        <w:rPr>
          <w:rFonts w:ascii="Georgia" w:cs="Georgia" w:eastAsia="Georgia" w:hAnsi="Georgia"/>
          <w:b w:val="false"/>
          <w:bCs w:val="false"/>
          <w:i w:val="false"/>
          <w:iCs w:val="false"/>
          <w:color w:val="222222"/>
          <w:sz w:val="20"/>
          <w:szCs w:val="20"/>
        </w:rPr>
        <w:t xml:space="preserve">. Note what this lens quietly assumes: four more years of 20%+ growth executed cleanly, no revision of the 50-50 state share, and a market willing to pay 12× for earnings that today are losses. It is the ceiling of the fundamental range, and it still sits 27% below the tape.</w:t>
      </w:r>
    </w:p>
    <w:p>
      <w:pPr>
        <w:spacing w:after="110" w:before="220"/>
      </w:pPr>
      <w:r>
        <w:rPr>
          <w:rFonts w:ascii="Arial" w:cs="Arial" w:eastAsia="Arial" w:hAnsi="Arial"/>
          <w:b/>
          <w:bCs/>
          <w:i w:val="false"/>
          <w:iCs w:val="false"/>
          <w:color w:val="1C6B62"/>
          <w:sz w:val="23"/>
          <w:szCs w:val="23"/>
        </w:rPr>
        <w:t xml:space="preserve">1.5  Synthesis — four lenses</w:t>
      </w:r>
    </w:p>
    <w:p>
      <w:pPr>
        <w:spacing w:after="120" w:before="0"/>
      </w:pPr>
      <w:r>
        <w:rPr>
          <w:rFonts w:ascii="Georgia" w:cs="Georgia" w:eastAsia="Georgia" w:hAnsi="Georgia"/>
          <w:b w:val="false"/>
          <w:bCs w:val="false"/>
          <w:i w:val="false"/>
          <w:iCs w:val="false"/>
          <w:color w:val="222222"/>
          <w:sz w:val="20"/>
          <w:szCs w:val="20"/>
        </w:rPr>
        <w:t xml:space="preserve">The weights favour the NAV (it is the lens a holdco is actually bought and broken up on), keep the DCF meaningful as the going-concern discipline, and give the two market-facing reads the balance.</w:t>
      </w:r>
    </w:p>
    <w:tbl>
      <w:tblPr>
        <w:tblW w:type="dxa" w:w="8800"/>
        <w:tblBorders>
          <w:top w:val="single" w:color="BBBBBB" w:sz="4"/>
          <w:left w:val="none"/>
          <w:bottom w:val="single" w:color="BBBBBB" w:sz="4"/>
          <w:right w:val="none"/>
          <w:insideH w:val="single" w:color="DDDDDD" w:sz="2"/>
          <w:insideV w:val="single" w:color="EEEEEE" w:sz="2"/>
        </w:tblBorders>
      </w:tblPr>
      <w:tblGrid>
        <w:gridCol w:w="2800"/>
        <w:gridCol w:w="1500"/>
        <w:gridCol w:w="1500"/>
        <w:gridCol w:w="1500"/>
        <w:gridCol w:w="1500"/>
      </w:tblGrid>
      <w:tr>
        <w:trPr>
          <w:tblHeader/>
        </w:trPr>
        <w:tc>
          <w:tcPr>
            <w:tcW w:type="dxa" w:w="2800"/>
            <w:shd w:fill="1C3A36" w:val="clear"/>
            <w:tcMar>
              <w:top w:type="dxa" w:w="40"/>
              <w:left w:type="dxa" w:w="80"/>
              <w:bottom w:type="dxa" w:w="40"/>
              <w:right w:type="dxa" w:w="80"/>
            </w:tcMar>
          </w:tcPr>
          <w:p>
            <w:pPr>
              <w:jc w:val="left"/>
            </w:pPr>
            <w:r>
              <w:rPr>
                <w:rFonts w:ascii="Arial" w:cs="Arial" w:eastAsia="Arial" w:hAnsi="Arial"/>
                <w:b/>
                <w:bCs/>
                <w:i w:val="false"/>
                <w:iCs w:val="false"/>
                <w:color w:val="FFFFFF"/>
                <w:sz w:val="17"/>
                <w:szCs w:val="17"/>
              </w:rPr>
              <w:t xml:space="preserve">Lens</w:t>
            </w:r>
          </w:p>
        </w:tc>
        <w:tc>
          <w:tcPr>
            <w:tcW w:type="dxa" w:w="15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7"/>
                <w:szCs w:val="17"/>
              </w:rPr>
              <w:t xml:space="preserve">Bear</w:t>
            </w:r>
          </w:p>
        </w:tc>
        <w:tc>
          <w:tcPr>
            <w:tcW w:type="dxa" w:w="15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7"/>
                <w:szCs w:val="17"/>
              </w:rPr>
              <w:t xml:space="preserve">Base</w:t>
            </w:r>
          </w:p>
        </w:tc>
        <w:tc>
          <w:tcPr>
            <w:tcW w:type="dxa" w:w="15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7"/>
                <w:szCs w:val="17"/>
              </w:rPr>
              <w:t xml:space="preserve">Bull</w:t>
            </w:r>
          </w:p>
        </w:tc>
        <w:tc>
          <w:tcPr>
            <w:tcW w:type="dxa" w:w="15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7"/>
                <w:szCs w:val="17"/>
              </w:rPr>
              <w:t xml:space="preserve">Weight</w:t>
            </w:r>
          </w:p>
        </w:tc>
      </w:tr>
      <w:tr>
        <w:tc>
          <w:tcPr>
            <w:tcW w:type="dxa" w:w="28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Holdco NAV (primary)</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0.55</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0.81</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1.80</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45%</w:t>
            </w:r>
          </w:p>
        </w:tc>
      </w:tr>
      <w:tr>
        <w:tc>
          <w:tcPr>
            <w:tcW w:type="dxa" w:w="28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Consolidated DCF</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0.45</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0.48</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1.55</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20%</w:t>
            </w:r>
          </w:p>
        </w:tc>
      </w:tr>
      <w:tr>
        <w:tc>
          <w:tcPr>
            <w:tcW w:type="dxa" w:w="28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Relative (P/NAV)</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0.50</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0.72</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1.35</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15%</w:t>
            </w:r>
          </w:p>
        </w:tc>
      </w:tr>
      <w:tr>
        <w:tc>
          <w:tcPr>
            <w:tcW w:type="dxa" w:w="28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Normalized earnings</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0.60</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1.03</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1.90</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20%</w:t>
            </w:r>
          </w:p>
        </w:tc>
      </w:tr>
      <w:tr>
        <w:tc>
          <w:tcPr>
            <w:tcW w:type="dxa" w:w="2800"/>
            <w:shd w:fill="F2F0EA" w:val="clear"/>
            <w:tcMar>
              <w:top w:type="dxa" w:w="40"/>
              <w:left w:type="dxa" w:w="80"/>
              <w:bottom w:type="dxa" w:w="40"/>
              <w:right w:type="dxa" w:w="80"/>
            </w:tcMar>
          </w:tcPr>
          <w:p>
            <w:pPr>
              <w:jc w:val="left"/>
            </w:pPr>
            <w:r>
              <w:rPr>
                <w:rFonts w:ascii="Arial" w:cs="Arial" w:eastAsia="Arial" w:hAnsi="Arial"/>
                <w:b/>
                <w:bCs/>
                <w:i w:val="false"/>
                <w:iCs w:val="false"/>
                <w:color w:val="222222"/>
                <w:sz w:val="17"/>
                <w:szCs w:val="17"/>
              </w:rPr>
              <w:t xml:space="preserve">Weighted central</w:t>
            </w:r>
          </w:p>
        </w:tc>
        <w:tc>
          <w:tcPr>
            <w:tcW w:type="dxa" w:w="15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7"/>
                <w:szCs w:val="17"/>
              </w:rPr>
              <w:t xml:space="preserve">0.53</w:t>
            </w:r>
          </w:p>
        </w:tc>
        <w:tc>
          <w:tcPr>
            <w:tcW w:type="dxa" w:w="15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7"/>
                <w:szCs w:val="17"/>
              </w:rPr>
              <w:t xml:space="preserve">0.78</w:t>
            </w:r>
          </w:p>
        </w:tc>
        <w:tc>
          <w:tcPr>
            <w:tcW w:type="dxa" w:w="15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7"/>
                <w:szCs w:val="17"/>
              </w:rPr>
              <w:t xml:space="preserve">1.70</w:t>
            </w:r>
          </w:p>
        </w:tc>
        <w:tc>
          <w:tcPr>
            <w:tcW w:type="dxa" w:w="15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7"/>
                <w:szCs w:val="17"/>
              </w:rPr>
              <w:t xml:space="preserve">100%</w:t>
            </w:r>
          </w:p>
        </w:tc>
      </w:tr>
    </w:tbl>
    <w:p>
      <w:pPr>
        <w:spacing w:after="60" w:before="0"/>
      </w:pPr>
      <w:r>
        <w:rPr>
          <w:rFonts w:ascii="Georgia" w:cs="Georgia" w:eastAsia="Georgia" w:hAnsi="Georgia"/>
          <w:b w:val="false"/>
          <w:bCs w:val="false"/>
          <w:i w:val="false"/>
          <w:iCs w:val="false"/>
          <w:color w:val="222222"/>
          <w:sz w:val="20"/>
          <w:szCs w:val="20"/>
        </w:rPr>
        <w:t xml:space="preserve"/>
      </w:r>
    </w:p>
    <w:p>
      <w:pPr>
        <w:spacing w:after="40" w:before="60"/>
        <w:jc w:val="center"/>
      </w:pPr>
      <w:r>
        <w:drawing>
          <wp:inline distT="0" distB="0" distL="0" distR="0">
            <wp:extent cx="5334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81200"/>
                    </a:xfrm>
                    <a:prstGeom prst="rect">
                      <a:avLst/>
                    </a:prstGeom>
                  </pic:spPr>
                </pic:pic>
              </a:graphicData>
            </a:graphic>
          </wp:inline>
        </w:drawing>
      </w:r>
    </w:p>
    <w:p>
      <w:pPr>
        <w:spacing w:after="160" w:before="0"/>
      </w:pPr>
      <w:r>
        <w:rPr>
          <w:rFonts w:ascii="Georgia" w:cs="Georgia" w:eastAsia="Georgia" w:hAnsi="Georgia"/>
          <w:b w:val="false"/>
          <w:bCs w:val="false"/>
          <w:i/>
          <w:iCs/>
          <w:color w:val="555555"/>
          <w:sz w:val="18"/>
          <w:szCs w:val="18"/>
        </w:rPr>
        <w:t xml:space="preserve">Figure 1 — Valuation football field. Every base sits below spot; only the bull cases reach it. The bull column is not decoration: it is a coherent world (DPRK cash recovered, OPE at maturity, discount gone) — the world the market is charging for today.</w:t>
      </w:r>
    </w:p>
    <w:p>
      <w:pPr>
        <w:spacing w:after="110" w:before="220"/>
      </w:pPr>
      <w:r>
        <w:rPr>
          <w:rFonts w:ascii="Arial" w:cs="Arial" w:eastAsia="Arial" w:hAnsi="Arial"/>
          <w:b/>
          <w:bCs/>
          <w:i w:val="false"/>
          <w:iCs w:val="false"/>
          <w:color w:val="1C6B62"/>
          <w:sz w:val="23"/>
          <w:szCs w:val="23"/>
        </w:rPr>
        <w:t xml:space="preserve">1.6  The holding-company assets — a deeper look</w:t>
      </w:r>
    </w:p>
    <w:p>
      <w:pPr>
        <w:spacing w:after="120" w:before="0"/>
      </w:pPr>
      <w:r>
        <w:rPr>
          <w:rFonts w:ascii="Georgia" w:cs="Georgia" w:eastAsia="Georgia" w:hAnsi="Georgia"/>
          <w:b w:val="false"/>
          <w:bCs w:val="false"/>
          <w:i w:val="false"/>
          <w:iCs w:val="false"/>
          <w:color w:val="222222"/>
          <w:sz w:val="20"/>
          <w:szCs w:val="20"/>
        </w:rPr>
        <w:t xml:space="preserve">A scorecard on the six blocks that matter, marking each for earnings power, verifiability and liquidity — the three things a holdco discount is supposed to price.</w:t>
      </w:r>
    </w:p>
    <w:tbl>
      <w:tblPr>
        <w:tblW w:type="dxa" w:w="9800"/>
        <w:tblBorders>
          <w:top w:val="single" w:color="BBBBBB" w:sz="4"/>
          <w:left w:val="none"/>
          <w:bottom w:val="single" w:color="BBBBBB" w:sz="4"/>
          <w:right w:val="none"/>
          <w:insideH w:val="single" w:color="DDDDDD" w:sz="2"/>
          <w:insideV w:val="single" w:color="EEEEEE" w:sz="2"/>
        </w:tblBorders>
      </w:tblPr>
      <w:tblGrid>
        <w:gridCol w:w="1300"/>
        <w:gridCol w:w="3300"/>
        <w:gridCol w:w="1500"/>
        <w:gridCol w:w="1300"/>
        <w:gridCol w:w="1100"/>
        <w:gridCol w:w="1300"/>
      </w:tblGrid>
      <w:tr>
        <w:trPr>
          <w:tblHeader/>
        </w:trPr>
        <w:tc>
          <w:tcPr>
            <w:tcW w:type="dxa" w:w="1300"/>
            <w:shd w:fill="1C3A36" w:val="clear"/>
            <w:tcMar>
              <w:top w:type="dxa" w:w="40"/>
              <w:left w:type="dxa" w:w="80"/>
              <w:bottom w:type="dxa" w:w="40"/>
              <w:right w:type="dxa" w:w="80"/>
            </w:tcMar>
          </w:tcPr>
          <w:p>
            <w:pPr>
              <w:jc w:val="left"/>
            </w:pPr>
            <w:r>
              <w:rPr>
                <w:rFonts w:ascii="Arial" w:cs="Arial" w:eastAsia="Arial" w:hAnsi="Arial"/>
                <w:b/>
                <w:bCs/>
                <w:i w:val="false"/>
                <w:iCs w:val="false"/>
                <w:color w:val="FFFFFF"/>
                <w:sz w:val="14"/>
                <w:szCs w:val="14"/>
              </w:rPr>
              <w:t xml:space="preserve">Asset block</w:t>
            </w:r>
          </w:p>
        </w:tc>
        <w:tc>
          <w:tcPr>
            <w:tcW w:type="dxa" w:w="33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What it is</w:t>
            </w:r>
          </w:p>
        </w:tc>
        <w:tc>
          <w:tcPr>
            <w:tcW w:type="dxa" w:w="15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Earnings power</w:t>
            </w:r>
          </w:p>
        </w:tc>
        <w:tc>
          <w:tcPr>
            <w:tcW w:type="dxa" w:w="13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Verifiability</w:t>
            </w:r>
          </w:p>
        </w:tc>
        <w:tc>
          <w:tcPr>
            <w:tcW w:type="dxa" w:w="11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Liquidity</w:t>
            </w:r>
          </w:p>
        </w:tc>
        <w:tc>
          <w:tcPr>
            <w:tcW w:type="dxa" w:w="13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Our mark</w:t>
            </w:r>
          </w:p>
        </w:tc>
      </w:tr>
      <w:tr>
        <w:tc>
          <w:tcPr>
            <w:tcW w:type="dxa" w:w="13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OPE + S&amp;L</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Giza plateau visitor services under the 2018 protocol; e-bus transport, F&amp;B, retail leases, events, sponsorship; ticket revenue stays with the state; 50-50 revenue share, state minimum EGP 20m/yr</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Ramping fast — Q3-25 group revenue ×5.8 y/y</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Contract terms not fully public</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Unlisted; strategic</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EGP 2,900m (DCF)</w:t>
            </w:r>
          </w:p>
        </w:tc>
      </w:tr>
      <w:tr>
        <w:tc>
          <w:tcPr>
            <w:tcW w:type="dxa" w:w="13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DPRK cash</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US$106m at the Foreign Trade Bank of DPRK + US$8m in hand; UNSC exemption (Dec-2018) allows operation, not repatriation</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None — blocked</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KPMG unable to verify; 50% ECL</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Frozen</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EGP 2,796m (net)</w:t>
            </w:r>
          </w:p>
        </w:tc>
      </w:tr>
      <w:tr>
        <w:tc>
          <w:tcPr>
            <w:tcW w:type="dxa" w:w="13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Koryolink 60%</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The DPRK mobile operator (CHEO JV); associate since 2015, KPTC took control economics in the 2022 capital increase</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Real profits, all impaired on recognition</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Unverifiable</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Frozen</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EGP 589m (carrying)</w:t>
            </w:r>
          </w:p>
        </w:tc>
      </w:tr>
      <w:tr>
        <w:tc>
          <w:tcPr>
            <w:tcW w:type="dxa" w:w="13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KL loan</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US$86m (2022) + €30m (2024) lent by Koryolink to OIH interest-free — the mechanism by which cash left the DPRK perimeter</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Unwinding cost through finance expense</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Audited</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Owed, 1–5yr</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(EGP 4,443m)</w:t>
            </w:r>
          </w:p>
        </w:tc>
      </w:tr>
      <w:tr>
        <w:tc>
          <w:tcPr>
            <w:tcW w:type="dxa" w:w="13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Lighthouse</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Renewables PE fund (SCSp), Level-3, marked by DCF at 7.5–13.5% discount rates</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Mark-to-model</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Fund-reported</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Illiquid LP stake</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EGP 1,399m</w:t>
            </w:r>
          </w:p>
        </w:tc>
      </w:tr>
      <w:tr>
        <w:tc>
          <w:tcPr>
            <w:tcW w:type="dxa" w:w="13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Cash &amp; rest</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Group cash ex-DPRK, São Paulo property, receivables net of payables</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Deposit income</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Audited</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High (cash)</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EGP 2,636m − 854m debt/leases</w:t>
            </w:r>
          </w:p>
        </w:tc>
      </w:tr>
    </w:tbl>
    <w:p>
      <w:pPr>
        <w:spacing w:after="60" w:before="0"/>
      </w:pPr>
      <w:r>
        <w:rPr>
          <w:rFonts w:ascii="Georgia" w:cs="Georgia" w:eastAsia="Georgia" w:hAnsi="Georgia"/>
          <w:b w:val="false"/>
          <w:bCs w:val="false"/>
          <w:i w:val="false"/>
          <w:iCs w:val="false"/>
          <w:color w:val="222222"/>
          <w:sz w:val="20"/>
          <w:szCs w:val="20"/>
        </w:rPr>
        <w:t xml:space="preserve"/>
      </w:r>
    </w:p>
    <w:p>
      <w:pPr>
        <w:spacing w:after="40" w:before="60"/>
        <w:jc w:val="center"/>
      </w:pPr>
      <w:r>
        <w:drawing>
          <wp:inline distT="0" distB="0" distL="0" distR="0">
            <wp:extent cx="5334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28850"/>
                    </a:xfrm>
                    <a:prstGeom prst="rect">
                      <a:avLst/>
                    </a:prstGeom>
                  </pic:spPr>
                </pic:pic>
              </a:graphicData>
            </a:graphic>
          </wp:inline>
        </w:drawing>
      </w:r>
    </w:p>
    <w:p>
      <w:pPr>
        <w:spacing w:after="160" w:before="0"/>
      </w:pPr>
      <w:r>
        <w:rPr>
          <w:rFonts w:ascii="Georgia" w:cs="Georgia" w:eastAsia="Georgia" w:hAnsi="Georgia"/>
          <w:b w:val="false"/>
          <w:bCs w:val="false"/>
          <w:i/>
          <w:iCs/>
          <w:color w:val="555555"/>
          <w:sz w:val="18"/>
          <w:szCs w:val="18"/>
        </w:rPr>
        <w:t xml:space="preserve">Figure 2 — The NAV waterfall. The Koryolink loan is the largest single bar on the page: the books owe more back to the DPRK associate than they credit for the cash still inside it.</w:t>
      </w:r>
    </w:p>
    <w:p>
      <w:pPr>
        <w:spacing w:after="110" w:before="220"/>
      </w:pPr>
      <w:r>
        <w:rPr>
          <w:rFonts w:ascii="Arial" w:cs="Arial" w:eastAsia="Arial" w:hAnsi="Arial"/>
          <w:b/>
          <w:bCs/>
          <w:i w:val="false"/>
          <w:iCs w:val="false"/>
          <w:color w:val="1C6B62"/>
          <w:sz w:val="23"/>
          <w:szCs w:val="23"/>
        </w:rPr>
        <w:t xml:space="preserve">1.7  The Pyramids platform and the DPRK pair — the crux</w:t>
      </w:r>
    </w:p>
    <w:p>
      <w:pPr>
        <w:spacing w:after="120" w:before="0"/>
      </w:pPr>
      <w:r>
        <w:rPr>
          <w:rFonts w:ascii="Georgia" w:cs="Georgia" w:eastAsia="Georgia" w:hAnsi="Georgia"/>
          <w:b/>
          <w:bCs/>
          <w:i w:val="false"/>
          <w:iCs w:val="false"/>
          <w:color w:val="222222"/>
          <w:sz w:val="20"/>
          <w:szCs w:val="20"/>
        </w:rPr>
        <w:t xml:space="preserve">The Pyramids side.</w:t>
      </w:r>
      <w:r>
        <w:rPr>
          <w:rFonts w:ascii="Georgia" w:cs="Georgia" w:eastAsia="Georgia" w:hAnsi="Georgia"/>
          <w:b w:val="false"/>
          <w:bCs w:val="false"/>
          <w:i w:val="false"/>
          <w:iCs w:val="false"/>
          <w:color w:val="222222"/>
          <w:sz w:val="20"/>
          <w:szCs w:val="20"/>
        </w:rPr>
        <w:t xml:space="preserve"> The concession is genuinely exceptional: exclusive visitor services at the single most famous heritage site on earth, adjacent to the Grand Egyptian Museum whose full opening (November 2025) rebased Giza footfall. Management expects the plateau area to generate EGP 3–3.5bn of revenue in 2026, growing 20–25% a year, with 5m visitors targeted; OIH’s cumulative investment steps up to ~EGP 2bn next year and is self-financed from here. But the economics are gated: entry-ticket revenue belongs entirely to the state, OIH monetizes the streams it built (transport, F&amp;B, retail leases, events, sponsorship), and a </w:t>
      </w:r>
      <w:r>
        <w:rPr>
          <w:rFonts w:ascii="Georgia" w:cs="Georgia" w:eastAsia="Georgia" w:hAnsi="Georgia"/>
          <w:b/>
          <w:bCs/>
          <w:i w:val="false"/>
          <w:iCs w:val="false"/>
          <w:color w:val="222222"/>
          <w:sz w:val="20"/>
          <w:szCs w:val="20"/>
        </w:rPr>
        <w:t xml:space="preserve">strict 50-50 revenue share with a state minimum</w:t>
      </w:r>
      <w:r>
        <w:rPr>
          <w:rFonts w:ascii="Georgia" w:cs="Georgia" w:eastAsia="Georgia" w:hAnsi="Georgia"/>
          <w:b w:val="false"/>
          <w:bCs w:val="false"/>
          <w:i w:val="false"/>
          <w:iCs w:val="false"/>
          <w:color w:val="222222"/>
          <w:sz w:val="20"/>
          <w:szCs w:val="20"/>
        </w:rPr>
        <w:t xml:space="preserve"> sits on top. Our EGP 2,900m mark is a DCF of those captured streams reaching EGP ~2.6bn of revenue and 44% margins by FY29E. To justify the EGP ~5.3bn the market implies, the platform must roughly </w:t>
      </w:r>
      <w:r>
        <w:rPr>
          <w:rFonts w:ascii="Georgia" w:cs="Georgia" w:eastAsia="Georgia" w:hAnsi="Georgia"/>
          <w:b/>
          <w:bCs/>
          <w:i w:val="false"/>
          <w:iCs w:val="false"/>
          <w:color w:val="222222"/>
          <w:sz w:val="20"/>
          <w:szCs w:val="20"/>
        </w:rPr>
        <w:t xml:space="preserve">double our FY29E revenue capture or hold 25% growth well into the 2030s with no revision of terms</w:t>
      </w:r>
      <w:r>
        <w:rPr>
          <w:rFonts w:ascii="Georgia" w:cs="Georgia" w:eastAsia="Georgia" w:hAnsi="Georgia"/>
          <w:b w:val="false"/>
          <w:bCs w:val="false"/>
          <w:i w:val="false"/>
          <w:iCs w:val="false"/>
          <w:color w:val="222222"/>
          <w:sz w:val="20"/>
          <w:szCs w:val="20"/>
        </w:rPr>
        <w:t xml:space="preserve"> — possible, and priced.</w:t>
      </w:r>
    </w:p>
    <w:p>
      <w:pPr>
        <w:spacing w:after="120" w:before="0"/>
      </w:pPr>
      <w:r>
        <w:rPr>
          <w:rFonts w:ascii="Georgia" w:cs="Georgia" w:eastAsia="Georgia" w:hAnsi="Georgia"/>
          <w:b/>
          <w:bCs/>
          <w:i w:val="false"/>
          <w:iCs w:val="false"/>
          <w:color w:val="222222"/>
          <w:sz w:val="20"/>
          <w:szCs w:val="20"/>
        </w:rPr>
        <w:t xml:space="preserve">The DPRK side.</w:t>
      </w:r>
      <w:r>
        <w:rPr>
          <w:rFonts w:ascii="Georgia" w:cs="Georgia" w:eastAsia="Georgia" w:hAnsi="Georgia"/>
          <w:b w:val="false"/>
          <w:bCs w:val="false"/>
          <w:i w:val="false"/>
          <w:iCs w:val="false"/>
          <w:color w:val="222222"/>
          <w:sz w:val="20"/>
          <w:szCs w:val="20"/>
        </w:rPr>
        <w:t xml:space="preserve"> The pair is widely misread as a wash; the audited arithmetic says otherwise. OIH has already extracted ~US$116m of value from Koryolink via interest-free shareholder loans — that cash is in the group — but it is booked as a </w:t>
      </w:r>
      <w:r>
        <w:rPr>
          <w:rFonts w:ascii="Georgia" w:cs="Georgia" w:eastAsia="Georgia" w:hAnsi="Georgia"/>
          <w:b/>
          <w:bCs/>
          <w:i w:val="false"/>
          <w:iCs w:val="false"/>
          <w:color w:val="222222"/>
          <w:sz w:val="20"/>
          <w:szCs w:val="20"/>
        </w:rPr>
        <w:t xml:space="preserve">liability of EGP 4.4bn</w:t>
      </w:r>
      <w:r>
        <w:rPr>
          <w:rFonts w:ascii="Georgia" w:cs="Georgia" w:eastAsia="Georgia" w:hAnsi="Georgia"/>
          <w:b w:val="false"/>
          <w:bCs w:val="false"/>
          <w:i w:val="false"/>
          <w:iCs w:val="false"/>
          <w:color w:val="222222"/>
          <w:sz w:val="20"/>
          <w:szCs w:val="20"/>
        </w:rPr>
        <w:t xml:space="preserve"> repayable to an associate OIH owns 60% of yet does not control (KPTC holds the operating reins since the 2022 capital increase diluted OIH from 75%). Meanwhile US$114m of the group’s own cash remains inside DPRK, carried at half. Net, the audited books say the whole DPRK complex is </w:t>
      </w:r>
      <w:r>
        <w:rPr>
          <w:rFonts w:ascii="Georgia" w:cs="Georgia" w:eastAsia="Georgia" w:hAnsi="Georgia"/>
          <w:b/>
          <w:bCs/>
          <w:i w:val="false"/>
          <w:iCs w:val="false"/>
          <w:color w:val="222222"/>
          <w:sz w:val="20"/>
          <w:szCs w:val="20"/>
        </w:rPr>
        <w:t xml:space="preserve">negative EGP ~1.06bn for equity</w:t>
      </w:r>
      <w:r>
        <w:rPr>
          <w:rFonts w:ascii="Georgia" w:cs="Georgia" w:eastAsia="Georgia" w:hAnsi="Georgia"/>
          <w:b w:val="false"/>
          <w:bCs w:val="false"/>
          <w:i w:val="false"/>
          <w:iCs w:val="false"/>
          <w:color w:val="222222"/>
          <w:sz w:val="20"/>
          <w:szCs w:val="20"/>
        </w:rPr>
        <w:t xml:space="preserve"> (2,796 + 589 − 4,443). The upside case is not subtle: any sanctions or repatriation path that lets the trapped cash out adds up to EGP 0.53/share, and a settlement that nets the loan against the cash adds more. The downside is equally concrete: a further ECL step to 25% recovery removes EGP 0.27/share, and the loan unwinds toward its US$116m face regardless. This is a real option with a negative carrying value — the market prices the option, the auditor prices the carry.</w:t>
      </w:r>
    </w:p>
    <w:tbl>
      <w:tblPr>
        <w:tblW w:type="dxa" w:w="10300"/>
        <w:tblBorders>
          <w:top w:val="single" w:color="BBBBBB" w:sz="4"/>
          <w:left w:val="none"/>
          <w:bottom w:val="single" w:color="BBBBBB" w:sz="4"/>
          <w:right w:val="none"/>
          <w:insideH w:val="single" w:color="DDDDDD" w:sz="2"/>
          <w:insideV w:val="single" w:color="EEEEEE" w:sz="2"/>
        </w:tblBorders>
      </w:tblPr>
      <w:tblGrid>
        <w:gridCol w:w="3600"/>
        <w:gridCol w:w="1300"/>
        <w:gridCol w:w="1300"/>
        <w:gridCol w:w="1500"/>
        <w:gridCol w:w="1300"/>
        <w:gridCol w:w="1300"/>
      </w:tblGrid>
      <w:tr>
        <w:trPr>
          <w:tblHeader/>
        </w:trPr>
        <w:tc>
          <w:tcPr>
            <w:tcW w:type="dxa" w:w="3600"/>
            <w:shd w:fill="1C3A36" w:val="clear"/>
            <w:tcMar>
              <w:top w:type="dxa" w:w="40"/>
              <w:left w:type="dxa" w:w="80"/>
              <w:bottom w:type="dxa" w:w="40"/>
              <w:right w:type="dxa" w:w="80"/>
            </w:tcMar>
          </w:tcPr>
          <w:p>
            <w:pPr>
              <w:jc w:val="left"/>
            </w:pPr>
            <w:r>
              <w:rPr>
                <w:rFonts w:ascii="Arial" w:cs="Arial" w:eastAsia="Arial" w:hAnsi="Arial"/>
                <w:b/>
                <w:bCs/>
                <w:i w:val="false"/>
                <w:iCs w:val="false"/>
                <w:color w:val="FFFFFF"/>
                <w:sz w:val="16"/>
                <w:szCs w:val="16"/>
              </w:rPr>
              <w:t xml:space="preserve">FX sensitivity — NAV per share (EGP)</w:t>
            </w:r>
          </w:p>
        </w:tc>
        <w:tc>
          <w:tcPr>
            <w:tcW w:type="dxa" w:w="13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6"/>
                <w:szCs w:val="16"/>
              </w:rPr>
              <w:t xml:space="preserve">EGP/USD 44</w:t>
            </w:r>
          </w:p>
        </w:tc>
        <w:tc>
          <w:tcPr>
            <w:tcW w:type="dxa" w:w="13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6"/>
                <w:szCs w:val="16"/>
              </w:rPr>
              <w:t xml:space="preserve">47</w:t>
            </w:r>
          </w:p>
        </w:tc>
        <w:tc>
          <w:tcPr>
            <w:tcW w:type="dxa" w:w="15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6"/>
                <w:szCs w:val="16"/>
              </w:rPr>
              <w:t xml:space="preserve">49.09 (spot)</w:t>
            </w:r>
          </w:p>
        </w:tc>
        <w:tc>
          <w:tcPr>
            <w:tcW w:type="dxa" w:w="13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6"/>
                <w:szCs w:val="16"/>
              </w:rPr>
              <w:t xml:space="preserve">52</w:t>
            </w:r>
          </w:p>
        </w:tc>
        <w:tc>
          <w:tcPr>
            <w:tcW w:type="dxa" w:w="13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6"/>
                <w:szCs w:val="16"/>
              </w:rPr>
              <w:t xml:space="preserve">55</w:t>
            </w:r>
          </w:p>
        </w:tc>
      </w:tr>
      <w:tr>
        <w:tc>
          <w:tcPr>
            <w:tcW w:type="dxa" w:w="36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NAV base (post-discount)</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0.75</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0.79</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0.81</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0.85</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0.89</w:t>
            </w:r>
          </w:p>
        </w:tc>
      </w:tr>
      <w:tr>
        <w:tc>
          <w:tcPr>
            <w:tcW w:type="dxa" w:w="36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Financial NAV ex-OPE, pre-discount</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0.36</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0.39</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0.40</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0.43</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0.45</w:t>
            </w:r>
          </w:p>
        </w:tc>
      </w:tr>
    </w:tbl>
    <w:p>
      <w:pPr>
        <w:spacing w:after="60" w:before="0"/>
      </w:pPr>
      <w:r>
        <w:rPr>
          <w:rFonts w:ascii="Georgia" w:cs="Georgia" w:eastAsia="Georgia" w:hAnsi="Georgia"/>
          <w:b w:val="false"/>
          <w:bCs w:val="false"/>
          <w:i w:val="false"/>
          <w:iCs w:val="false"/>
          <w:color w:val="222222"/>
          <w:sz w:val="20"/>
          <w:szCs w:val="20"/>
        </w:rPr>
        <w:t xml:space="preserve"/>
      </w:r>
    </w:p>
    <w:p>
      <w:pPr>
        <w:spacing w:after="120" w:before="0"/>
      </w:pPr>
      <w:r>
        <w:rPr>
          <w:rFonts w:ascii="Georgia" w:cs="Georgia" w:eastAsia="Georgia" w:hAnsi="Georgia"/>
          <w:b w:val="false"/>
          <w:bCs w:val="false"/>
          <w:i w:val="false"/>
          <w:iCs w:val="false"/>
          <w:color w:val="222222"/>
          <w:sz w:val="20"/>
          <w:szCs w:val="20"/>
        </w:rPr>
        <w:t xml:space="preserve">The FX row above belongs in this section because it is counter-intuitive: </w:t>
      </w:r>
      <w:r>
        <w:rPr>
          <w:rFonts w:ascii="Georgia" w:cs="Georgia" w:eastAsia="Georgia" w:hAnsi="Georgia"/>
          <w:b/>
          <w:bCs/>
          <w:i w:val="false"/>
          <w:iCs w:val="false"/>
          <w:color w:val="222222"/>
          <w:sz w:val="20"/>
          <w:szCs w:val="20"/>
        </w:rPr>
        <w:t xml:space="preserve">OIH is net-long dollars</w:t>
      </w:r>
      <w:r>
        <w:rPr>
          <w:rFonts w:ascii="Georgia" w:cs="Georgia" w:eastAsia="Georgia" w:hAnsi="Georgia"/>
          <w:b w:val="false"/>
          <w:bCs w:val="false"/>
          <w:i w:val="false"/>
          <w:iCs w:val="false"/>
          <w:color w:val="222222"/>
          <w:sz w:val="20"/>
          <w:szCs w:val="20"/>
        </w:rPr>
        <w:t xml:space="preserve"> (DPRK cash + USD deposits exceed the EUR/USD Koryolink loan), so EGP weakness raises the EGP NAV — and the pound’s 2025 strengthening (51.0 → 49.1) is precisely what drove the EGP 806m nine-month loss through translation. The 2022–2024 profits ran the same machine in reverse.</w:t>
      </w:r>
    </w:p>
    <w:p>
      <w:pPr>
        <w:spacing w:after="110" w:before="220"/>
      </w:pPr>
      <w:r>
        <w:rPr>
          <w:rFonts w:ascii="Arial" w:cs="Arial" w:eastAsia="Arial" w:hAnsi="Arial"/>
          <w:b/>
          <w:bCs/>
          <w:i w:val="false"/>
          <w:iCs w:val="false"/>
          <w:color w:val="1C6B62"/>
          <w:sz w:val="23"/>
          <w:szCs w:val="23"/>
        </w:rPr>
        <w:t xml:space="preserve">1.8  Macro and country — the pound, the tourist, the rate</w:t>
      </w:r>
    </w:p>
    <w:p>
      <w:pPr>
        <w:spacing w:after="120" w:before="0"/>
      </w:pPr>
      <w:r>
        <w:rPr>
          <w:rFonts w:ascii="Georgia" w:cs="Georgia" w:eastAsia="Georgia" w:hAnsi="Georgia"/>
          <w:b w:val="false"/>
          <w:bCs w:val="false"/>
          <w:i w:val="false"/>
          <w:iCs w:val="false"/>
          <w:color w:val="222222"/>
          <w:sz w:val="20"/>
          <w:szCs w:val="20"/>
        </w:rPr>
        <w:t xml:space="preserve">Three macro dials move this name. </w:t>
      </w:r>
      <w:r>
        <w:rPr>
          <w:rFonts w:ascii="Georgia" w:cs="Georgia" w:eastAsia="Georgia" w:hAnsi="Georgia"/>
          <w:b/>
          <w:bCs/>
          <w:i w:val="false"/>
          <w:iCs w:val="false"/>
          <w:color w:val="222222"/>
          <w:sz w:val="20"/>
          <w:szCs w:val="20"/>
        </w:rPr>
        <w:t xml:space="preserve">The pound:</w:t>
      </w:r>
      <w:r>
        <w:rPr>
          <w:rFonts w:ascii="Georgia" w:cs="Georgia" w:eastAsia="Georgia" w:hAnsi="Georgia"/>
          <w:b w:val="false"/>
          <w:bCs w:val="false"/>
          <w:i w:val="false"/>
          <w:iCs w:val="false"/>
          <w:color w:val="222222"/>
          <w:sz w:val="20"/>
          <w:szCs w:val="20"/>
        </w:rPr>
        <w:t xml:space="preserve"> EGP/USD 49.09 today, a 52-week range of 46.6–54.9 with an offshore stress print at 54.6; every pound of depreciation adds ~EGP 0.02 of NAV and, historically, brings the retail flow that trades this counter (20–50m shares a day). </w:t>
      </w:r>
      <w:r>
        <w:rPr>
          <w:rFonts w:ascii="Georgia" w:cs="Georgia" w:eastAsia="Georgia" w:hAnsi="Georgia"/>
          <w:b/>
          <w:bCs/>
          <w:i w:val="false"/>
          <w:iCs w:val="false"/>
          <w:color w:val="222222"/>
          <w:sz w:val="20"/>
          <w:szCs w:val="20"/>
        </w:rPr>
        <w:t xml:space="preserve">The tourist:</w:t>
      </w:r>
      <w:r>
        <w:rPr>
          <w:rFonts w:ascii="Georgia" w:cs="Georgia" w:eastAsia="Georgia" w:hAnsi="Georgia"/>
          <w:b w:val="false"/>
          <w:bCs w:val="false"/>
          <w:i w:val="false"/>
          <w:iCs w:val="false"/>
          <w:color w:val="222222"/>
          <w:sz w:val="20"/>
          <w:szCs w:val="20"/>
        </w:rPr>
        <w:t xml:space="preserve"> Egypt’s inbound cycle is the strongest in a decade, the GEM’s first full year is 2026, and the plateau is the funnel — this is the engine under the OPE ramp and the only macro line with a direct revenue link. </w:t>
      </w:r>
      <w:r>
        <w:rPr>
          <w:rFonts w:ascii="Georgia" w:cs="Georgia" w:eastAsia="Georgia" w:hAnsi="Georgia"/>
          <w:b/>
          <w:bCs/>
          <w:i w:val="false"/>
          <w:iCs w:val="false"/>
          <w:color w:val="222222"/>
          <w:sz w:val="20"/>
          <w:szCs w:val="20"/>
        </w:rPr>
        <w:t xml:space="preserve">The rate:</w:t>
      </w:r>
      <w:r>
        <w:rPr>
          <w:rFonts w:ascii="Georgia" w:cs="Georgia" w:eastAsia="Georgia" w:hAnsi="Georgia"/>
          <w:b w:val="false"/>
          <w:bCs w:val="false"/>
          <w:i w:val="false"/>
          <w:iCs w:val="false"/>
          <w:color w:val="222222"/>
          <w:sz w:val="20"/>
          <w:szCs w:val="20"/>
        </w:rPr>
        <w:t xml:space="preserve"> CPI at 14.9% (April) with the CBE corridor near 19–20% sets our 20% EGP WACC; every point off the corridor is worth roughly EGP 90m on the OPE DCF. Tail risks are the familiar regional ones — a geopolitical shock hits tourism revenue and the EGX risk premium simultaneously, the one correlation that damages both sides of this balance sheet at once.</w:t>
      </w:r>
    </w:p>
    <w:p>
      <w:pPr>
        <w:spacing w:after="110" w:before="220"/>
      </w:pPr>
      <w:r>
        <w:rPr>
          <w:rFonts w:ascii="Arial" w:cs="Arial" w:eastAsia="Arial" w:hAnsi="Arial"/>
          <w:b/>
          <w:bCs/>
          <w:i w:val="false"/>
          <w:iCs w:val="false"/>
          <w:color w:val="1C6B62"/>
          <w:sz w:val="23"/>
          <w:szCs w:val="23"/>
        </w:rPr>
        <w:t xml:space="preserve">1.9  NAV sensitivity — discount × platform value</w:t>
      </w:r>
    </w:p>
    <w:tbl>
      <w:tblPr>
        <w:tblW w:type="dxa" w:w="10100"/>
        <w:tblBorders>
          <w:top w:val="single" w:color="BBBBBB" w:sz="4"/>
          <w:left w:val="none"/>
          <w:bottom w:val="single" w:color="BBBBBB" w:sz="4"/>
          <w:right w:val="none"/>
          <w:insideH w:val="single" w:color="DDDDDD" w:sz="2"/>
          <w:insideV w:val="single" w:color="EEEEEE" w:sz="2"/>
        </w:tblBorders>
      </w:tblPr>
      <w:tblGrid>
        <w:gridCol w:w="3600"/>
        <w:gridCol w:w="1300"/>
        <w:gridCol w:w="1300"/>
        <w:gridCol w:w="1300"/>
        <w:gridCol w:w="1300"/>
        <w:gridCol w:w="1300"/>
      </w:tblGrid>
      <w:tr>
        <w:trPr>
          <w:tblHeader/>
        </w:trPr>
        <w:tc>
          <w:tcPr>
            <w:tcW w:type="dxa" w:w="3600"/>
            <w:shd w:fill="1C3A36" w:val="clear"/>
            <w:tcMar>
              <w:top w:type="dxa" w:w="40"/>
              <w:left w:type="dxa" w:w="80"/>
              <w:bottom w:type="dxa" w:w="40"/>
              <w:right w:type="dxa" w:w="80"/>
            </w:tcMar>
          </w:tcPr>
          <w:p>
            <w:pPr>
              <w:jc w:val="left"/>
            </w:pPr>
            <w:r>
              <w:rPr>
                <w:rFonts w:ascii="Arial" w:cs="Arial" w:eastAsia="Arial" w:hAnsi="Arial"/>
                <w:b/>
                <w:bCs/>
                <w:i w:val="false"/>
                <w:iCs w:val="false"/>
                <w:color w:val="FFFFFF"/>
                <w:sz w:val="17"/>
                <w:szCs w:val="17"/>
              </w:rPr>
              <w:t xml:space="preserve">Holdco discount \ OPE value (EGP m)</w:t>
            </w:r>
          </w:p>
        </w:tc>
        <w:tc>
          <w:tcPr>
            <w:tcW w:type="dxa" w:w="13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7"/>
                <w:szCs w:val="17"/>
              </w:rPr>
              <w:t xml:space="preserve">2,000</w:t>
            </w:r>
          </w:p>
        </w:tc>
        <w:tc>
          <w:tcPr>
            <w:tcW w:type="dxa" w:w="13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7"/>
                <w:szCs w:val="17"/>
              </w:rPr>
              <w:t xml:space="preserve">3,000</w:t>
            </w:r>
          </w:p>
        </w:tc>
        <w:tc>
          <w:tcPr>
            <w:tcW w:type="dxa" w:w="13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7"/>
                <w:szCs w:val="17"/>
              </w:rPr>
              <w:t xml:space="preserve">3,450</w:t>
            </w:r>
          </w:p>
        </w:tc>
        <w:tc>
          <w:tcPr>
            <w:tcW w:type="dxa" w:w="13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7"/>
                <w:szCs w:val="17"/>
              </w:rPr>
              <w:t xml:space="preserve">4,500</w:t>
            </w:r>
          </w:p>
        </w:tc>
        <w:tc>
          <w:tcPr>
            <w:tcW w:type="dxa" w:w="13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7"/>
                <w:szCs w:val="17"/>
              </w:rPr>
              <w:t xml:space="preserve">6,000</w:t>
            </w:r>
          </w:p>
        </w:tc>
      </w:tr>
      <w:tr>
        <w:tc>
          <w:tcPr>
            <w:tcW w:type="dxa" w:w="36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0%</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0.79</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0.98</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1.06</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1.26</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1.55</w:t>
            </w:r>
          </w:p>
        </w:tc>
      </w:tr>
      <w:tr>
        <w:tc>
          <w:tcPr>
            <w:tcW w:type="dxa" w:w="36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10%</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0.71</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0.88</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0.96</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1.14</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1.39</w:t>
            </w:r>
          </w:p>
        </w:tc>
      </w:tr>
      <w:tr>
        <w:tc>
          <w:tcPr>
            <w:tcW w:type="dxa" w:w="36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15%</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0.67</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0.83</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0.90</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1.07</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1.31</w:t>
            </w:r>
          </w:p>
        </w:tc>
      </w:tr>
      <w:tr>
        <w:tc>
          <w:tcPr>
            <w:tcW w:type="dxa" w:w="36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20%</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0.63</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0.78</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0.85</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1.01</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1.24</w:t>
            </w:r>
          </w:p>
        </w:tc>
      </w:tr>
      <w:tr>
        <w:tc>
          <w:tcPr>
            <w:tcW w:type="dxa" w:w="36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30%</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0.55</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0.68</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0.74</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0.88</w:t>
            </w:r>
          </w:p>
        </w:tc>
        <w:tc>
          <w:tcPr>
            <w:tcW w:type="dxa" w:w="1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1.08</w:t>
            </w:r>
          </w:p>
        </w:tc>
      </w:tr>
    </w:tbl>
    <w:p>
      <w:pPr>
        <w:spacing w:after="60" w:before="0"/>
      </w:pPr>
      <w:r>
        <w:rPr>
          <w:rFonts w:ascii="Georgia" w:cs="Georgia" w:eastAsia="Georgia" w:hAnsi="Georgia"/>
          <w:b w:val="false"/>
          <w:bCs w:val="false"/>
          <w:i w:val="false"/>
          <w:iCs w:val="false"/>
          <w:color w:val="222222"/>
          <w:sz w:val="20"/>
          <w:szCs w:val="20"/>
        </w:rPr>
        <w:t xml:space="preserve"/>
      </w:r>
    </w:p>
    <w:p>
      <w:pPr>
        <w:spacing w:after="120" w:before="0"/>
      </w:pPr>
      <w:r>
        <w:rPr>
          <w:rFonts w:ascii="Georgia" w:cs="Georgia" w:eastAsia="Georgia" w:hAnsi="Georgia"/>
          <w:b w:val="false"/>
          <w:bCs w:val="false"/>
          <w:i w:val="false"/>
          <w:iCs w:val="false"/>
          <w:color w:val="222222"/>
          <w:sz w:val="20"/>
          <w:szCs w:val="20"/>
        </w:rPr>
        <w:t xml:space="preserve">Spot (EGP 1.41) is reached nowhere on this grid at base DPRK marks — the nearest cell is a EGP 6bn platform with no discount at all. The tape needs the grid </w:t>
      </w:r>
      <w:r>
        <w:rPr>
          <w:rFonts w:ascii="Georgia" w:cs="Georgia" w:eastAsia="Georgia" w:hAnsi="Georgia"/>
          <w:b/>
          <w:bCs/>
          <w:i w:val="false"/>
          <w:iCs w:val="false"/>
          <w:color w:val="222222"/>
          <w:sz w:val="20"/>
          <w:szCs w:val="20"/>
        </w:rPr>
        <w:t xml:space="preserve">plus</w:t>
      </w:r>
      <w:r>
        <w:rPr>
          <w:rFonts w:ascii="Georgia" w:cs="Georgia" w:eastAsia="Georgia" w:hAnsi="Georgia"/>
          <w:b w:val="false"/>
          <w:bCs w:val="false"/>
          <w:i w:val="false"/>
          <w:iCs w:val="false"/>
          <w:color w:val="222222"/>
          <w:sz w:val="20"/>
          <w:szCs w:val="20"/>
        </w:rPr>
        <w:t xml:space="preserve"> the DPRK option: add full trapped-cash recovery (+0.53 pre-discount) and the 6,000/0% corner reads 2.08, the 4,500/15% cell 1.52. That is the map of what EGP 1.41 believes.</w:t>
      </w:r>
    </w:p>
    <w:p>
      <w:pPr>
        <w:pBdr>
          <w:bottom w:val="single" w:color="C0A45F" w:sz="8"/>
        </w:pBdr>
        <w:spacing w:after="140" w:before="300"/>
      </w:pPr>
      <w:r>
        <w:rPr>
          <w:rFonts w:ascii="Arial" w:cs="Arial" w:eastAsia="Arial" w:hAnsi="Arial"/>
          <w:b/>
          <w:bCs/>
          <w:i w:val="false"/>
          <w:iCs w:val="false"/>
          <w:color w:val="1C3A36"/>
          <w:sz w:val="28"/>
          <w:szCs w:val="28"/>
        </w:rPr>
        <w:t xml:space="preserve">2  Technical and price structure</w:t>
      </w:r>
    </w:p>
    <w:p>
      <w:pPr>
        <w:spacing w:after="120" w:before="0"/>
      </w:pPr>
      <w:r>
        <w:rPr>
          <w:rFonts w:ascii="Georgia" w:cs="Georgia" w:eastAsia="Georgia" w:hAnsi="Georgia"/>
          <w:b w:val="false"/>
          <w:bCs w:val="false"/>
          <w:i w:val="false"/>
          <w:iCs w:val="false"/>
          <w:color w:val="222222"/>
          <w:sz w:val="20"/>
          <w:szCs w:val="20"/>
        </w:rPr>
        <w:t xml:space="preserve">The tape is the exact inverse of the fundamentals: strong, extended and orderly. OIH has advanced 74% over twelve months and 22% year-to-date, sits above the 20-, 100- and 200-day averages, and is consolidating a hair under the 50-day after a pullback from the March high of EGP 1.58. RSI at 62 is constructive without being stretched; the MACD histogram has just crossed back positive from a shallow corrective phase; turnover of ~51m shares a day marks this as one of the exchange’s liquidity bellwethers. Nothing in the price structure is broken — which is precisely the tension of this study.</w:t>
      </w:r>
    </w:p>
    <w:tbl>
      <w:tblPr>
        <w:tblW w:type="dxa" w:w="9600"/>
        <w:tblBorders>
          <w:top w:val="single" w:color="BBBBBB" w:sz="4"/>
          <w:left w:val="none"/>
          <w:bottom w:val="single" w:color="BBBBBB" w:sz="4"/>
          <w:right w:val="none"/>
          <w:insideH w:val="single" w:color="DDDDDD" w:sz="2"/>
          <w:insideV w:val="single" w:color="EEEEEE" w:sz="2"/>
        </w:tblBorders>
      </w:tblPr>
      <w:tblGrid>
        <w:gridCol w:w="2600"/>
        <w:gridCol w:w="3400"/>
        <w:gridCol w:w="3600"/>
      </w:tblGrid>
      <w:tr>
        <w:trPr>
          <w:tblHeader/>
        </w:trPr>
        <w:tc>
          <w:tcPr>
            <w:tcW w:type="dxa" w:w="2600"/>
            <w:shd w:fill="1C3A36" w:val="clear"/>
            <w:tcMar>
              <w:top w:type="dxa" w:w="40"/>
              <w:left w:type="dxa" w:w="80"/>
              <w:bottom w:type="dxa" w:w="40"/>
              <w:right w:type="dxa" w:w="80"/>
            </w:tcMar>
          </w:tcPr>
          <w:p>
            <w:pPr>
              <w:jc w:val="left"/>
            </w:pPr>
            <w:r>
              <w:rPr>
                <w:rFonts w:ascii="Arial" w:cs="Arial" w:eastAsia="Arial" w:hAnsi="Arial"/>
                <w:b/>
                <w:bCs/>
                <w:i w:val="false"/>
                <w:iCs w:val="false"/>
                <w:color w:val="FFFFFF"/>
                <w:sz w:val="17"/>
                <w:szCs w:val="17"/>
              </w:rPr>
              <w:t xml:space="preserve">Indicator</w:t>
            </w:r>
          </w:p>
        </w:tc>
        <w:tc>
          <w:tcPr>
            <w:tcW w:type="dxa" w:w="34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7"/>
                <w:szCs w:val="17"/>
              </w:rPr>
              <w:t xml:space="preserve">Reading</w:t>
            </w:r>
          </w:p>
        </w:tc>
        <w:tc>
          <w:tcPr>
            <w:tcW w:type="dxa" w:w="36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7"/>
                <w:szCs w:val="17"/>
              </w:rPr>
              <w:t xml:space="preserve">Signal</w:t>
            </w:r>
          </w:p>
        </w:tc>
      </w:tr>
      <w:tr>
        <w:tc>
          <w:tcPr>
            <w:tcW w:type="dxa" w:w="26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Spot</w:t>
            </w:r>
          </w:p>
        </w:tc>
        <w:tc>
          <w:tcPr>
            <w:tcW w:type="dxa" w:w="34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EGP 1.41</w:t>
            </w:r>
          </w:p>
        </w:tc>
        <w:tc>
          <w:tcPr>
            <w:tcW w:type="dxa" w:w="3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w:t>
            </w:r>
          </w:p>
        </w:tc>
      </w:tr>
      <w:tr>
        <w:tc>
          <w:tcPr>
            <w:tcW w:type="dxa" w:w="26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SMA 20 / 50</w:t>
            </w:r>
          </w:p>
        </w:tc>
        <w:tc>
          <w:tcPr>
            <w:tcW w:type="dxa" w:w="34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EGP 1.39 / 1.47</w:t>
            </w:r>
          </w:p>
        </w:tc>
        <w:tc>
          <w:tcPr>
            <w:tcW w:type="dxa" w:w="3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Above 20, testing the 50 from below</w:t>
            </w:r>
          </w:p>
        </w:tc>
      </w:tr>
      <w:tr>
        <w:tc>
          <w:tcPr>
            <w:tcW w:type="dxa" w:w="26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SMA 100 / 200</w:t>
            </w:r>
          </w:p>
        </w:tc>
        <w:tc>
          <w:tcPr>
            <w:tcW w:type="dxa" w:w="34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EGP 1.37 / 1.24</w:t>
            </w:r>
          </w:p>
        </w:tc>
        <w:tc>
          <w:tcPr>
            <w:tcW w:type="dxa" w:w="3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Above both — primary uptrend intact</w:t>
            </w:r>
          </w:p>
        </w:tc>
      </w:tr>
      <w:tr>
        <w:tc>
          <w:tcPr>
            <w:tcW w:type="dxa" w:w="26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RSI (14)</w:t>
            </w:r>
          </w:p>
        </w:tc>
        <w:tc>
          <w:tcPr>
            <w:tcW w:type="dxa" w:w="34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61.9</w:t>
            </w:r>
          </w:p>
        </w:tc>
        <w:tc>
          <w:tcPr>
            <w:tcW w:type="dxa" w:w="3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Constructive; not overbought</w:t>
            </w:r>
          </w:p>
        </w:tc>
      </w:tr>
      <w:tr>
        <w:tc>
          <w:tcPr>
            <w:tcW w:type="dxa" w:w="26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MACD (12,26,9)</w:t>
            </w:r>
          </w:p>
        </w:tc>
        <w:tc>
          <w:tcPr>
            <w:tcW w:type="dxa" w:w="34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-0.013 line / -0.019 signal / +0.006 hist</w:t>
            </w:r>
          </w:p>
        </w:tc>
        <w:tc>
          <w:tcPr>
            <w:tcW w:type="dxa" w:w="3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Corrective phase ending; histogram positive</w:t>
            </w:r>
          </w:p>
        </w:tc>
      </w:tr>
      <w:tr>
        <w:tc>
          <w:tcPr>
            <w:tcW w:type="dxa" w:w="26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52-week range</w:t>
            </w:r>
          </w:p>
        </w:tc>
        <w:tc>
          <w:tcPr>
            <w:tcW w:type="dxa" w:w="34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EGP 0.80 – 1.58</w:t>
            </w:r>
          </w:p>
        </w:tc>
        <w:tc>
          <w:tcPr>
            <w:tcW w:type="dxa" w:w="3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Upper quarter of the range</w:t>
            </w:r>
          </w:p>
        </w:tc>
      </w:tr>
      <w:tr>
        <w:tc>
          <w:tcPr>
            <w:tcW w:type="dxa" w:w="26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Realized vol (252d)</w:t>
            </w:r>
          </w:p>
        </w:tc>
        <w:tc>
          <w:tcPr>
            <w:tcW w:type="dxa" w:w="34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41.7%</w:t>
            </w:r>
          </w:p>
        </w:tc>
        <w:tc>
          <w:tcPr>
            <w:tcW w:type="dxa" w:w="3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High — a retail-flow counter</w:t>
            </w:r>
          </w:p>
        </w:tc>
      </w:tr>
      <w:tr>
        <w:tc>
          <w:tcPr>
            <w:tcW w:type="dxa" w:w="26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Avg volume (20d)</w:t>
            </w:r>
          </w:p>
        </w:tc>
        <w:tc>
          <w:tcPr>
            <w:tcW w:type="dxa" w:w="34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51m shares</w:t>
            </w:r>
          </w:p>
        </w:tc>
        <w:tc>
          <w:tcPr>
            <w:tcW w:type="dxa" w:w="3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Deep, speculative liquidity</w:t>
            </w:r>
          </w:p>
        </w:tc>
      </w:tr>
      <w:tr>
        <w:tc>
          <w:tcPr>
            <w:tcW w:type="dxa" w:w="26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12-month / YTD change</w:t>
            </w:r>
          </w:p>
        </w:tc>
        <w:tc>
          <w:tcPr>
            <w:tcW w:type="dxa" w:w="34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+74% / +22%</w:t>
            </w:r>
          </w:p>
        </w:tc>
        <w:tc>
          <w:tcPr>
            <w:tcW w:type="dxa" w:w="3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Secular advance intact</w:t>
            </w:r>
          </w:p>
        </w:tc>
      </w:tr>
    </w:tbl>
    <w:p>
      <w:pPr>
        <w:spacing w:after="60" w:before="0"/>
      </w:pPr>
      <w:r>
        <w:rPr>
          <w:rFonts w:ascii="Georgia" w:cs="Georgia" w:eastAsia="Georgia" w:hAnsi="Georgia"/>
          <w:b w:val="false"/>
          <w:bCs w:val="false"/>
          <w:i w:val="false"/>
          <w:iCs w:val="false"/>
          <w:color w:val="222222"/>
          <w:sz w:val="20"/>
          <w:szCs w:val="20"/>
        </w:rPr>
        <w:t xml:space="preserve"/>
      </w:r>
    </w:p>
    <w:p>
      <w:pPr>
        <w:spacing w:after="40" w:before="6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57500"/>
                    </a:xfrm>
                    <a:prstGeom prst="rect">
                      <a:avLst/>
                    </a:prstGeom>
                  </pic:spPr>
                </pic:pic>
              </a:graphicData>
            </a:graphic>
          </wp:inline>
        </w:drawing>
      </w:r>
    </w:p>
    <w:p>
      <w:pPr>
        <w:spacing w:after="160" w:before="0"/>
      </w:pPr>
      <w:r>
        <w:rPr>
          <w:rFonts w:ascii="Georgia" w:cs="Georgia" w:eastAsia="Georgia" w:hAnsi="Georgia"/>
          <w:b w:val="false"/>
          <w:bCs w:val="false"/>
          <w:i/>
          <w:iCs/>
          <w:color w:val="555555"/>
          <w:sz w:val="18"/>
          <w:szCs w:val="18"/>
        </w:rPr>
        <w:t xml:space="preserve">Figure 3 — Price versus the moving-average stack, last 260 sessions, with volume.</w:t>
      </w:r>
    </w:p>
    <w:p>
      <w:pPr>
        <w:spacing w:after="120" w:before="0"/>
      </w:pPr>
      <w:r>
        <w:rPr>
          <w:rFonts w:ascii="Georgia" w:cs="Georgia" w:eastAsia="Georgia" w:hAnsi="Georgia"/>
          <w:b w:val="false"/>
          <w:bCs w:val="false"/>
          <w:i w:val="false"/>
          <w:iCs w:val="false"/>
          <w:color w:val="222222"/>
          <w:sz w:val="20"/>
          <w:szCs w:val="20"/>
        </w:rPr>
        <w:t xml:space="preserve">For the probabilistic work this matters in one way: a trending, liquid, retail-driven tape justifies the secular drift the Step 0 backtest validated (Appendix B), and it fattens the near-term upside tail even as §1 argues the price is already rich. The technical and fundamental pictures genuinely disagree, and §6 reads the resulting probability zones without forcing a reconciliation.</w:t>
      </w:r>
    </w:p>
    <w:p>
      <w:pPr>
        <w:pBdr>
          <w:bottom w:val="single" w:color="C0A45F" w:sz="8"/>
        </w:pBdr>
        <w:spacing w:after="140" w:before="300"/>
      </w:pPr>
      <w:r>
        <w:rPr>
          <w:rFonts w:ascii="Arial" w:cs="Arial" w:eastAsia="Arial" w:hAnsi="Arial"/>
          <w:b/>
          <w:bCs/>
          <w:i w:val="false"/>
          <w:iCs w:val="false"/>
          <w:color w:val="1C3A36"/>
          <w:sz w:val="28"/>
          <w:szCs w:val="28"/>
        </w:rPr>
        <w:t xml:space="preserve">3  Monte Carlo — a probabilistic price map</w:t>
      </w:r>
    </w:p>
    <w:p>
      <w:pPr>
        <w:spacing w:after="120" w:before="0"/>
      </w:pPr>
      <w:r>
        <w:rPr>
          <w:rFonts w:ascii="Georgia" w:cs="Georgia" w:eastAsia="Georgia" w:hAnsi="Georgia"/>
          <w:b w:val="false"/>
          <w:bCs w:val="false"/>
          <w:i w:val="false"/>
          <w:iCs w:val="false"/>
          <w:color w:val="222222"/>
          <w:sz w:val="20"/>
          <w:szCs w:val="20"/>
        </w:rPr>
        <w:t xml:space="preserve">We simulate 50,000 three-month price paths (seed 42) using a sixteen-factor stack: seven continuous macro/operating drivers contributing a small net forward drift, and nine discrete events that each fire with a probability and an impact. </w:t>
      </w:r>
      <w:r>
        <w:rPr>
          <w:rFonts w:ascii="Georgia" w:cs="Georgia" w:eastAsia="Georgia" w:hAnsi="Georgia"/>
          <w:b/>
          <w:bCs/>
          <w:i w:val="false"/>
          <w:iCs w:val="false"/>
          <w:color w:val="222222"/>
          <w:sz w:val="20"/>
          <w:szCs w:val="20"/>
        </w:rPr>
        <w:t xml:space="preserve">By design the paths diffuse from spot, and the §1 value gap is kept out of the drift</w:t>
      </w:r>
      <w:r>
        <w:rPr>
          <w:rFonts w:ascii="Georgia" w:cs="Georgia" w:eastAsia="Georgia" w:hAnsi="Georgia"/>
          <w:b w:val="false"/>
          <w:bCs w:val="false"/>
          <w:i w:val="false"/>
          <w:iCs w:val="false"/>
          <w:color w:val="222222"/>
          <w:sz w:val="20"/>
          <w:szCs w:val="20"/>
        </w:rPr>
        <w:t xml:space="preserve"> — the fundamental NAV gap lives in §1, not here; §3 maps where price could go from today, not where value sits. Diffusion width is sized by the v2 engine: a pooled log-HAR cascade (variance lags 1/5/22) on a gap-aware Yang-Zhang proxy projects the average daily variance over the next 60 sessions (annualized ≈ 38.3%), and innovations are unit-variance Student-t(5) via a per-path variance mixture — a tighter interquartile body with honest tails. The drift is asset-class-conditional and, for OIH, </w:t>
      </w:r>
      <w:r>
        <w:rPr>
          <w:rFonts w:ascii="Georgia" w:cs="Georgia" w:eastAsia="Georgia" w:hAnsi="Georgia"/>
          <w:b/>
          <w:bCs/>
          <w:i w:val="false"/>
          <w:iCs w:val="false"/>
          <w:color w:val="222222"/>
          <w:sz w:val="20"/>
          <w:szCs w:val="20"/>
        </w:rPr>
        <w:t xml:space="preserve">ON</w:t>
      </w:r>
      <w:r>
        <w:rPr>
          <w:rFonts w:ascii="Georgia" w:cs="Georgia" w:eastAsia="Georgia" w:hAnsi="Georgia"/>
          <w:b w:val="false"/>
          <w:bCs w:val="false"/>
          <w:i w:val="false"/>
          <w:iCs w:val="false"/>
          <w:color w:val="222222"/>
          <w:sz w:val="20"/>
          <w:szCs w:val="20"/>
        </w:rPr>
        <w:t xml:space="preserve">: the expanding-window secular mean of the stock’s own history (+9.8% per quarter), the configuration that beat the random-walk benchmark in Appendix B; the factor layer adds a further +1.9 points net, for a total median lift of +11.8% — the tape’s trend, not our NAV view.</w:t>
      </w:r>
    </w:p>
    <w:tbl>
      <w:tblPr>
        <w:tblW w:type="dxa" w:w="9400"/>
        <w:tblBorders>
          <w:top w:val="single" w:color="BBBBBB" w:sz="4"/>
          <w:left w:val="none"/>
          <w:bottom w:val="single" w:color="BBBBBB" w:sz="4"/>
          <w:right w:val="none"/>
          <w:insideH w:val="single" w:color="DDDDDD" w:sz="2"/>
          <w:insideV w:val="single" w:color="EEEEEE" w:sz="2"/>
        </w:tblBorders>
      </w:tblPr>
      <w:tblGrid>
        <w:gridCol w:w="3300"/>
        <w:gridCol w:w="700"/>
        <w:gridCol w:w="3300"/>
        <w:gridCol w:w="900"/>
        <w:gridCol w:w="1200"/>
      </w:tblGrid>
      <w:tr>
        <w:trPr>
          <w:tblHeader/>
        </w:trPr>
        <w:tc>
          <w:tcPr>
            <w:tcW w:type="dxa" w:w="3300"/>
            <w:shd w:fill="1C3A36" w:val="clear"/>
            <w:tcMar>
              <w:top w:type="dxa" w:w="40"/>
              <w:left w:type="dxa" w:w="80"/>
              <w:bottom w:type="dxa" w:w="40"/>
              <w:right w:type="dxa" w:w="80"/>
            </w:tcMar>
          </w:tcPr>
          <w:p>
            <w:pPr>
              <w:jc w:val="left"/>
            </w:pPr>
            <w:r>
              <w:rPr>
                <w:rFonts w:ascii="Arial" w:cs="Arial" w:eastAsia="Arial" w:hAnsi="Arial"/>
                <w:b/>
                <w:bCs/>
                <w:i w:val="false"/>
                <w:iCs w:val="false"/>
                <w:color w:val="FFFFFF"/>
                <w:sz w:val="15"/>
                <w:szCs w:val="15"/>
              </w:rPr>
              <w:t xml:space="preserve">Continuous factor (7)</w:t>
            </w:r>
          </w:p>
        </w:tc>
        <w:tc>
          <w:tcPr>
            <w:tcW w:type="dxa" w:w="7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5"/>
                <w:szCs w:val="15"/>
              </w:rPr>
              <w:t xml:space="preserve">Dir.</w:t>
            </w:r>
          </w:p>
        </w:tc>
        <w:tc>
          <w:tcPr>
            <w:tcW w:type="dxa" w:w="33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5"/>
                <w:szCs w:val="15"/>
              </w:rPr>
              <w:t xml:space="preserve">Discrete event (9)</w:t>
            </w:r>
          </w:p>
        </w:tc>
        <w:tc>
          <w:tcPr>
            <w:tcW w:type="dxa" w:w="9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5"/>
                <w:szCs w:val="15"/>
              </w:rPr>
              <w:t xml:space="preserve">Prob.</w:t>
            </w:r>
          </w:p>
        </w:tc>
        <w:tc>
          <w:tcPr>
            <w:tcW w:type="dxa" w:w="12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5"/>
                <w:szCs w:val="15"/>
              </w:rPr>
              <w:t xml:space="preserve">Mean impact</w:t>
            </w:r>
          </w:p>
        </w:tc>
      </w:tr>
      <w:tr>
        <w:tc>
          <w:tcPr>
            <w:tcW w:type="dxa" w:w="33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EGP/USD rate</w:t>
            </w:r>
          </w:p>
        </w:tc>
        <w:tc>
          <w:tcPr>
            <w:tcW w:type="dxa" w:w="7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Geopolitical / regional security</w:t>
            </w:r>
          </w:p>
        </w:tc>
        <w:tc>
          <w:tcPr>
            <w:tcW w:type="dxa" w:w="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30%</w:t>
            </w:r>
          </w:p>
        </w:tc>
        <w:tc>
          <w:tcPr>
            <w:tcW w:type="dxa" w:w="12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-12.0%</w:t>
            </w:r>
          </w:p>
        </w:tc>
      </w:tr>
      <w:tr>
        <w:tc>
          <w:tcPr>
            <w:tcW w:type="dxa" w:w="33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CBE rate</w:t>
            </w:r>
          </w:p>
        </w:tc>
        <w:tc>
          <w:tcPr>
            <w:tcW w:type="dxa" w:w="7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Holdco-discount regime shift</w:t>
            </w:r>
          </w:p>
        </w:tc>
        <w:tc>
          <w:tcPr>
            <w:tcW w:type="dxa" w:w="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30%</w:t>
            </w:r>
          </w:p>
        </w:tc>
        <w:tc>
          <w:tcPr>
            <w:tcW w:type="dxa" w:w="12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+4.0%</w:t>
            </w:r>
          </w:p>
        </w:tc>
      </w:tr>
      <w:tr>
        <w:tc>
          <w:tcPr>
            <w:tcW w:type="dxa" w:w="33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EGX30 &amp; foreign flows</w:t>
            </w:r>
          </w:p>
        </w:tc>
        <w:tc>
          <w:tcPr>
            <w:tcW w:type="dxa" w:w="7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NK sanctions / repatriation event</w:t>
            </w:r>
          </w:p>
        </w:tc>
        <w:tc>
          <w:tcPr>
            <w:tcW w:type="dxa" w:w="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20%</w:t>
            </w:r>
          </w:p>
        </w:tc>
        <w:tc>
          <w:tcPr>
            <w:tcW w:type="dxa" w:w="12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+2.0%</w:t>
            </w:r>
          </w:p>
        </w:tc>
      </w:tr>
      <w:tr>
        <w:tc>
          <w:tcPr>
            <w:tcW w:type="dxa" w:w="33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Tourism / Giza footfall (GEM effect)</w:t>
            </w:r>
          </w:p>
        </w:tc>
        <w:tc>
          <w:tcPr>
            <w:tcW w:type="dxa" w:w="7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OPE concession / government-relations event</w:t>
            </w:r>
          </w:p>
        </w:tc>
        <w:tc>
          <w:tcPr>
            <w:tcW w:type="dxa" w:w="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25%</w:t>
            </w:r>
          </w:p>
        </w:tc>
        <w:tc>
          <w:tcPr>
            <w:tcW w:type="dxa" w:w="12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-3.0%</w:t>
            </w:r>
          </w:p>
        </w:tc>
      </w:tr>
      <w:tr>
        <w:tc>
          <w:tcPr>
            <w:tcW w:type="dxa" w:w="33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Inflation (CPI)</w:t>
            </w:r>
          </w:p>
        </w:tc>
        <w:tc>
          <w:tcPr>
            <w:tcW w:type="dxa" w:w="7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mixed</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Subsidiary catalyst (OPE expansion / new destination)</w:t>
            </w:r>
          </w:p>
        </w:tc>
        <w:tc>
          <w:tcPr>
            <w:tcW w:type="dxa" w:w="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35%</w:t>
            </w:r>
          </w:p>
        </w:tc>
        <w:tc>
          <w:tcPr>
            <w:tcW w:type="dxa" w:w="12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+5.0%</w:t>
            </w:r>
          </w:p>
        </w:tc>
      </w:tr>
      <w:tr>
        <w:tc>
          <w:tcPr>
            <w:tcW w:type="dxa" w:w="33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USD rates / EM risk appetite</w:t>
            </w:r>
          </w:p>
        </w:tc>
        <w:tc>
          <w:tcPr>
            <w:tcW w:type="dxa" w:w="7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Debt restructuring / KL-loan event</w:t>
            </w:r>
          </w:p>
        </w:tc>
        <w:tc>
          <w:tcPr>
            <w:tcW w:type="dxa" w:w="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30%</w:t>
            </w:r>
          </w:p>
        </w:tc>
        <w:tc>
          <w:tcPr>
            <w:tcW w:type="dxa" w:w="12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+2.0%</w:t>
            </w:r>
          </w:p>
        </w:tc>
      </w:tr>
      <w:tr>
        <w:tc>
          <w:tcPr>
            <w:tcW w:type="dxa" w:w="33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Retail-liquidity regime</w:t>
            </w:r>
          </w:p>
        </w:tc>
        <w:tc>
          <w:tcPr>
            <w:tcW w:type="dxa" w:w="7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Portfolio monetization / exit</w:t>
            </w:r>
          </w:p>
        </w:tc>
        <w:tc>
          <w:tcPr>
            <w:tcW w:type="dxa" w:w="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25%</w:t>
            </w:r>
          </w:p>
        </w:tc>
        <w:tc>
          <w:tcPr>
            <w:tcW w:type="dxa" w:w="12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+4.0%</w:t>
            </w:r>
          </w:p>
        </w:tc>
      </w:tr>
      <w:tr>
        <w:tc>
          <w:tcPr>
            <w:tcW w:type="dxa" w:w="33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
            </w:r>
          </w:p>
        </w:tc>
        <w:tc>
          <w:tcPr>
            <w:tcW w:type="dxa" w:w="7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Earnings surprise (FY25 / H1-26 prints)</w:t>
            </w:r>
          </w:p>
        </w:tc>
        <w:tc>
          <w:tcPr>
            <w:tcW w:type="dxa" w:w="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50%</w:t>
            </w:r>
          </w:p>
        </w:tc>
        <w:tc>
          <w:tcPr>
            <w:tcW w:type="dxa" w:w="12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+1.0%</w:t>
            </w:r>
          </w:p>
        </w:tc>
      </w:tr>
      <w:tr>
        <w:tc>
          <w:tcPr>
            <w:tcW w:type="dxa" w:w="33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
            </w:r>
          </w:p>
        </w:tc>
        <w:tc>
          <w:tcPr>
            <w:tcW w:type="dxa" w:w="7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Capital action / related-party transaction</w:t>
            </w:r>
          </w:p>
        </w:tc>
        <w:tc>
          <w:tcPr>
            <w:tcW w:type="dxa" w:w="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25%</w:t>
            </w:r>
          </w:p>
        </w:tc>
        <w:tc>
          <w:tcPr>
            <w:tcW w:type="dxa" w:w="12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-3.0%</w:t>
            </w:r>
          </w:p>
        </w:tc>
      </w:tr>
    </w:tbl>
    <w:p>
      <w:pPr>
        <w:spacing w:after="60" w:before="0"/>
      </w:pPr>
      <w:r>
        <w:rPr>
          <w:rFonts w:ascii="Georgia" w:cs="Georgia" w:eastAsia="Georgia" w:hAnsi="Georgia"/>
          <w:b w:val="false"/>
          <w:bCs w:val="false"/>
          <w:i w:val="false"/>
          <w:iCs w:val="false"/>
          <w:color w:val="222222"/>
          <w:sz w:val="20"/>
          <w:szCs w:val="20"/>
        </w:rPr>
        <w:t xml:space="preserve"/>
      </w:r>
    </w:p>
    <w:p>
      <w:pPr>
        <w:spacing w:after="120" w:before="0"/>
      </w:pPr>
      <w:r>
        <w:rPr>
          <w:rFonts w:ascii="Georgia" w:cs="Georgia" w:eastAsia="Georgia" w:hAnsi="Georgia"/>
          <w:b w:val="false"/>
          <w:bCs w:val="false"/>
          <w:i w:val="false"/>
          <w:iCs w:val="false"/>
          <w:color w:val="222222"/>
          <w:sz w:val="20"/>
          <w:szCs w:val="20"/>
        </w:rPr>
        <w:t xml:space="preserve">The factor set is the EGX-holdco library set adapted to OIH’s actual mix — tourism/GEM footfall replaces the energy complex, the FX sign flips positive (OIH is net-long USD), and the DPRK repatriation event enters with a wide two-sided spread. It is flagged </w:t>
      </w:r>
      <w:r>
        <w:rPr>
          <w:rFonts w:ascii="Georgia" w:cs="Georgia" w:eastAsia="Georgia" w:hAnsi="Georgia"/>
          <w:b/>
          <w:bCs/>
          <w:i w:val="false"/>
          <w:iCs w:val="false"/>
          <w:color w:val="222222"/>
          <w:sz w:val="20"/>
          <w:szCs w:val="20"/>
        </w:rPr>
        <w:t xml:space="preserve">calibrated = false</w:t>
      </w:r>
      <w:r>
        <w:rPr>
          <w:rFonts w:ascii="Georgia" w:cs="Georgia" w:eastAsia="Georgia" w:hAnsi="Georgia"/>
          <w:b w:val="false"/>
          <w:bCs w:val="false"/>
          <w:i w:val="false"/>
          <w:iCs w:val="false"/>
          <w:color w:val="222222"/>
          <w:sz w:val="20"/>
          <w:szCs w:val="20"/>
        </w:rPr>
        <w:t xml:space="preserve"> pending sign-off; its net contribution is deliberately held near zero so the validated diffusion carries the forecast.</w:t>
      </w:r>
    </w:p>
    <w:p>
      <w:pPr>
        <w:spacing w:after="120" w:before="0"/>
      </w:pPr>
      <w:r>
        <w:rPr>
          <w:rFonts w:ascii="Georgia" w:cs="Georgia" w:eastAsia="Georgia" w:hAnsi="Georgia"/>
          <w:b/>
          <w:bCs/>
          <w:i w:val="false"/>
          <w:iCs w:val="false"/>
          <w:color w:val="222222"/>
          <w:sz w:val="20"/>
          <w:szCs w:val="20"/>
        </w:rPr>
        <w:t xml:space="preserve">Percentile map (EGP/share):</w:t>
      </w:r>
    </w:p>
    <w:tbl>
      <w:tblPr>
        <w:tblW w:type="dxa" w:w="9400"/>
        <w:tblBorders>
          <w:top w:val="single" w:color="BBBBBB" w:sz="4"/>
          <w:left w:val="none"/>
          <w:bottom w:val="single" w:color="BBBBBB" w:sz="4"/>
          <w:right w:val="none"/>
          <w:insideH w:val="single" w:color="DDDDDD" w:sz="2"/>
          <w:insideV w:val="single" w:color="EEEEEE" w:sz="2"/>
        </w:tblBorders>
      </w:tblPr>
      <w:tblGrid>
        <w:gridCol w:w="2400"/>
        <w:gridCol w:w="1400"/>
        <w:gridCol w:w="1400"/>
        <w:gridCol w:w="1400"/>
        <w:gridCol w:w="1400"/>
        <w:gridCol w:w="1400"/>
      </w:tblGrid>
      <w:tr>
        <w:trPr>
          <w:tblHeader/>
        </w:trPr>
        <w:tc>
          <w:tcPr>
            <w:tcW w:type="dxa" w:w="2400"/>
            <w:shd w:fill="1C3A36" w:val="clear"/>
            <w:tcMar>
              <w:top w:type="dxa" w:w="40"/>
              <w:left w:type="dxa" w:w="80"/>
              <w:bottom w:type="dxa" w:w="40"/>
              <w:right w:type="dxa" w:w="80"/>
            </w:tcMar>
          </w:tcPr>
          <w:p>
            <w:pPr>
              <w:jc w:val="left"/>
            </w:pPr>
            <w:r>
              <w:rPr>
                <w:rFonts w:ascii="Arial" w:cs="Arial" w:eastAsia="Arial" w:hAnsi="Arial"/>
                <w:b/>
                <w:bCs/>
                <w:i w:val="false"/>
                <w:iCs w:val="false"/>
                <w:color w:val="FFFFFF"/>
                <w:sz w:val="17"/>
                <w:szCs w:val="17"/>
              </w:rPr>
              <w:t xml:space="preserve">Horizon</w:t>
            </w:r>
          </w:p>
        </w:tc>
        <w:tc>
          <w:tcPr>
            <w:tcW w:type="dxa" w:w="14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7"/>
                <w:szCs w:val="17"/>
              </w:rPr>
              <w:t xml:space="preserve">p5</w:t>
            </w:r>
          </w:p>
        </w:tc>
        <w:tc>
          <w:tcPr>
            <w:tcW w:type="dxa" w:w="14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7"/>
                <w:szCs w:val="17"/>
              </w:rPr>
              <w:t xml:space="preserve">p25</w:t>
            </w:r>
          </w:p>
        </w:tc>
        <w:tc>
          <w:tcPr>
            <w:tcW w:type="dxa" w:w="14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7"/>
                <w:szCs w:val="17"/>
              </w:rPr>
              <w:t xml:space="preserve">p50</w:t>
            </w:r>
          </w:p>
        </w:tc>
        <w:tc>
          <w:tcPr>
            <w:tcW w:type="dxa" w:w="14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7"/>
                <w:szCs w:val="17"/>
              </w:rPr>
              <w:t xml:space="preserve">p75</w:t>
            </w:r>
          </w:p>
        </w:tc>
        <w:tc>
          <w:tcPr>
            <w:tcW w:type="dxa" w:w="14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7"/>
                <w:szCs w:val="17"/>
              </w:rPr>
              <w:t xml:space="preserve">p95</w:t>
            </w:r>
          </w:p>
        </w:tc>
      </w:tr>
      <w:tr>
        <w:tc>
          <w:tcPr>
            <w:tcW w:type="dxa" w:w="24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T+20 sessions</w:t>
            </w:r>
          </w:p>
        </w:tc>
        <w:tc>
          <w:tcPr>
            <w:tcW w:type="dxa" w:w="14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1.18</w:t>
            </w:r>
          </w:p>
        </w:tc>
        <w:tc>
          <w:tcPr>
            <w:tcW w:type="dxa" w:w="14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1.35</w:t>
            </w:r>
          </w:p>
        </w:tc>
        <w:tc>
          <w:tcPr>
            <w:tcW w:type="dxa" w:w="14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1.46</w:t>
            </w:r>
          </w:p>
        </w:tc>
        <w:tc>
          <w:tcPr>
            <w:tcW w:type="dxa" w:w="14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1.58</w:t>
            </w:r>
          </w:p>
        </w:tc>
        <w:tc>
          <w:tcPr>
            <w:tcW w:type="dxa" w:w="14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1.80</w:t>
            </w:r>
          </w:p>
        </w:tc>
      </w:tr>
      <w:tr>
        <w:tc>
          <w:tcPr>
            <w:tcW w:type="dxa" w:w="24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T+60 sessions</w:t>
            </w:r>
          </w:p>
        </w:tc>
        <w:tc>
          <w:tcPr>
            <w:tcW w:type="dxa" w:w="14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1.09</w:t>
            </w:r>
          </w:p>
        </w:tc>
        <w:tc>
          <w:tcPr>
            <w:tcW w:type="dxa" w:w="14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1.36</w:t>
            </w:r>
          </w:p>
        </w:tc>
        <w:tc>
          <w:tcPr>
            <w:tcW w:type="dxa" w:w="14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1.57</w:t>
            </w:r>
          </w:p>
        </w:tc>
        <w:tc>
          <w:tcPr>
            <w:tcW w:type="dxa" w:w="14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1.80</w:t>
            </w:r>
          </w:p>
        </w:tc>
        <w:tc>
          <w:tcPr>
            <w:tcW w:type="dxa" w:w="14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2.23</w:t>
            </w:r>
          </w:p>
        </w:tc>
      </w:tr>
    </w:tbl>
    <w:p>
      <w:pPr>
        <w:spacing w:after="60" w:before="0"/>
      </w:pPr>
      <w:r>
        <w:rPr>
          <w:rFonts w:ascii="Georgia" w:cs="Georgia" w:eastAsia="Georgia" w:hAnsi="Georgia"/>
          <w:b w:val="false"/>
          <w:bCs w:val="false"/>
          <w:i w:val="false"/>
          <w:iCs w:val="false"/>
          <w:color w:val="222222"/>
          <w:sz w:val="20"/>
          <w:szCs w:val="20"/>
        </w:rPr>
        <w:t xml:space="preserve"/>
      </w:r>
    </w:p>
    <w:p>
      <w:pPr>
        <w:spacing w:after="120" w:before="0"/>
      </w:pPr>
      <w:r>
        <w:rPr>
          <w:rFonts w:ascii="Georgia" w:cs="Georgia" w:eastAsia="Georgia" w:hAnsi="Georgia"/>
          <w:b w:val="false"/>
          <w:bCs w:val="false"/>
          <w:i w:val="false"/>
          <w:iCs w:val="false"/>
          <w:color w:val="222222"/>
          <w:sz w:val="20"/>
          <w:szCs w:val="20"/>
        </w:rPr>
        <w:t xml:space="preserve">Lead with the body, not the tails: the </w:t>
      </w:r>
      <w:r>
        <w:rPr>
          <w:rFonts w:ascii="Georgia" w:cs="Georgia" w:eastAsia="Georgia" w:hAnsi="Georgia"/>
          <w:b/>
          <w:bCs/>
          <w:i w:val="false"/>
          <w:iCs w:val="false"/>
          <w:color w:val="222222"/>
          <w:sz w:val="20"/>
          <w:szCs w:val="20"/>
        </w:rPr>
        <w:t xml:space="preserve">50% interquartile band at T+60 is EGP 1.36–1.80</w:t>
      </w:r>
      <w:r>
        <w:rPr>
          <w:rFonts w:ascii="Georgia" w:cs="Georgia" w:eastAsia="Georgia" w:hAnsi="Georgia"/>
          <w:b w:val="false"/>
          <w:bCs w:val="false"/>
          <w:i w:val="false"/>
          <w:iCs w:val="false"/>
          <w:color w:val="222222"/>
          <w:sz w:val="20"/>
          <w:szCs w:val="20"/>
        </w:rPr>
        <w:t xml:space="preserve"> (a width of ~31% of spot — the instrument’s genuine quarter-ahead uncertainty, not padding) and at T+20 it is EGP 1.35–1.58. The median drifts to 1.57 because the drift is the tape’s; a reader who believes §1’s valuation should read the left half of these distributions with particular care.</w:t>
      </w:r>
    </w:p>
    <w:p>
      <w:pPr>
        <w:spacing w:after="40" w:before="60"/>
        <w:jc w:val="center"/>
      </w:pPr>
      <w:r>
        <w:drawing>
          <wp:inline distT="0" distB="0" distL="0" distR="0">
            <wp:extent cx="5334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00325"/>
                    </a:xfrm>
                    <a:prstGeom prst="rect">
                      <a:avLst/>
                    </a:prstGeom>
                  </pic:spPr>
                </pic:pic>
              </a:graphicData>
            </a:graphic>
          </wp:inline>
        </w:drawing>
      </w:r>
    </w:p>
    <w:p>
      <w:pPr>
        <w:spacing w:after="160" w:before="0"/>
      </w:pPr>
      <w:r>
        <w:rPr>
          <w:rFonts w:ascii="Georgia" w:cs="Georgia" w:eastAsia="Georgia" w:hAnsi="Georgia"/>
          <w:b w:val="false"/>
          <w:bCs w:val="false"/>
          <w:i/>
          <w:iCs/>
          <w:color w:val="555555"/>
          <w:sz w:val="18"/>
          <w:szCs w:val="18"/>
        </w:rPr>
        <w:t xml:space="preserve">Figure 4 — Forward price cone to T+60. The teal dashed line marks the EGP 0.78 fundamental central value, deliberately below the cone: these paths diffuse from spot and do not embed the fundamental NAV — the value gap of §1 is kept out of the drift.</w:t>
      </w:r>
    </w:p>
    <w:p>
      <w:pPr>
        <w:spacing w:after="40" w:before="60"/>
        <w:jc w:val="center"/>
      </w:pPr>
      <w:r>
        <w:drawing>
          <wp:inline distT="0" distB="0" distL="0" distR="0">
            <wp:extent cx="53340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105025"/>
                    </a:xfrm>
                    <a:prstGeom prst="rect">
                      <a:avLst/>
                    </a:prstGeom>
                  </pic:spPr>
                </pic:pic>
              </a:graphicData>
            </a:graphic>
          </wp:inline>
        </w:drawing>
      </w:r>
    </w:p>
    <w:p>
      <w:pPr>
        <w:spacing w:after="160" w:before="0"/>
      </w:pPr>
      <w:r>
        <w:rPr>
          <w:rFonts w:ascii="Georgia" w:cs="Georgia" w:eastAsia="Georgia" w:hAnsi="Georgia"/>
          <w:b w:val="false"/>
          <w:bCs w:val="false"/>
          <w:i/>
          <w:iCs/>
          <w:color w:val="555555"/>
          <w:sz w:val="18"/>
          <w:szCs w:val="18"/>
        </w:rPr>
        <w:t xml:space="preserve">Figure 5 — Price distribution at T+20.</w:t>
      </w:r>
    </w:p>
    <w:p>
      <w:pPr>
        <w:spacing w:after="40" w:before="60"/>
        <w:jc w:val="center"/>
      </w:pPr>
      <w:r>
        <w:drawing>
          <wp:inline distT="0" distB="0" distL="0" distR="0">
            <wp:extent cx="53340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105025"/>
                    </a:xfrm>
                    <a:prstGeom prst="rect">
                      <a:avLst/>
                    </a:prstGeom>
                  </pic:spPr>
                </pic:pic>
              </a:graphicData>
            </a:graphic>
          </wp:inline>
        </w:drawing>
      </w:r>
    </w:p>
    <w:p>
      <w:pPr>
        <w:spacing w:after="160" w:before="0"/>
      </w:pPr>
      <w:r>
        <w:rPr>
          <w:rFonts w:ascii="Georgia" w:cs="Georgia" w:eastAsia="Georgia" w:hAnsi="Georgia"/>
          <w:b w:val="false"/>
          <w:bCs w:val="false"/>
          <w:i/>
          <w:iCs/>
          <w:color w:val="555555"/>
          <w:sz w:val="18"/>
          <w:szCs w:val="18"/>
        </w:rPr>
        <w:t xml:space="preserve">Figure 6 — Price distribution at T+60.</w:t>
      </w:r>
    </w:p>
    <w:p>
      <w:pPr>
        <w:spacing w:after="120" w:before="0"/>
      </w:pPr>
      <w:r>
        <w:rPr>
          <w:rFonts w:ascii="Georgia" w:cs="Georgia" w:eastAsia="Georgia" w:hAnsi="Georgia"/>
          <w:b/>
          <w:bCs/>
          <w:i w:val="false"/>
          <w:iCs w:val="false"/>
          <w:color w:val="222222"/>
          <w:sz w:val="20"/>
          <w:szCs w:val="20"/>
        </w:rPr>
        <w:t xml:space="preserve">Level-touch ladder</w:t>
      </w:r>
      <w:r>
        <w:rPr>
          <w:rFonts w:ascii="Georgia" w:cs="Georgia" w:eastAsia="Georgia" w:hAnsi="Georgia"/>
          <w:b w:val="false"/>
          <w:bCs w:val="false"/>
          <w:i w:val="false"/>
          <w:iCs w:val="false"/>
          <w:color w:val="222222"/>
          <w:sz w:val="20"/>
          <w:szCs w:val="20"/>
        </w:rPr>
        <w:t xml:space="preserve"> — the probability that price touches a level at any point by the horizon (running max for upside, running min for downside):</w:t>
      </w:r>
    </w:p>
    <w:tbl>
      <w:tblPr>
        <w:tblW w:type="dxa" w:w="9500"/>
        <w:tblBorders>
          <w:top w:val="single" w:color="BBBBBB" w:sz="4"/>
          <w:left w:val="none"/>
          <w:bottom w:val="single" w:color="BBBBBB" w:sz="4"/>
          <w:right w:val="none"/>
          <w:insideH w:val="single" w:color="DDDDDD" w:sz="2"/>
          <w:insideV w:val="single" w:color="EEEEEE" w:sz="2"/>
        </w:tblBorders>
      </w:tblPr>
      <w:tblGrid>
        <w:gridCol w:w="1600"/>
        <w:gridCol w:w="1500"/>
        <w:gridCol w:w="1500"/>
        <w:gridCol w:w="4900"/>
      </w:tblGrid>
      <w:tr>
        <w:trPr>
          <w:tblHeader/>
        </w:trPr>
        <w:tc>
          <w:tcPr>
            <w:tcW w:type="dxa" w:w="1600"/>
            <w:shd w:fill="1C3A36" w:val="clear"/>
            <w:tcMar>
              <w:top w:type="dxa" w:w="40"/>
              <w:left w:type="dxa" w:w="80"/>
              <w:bottom w:type="dxa" w:w="40"/>
              <w:right w:type="dxa" w:w="80"/>
            </w:tcMar>
          </w:tcPr>
          <w:p>
            <w:pPr>
              <w:jc w:val="left"/>
            </w:pPr>
            <w:r>
              <w:rPr>
                <w:rFonts w:ascii="Arial" w:cs="Arial" w:eastAsia="Arial" w:hAnsi="Arial"/>
                <w:b/>
                <w:bCs/>
                <w:i w:val="false"/>
                <w:iCs w:val="false"/>
                <w:color w:val="FFFFFF"/>
                <w:sz w:val="16"/>
                <w:szCs w:val="16"/>
              </w:rPr>
              <w:t xml:space="preserve">Level</w:t>
            </w:r>
          </w:p>
        </w:tc>
        <w:tc>
          <w:tcPr>
            <w:tcW w:type="dxa" w:w="15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6"/>
                <w:szCs w:val="16"/>
              </w:rPr>
              <w:t xml:space="preserve">T+20 touch</w:t>
            </w:r>
          </w:p>
        </w:tc>
        <w:tc>
          <w:tcPr>
            <w:tcW w:type="dxa" w:w="15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6"/>
                <w:szCs w:val="16"/>
              </w:rPr>
              <w:t xml:space="preserve">T+60 touch</w:t>
            </w:r>
          </w:p>
        </w:tc>
        <w:tc>
          <w:tcPr>
            <w:tcW w:type="dxa" w:w="49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6"/>
                <w:szCs w:val="16"/>
              </w:rPr>
              <w:t xml:space="preserve">Note</w:t>
            </w:r>
          </w:p>
        </w:tc>
      </w:tr>
      <w:tr>
        <w:tc>
          <w:tcPr>
            <w:tcW w:type="dxa" w:w="16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EGP 2.20</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0.5%</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8.4%</w:t>
            </w:r>
          </w:p>
        </w:tc>
        <w:tc>
          <w:tcPr>
            <w:tcW w:type="dxa" w:w="4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2× the Jan-2021 listing decade high zone</w:t>
            </w:r>
          </w:p>
        </w:tc>
      </w:tr>
      <w:tr>
        <w:tc>
          <w:tcPr>
            <w:tcW w:type="dxa" w:w="16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EGP 2.00</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1.7%</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17.8%</w:t>
            </w:r>
          </w:p>
        </w:tc>
        <w:tc>
          <w:tcPr>
            <w:tcW w:type="dxa" w:w="4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
            </w:r>
          </w:p>
        </w:tc>
      </w:tr>
      <w:tr>
        <w:tc>
          <w:tcPr>
            <w:tcW w:type="dxa" w:w="16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EGP 1.80</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7.1%</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36.3%</w:t>
            </w:r>
          </w:p>
        </w:tc>
        <w:tc>
          <w:tcPr>
            <w:tcW w:type="dxa" w:w="4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p75 at T+60</w:t>
            </w:r>
          </w:p>
        </w:tc>
      </w:tr>
      <w:tr>
        <w:tc>
          <w:tcPr>
            <w:tcW w:type="dxa" w:w="16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EGP 1.60</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30.9%</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65.9%</w:t>
            </w:r>
          </w:p>
        </w:tc>
        <w:tc>
          <w:tcPr>
            <w:tcW w:type="dxa" w:w="4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The March high 1.58 sits just below</w:t>
            </w:r>
          </w:p>
        </w:tc>
      </w:tr>
      <w:tr>
        <w:tc>
          <w:tcPr>
            <w:tcW w:type="dxa" w:w="16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EGP 1.50</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59.4%</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82.6%</w:t>
            </w:r>
          </w:p>
        </w:tc>
        <w:tc>
          <w:tcPr>
            <w:tcW w:type="dxa" w:w="4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First resistance band</w:t>
            </w:r>
          </w:p>
        </w:tc>
      </w:tr>
      <w:tr>
        <w:tc>
          <w:tcPr>
            <w:tcW w:type="dxa" w:w="16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EGP 1.30</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29.7%</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45.8%</w:t>
            </w:r>
          </w:p>
        </w:tc>
        <w:tc>
          <w:tcPr>
            <w:tcW w:type="dxa" w:w="4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The 200-day rises toward here</w:t>
            </w:r>
          </w:p>
        </w:tc>
      </w:tr>
      <w:tr>
        <w:tc>
          <w:tcPr>
            <w:tcW w:type="dxa" w:w="16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EGP 1.20</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11.3%</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24.9%</w:t>
            </w:r>
          </w:p>
        </w:tc>
        <w:tc>
          <w:tcPr>
            <w:tcW w:type="dxa" w:w="4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Spring consolidation shelf</w:t>
            </w:r>
          </w:p>
        </w:tc>
      </w:tr>
      <w:tr>
        <w:tc>
          <w:tcPr>
            <w:tcW w:type="dxa" w:w="16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EGP 1.10</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3.7%</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12.1%</w:t>
            </w:r>
          </w:p>
        </w:tc>
        <w:tc>
          <w:tcPr>
            <w:tcW w:type="dxa" w:w="4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Post-breakout support</w:t>
            </w:r>
          </w:p>
        </w:tc>
      </w:tr>
      <w:tr>
        <w:tc>
          <w:tcPr>
            <w:tcW w:type="dxa" w:w="16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EGP 1.00</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1.0%</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5.4%</w:t>
            </w:r>
          </w:p>
        </w:tc>
        <w:tc>
          <w:tcPr>
            <w:tcW w:type="dxa" w:w="4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
            </w:r>
          </w:p>
        </w:tc>
      </w:tr>
      <w:tr>
        <w:tc>
          <w:tcPr>
            <w:tcW w:type="dxa" w:w="16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EGP 0.90</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0.3%</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2.2%</w:t>
            </w:r>
          </w:p>
        </w:tc>
        <w:tc>
          <w:tcPr>
            <w:tcW w:type="dxa" w:w="49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Only in a regime break</w:t>
            </w:r>
          </w:p>
        </w:tc>
      </w:tr>
    </w:tbl>
    <w:p>
      <w:pPr>
        <w:spacing w:after="60" w:before="0"/>
      </w:pPr>
      <w:r>
        <w:rPr>
          <w:rFonts w:ascii="Georgia" w:cs="Georgia" w:eastAsia="Georgia" w:hAnsi="Georgia"/>
          <w:b w:val="false"/>
          <w:bCs w:val="false"/>
          <w:i w:val="false"/>
          <w:iCs w:val="false"/>
          <w:color w:val="222222"/>
          <w:sz w:val="20"/>
          <w:szCs w:val="20"/>
        </w:rPr>
        <w:t xml:space="preserve"/>
      </w:r>
    </w:p>
    <w:p>
      <w:pPr>
        <w:pBdr>
          <w:bottom w:val="single" w:color="C0A45F" w:sz="8"/>
        </w:pBdr>
        <w:spacing w:after="140" w:before="300"/>
      </w:pPr>
      <w:r>
        <w:rPr>
          <w:rFonts w:ascii="Arial" w:cs="Arial" w:eastAsia="Arial" w:hAnsi="Arial"/>
          <w:b/>
          <w:bCs/>
          <w:i w:val="false"/>
          <w:iCs w:val="false"/>
          <w:color w:val="1C3A36"/>
          <w:sz w:val="28"/>
          <w:szCs w:val="28"/>
        </w:rPr>
        <w:t xml:space="preserve">4  Comparison of the lenses, and a verdict</w:t>
      </w:r>
    </w:p>
    <w:tbl>
      <w:tblPr>
        <w:tblW w:type="dxa" w:w="9600"/>
        <w:tblBorders>
          <w:top w:val="single" w:color="BBBBBB" w:sz="4"/>
          <w:left w:val="none"/>
          <w:bottom w:val="single" w:color="BBBBBB" w:sz="4"/>
          <w:right w:val="none"/>
          <w:insideH w:val="single" w:color="DDDDDD" w:sz="2"/>
          <w:insideV w:val="single" w:color="EEEEEE" w:sz="2"/>
        </w:tblBorders>
      </w:tblPr>
      <w:tblGrid>
        <w:gridCol w:w="3700"/>
        <w:gridCol w:w="3300"/>
        <w:gridCol w:w="2600"/>
      </w:tblGrid>
      <w:tr>
        <w:trPr>
          <w:tblHeader/>
        </w:trPr>
        <w:tc>
          <w:tcPr>
            <w:tcW w:type="dxa" w:w="3700"/>
            <w:shd w:fill="1C3A36" w:val="clear"/>
            <w:tcMar>
              <w:top w:type="dxa" w:w="40"/>
              <w:left w:type="dxa" w:w="80"/>
              <w:bottom w:type="dxa" w:w="40"/>
              <w:right w:type="dxa" w:w="80"/>
            </w:tcMar>
          </w:tcPr>
          <w:p>
            <w:pPr>
              <w:jc w:val="left"/>
            </w:pPr>
            <w:r>
              <w:rPr>
                <w:rFonts w:ascii="Arial" w:cs="Arial" w:eastAsia="Arial" w:hAnsi="Arial"/>
                <w:b/>
                <w:bCs/>
                <w:i w:val="false"/>
                <w:iCs w:val="false"/>
                <w:color w:val="FFFFFF"/>
                <w:sz w:val="17"/>
                <w:szCs w:val="17"/>
              </w:rPr>
              <w:t xml:space="preserve">Read</w:t>
            </w:r>
          </w:p>
        </w:tc>
        <w:tc>
          <w:tcPr>
            <w:tcW w:type="dxa" w:w="33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7"/>
                <w:szCs w:val="17"/>
              </w:rPr>
              <w:t xml:space="preserve">Value / state</w:t>
            </w:r>
          </w:p>
        </w:tc>
        <w:tc>
          <w:tcPr>
            <w:tcW w:type="dxa" w:w="26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7"/>
                <w:szCs w:val="17"/>
              </w:rPr>
              <w:t xml:space="preserve">Distance to spot</w:t>
            </w:r>
          </w:p>
        </w:tc>
      </w:tr>
      <w:tr>
        <w:tc>
          <w:tcPr>
            <w:tcW w:type="dxa" w:w="37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Weighted fundamental central</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EGP 0.78</w:t>
            </w:r>
          </w:p>
        </w:tc>
        <w:tc>
          <w:tcPr>
            <w:tcW w:type="dxa" w:w="2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−45%</w:t>
            </w:r>
          </w:p>
        </w:tc>
      </w:tr>
      <w:tr>
        <w:tc>
          <w:tcPr>
            <w:tcW w:type="dxa" w:w="37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Holdco NAV (primary)</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EGP 0.81</w:t>
            </w:r>
          </w:p>
        </w:tc>
        <w:tc>
          <w:tcPr>
            <w:tcW w:type="dxa" w:w="2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−42%</w:t>
            </w:r>
          </w:p>
        </w:tc>
      </w:tr>
      <w:tr>
        <w:tc>
          <w:tcPr>
            <w:tcW w:type="dxa" w:w="37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Consolidated DCF</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EGP 0.48</w:t>
            </w:r>
          </w:p>
        </w:tc>
        <w:tc>
          <w:tcPr>
            <w:tcW w:type="dxa" w:w="2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−66%</w:t>
            </w:r>
          </w:p>
        </w:tc>
      </w:tr>
      <w:tr>
        <w:tc>
          <w:tcPr>
            <w:tcW w:type="dxa" w:w="37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Relative P/NAV</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EGP 0.72</w:t>
            </w:r>
          </w:p>
        </w:tc>
        <w:tc>
          <w:tcPr>
            <w:tcW w:type="dxa" w:w="2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−49%</w:t>
            </w:r>
          </w:p>
        </w:tc>
      </w:tr>
      <w:tr>
        <w:tc>
          <w:tcPr>
            <w:tcW w:type="dxa" w:w="37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Normalized earnings</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EGP 1.03</w:t>
            </w:r>
          </w:p>
        </w:tc>
        <w:tc>
          <w:tcPr>
            <w:tcW w:type="dxa" w:w="2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−27%</w:t>
            </w:r>
          </w:p>
        </w:tc>
      </w:tr>
      <w:tr>
        <w:tc>
          <w:tcPr>
            <w:tcW w:type="dxa" w:w="37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Technical trend</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Uptrend, consolidating under the 50-day</w:t>
            </w:r>
          </w:p>
        </w:tc>
        <w:tc>
          <w:tcPr>
            <w:tcW w:type="dxa" w:w="2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w:t>
            </w:r>
          </w:p>
        </w:tc>
      </w:tr>
      <w:tr>
        <w:tc>
          <w:tcPr>
            <w:tcW w:type="dxa" w:w="37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Monte Carlo T+60 median / 50% band</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EGP 1.57 / 1.36–1.80</w:t>
            </w:r>
          </w:p>
        </w:tc>
        <w:tc>
          <w:tcPr>
            <w:tcW w:type="dxa" w:w="2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+11% / −4% to +28%</w:t>
            </w:r>
          </w:p>
        </w:tc>
      </w:tr>
      <w:tr>
        <w:tc>
          <w:tcPr>
            <w:tcW w:type="dxa" w:w="3700"/>
            <w:tcMar>
              <w:top w:type="dxa" w:w="40"/>
              <w:left w:type="dxa" w:w="80"/>
              <w:bottom w:type="dxa" w:w="40"/>
              <w:right w:type="dxa" w:w="80"/>
            </w:tcMar>
          </w:tcPr>
          <w:p>
            <w:pPr>
              <w:jc w:val="left"/>
            </w:pPr>
            <w:r>
              <w:rPr>
                <w:rFonts w:ascii="Arial" w:cs="Arial" w:eastAsia="Arial" w:hAnsi="Arial"/>
                <w:b w:val="false"/>
                <w:bCs w:val="false"/>
                <w:i w:val="false"/>
                <w:iCs w:val="false"/>
                <w:color w:val="222222"/>
                <w:sz w:val="17"/>
                <w:szCs w:val="17"/>
              </w:rPr>
              <w:t xml:space="preserve">Expert 1 / 2 / 3 (Appendix D)</w:t>
            </w:r>
          </w:p>
        </w:tc>
        <w:tc>
          <w:tcPr>
            <w:tcW w:type="dxa" w:w="33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EGP 0.81 / 0.37 / 1.18</w:t>
            </w:r>
          </w:p>
        </w:tc>
        <w:tc>
          <w:tcPr>
            <w:tcW w:type="dxa" w:w="2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7"/>
                <w:szCs w:val="17"/>
              </w:rPr>
              <w:t xml:space="preserve">−42% / −74% / −16%</w:t>
            </w:r>
          </w:p>
        </w:tc>
      </w:tr>
    </w:tbl>
    <w:p>
      <w:pPr>
        <w:spacing w:after="60" w:before="0"/>
      </w:pPr>
      <w:r>
        <w:rPr>
          <w:rFonts w:ascii="Georgia" w:cs="Georgia" w:eastAsia="Georgia" w:hAnsi="Georgia"/>
          <w:b w:val="false"/>
          <w:bCs w:val="false"/>
          <w:i w:val="false"/>
          <w:iCs w:val="false"/>
          <w:color w:val="222222"/>
          <w:sz w:val="20"/>
          <w:szCs w:val="20"/>
        </w:rPr>
        <w:t xml:space="preserve"/>
      </w:r>
    </w:p>
    <w:p>
      <w:pPr>
        <w:spacing w:after="120" w:before="0"/>
      </w:pPr>
      <w:r>
        <w:rPr>
          <w:rFonts w:ascii="Georgia" w:cs="Georgia" w:eastAsia="Georgia" w:hAnsi="Georgia"/>
          <w:b/>
          <w:bCs/>
          <w:i w:val="false"/>
          <w:iCs w:val="false"/>
          <w:color w:val="222222"/>
          <w:sz w:val="20"/>
          <w:szCs w:val="20"/>
        </w:rPr>
        <w:t xml:space="preserve">Verdict — hold the two clocks apart.</w:t>
      </w:r>
      <w:r>
        <w:rPr>
          <w:rFonts w:ascii="Georgia" w:cs="Georgia" w:eastAsia="Georgia" w:hAnsi="Georgia"/>
          <w:b w:val="false"/>
          <w:bCs w:val="false"/>
          <w:i w:val="false"/>
          <w:iCs w:val="false"/>
          <w:color w:val="222222"/>
          <w:sz w:val="20"/>
          <w:szCs w:val="20"/>
        </w:rPr>
        <w:t xml:space="preserve"> On the roughly twelve-month clock of the fundamental lenses, OIH is </w:t>
      </w:r>
      <w:r>
        <w:rPr>
          <w:rFonts w:ascii="Georgia" w:cs="Georgia" w:eastAsia="Georgia" w:hAnsi="Georgia"/>
          <w:b/>
          <w:bCs/>
          <w:i w:val="false"/>
          <w:iCs w:val="false"/>
          <w:color w:val="222222"/>
          <w:sz w:val="20"/>
          <w:szCs w:val="20"/>
        </w:rPr>
        <w:t xml:space="preserve">expensive against everything its books can currently prove</w:t>
      </w:r>
      <w:r>
        <w:rPr>
          <w:rFonts w:ascii="Georgia" w:cs="Georgia" w:eastAsia="Georgia" w:hAnsi="Georgia"/>
          <w:b w:val="false"/>
          <w:bCs w:val="false"/>
          <w:i w:val="false"/>
          <w:iCs w:val="false"/>
          <w:color w:val="222222"/>
          <w:sz w:val="20"/>
          <w:szCs w:val="20"/>
        </w:rPr>
        <w:t xml:space="preserve">: every base-case lens, and every expert including the most macro-friendly, sits below the tape; the price is only reachable in the bull column, where the DPRK cash comes home and the Pyramids platform matures without a revision of terms. On the three-month clock of the Monte Carlo, the validated engine says the trend itself is the most likely near-term path — a median of 1.57 with a 50% band of 1.36–1.80 — because momentum, retail liquidity and the tourism news cycle are real forces this quarter regardless of NAV arithmetic. Neither clock refutes the other, and this house publishes distributions, not tips: the honest statement is that </w:t>
      </w:r>
      <w:r>
        <w:rPr>
          <w:rFonts w:ascii="Georgia" w:cs="Georgia" w:eastAsia="Georgia" w:hAnsi="Georgia"/>
          <w:b/>
          <w:bCs/>
          <w:i w:val="false"/>
          <w:iCs w:val="false"/>
          <w:color w:val="222222"/>
          <w:sz w:val="20"/>
          <w:szCs w:val="20"/>
        </w:rPr>
        <w:t xml:space="preserve">the market is paying today for the bull scenario, and the tape may keep paying for it for a while</w:t>
      </w:r>
      <w:r>
        <w:rPr>
          <w:rFonts w:ascii="Georgia" w:cs="Georgia" w:eastAsia="Georgia" w:hAnsi="Georgia"/>
          <w:b w:val="false"/>
          <w:bCs w:val="false"/>
          <w:i w:val="false"/>
          <w:iCs w:val="false"/>
          <w:color w:val="222222"/>
          <w:sz w:val="20"/>
          <w:szCs w:val="20"/>
        </w:rPr>
        <w:t xml:space="preserve"> — with the full-execution, DPRK-recovered NAV of ~EGP 1.7–2.1 a multi-year ceiling that must never be read as a near-term figure. What would reconcile the clocks, in either direction, is listed in §5 and §7.</w:t>
      </w:r>
    </w:p>
    <w:p>
      <w:pPr>
        <w:pBdr>
          <w:bottom w:val="single" w:color="C0A45F" w:sz="8"/>
        </w:pBdr>
        <w:spacing w:after="140" w:before="300"/>
      </w:pPr>
      <w:r>
        <w:rPr>
          <w:rFonts w:ascii="Arial" w:cs="Arial" w:eastAsia="Arial" w:hAnsi="Arial"/>
          <w:b/>
          <w:bCs/>
          <w:i w:val="false"/>
          <w:iCs w:val="false"/>
          <w:color w:val="1C3A36"/>
          <w:sz w:val="28"/>
          <w:szCs w:val="28"/>
        </w:rPr>
        <w:t xml:space="preserve">5  Catalysts to watch</w:t>
      </w:r>
    </w:p>
    <w:tbl>
      <w:tblPr>
        <w:tblW w:type="dxa" w:w="9600"/>
        <w:tblBorders>
          <w:top w:val="single" w:color="BBBBBB" w:sz="4"/>
          <w:left w:val="none"/>
          <w:bottom w:val="single" w:color="BBBBBB" w:sz="4"/>
          <w:right w:val="none"/>
          <w:insideH w:val="single" w:color="DDDDDD" w:sz="2"/>
          <w:insideV w:val="single" w:color="EEEEEE" w:sz="2"/>
        </w:tblBorders>
      </w:tblPr>
      <w:tblGrid>
        <w:gridCol w:w="3700"/>
        <w:gridCol w:w="2100"/>
        <w:gridCol w:w="3800"/>
      </w:tblGrid>
      <w:tr>
        <w:trPr>
          <w:tblHeader/>
        </w:trPr>
        <w:tc>
          <w:tcPr>
            <w:tcW w:type="dxa" w:w="3700"/>
            <w:shd w:fill="1C3A36" w:val="clear"/>
            <w:tcMar>
              <w:top w:type="dxa" w:w="40"/>
              <w:left w:type="dxa" w:w="80"/>
              <w:bottom w:type="dxa" w:w="40"/>
              <w:right w:type="dxa" w:w="80"/>
            </w:tcMar>
          </w:tcPr>
          <w:p>
            <w:pPr>
              <w:jc w:val="left"/>
            </w:pPr>
            <w:r>
              <w:rPr>
                <w:rFonts w:ascii="Arial" w:cs="Arial" w:eastAsia="Arial" w:hAnsi="Arial"/>
                <w:b/>
                <w:bCs/>
                <w:i w:val="false"/>
                <w:iCs w:val="false"/>
                <w:color w:val="FFFFFF"/>
                <w:sz w:val="15"/>
                <w:szCs w:val="15"/>
              </w:rPr>
              <w:t xml:space="preserve">Catalyst</w:t>
            </w:r>
          </w:p>
        </w:tc>
        <w:tc>
          <w:tcPr>
            <w:tcW w:type="dxa" w:w="21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5"/>
                <w:szCs w:val="15"/>
              </w:rPr>
              <w:t xml:space="preserve">Window</w:t>
            </w:r>
          </w:p>
        </w:tc>
        <w:tc>
          <w:tcPr>
            <w:tcW w:type="dxa" w:w="38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5"/>
                <w:szCs w:val="15"/>
              </w:rPr>
              <w:t xml:space="preserve">Direction / read</w:t>
            </w:r>
          </w:p>
        </w:tc>
      </w:tr>
      <w:tr>
        <w:tc>
          <w:tcPr>
            <w:tcW w:type="dxa" w:w="37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FY2025 EAS + IFRS statements (chronically late)</w:t>
            </w:r>
          </w:p>
        </w:tc>
        <w:tc>
          <w:tcPr>
            <w:tcW w:type="dxa" w:w="2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Q3–Q4 2026</w:t>
            </w:r>
          </w:p>
        </w:tc>
        <w:tc>
          <w:tcPr>
            <w:tcW w:type="dxa" w:w="38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First full-year look at OPE segment economics; an unqualified DPRK opinion would be a genuine event</w:t>
            </w:r>
          </w:p>
        </w:tc>
      </w:tr>
      <w:tr>
        <w:tc>
          <w:tcPr>
            <w:tcW w:type="dxa" w:w="37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H1-2026 EAS results</w:t>
            </w:r>
          </w:p>
        </w:tc>
        <w:tc>
          <w:tcPr>
            <w:tcW w:type="dxa" w:w="2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~Oct 2026 (on past lags)</w:t>
            </w:r>
          </w:p>
        </w:tc>
        <w:tc>
          <w:tcPr>
            <w:tcW w:type="dxa" w:w="38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Whether the Q3-25 revenue step (EGP 278m in one quarter) annualises</w:t>
            </w:r>
          </w:p>
        </w:tc>
      </w:tr>
      <w:tr>
        <w:tc>
          <w:tcPr>
            <w:tcW w:type="dxa" w:w="37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Plateau season: GEM first full year, winter events, concerts</w:t>
            </w:r>
          </w:p>
        </w:tc>
        <w:tc>
          <w:tcPr>
            <w:tcW w:type="dxa" w:w="2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Continuous; peak Oct–Mar</w:t>
            </w:r>
          </w:p>
        </w:tc>
        <w:tc>
          <w:tcPr>
            <w:tcW w:type="dxa" w:w="38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The direct revenue driver; management targets 5m visitors</w:t>
            </w:r>
          </w:p>
        </w:tc>
      </w:tr>
      <w:tr>
        <w:tc>
          <w:tcPr>
            <w:tcW w:type="dxa" w:w="37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OPE investment step-up to ~EGP 2bn cumulative</w:t>
            </w:r>
          </w:p>
        </w:tc>
        <w:tc>
          <w:tcPr>
            <w:tcW w:type="dxa" w:w="2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2026, self-financed</w:t>
            </w:r>
          </w:p>
        </w:tc>
        <w:tc>
          <w:tcPr>
            <w:tcW w:type="dxa" w:w="38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Confirms the concession’s internal economics — or strains cash</w:t>
            </w:r>
          </w:p>
        </w:tc>
      </w:tr>
      <w:tr>
        <w:tc>
          <w:tcPr>
            <w:tcW w:type="dxa" w:w="37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EGP path / CBE corridor decisions</w:t>
            </w:r>
          </w:p>
        </w:tc>
        <w:tc>
          <w:tcPr>
            <w:tcW w:type="dxa" w:w="2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Every ~6 weeks</w:t>
            </w:r>
          </w:p>
        </w:tc>
        <w:tc>
          <w:tcPr>
            <w:tcW w:type="dxa" w:w="38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Depreciation lifts EGP NAV and retail flow; cuts lower the 20% WACC</w:t>
            </w:r>
          </w:p>
        </w:tc>
      </w:tr>
      <w:tr>
        <w:tc>
          <w:tcPr>
            <w:tcW w:type="dxa" w:w="37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Any DPRK sanctions / repatriation headline</w:t>
            </w:r>
          </w:p>
        </w:tc>
        <w:tc>
          <w:tcPr>
            <w:tcW w:type="dxa" w:w="2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Unscheduled</w:t>
            </w:r>
          </w:p>
        </w:tc>
        <w:tc>
          <w:tcPr>
            <w:tcW w:type="dxa" w:w="38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Up to +0.53/share of trapped cash; two-sided</w:t>
            </w:r>
          </w:p>
        </w:tc>
      </w:tr>
      <w:tr>
        <w:tc>
          <w:tcPr>
            <w:tcW w:type="dxa" w:w="37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Koryolink-loan amortisation or settlement</w:t>
            </w:r>
          </w:p>
        </w:tc>
        <w:tc>
          <w:tcPr>
            <w:tcW w:type="dxa" w:w="2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1–5yr contractual window</w:t>
            </w:r>
          </w:p>
        </w:tc>
        <w:tc>
          <w:tcPr>
            <w:tcW w:type="dxa" w:w="38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A netting settlement would rerate the whole DPRK block</w:t>
            </w:r>
          </w:p>
        </w:tc>
      </w:tr>
      <w:tr>
        <w:tc>
          <w:tcPr>
            <w:tcW w:type="dxa" w:w="37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Lighthouse Energy Fund marks / any exit</w:t>
            </w:r>
          </w:p>
        </w:tc>
        <w:tc>
          <w:tcPr>
            <w:tcW w:type="dxa" w:w="2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Fund reporting dates</w:t>
            </w:r>
          </w:p>
        </w:tc>
        <w:tc>
          <w:tcPr>
            <w:tcW w:type="dxa" w:w="38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Level-3 today; a cash exit converts 0.27/share of model value into money</w:t>
            </w:r>
          </w:p>
        </w:tc>
      </w:tr>
      <w:tr>
        <w:tc>
          <w:tcPr>
            <w:tcW w:type="dxa" w:w="37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Concession-terms disclosure or renegotiation</w:t>
            </w:r>
          </w:p>
        </w:tc>
        <w:tc>
          <w:tcPr>
            <w:tcW w:type="dxa" w:w="2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Unscheduled</w:t>
            </w:r>
          </w:p>
        </w:tc>
        <w:tc>
          <w:tcPr>
            <w:tcW w:type="dxa" w:w="38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The single largest downside catalyst — the 50-50 share and tenor are not fully public</w:t>
            </w:r>
          </w:p>
        </w:tc>
      </w:tr>
      <w:tr>
        <w:tc>
          <w:tcPr>
            <w:tcW w:type="dxa" w:w="37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Capital action / related-party transaction</w:t>
            </w:r>
          </w:p>
        </w:tc>
        <w:tc>
          <w:tcPr>
            <w:tcW w:type="dxa" w:w="2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Unscheduled</w:t>
            </w:r>
          </w:p>
        </w:tc>
        <w:tc>
          <w:tcPr>
            <w:tcW w:type="dxa" w:w="38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The parent’s history argues for watching every EGM agenda</w:t>
            </w:r>
          </w:p>
        </w:tc>
      </w:tr>
    </w:tbl>
    <w:p>
      <w:pPr>
        <w:spacing w:after="60" w:before="0"/>
      </w:pPr>
      <w:r>
        <w:rPr>
          <w:rFonts w:ascii="Georgia" w:cs="Georgia" w:eastAsia="Georgia" w:hAnsi="Georgia"/>
          <w:b w:val="false"/>
          <w:bCs w:val="false"/>
          <w:i w:val="false"/>
          <w:iCs w:val="false"/>
          <w:color w:val="222222"/>
          <w:sz w:val="20"/>
          <w:szCs w:val="20"/>
        </w:rPr>
        <w:t xml:space="preserve"/>
      </w:r>
    </w:p>
    <w:p>
      <w:pPr>
        <w:pBdr>
          <w:bottom w:val="single" w:color="C0A45F" w:sz="8"/>
        </w:pBdr>
        <w:spacing w:after="140" w:before="300"/>
      </w:pPr>
      <w:r>
        <w:rPr>
          <w:rFonts w:ascii="Arial" w:cs="Arial" w:eastAsia="Arial" w:hAnsi="Arial"/>
          <w:b/>
          <w:bCs/>
          <w:i w:val="false"/>
          <w:iCs w:val="false"/>
          <w:color w:val="1C3A36"/>
          <w:sz w:val="28"/>
          <w:szCs w:val="28"/>
        </w:rPr>
        <w:t xml:space="preserve">6  Reading the probability zones</w:t>
      </w:r>
    </w:p>
    <w:tbl>
      <w:tblPr>
        <w:tblW w:type="dxa" w:w="9600"/>
        <w:tblBorders>
          <w:top w:val="single" w:color="BBBBBB" w:sz="4"/>
          <w:left w:val="none"/>
          <w:bottom w:val="single" w:color="BBBBBB" w:sz="4"/>
          <w:right w:val="none"/>
          <w:insideH w:val="single" w:color="DDDDDD" w:sz="2"/>
          <w:insideV w:val="single" w:color="EEEEEE" w:sz="2"/>
        </w:tblBorders>
      </w:tblPr>
      <w:tblGrid>
        <w:gridCol w:w="2500"/>
        <w:gridCol w:w="1600"/>
        <w:gridCol w:w="5500"/>
      </w:tblGrid>
      <w:tr>
        <w:trPr>
          <w:tblHeader/>
        </w:trPr>
        <w:tc>
          <w:tcPr>
            <w:tcW w:type="dxa" w:w="2500"/>
            <w:shd w:fill="1C3A36" w:val="clear"/>
            <w:tcMar>
              <w:top w:type="dxa" w:w="40"/>
              <w:left w:type="dxa" w:w="80"/>
              <w:bottom w:type="dxa" w:w="40"/>
              <w:right w:type="dxa" w:w="80"/>
            </w:tcMar>
          </w:tcPr>
          <w:p>
            <w:pPr>
              <w:jc w:val="left"/>
            </w:pPr>
            <w:r>
              <w:rPr>
                <w:rFonts w:ascii="Arial" w:cs="Arial" w:eastAsia="Arial" w:hAnsi="Arial"/>
                <w:b/>
                <w:bCs/>
                <w:i w:val="false"/>
                <w:iCs w:val="false"/>
                <w:color w:val="FFFFFF"/>
                <w:sz w:val="16"/>
                <w:szCs w:val="16"/>
              </w:rPr>
              <w:t xml:space="preserve">Zone at T+60 (EGP)</w:t>
            </w:r>
          </w:p>
        </w:tc>
        <w:tc>
          <w:tcPr>
            <w:tcW w:type="dxa" w:w="16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6"/>
                <w:szCs w:val="16"/>
              </w:rPr>
              <w:t xml:space="preserve">Probability</w:t>
            </w:r>
          </w:p>
        </w:tc>
        <w:tc>
          <w:tcPr>
            <w:tcW w:type="dxa" w:w="55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6"/>
                <w:szCs w:val="16"/>
              </w:rPr>
              <w:t xml:space="preserve">How to read it</w:t>
            </w:r>
          </w:p>
        </w:tc>
      </w:tr>
      <w:tr>
        <w:tc>
          <w:tcPr>
            <w:tcW w:type="dxa" w:w="25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below 1.00</w:t>
            </w:r>
          </w:p>
        </w:tc>
        <w:tc>
          <w:tcPr>
            <w:tcW w:type="dxa" w:w="1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2.5%</w:t>
            </w:r>
          </w:p>
        </w:tc>
        <w:tc>
          <w:tcPr>
            <w:tcW w:type="dxa" w:w="5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Regime break: a geopolitical or concession shock; NAV floor territory</w:t>
            </w:r>
          </w:p>
        </w:tc>
      </w:tr>
      <w:tr>
        <w:tc>
          <w:tcPr>
            <w:tcW w:type="dxa" w:w="25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1.00 – 1.20</w:t>
            </w:r>
          </w:p>
        </w:tc>
        <w:tc>
          <w:tcPr>
            <w:tcW w:type="dxa" w:w="1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8.0%</w:t>
            </w:r>
          </w:p>
        </w:tc>
        <w:tc>
          <w:tcPr>
            <w:tcW w:type="dxa" w:w="5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Deep pullback to the spring shelf; fundamentals begin to argue the other way</w:t>
            </w:r>
          </w:p>
        </w:tc>
      </w:tr>
      <w:tr>
        <w:tc>
          <w:tcPr>
            <w:tcW w:type="dxa" w:w="25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1.20 – 1.41</w:t>
            </w:r>
          </w:p>
        </w:tc>
        <w:tc>
          <w:tcPr>
            <w:tcW w:type="dxa" w:w="1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19.8%</w:t>
            </w:r>
          </w:p>
        </w:tc>
        <w:tc>
          <w:tcPr>
            <w:tcW w:type="dxa" w:w="5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Ordinary correction inside the uptrend; the 200-day rises to meet it</w:t>
            </w:r>
          </w:p>
        </w:tc>
      </w:tr>
      <w:tr>
        <w:tc>
          <w:tcPr>
            <w:tcW w:type="dxa" w:w="25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1.41 – 1.60</w:t>
            </w:r>
          </w:p>
        </w:tc>
        <w:tc>
          <w:tcPr>
            <w:tcW w:type="dxa" w:w="1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23.4%</w:t>
            </w:r>
          </w:p>
        </w:tc>
        <w:tc>
          <w:tcPr>
            <w:tcW w:type="dxa" w:w="5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The modal zone with 1.41–1.60: consolidation under the March high</w:t>
            </w:r>
          </w:p>
        </w:tc>
      </w:tr>
      <w:tr>
        <w:tc>
          <w:tcPr>
            <w:tcW w:type="dxa" w:w="25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1.60 – 1.80</w:t>
            </w:r>
          </w:p>
        </w:tc>
        <w:tc>
          <w:tcPr>
            <w:tcW w:type="dxa" w:w="1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21.4%</w:t>
            </w:r>
          </w:p>
        </w:tc>
        <w:tc>
          <w:tcPr>
            <w:tcW w:type="dxa" w:w="5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Breakout extension; the tape fully ignoring the NAV</w:t>
            </w:r>
          </w:p>
        </w:tc>
      </w:tr>
      <w:tr>
        <w:tc>
          <w:tcPr>
            <w:tcW w:type="dxa" w:w="25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1.80 – 2.10</w:t>
            </w:r>
          </w:p>
        </w:tc>
        <w:tc>
          <w:tcPr>
            <w:tcW w:type="dxa" w:w="1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16.8%</w:t>
            </w:r>
          </w:p>
        </w:tc>
        <w:tc>
          <w:tcPr>
            <w:tcW w:type="dxa" w:w="5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The bull column arriving early — usually on a DPRK or results headline</w:t>
            </w:r>
          </w:p>
        </w:tc>
      </w:tr>
      <w:tr>
        <w:tc>
          <w:tcPr>
            <w:tcW w:type="dxa" w:w="25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above 2.10</w:t>
            </w:r>
          </w:p>
        </w:tc>
        <w:tc>
          <w:tcPr>
            <w:tcW w:type="dxa" w:w="1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8.1%</w:t>
            </w:r>
          </w:p>
        </w:tc>
        <w:tc>
          <w:tcPr>
            <w:tcW w:type="dxa" w:w="5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Melt-up tail; retail counters on this exchange do produce it</w:t>
            </w:r>
          </w:p>
        </w:tc>
      </w:tr>
    </w:tbl>
    <w:p>
      <w:pPr>
        <w:spacing w:after="60" w:before="0"/>
      </w:pPr>
      <w:r>
        <w:rPr>
          <w:rFonts w:ascii="Georgia" w:cs="Georgia" w:eastAsia="Georgia" w:hAnsi="Georgia"/>
          <w:b w:val="false"/>
          <w:bCs w:val="false"/>
          <w:i w:val="false"/>
          <w:iCs w:val="false"/>
          <w:color w:val="222222"/>
          <w:sz w:val="20"/>
          <w:szCs w:val="20"/>
        </w:rPr>
        <w:t xml:space="preserve"/>
      </w:r>
    </w:p>
    <w:p>
      <w:pPr>
        <w:spacing w:after="40" w:before="60"/>
        <w:jc w:val="center"/>
      </w:pPr>
      <w:r>
        <w:drawing>
          <wp:inline distT="0" distB="0" distL="0" distR="0">
            <wp:extent cx="5334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857375"/>
                    </a:xfrm>
                    <a:prstGeom prst="rect">
                      <a:avLst/>
                    </a:prstGeom>
                  </pic:spPr>
                </pic:pic>
              </a:graphicData>
            </a:graphic>
          </wp:inline>
        </w:drawing>
      </w:r>
    </w:p>
    <w:p>
      <w:pPr>
        <w:spacing w:after="160" w:before="0"/>
      </w:pPr>
      <w:r>
        <w:rPr>
          <w:rFonts w:ascii="Georgia" w:cs="Georgia" w:eastAsia="Georgia" w:hAnsi="Georgia"/>
          <w:b w:val="false"/>
          <w:bCs w:val="false"/>
          <w:i/>
          <w:iCs/>
          <w:color w:val="555555"/>
          <w:sz w:val="18"/>
          <w:szCs w:val="18"/>
        </w:rPr>
        <w:t xml:space="preserve">Figure 7 — T+60 probability zones. Roughly 70% of paths finish at or above spot — the engine’s tape-trend view — while every fundamental base case lives in the left three bars. That asymmetry is the study’s tension, stated in probabilities.</w:t>
      </w:r>
    </w:p>
    <w:p>
      <w:pPr>
        <w:spacing w:after="120" w:before="0"/>
      </w:pPr>
      <w:r>
        <w:rPr>
          <w:rFonts w:ascii="Georgia" w:cs="Georgia" w:eastAsia="Georgia" w:hAnsi="Georgia"/>
          <w:b w:val="false"/>
          <w:bCs w:val="false"/>
          <w:i w:val="false"/>
          <w:iCs w:val="false"/>
          <w:color w:val="222222"/>
          <w:sz w:val="20"/>
          <w:szCs w:val="20"/>
        </w:rPr>
        <w:t xml:space="preserve">The zones are the engine’s output, not a forecast of value. A reader anchored to §1 should note that the model still assigns ~30% to zones below spot and ~10% to zones below EGP 1.20 — the region where price and accountable NAV begin to reconcile from above.</w:t>
      </w:r>
    </w:p>
    <w:p>
      <w:pPr>
        <w:pBdr>
          <w:bottom w:val="single" w:color="C0A45F" w:sz="8"/>
        </w:pBdr>
        <w:spacing w:after="140" w:before="300"/>
      </w:pPr>
      <w:r>
        <w:rPr>
          <w:rFonts w:ascii="Arial" w:cs="Arial" w:eastAsia="Arial" w:hAnsi="Arial"/>
          <w:b/>
          <w:bCs/>
          <w:i w:val="false"/>
          <w:iCs w:val="false"/>
          <w:color w:val="1C3A36"/>
          <w:sz w:val="28"/>
          <w:szCs w:val="28"/>
        </w:rPr>
        <w:t xml:space="preserve">7  Caveats and what would change our mind</w:t>
      </w:r>
    </w:p>
    <w:p>
      <w:pPr>
        <w:spacing w:after="120" w:before="0"/>
      </w:pPr>
      <w:r>
        <w:rPr>
          <w:rFonts w:ascii="Georgia" w:cs="Georgia" w:eastAsia="Georgia" w:hAnsi="Georgia"/>
          <w:b/>
          <w:bCs/>
          <w:i w:val="false"/>
          <w:iCs w:val="false"/>
          <w:color w:val="222222"/>
          <w:sz w:val="20"/>
          <w:szCs w:val="20"/>
        </w:rPr>
        <w:t xml:space="preserve">Caveats, in candour.</w:t>
      </w:r>
      <w:r>
        <w:rPr>
          <w:rFonts w:ascii="Georgia" w:cs="Georgia" w:eastAsia="Georgia" w:hAnsi="Georgia"/>
          <w:b w:val="false"/>
          <w:bCs w:val="false"/>
          <w:i w:val="false"/>
          <w:iCs w:val="false"/>
          <w:color w:val="222222"/>
          <w:sz w:val="20"/>
          <w:szCs w:val="20"/>
        </w:rPr>
        <w:t xml:space="preserve"> (1) The audit opinion is qualified on precisely the balances that dominate the NAV — the DPRK cash, the Koryolink stake — and we cannot verify what KPMG could not. (2) The company files late, chronically: FY2023 IFRS was authorised in November 2025; our 2025 picture rests on EAS quarterlies through September and press-reported figures. (3) Several FY2024 balance-sheet lines are estimated to balance to the disclosed EAS total (flagged in the model), and the FY2023/FY2024 segment split is estimated. (4) The OPE concession’s tenor and full terms are not public; our DCF assumes the disclosed 50-50 share holds and the platform operates well past 2030. (5) The Monte-Carlo factor set is the holdco library adapted to OIH and is flagged calibrated = false; the diffusion, not the factors, carries the forecast. (6) The Lighthouse mark is a Level-3 model value. (7) This is a retail-flow counter with 42% realized volatility: three-month price behaviour can and does detach from any valuation for quarters at a time.</w:t>
      </w:r>
    </w:p>
    <w:p>
      <w:pPr>
        <w:spacing w:after="120" w:before="0"/>
      </w:pPr>
      <w:r>
        <w:rPr>
          <w:rFonts w:ascii="Georgia" w:cs="Georgia" w:eastAsia="Georgia" w:hAnsi="Georgia"/>
          <w:b/>
          <w:bCs/>
          <w:i w:val="false"/>
          <w:iCs w:val="false"/>
          <w:color w:val="222222"/>
          <w:sz w:val="20"/>
          <w:szCs w:val="20"/>
        </w:rPr>
        <w:t xml:space="preserve">What would change our mind — upward:</w:t>
      </w:r>
      <w:r>
        <w:rPr>
          <w:rFonts w:ascii="Georgia" w:cs="Georgia" w:eastAsia="Georgia" w:hAnsi="Georgia"/>
          <w:b w:val="false"/>
          <w:bCs w:val="false"/>
          <w:i w:val="false"/>
          <w:iCs w:val="false"/>
          <w:color w:val="222222"/>
          <w:sz w:val="20"/>
          <w:szCs w:val="20"/>
        </w:rPr>
        <w:t xml:space="preserve"> audited FY2025 accounts showing entertainment-segment EBITDA at or above EGP 400m with an unqualified DPRK opinion; any verified repatriation of trapped cash; a Lighthouse exit at or above carrying; public concession terms longer and cleaner than assumed. Any one of these moves the base NAV toward EGP 1.05–1.30 and two together toward the tape. </w:t>
      </w:r>
      <w:r>
        <w:rPr>
          <w:rFonts w:ascii="Georgia" w:cs="Georgia" w:eastAsia="Georgia" w:hAnsi="Georgia"/>
          <w:b/>
          <w:bCs/>
          <w:i w:val="false"/>
          <w:iCs w:val="false"/>
          <w:color w:val="222222"/>
          <w:sz w:val="20"/>
          <w:szCs w:val="20"/>
        </w:rPr>
        <w:t xml:space="preserve">Downward:</w:t>
      </w:r>
      <w:r>
        <w:rPr>
          <w:rFonts w:ascii="Georgia" w:cs="Georgia" w:eastAsia="Georgia" w:hAnsi="Georgia"/>
          <w:b w:val="false"/>
          <w:bCs w:val="false"/>
          <w:i w:val="false"/>
          <w:iCs w:val="false"/>
          <w:color w:val="222222"/>
          <w:sz w:val="20"/>
          <w:szCs w:val="20"/>
        </w:rPr>
        <w:t xml:space="preserve"> a concession-terms revision or state-share increase; a further DPRK ECL step; FY2025 losses persisting into FY2026 beyond the FX line; central costs growing faster than the platform. </w:t>
      </w:r>
      <w:r>
        <w:rPr>
          <w:rFonts w:ascii="Georgia" w:cs="Georgia" w:eastAsia="Georgia" w:hAnsi="Georgia"/>
          <w:b/>
          <w:bCs/>
          <w:i w:val="false"/>
          <w:iCs w:val="false"/>
          <w:color w:val="222222"/>
          <w:sz w:val="20"/>
          <w:szCs w:val="20"/>
        </w:rPr>
        <w:t xml:space="preserve">On the engine:</w:t>
      </w:r>
      <w:r>
        <w:rPr>
          <w:rFonts w:ascii="Georgia" w:cs="Georgia" w:eastAsia="Georgia" w:hAnsi="Georgia"/>
          <w:b w:val="false"/>
          <w:bCs w:val="false"/>
          <w:i w:val="false"/>
          <w:iCs w:val="false"/>
          <w:color w:val="222222"/>
          <w:sz w:val="20"/>
          <w:szCs w:val="20"/>
        </w:rPr>
        <w:t xml:space="preserve"> a failed quarter in the Calibration Ledger (CRPS skill below the random-walk benchmark on matured OIH rows) retires this configuration for the name, drift and all.</w:t>
      </w:r>
    </w:p>
    <w:p>
      <w:pPr>
        <w:pBdr>
          <w:bottom w:val="single" w:color="C0A45F" w:sz="8"/>
        </w:pBdr>
        <w:spacing w:after="140" w:before="300"/>
      </w:pPr>
      <w:r>
        <w:rPr>
          <w:rFonts w:ascii="Arial" w:cs="Arial" w:eastAsia="Arial" w:hAnsi="Arial"/>
          <w:b/>
          <w:bCs/>
          <w:i w:val="false"/>
          <w:iCs w:val="false"/>
          <w:color w:val="1C3A36"/>
          <w:sz w:val="28"/>
          <w:szCs w:val="28"/>
        </w:rPr>
        <w:t xml:space="preserve">Appendix A  Financial statements</w:t>
      </w:r>
    </w:p>
    <w:p>
      <w:pPr>
        <w:spacing w:after="120" w:before="0"/>
      </w:pPr>
      <w:r>
        <w:rPr>
          <w:rFonts w:ascii="Georgia" w:cs="Georgia" w:eastAsia="Georgia" w:hAnsi="Georgia"/>
          <w:b w:val="false"/>
          <w:bCs w:val="false"/>
          <w:i w:val="false"/>
          <w:iCs w:val="false"/>
          <w:color w:val="222222"/>
          <w:sz w:val="20"/>
          <w:szCs w:val="20"/>
        </w:rPr>
        <w:t xml:space="preserve">EGP millions. FY22–FY24 are the audited IFRS consolidated statements (presented in US$ ’000, converted at the disclosed average/closing rates); FY25E–FY29E are Testahil estimates from the companion model. Rounding applies.</w:t>
      </w:r>
    </w:p>
    <w:p>
      <w:pPr>
        <w:spacing w:after="110" w:before="220"/>
      </w:pPr>
      <w:r>
        <w:rPr>
          <w:rFonts w:ascii="Arial" w:cs="Arial" w:eastAsia="Arial" w:hAnsi="Arial"/>
          <w:b/>
          <w:bCs/>
          <w:i w:val="false"/>
          <w:iCs w:val="false"/>
          <w:color w:val="1C6B62"/>
          <w:sz w:val="23"/>
          <w:szCs w:val="23"/>
        </w:rPr>
        <w:t xml:space="preserve">A.1  Income statement (consolidated, EGP m)</w:t>
      </w:r>
    </w:p>
    <w:tbl>
      <w:tblPr>
        <w:tblW w:type="dxa" w:w="9920"/>
        <w:tblBorders>
          <w:top w:val="single" w:color="BBBBBB" w:sz="4"/>
          <w:left w:val="none"/>
          <w:bottom w:val="single" w:color="BBBBBB" w:sz="4"/>
          <w:right w:val="none"/>
          <w:insideH w:val="single" w:color="DDDDDD" w:sz="2"/>
          <w:insideV w:val="single" w:color="EEEEEE" w:sz="2"/>
        </w:tblBorders>
      </w:tblPr>
      <w:tblGrid>
        <w:gridCol w:w="2400"/>
        <w:gridCol w:w="940"/>
        <w:gridCol w:w="940"/>
        <w:gridCol w:w="940"/>
        <w:gridCol w:w="940"/>
        <w:gridCol w:w="940"/>
        <w:gridCol w:w="940"/>
        <w:gridCol w:w="940"/>
        <w:gridCol w:w="940"/>
      </w:tblGrid>
      <w:tr>
        <w:trPr>
          <w:tblHeader/>
        </w:trPr>
        <w:tc>
          <w:tcPr>
            <w:tcW w:type="dxa" w:w="2400"/>
            <w:shd w:fill="1C3A36" w:val="clear"/>
            <w:tcMar>
              <w:top w:type="dxa" w:w="40"/>
              <w:left w:type="dxa" w:w="80"/>
              <w:bottom w:type="dxa" w:w="40"/>
              <w:right w:type="dxa" w:w="80"/>
            </w:tcMar>
          </w:tcPr>
          <w:p>
            <w:pPr>
              <w:jc w:val="left"/>
            </w:pPr>
            <w:r>
              <w:rPr>
                <w:rFonts w:ascii="Arial" w:cs="Arial" w:eastAsia="Arial" w:hAnsi="Arial"/>
                <w:b/>
                <w:bCs/>
                <w:i w:val="false"/>
                <w:iCs w:val="false"/>
                <w:color w:val="FFFFFF"/>
                <w:sz w:val="14"/>
                <w:szCs w:val="14"/>
              </w:rPr>
              <w:t xml:space="preserve">EGP m</w:t>
            </w:r>
          </w:p>
        </w:tc>
        <w:tc>
          <w:tcPr>
            <w:tcW w:type="dxa" w:w="94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FY22</w:t>
            </w:r>
          </w:p>
        </w:tc>
        <w:tc>
          <w:tcPr>
            <w:tcW w:type="dxa" w:w="94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FY23</w:t>
            </w:r>
          </w:p>
        </w:tc>
        <w:tc>
          <w:tcPr>
            <w:tcW w:type="dxa" w:w="94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FY24</w:t>
            </w:r>
          </w:p>
        </w:tc>
        <w:tc>
          <w:tcPr>
            <w:tcW w:type="dxa" w:w="94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FY25E</w:t>
            </w:r>
          </w:p>
        </w:tc>
        <w:tc>
          <w:tcPr>
            <w:tcW w:type="dxa" w:w="94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FY26E</w:t>
            </w:r>
          </w:p>
        </w:tc>
        <w:tc>
          <w:tcPr>
            <w:tcW w:type="dxa" w:w="94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FY27E</w:t>
            </w:r>
          </w:p>
        </w:tc>
        <w:tc>
          <w:tcPr>
            <w:tcW w:type="dxa" w:w="94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FY28E</w:t>
            </w:r>
          </w:p>
        </w:tc>
        <w:tc>
          <w:tcPr>
            <w:tcW w:type="dxa" w:w="94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FY29E</w:t>
            </w:r>
          </w:p>
        </w:tc>
      </w:tr>
      <w:tr>
        <w:tc>
          <w:tcPr>
            <w:tcW w:type="dxa" w:w="24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Revenue</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98</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177</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358</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610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1,143</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1,650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2,139</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2,606</w:t>
            </w:r>
          </w:p>
        </w:tc>
      </w:tr>
      <w:tr>
        <w:tc>
          <w:tcPr>
            <w:tcW w:type="dxa" w:w="24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Other income</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93</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4</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124</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r>
      <w:tr>
        <w:tc>
          <w:tcPr>
            <w:tcW w:type="dxa" w:w="24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Opex</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-278</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-477</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-784</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-834</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-1,142</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-1,418</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-1,671</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-1,924</w:t>
            </w:r>
          </w:p>
        </w:tc>
      </w:tr>
      <w:tr>
        <w:tc>
          <w:tcPr>
            <w:tcW w:type="dxa" w:w="2400"/>
            <w:shd w:fill="F2F0EA" w:val="clear"/>
            <w:tcMar>
              <w:top w:type="dxa" w:w="40"/>
              <w:left w:type="dxa" w:w="80"/>
              <w:bottom w:type="dxa" w:w="40"/>
              <w:right w:type="dxa" w:w="80"/>
            </w:tcMar>
          </w:tcPr>
          <w:p>
            <w:pPr>
              <w:jc w:val="left"/>
            </w:pPr>
            <w:r>
              <w:rPr>
                <w:rFonts w:ascii="Arial" w:cs="Arial" w:eastAsia="Arial" w:hAnsi="Arial"/>
                <w:b/>
                <w:bCs/>
                <w:i w:val="false"/>
                <w:iCs w:val="false"/>
                <w:color w:val="222222"/>
                <w:sz w:val="14"/>
                <w:szCs w:val="14"/>
              </w:rPr>
              <w:t xml:space="preserve">EBITDA</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-87</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-297</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-302</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-224</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1</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232</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469</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682</w:t>
            </w:r>
          </w:p>
        </w:tc>
      </w:tr>
      <w:tr>
        <w:tc>
          <w:tcPr>
            <w:tcW w:type="dxa" w:w="24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D&amp;A</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-11</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-50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-49</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-61</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-103</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-132</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-150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-182</w:t>
            </w:r>
          </w:p>
        </w:tc>
      </w:tr>
      <w:tr>
        <w:tc>
          <w:tcPr>
            <w:tcW w:type="dxa" w:w="2400"/>
            <w:shd w:fill="F2F0EA" w:val="clear"/>
            <w:tcMar>
              <w:top w:type="dxa" w:w="40"/>
              <w:left w:type="dxa" w:w="80"/>
              <w:bottom w:type="dxa" w:w="40"/>
              <w:right w:type="dxa" w:w="80"/>
            </w:tcMar>
          </w:tcPr>
          <w:p>
            <w:pPr>
              <w:jc w:val="left"/>
            </w:pPr>
            <w:r>
              <w:rPr>
                <w:rFonts w:ascii="Arial" w:cs="Arial" w:eastAsia="Arial" w:hAnsi="Arial"/>
                <w:b/>
                <w:bCs/>
                <w:i w:val="false"/>
                <w:iCs w:val="false"/>
                <w:color w:val="222222"/>
                <w:sz w:val="14"/>
                <w:szCs w:val="14"/>
              </w:rPr>
              <w:t xml:space="preserve">EBIT</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-98</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-347</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-351</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-285</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-102</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100</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319</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500</w:t>
            </w:r>
          </w:p>
        </w:tc>
      </w:tr>
      <w:tr>
        <w:tc>
          <w:tcPr>
            <w:tcW w:type="dxa" w:w="24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Impairments &amp; FX</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487</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-910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-548</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-700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r>
      <w:tr>
        <w:tc>
          <w:tcPr>
            <w:tcW w:type="dxa" w:w="24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Net finance &amp; FVTPL</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537</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-286</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753</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-160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-120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-80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-40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r>
      <w:tr>
        <w:tc>
          <w:tcPr>
            <w:tcW w:type="dxa" w:w="24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Koryolink net</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r>
      <w:tr>
        <w:tc>
          <w:tcPr>
            <w:tcW w:type="dxa" w:w="2400"/>
            <w:shd w:fill="F2F0EA" w:val="clear"/>
            <w:tcMar>
              <w:top w:type="dxa" w:w="40"/>
              <w:left w:type="dxa" w:w="80"/>
              <w:bottom w:type="dxa" w:w="40"/>
              <w:right w:type="dxa" w:w="80"/>
            </w:tcMar>
          </w:tcPr>
          <w:p>
            <w:pPr>
              <w:jc w:val="left"/>
            </w:pPr>
            <w:r>
              <w:rPr>
                <w:rFonts w:ascii="Arial" w:cs="Arial" w:eastAsia="Arial" w:hAnsi="Arial"/>
                <w:b/>
                <w:bCs/>
                <w:i w:val="false"/>
                <w:iCs w:val="false"/>
                <w:color w:val="222222"/>
                <w:sz w:val="14"/>
                <w:szCs w:val="14"/>
              </w:rPr>
              <w:t xml:space="preserve">PBT</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926</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-1,543</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-147</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-1,145</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-222</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20</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279</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500</w:t>
            </w:r>
          </w:p>
        </w:tc>
      </w:tr>
      <w:tr>
        <w:tc>
          <w:tcPr>
            <w:tcW w:type="dxa" w:w="24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Tax</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-192</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48</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-142</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-4</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-63</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-112</w:t>
            </w:r>
          </w:p>
        </w:tc>
      </w:tr>
      <w:tr>
        <w:tc>
          <w:tcPr>
            <w:tcW w:type="dxa" w:w="24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Discontinued</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-12</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289</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r>
      <w:tr>
        <w:tc>
          <w:tcPr>
            <w:tcW w:type="dxa" w:w="2400"/>
            <w:shd w:fill="F2F0EA" w:val="clear"/>
            <w:tcMar>
              <w:top w:type="dxa" w:w="40"/>
              <w:left w:type="dxa" w:w="80"/>
              <w:bottom w:type="dxa" w:w="40"/>
              <w:right w:type="dxa" w:w="80"/>
            </w:tcMar>
          </w:tcPr>
          <w:p>
            <w:pPr>
              <w:jc w:val="left"/>
            </w:pPr>
            <w:r>
              <w:rPr>
                <w:rFonts w:ascii="Arial" w:cs="Arial" w:eastAsia="Arial" w:hAnsi="Arial"/>
                <w:b/>
                <w:bCs/>
                <w:i w:val="false"/>
                <w:iCs w:val="false"/>
                <w:color w:val="222222"/>
                <w:sz w:val="14"/>
                <w:szCs w:val="14"/>
              </w:rPr>
              <w:t xml:space="preserve">Net profit/(loss)</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722</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-1,205</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-289</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-1,145</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-222</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15</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216</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387</w:t>
            </w:r>
          </w:p>
        </w:tc>
      </w:tr>
    </w:tbl>
    <w:p>
      <w:pPr>
        <w:spacing w:after="60" w:before="0"/>
      </w:pPr>
      <w:r>
        <w:rPr>
          <w:rFonts w:ascii="Georgia" w:cs="Georgia" w:eastAsia="Georgia" w:hAnsi="Georgia"/>
          <w:b w:val="false"/>
          <w:bCs w:val="false"/>
          <w:i w:val="false"/>
          <w:iCs w:val="false"/>
          <w:color w:val="222222"/>
          <w:sz w:val="20"/>
          <w:szCs w:val="20"/>
        </w:rPr>
        <w:t xml:space="preserve"/>
      </w:r>
    </w:p>
    <w:p>
      <w:pPr>
        <w:spacing w:after="120" w:before="0"/>
      </w:pPr>
      <w:r>
        <w:rPr>
          <w:rFonts w:ascii="Georgia" w:cs="Georgia" w:eastAsia="Georgia" w:hAnsi="Georgia"/>
          <w:b w:val="false"/>
          <w:bCs w:val="false"/>
          <w:i w:val="false"/>
          <w:iCs w:val="false"/>
          <w:color w:val="222222"/>
          <w:sz w:val="20"/>
          <w:szCs w:val="20"/>
        </w:rPr>
        <w:t xml:space="preserve">FY22’s profit and FY23’s loss are the same machine — the pound’s collapse produced FX gains and a one-off gain on discounting the interest-free Koryolink loan in 2022, then the DPRK impairment cycle took EGP 1.5bn in 2023. FY25E’s loss is the mirror image: EGP appreciation on a net-long dollar book, checked against the reported 9M-25 loss of EGP 806m.</w:t>
      </w:r>
    </w:p>
    <w:p>
      <w:pPr>
        <w:spacing w:after="110" w:before="220"/>
      </w:pPr>
      <w:r>
        <w:rPr>
          <w:rFonts w:ascii="Arial" w:cs="Arial" w:eastAsia="Arial" w:hAnsi="Arial"/>
          <w:b/>
          <w:bCs/>
          <w:i w:val="false"/>
          <w:iCs w:val="false"/>
          <w:color w:val="1C6B62"/>
          <w:sz w:val="23"/>
          <w:szCs w:val="23"/>
        </w:rPr>
        <w:t xml:space="preserve">A.2  Balance sheet (consolidated, EGP m, 31 Dec)</w:t>
      </w:r>
    </w:p>
    <w:tbl>
      <w:tblPr>
        <w:tblW w:type="dxa" w:w="9920"/>
        <w:tblBorders>
          <w:top w:val="single" w:color="BBBBBB" w:sz="4"/>
          <w:left w:val="none"/>
          <w:bottom w:val="single" w:color="BBBBBB" w:sz="4"/>
          <w:right w:val="none"/>
          <w:insideH w:val="single" w:color="DDDDDD" w:sz="2"/>
          <w:insideV w:val="single" w:color="EEEEEE" w:sz="2"/>
        </w:tblBorders>
      </w:tblPr>
      <w:tblGrid>
        <w:gridCol w:w="2400"/>
        <w:gridCol w:w="940"/>
        <w:gridCol w:w="940"/>
        <w:gridCol w:w="940"/>
        <w:gridCol w:w="940"/>
        <w:gridCol w:w="940"/>
        <w:gridCol w:w="940"/>
        <w:gridCol w:w="940"/>
        <w:gridCol w:w="940"/>
      </w:tblGrid>
      <w:tr>
        <w:trPr>
          <w:tblHeader/>
        </w:trPr>
        <w:tc>
          <w:tcPr>
            <w:tcW w:type="dxa" w:w="2400"/>
            <w:shd w:fill="1C3A36" w:val="clear"/>
            <w:tcMar>
              <w:top w:type="dxa" w:w="40"/>
              <w:left w:type="dxa" w:w="80"/>
              <w:bottom w:type="dxa" w:w="40"/>
              <w:right w:type="dxa" w:w="80"/>
            </w:tcMar>
          </w:tcPr>
          <w:p>
            <w:pPr>
              <w:jc w:val="left"/>
            </w:pPr>
            <w:r>
              <w:rPr>
                <w:rFonts w:ascii="Arial" w:cs="Arial" w:eastAsia="Arial" w:hAnsi="Arial"/>
                <w:b/>
                <w:bCs/>
                <w:i w:val="false"/>
                <w:iCs w:val="false"/>
                <w:color w:val="FFFFFF"/>
                <w:sz w:val="14"/>
                <w:szCs w:val="14"/>
              </w:rPr>
              <w:t xml:space="preserve">EGP m</w:t>
            </w:r>
          </w:p>
        </w:tc>
        <w:tc>
          <w:tcPr>
            <w:tcW w:type="dxa" w:w="94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FY22</w:t>
            </w:r>
          </w:p>
        </w:tc>
        <w:tc>
          <w:tcPr>
            <w:tcW w:type="dxa" w:w="94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FY23</w:t>
            </w:r>
          </w:p>
        </w:tc>
        <w:tc>
          <w:tcPr>
            <w:tcW w:type="dxa" w:w="94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FY24</w:t>
            </w:r>
          </w:p>
        </w:tc>
        <w:tc>
          <w:tcPr>
            <w:tcW w:type="dxa" w:w="94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FY25E</w:t>
            </w:r>
          </w:p>
        </w:tc>
        <w:tc>
          <w:tcPr>
            <w:tcW w:type="dxa" w:w="94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FY26E</w:t>
            </w:r>
          </w:p>
        </w:tc>
        <w:tc>
          <w:tcPr>
            <w:tcW w:type="dxa" w:w="94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FY27E</w:t>
            </w:r>
          </w:p>
        </w:tc>
        <w:tc>
          <w:tcPr>
            <w:tcW w:type="dxa" w:w="94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FY28E</w:t>
            </w:r>
          </w:p>
        </w:tc>
        <w:tc>
          <w:tcPr>
            <w:tcW w:type="dxa" w:w="94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FY29E</w:t>
            </w:r>
          </w:p>
        </w:tc>
      </w:tr>
      <w:tr>
        <w:tc>
          <w:tcPr>
            <w:tcW w:type="dxa" w:w="24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P&amp;E (incl. ROU)</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460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974</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1,328</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1,717</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2,114</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2,282</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2,332</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2,300</w:t>
            </w:r>
          </w:p>
        </w:tc>
      </w:tr>
      <w:tr>
        <w:tc>
          <w:tcPr>
            <w:tcW w:type="dxa" w:w="24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Investment property</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202</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r>
      <w:tr>
        <w:tc>
          <w:tcPr>
            <w:tcW w:type="dxa" w:w="24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Koryolink (assoc.)</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614</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613</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612</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612</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612</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612</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612</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612</w:t>
            </w:r>
          </w:p>
        </w:tc>
      </w:tr>
      <w:tr>
        <w:tc>
          <w:tcPr>
            <w:tcW w:type="dxa" w:w="24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DPRK cash (net)</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2,239</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1,481</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2,907</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2,797</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2,797</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2,797</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2,797</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2,797</w:t>
            </w:r>
          </w:p>
        </w:tc>
      </w:tr>
      <w:tr>
        <w:tc>
          <w:tcPr>
            <w:tcW w:type="dxa" w:w="24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Lighthouse (FVTPL)</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681</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751</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1,455</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1,455</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1,455</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1,455</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1,455</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1,455</w:t>
            </w:r>
          </w:p>
        </w:tc>
      </w:tr>
      <w:tr>
        <w:tc>
          <w:tcPr>
            <w:tcW w:type="dxa" w:w="24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Inventories</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3</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3</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3</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3</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3</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3</w:t>
            </w:r>
          </w:p>
        </w:tc>
      </w:tr>
      <w:tr>
        <w:tc>
          <w:tcPr>
            <w:tcW w:type="dxa" w:w="24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Trade receivables</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270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161</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220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238</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262</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286</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307</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325</w:t>
            </w:r>
          </w:p>
        </w:tc>
      </w:tr>
      <w:tr>
        <w:tc>
          <w:tcPr>
            <w:tcW w:type="dxa" w:w="24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Other assets</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72</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64</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657</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669</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685</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701</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715</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727</w:t>
            </w:r>
          </w:p>
        </w:tc>
      </w:tr>
      <w:tr>
        <w:tc>
          <w:tcPr>
            <w:tcW w:type="dxa" w:w="24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Cash</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1,655</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2,271</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2,332</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1,369</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749</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597</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767</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1,197</w:t>
            </w:r>
          </w:p>
        </w:tc>
      </w:tr>
      <w:tr>
        <w:tc>
          <w:tcPr>
            <w:tcW w:type="dxa" w:w="2400"/>
            <w:shd w:fill="F2F0EA" w:val="clear"/>
            <w:tcMar>
              <w:top w:type="dxa" w:w="40"/>
              <w:left w:type="dxa" w:w="80"/>
              <w:bottom w:type="dxa" w:w="40"/>
              <w:right w:type="dxa" w:w="80"/>
            </w:tcMar>
          </w:tcPr>
          <w:p>
            <w:pPr>
              <w:jc w:val="left"/>
            </w:pPr>
            <w:r>
              <w:rPr>
                <w:rFonts w:ascii="Arial" w:cs="Arial" w:eastAsia="Arial" w:hAnsi="Arial"/>
                <w:b/>
                <w:bCs/>
                <w:i w:val="false"/>
                <w:iCs w:val="false"/>
                <w:color w:val="222222"/>
                <w:sz w:val="14"/>
                <w:szCs w:val="14"/>
              </w:rPr>
              <w:t xml:space="preserve">Total assets</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6,194</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6,314</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9,513</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8,858</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8,676</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8,731</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8,987</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9,414</w:t>
            </w:r>
          </w:p>
        </w:tc>
      </w:tr>
      <w:tr>
        <w:tc>
          <w:tcPr>
            <w:tcW w:type="dxa" w:w="24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Borrowings (incl. KL loan)</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-1,977</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-3,191</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-5,504</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-5,464</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-5,424</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-5,384</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-5,344</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-5,304</w:t>
            </w:r>
          </w:p>
        </w:tc>
      </w:tr>
      <w:tr>
        <w:tc>
          <w:tcPr>
            <w:tcW w:type="dxa" w:w="24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Payables &amp; other</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-494</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-481</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-285</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-285</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-285</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-285</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-285</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-285</w:t>
            </w:r>
          </w:p>
        </w:tc>
      </w:tr>
      <w:tr>
        <w:tc>
          <w:tcPr>
            <w:tcW w:type="dxa" w:w="24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Deferred tax</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-306</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-290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-459</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-459</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-459</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-459</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-459</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-459</w:t>
            </w:r>
          </w:p>
        </w:tc>
      </w:tr>
      <w:tr>
        <w:tc>
          <w:tcPr>
            <w:tcW w:type="dxa" w:w="24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Income tax</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-102</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-72</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-117</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-117</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-117</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-117</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-117</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-117</w:t>
            </w:r>
          </w:p>
        </w:tc>
      </w:tr>
      <w:tr>
        <w:tc>
          <w:tcPr>
            <w:tcW w:type="dxa" w:w="24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Provisions</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-215</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-225</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-372</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-372</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-372</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-372</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-372</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-372</w:t>
            </w:r>
          </w:p>
        </w:tc>
      </w:tr>
      <w:tr>
        <w:tc>
          <w:tcPr>
            <w:tcW w:type="dxa" w:w="2400"/>
            <w:shd w:fill="F2F0EA" w:val="clear"/>
            <w:tcMar>
              <w:top w:type="dxa" w:w="40"/>
              <w:left w:type="dxa" w:w="80"/>
              <w:bottom w:type="dxa" w:w="40"/>
              <w:right w:type="dxa" w:w="80"/>
            </w:tcMar>
          </w:tcPr>
          <w:p>
            <w:pPr>
              <w:jc w:val="left"/>
            </w:pPr>
            <w:r>
              <w:rPr>
                <w:rFonts w:ascii="Arial" w:cs="Arial" w:eastAsia="Arial" w:hAnsi="Arial"/>
                <w:b/>
                <w:bCs/>
                <w:i w:val="false"/>
                <w:iCs w:val="false"/>
                <w:color w:val="222222"/>
                <w:sz w:val="14"/>
                <w:szCs w:val="14"/>
              </w:rPr>
              <w:t xml:space="preserve">Total liabilities</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3,095</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4,258</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6,738</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6,698</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6,658</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6,618</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6,578</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6,538</w:t>
            </w:r>
          </w:p>
        </w:tc>
      </w:tr>
      <w:tr>
        <w:tc>
          <w:tcPr>
            <w:tcW w:type="dxa" w:w="2400"/>
            <w:shd w:fill="F2F0EA" w:val="clear"/>
            <w:tcMar>
              <w:top w:type="dxa" w:w="40"/>
              <w:left w:type="dxa" w:w="80"/>
              <w:bottom w:type="dxa" w:w="40"/>
              <w:right w:type="dxa" w:w="80"/>
            </w:tcMar>
          </w:tcPr>
          <w:p>
            <w:pPr>
              <w:jc w:val="left"/>
            </w:pPr>
            <w:r>
              <w:rPr>
                <w:rFonts w:ascii="Arial" w:cs="Arial" w:eastAsia="Arial" w:hAnsi="Arial"/>
                <w:b/>
                <w:bCs/>
                <w:i w:val="false"/>
                <w:iCs w:val="false"/>
                <w:color w:val="222222"/>
                <w:sz w:val="14"/>
                <w:szCs w:val="14"/>
              </w:rPr>
              <w:t xml:space="preserve">Total equity</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3,099</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2,056</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2,774</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2,159</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2,017</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2,112</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2,409</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2,876</w:t>
            </w:r>
          </w:p>
        </w:tc>
      </w:tr>
    </w:tbl>
    <w:p>
      <w:pPr>
        <w:spacing w:after="60" w:before="0"/>
      </w:pPr>
      <w:r>
        <w:rPr>
          <w:rFonts w:ascii="Georgia" w:cs="Georgia" w:eastAsia="Georgia" w:hAnsi="Georgia"/>
          <w:b w:val="false"/>
          <w:bCs w:val="false"/>
          <w:i w:val="false"/>
          <w:iCs w:val="false"/>
          <w:color w:val="222222"/>
          <w:sz w:val="20"/>
          <w:szCs w:val="20"/>
        </w:rPr>
        <w:t xml:space="preserve"/>
      </w:r>
    </w:p>
    <w:p>
      <w:pPr>
        <w:spacing w:after="120" w:before="0"/>
      </w:pPr>
      <w:r>
        <w:rPr>
          <w:rFonts w:ascii="Georgia" w:cs="Georgia" w:eastAsia="Georgia" w:hAnsi="Georgia"/>
          <w:b w:val="false"/>
          <w:bCs w:val="false"/>
          <w:i w:val="false"/>
          <w:iCs w:val="false"/>
          <w:color w:val="222222"/>
          <w:sz w:val="20"/>
          <w:szCs w:val="20"/>
        </w:rPr>
        <w:t xml:space="preserve">FY24 total assets reconcile to the EAS-disclosed EGP 9,508m within rounding. The equity line is thin against the asset stack because the Koryolink loan sits at near-face while the DPRK cash is half-written — the §1.7 pair in balance-sheet form.</w:t>
      </w:r>
    </w:p>
    <w:p>
      <w:pPr>
        <w:spacing w:after="110" w:before="220"/>
      </w:pPr>
      <w:r>
        <w:rPr>
          <w:rFonts w:ascii="Arial" w:cs="Arial" w:eastAsia="Arial" w:hAnsi="Arial"/>
          <w:b/>
          <w:bCs/>
          <w:i w:val="false"/>
          <w:iCs w:val="false"/>
          <w:color w:val="1C6B62"/>
          <w:sz w:val="23"/>
          <w:szCs w:val="23"/>
        </w:rPr>
        <w:t xml:space="preserve">A.3  Cash flow (consolidated, EGP m)</w:t>
      </w:r>
    </w:p>
    <w:tbl>
      <w:tblPr>
        <w:tblW w:type="dxa" w:w="9920"/>
        <w:tblBorders>
          <w:top w:val="single" w:color="BBBBBB" w:sz="4"/>
          <w:left w:val="none"/>
          <w:bottom w:val="single" w:color="BBBBBB" w:sz="4"/>
          <w:right w:val="none"/>
          <w:insideH w:val="single" w:color="DDDDDD" w:sz="2"/>
          <w:insideV w:val="single" w:color="EEEEEE" w:sz="2"/>
        </w:tblBorders>
      </w:tblPr>
      <w:tblGrid>
        <w:gridCol w:w="2400"/>
        <w:gridCol w:w="940"/>
        <w:gridCol w:w="940"/>
        <w:gridCol w:w="940"/>
        <w:gridCol w:w="940"/>
        <w:gridCol w:w="940"/>
        <w:gridCol w:w="940"/>
        <w:gridCol w:w="940"/>
        <w:gridCol w:w="940"/>
      </w:tblGrid>
      <w:tr>
        <w:trPr>
          <w:tblHeader/>
        </w:trPr>
        <w:tc>
          <w:tcPr>
            <w:tcW w:type="dxa" w:w="2400"/>
            <w:shd w:fill="1C3A36" w:val="clear"/>
            <w:tcMar>
              <w:top w:type="dxa" w:w="40"/>
              <w:left w:type="dxa" w:w="80"/>
              <w:bottom w:type="dxa" w:w="40"/>
              <w:right w:type="dxa" w:w="80"/>
            </w:tcMar>
          </w:tcPr>
          <w:p>
            <w:pPr>
              <w:jc w:val="left"/>
            </w:pPr>
            <w:r>
              <w:rPr>
                <w:rFonts w:ascii="Arial" w:cs="Arial" w:eastAsia="Arial" w:hAnsi="Arial"/>
                <w:b/>
                <w:bCs/>
                <w:i w:val="false"/>
                <w:iCs w:val="false"/>
                <w:color w:val="FFFFFF"/>
                <w:sz w:val="14"/>
                <w:szCs w:val="14"/>
              </w:rPr>
              <w:t xml:space="preserve">EGP m</w:t>
            </w:r>
          </w:p>
        </w:tc>
        <w:tc>
          <w:tcPr>
            <w:tcW w:type="dxa" w:w="94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FY22</w:t>
            </w:r>
          </w:p>
        </w:tc>
        <w:tc>
          <w:tcPr>
            <w:tcW w:type="dxa" w:w="94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FY23</w:t>
            </w:r>
          </w:p>
        </w:tc>
        <w:tc>
          <w:tcPr>
            <w:tcW w:type="dxa" w:w="94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FY24</w:t>
            </w:r>
          </w:p>
        </w:tc>
        <w:tc>
          <w:tcPr>
            <w:tcW w:type="dxa" w:w="94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FY25E</w:t>
            </w:r>
          </w:p>
        </w:tc>
        <w:tc>
          <w:tcPr>
            <w:tcW w:type="dxa" w:w="94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FY26E</w:t>
            </w:r>
          </w:p>
        </w:tc>
        <w:tc>
          <w:tcPr>
            <w:tcW w:type="dxa" w:w="94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FY27E</w:t>
            </w:r>
          </w:p>
        </w:tc>
        <w:tc>
          <w:tcPr>
            <w:tcW w:type="dxa" w:w="94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FY28E</w:t>
            </w:r>
          </w:p>
        </w:tc>
        <w:tc>
          <w:tcPr>
            <w:tcW w:type="dxa" w:w="94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FY29E</w:t>
            </w:r>
          </w:p>
        </w:tc>
      </w:tr>
      <w:tr>
        <w:tc>
          <w:tcPr>
            <w:tcW w:type="dxa" w:w="24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Operating CF</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-209</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-239</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-1,529</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-554</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-159</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107</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331</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540</w:t>
            </w:r>
          </w:p>
        </w:tc>
      </w:tr>
      <w:tr>
        <w:tc>
          <w:tcPr>
            <w:tcW w:type="dxa" w:w="24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Capex / investing</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395</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-960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-450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-500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-300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-200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-150</w:t>
            </w:r>
          </w:p>
        </w:tc>
      </w:tr>
      <w:tr>
        <w:tc>
          <w:tcPr>
            <w:tcW w:type="dxa" w:w="24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Financing CF</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176</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91</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1,265</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40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40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40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40</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40</w:t>
            </w:r>
          </w:p>
        </w:tc>
      </w:tr>
      <w:tr>
        <w:tc>
          <w:tcPr>
            <w:tcW w:type="dxa" w:w="24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Net change in cash</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-156</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206</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-1,287</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-964</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-619</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-153</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171</w:t>
            </w:r>
          </w:p>
        </w:tc>
        <w:tc>
          <w:tcPr>
            <w:tcW w:type="dxa" w:w="94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430</w:t>
            </w:r>
          </w:p>
        </w:tc>
      </w:tr>
      <w:tr>
        <w:tc>
          <w:tcPr>
            <w:tcW w:type="dxa" w:w="2400"/>
            <w:shd w:fill="F2F0EA" w:val="clear"/>
            <w:tcMar>
              <w:top w:type="dxa" w:w="40"/>
              <w:left w:type="dxa" w:w="80"/>
              <w:bottom w:type="dxa" w:w="40"/>
              <w:right w:type="dxa" w:w="80"/>
            </w:tcMar>
          </w:tcPr>
          <w:p>
            <w:pPr>
              <w:jc w:val="left"/>
            </w:pPr>
            <w:r>
              <w:rPr>
                <w:rFonts w:ascii="Arial" w:cs="Arial" w:eastAsia="Arial" w:hAnsi="Arial"/>
                <w:b/>
                <w:bCs/>
                <w:i w:val="false"/>
                <w:iCs w:val="false"/>
                <w:color w:val="222222"/>
                <w:sz w:val="14"/>
                <w:szCs w:val="14"/>
              </w:rPr>
              <w:t xml:space="preserve">Closing cash</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1,369</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749</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597</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767</w:t>
            </w:r>
          </w:p>
        </w:tc>
        <w:tc>
          <w:tcPr>
            <w:tcW w:type="dxa" w:w="94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1,197</w:t>
            </w:r>
          </w:p>
        </w:tc>
      </w:tr>
    </w:tbl>
    <w:p>
      <w:pPr>
        <w:spacing w:after="60" w:before="0"/>
      </w:pPr>
      <w:r>
        <w:rPr>
          <w:rFonts w:ascii="Georgia" w:cs="Georgia" w:eastAsia="Georgia" w:hAnsi="Georgia"/>
          <w:b w:val="false"/>
          <w:bCs w:val="false"/>
          <w:i w:val="false"/>
          <w:iCs w:val="false"/>
          <w:color w:val="222222"/>
          <w:sz w:val="20"/>
          <w:szCs w:val="20"/>
        </w:rPr>
        <w:t xml:space="preserve"/>
      </w:r>
    </w:p>
    <w:p>
      <w:pPr>
        <w:spacing w:after="120" w:before="0"/>
      </w:pPr>
      <w:r>
        <w:rPr>
          <w:rFonts w:ascii="Georgia" w:cs="Georgia" w:eastAsia="Georgia" w:hAnsi="Georgia"/>
          <w:b w:val="false"/>
          <w:bCs w:val="false"/>
          <w:i w:val="false"/>
          <w:iCs w:val="false"/>
          <w:color w:val="222222"/>
          <w:sz w:val="20"/>
          <w:szCs w:val="20"/>
        </w:rPr>
        <w:t xml:space="preserve">The forecast trough is FY27E: the concession build completes, FCFF turns positive in FY28E, and closing cash never approaches zero — the build is funded, which is different from saying it is yet worth its price.</w:t>
      </w:r>
    </w:p>
    <w:p>
      <w:pPr>
        <w:pBdr>
          <w:bottom w:val="single" w:color="C0A45F" w:sz="8"/>
        </w:pBdr>
        <w:spacing w:after="140" w:before="300"/>
      </w:pPr>
      <w:r>
        <w:rPr>
          <w:rFonts w:ascii="Arial" w:cs="Arial" w:eastAsia="Arial" w:hAnsi="Arial"/>
          <w:b/>
          <w:bCs/>
          <w:i w:val="false"/>
          <w:iCs w:val="false"/>
          <w:color w:val="1C3A36"/>
          <w:sz w:val="28"/>
          <w:szCs w:val="28"/>
        </w:rPr>
        <w:t xml:space="preserve">Appendix B  Step 0 — calibration backtest</w:t>
      </w:r>
    </w:p>
    <w:p>
      <w:pPr>
        <w:spacing w:after="120" w:before="0"/>
      </w:pPr>
      <w:r>
        <w:rPr>
          <w:rFonts w:ascii="Georgia" w:cs="Georgia" w:eastAsia="Georgia" w:hAnsi="Georgia"/>
          <w:b w:val="false"/>
          <w:bCs w:val="false"/>
          <w:i w:val="false"/>
          <w:iCs w:val="false"/>
          <w:color w:val="222222"/>
          <w:sz w:val="20"/>
          <w:szCs w:val="20"/>
        </w:rPr>
        <w:t xml:space="preserve">Before any forecast we test the engine on OIH’s own five years of history: at seventeen non-overlapping origins (Feb-2022 → Jan-2026, h = 60 sessions, using only data available at each origin) we generate the three-month distribution and score the realized close against it. </w:t>
      </w:r>
      <w:r>
        <w:rPr>
          <w:rFonts w:ascii="Georgia" w:cs="Georgia" w:eastAsia="Georgia" w:hAnsi="Georgia"/>
          <w:b/>
          <w:bCs/>
          <w:i w:val="false"/>
          <w:iCs w:val="false"/>
          <w:color w:val="222222"/>
          <w:sz w:val="20"/>
          <w:szCs w:val="20"/>
        </w:rPr>
        <w:t xml:space="preserve">The grade is skill versus a naïve benchmark</w:t>
      </w:r>
      <w:r>
        <w:rPr>
          <w:rFonts w:ascii="Georgia" w:cs="Georgia" w:eastAsia="Georgia" w:hAnsi="Georgia"/>
          <w:b w:val="false"/>
          <w:bCs w:val="false"/>
          <w:i w:val="false"/>
          <w:iCs w:val="false"/>
          <w:color w:val="222222"/>
          <w:sz w:val="20"/>
          <w:szCs w:val="20"/>
        </w:rPr>
        <w:t xml:space="preserve"> — a zero-drift random-walk lognormal cone on trailing realized vol — measured by CRPS skill (must be &gt; 0) and the Winkler interval score; PIT and band coverage are reported as diagnostics only, because hit-rate rewards width. Two drift configurations were run, and the decision was made by the numbers, not by asset-class habit:</w:t>
      </w:r>
    </w:p>
    <w:tbl>
      <w:tblPr>
        <w:tblW w:type="dxa" w:w="10400"/>
        <w:tblBorders>
          <w:top w:val="single" w:color="BBBBBB" w:sz="4"/>
          <w:left w:val="none"/>
          <w:bottom w:val="single" w:color="BBBBBB" w:sz="4"/>
          <w:right w:val="none"/>
          <w:insideH w:val="single" w:color="DDDDDD" w:sz="2"/>
          <w:insideV w:val="single" w:color="EEEEEE" w:sz="2"/>
        </w:tblBorders>
      </w:tblPr>
      <w:tblGrid>
        <w:gridCol w:w="3000"/>
        <w:gridCol w:w="1100"/>
        <w:gridCol w:w="1200"/>
        <w:gridCol w:w="1100"/>
        <w:gridCol w:w="1100"/>
        <w:gridCol w:w="1800"/>
        <w:gridCol w:w="1100"/>
      </w:tblGrid>
      <w:tr>
        <w:trPr>
          <w:tblHeader/>
        </w:trPr>
        <w:tc>
          <w:tcPr>
            <w:tcW w:type="dxa" w:w="3000"/>
            <w:shd w:fill="1C3A36" w:val="clear"/>
            <w:tcMar>
              <w:top w:type="dxa" w:w="40"/>
              <w:left w:type="dxa" w:w="80"/>
              <w:bottom w:type="dxa" w:w="40"/>
              <w:right w:type="dxa" w:w="80"/>
            </w:tcMar>
          </w:tcPr>
          <w:p>
            <w:pPr>
              <w:jc w:val="left"/>
            </w:pPr>
            <w:r>
              <w:rPr>
                <w:rFonts w:ascii="Arial" w:cs="Arial" w:eastAsia="Arial" w:hAnsi="Arial"/>
                <w:b/>
                <w:bCs/>
                <w:i w:val="false"/>
                <w:iCs w:val="false"/>
                <w:color w:val="FFFFFF"/>
                <w:sz w:val="15"/>
                <w:szCs w:val="15"/>
              </w:rPr>
              <w:t xml:space="preserve">Configuration</w:t>
            </w:r>
          </w:p>
        </w:tc>
        <w:tc>
          <w:tcPr>
            <w:tcW w:type="dxa" w:w="11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5"/>
                <w:szCs w:val="15"/>
              </w:rPr>
              <w:t xml:space="preserve">CRPS</w:t>
            </w:r>
          </w:p>
        </w:tc>
        <w:tc>
          <w:tcPr>
            <w:tcW w:type="dxa" w:w="12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5"/>
                <w:szCs w:val="15"/>
              </w:rPr>
              <w:t xml:space="preserve">CRPS skill</w:t>
            </w:r>
          </w:p>
        </w:tc>
        <w:tc>
          <w:tcPr>
            <w:tcW w:type="dxa" w:w="11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5"/>
                <w:szCs w:val="15"/>
              </w:rPr>
              <w:t xml:space="preserve">W90 skill</w:t>
            </w:r>
          </w:p>
        </w:tc>
        <w:tc>
          <w:tcPr>
            <w:tcW w:type="dxa" w:w="11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5"/>
                <w:szCs w:val="15"/>
              </w:rPr>
              <w:t xml:space="preserve">W50 skill</w:t>
            </w:r>
          </w:p>
        </w:tc>
        <w:tc>
          <w:tcPr>
            <w:tcW w:type="dxa" w:w="18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5"/>
                <w:szCs w:val="15"/>
              </w:rPr>
              <w:t xml:space="preserve">Cov 50/80/90</w:t>
            </w:r>
          </w:p>
        </w:tc>
        <w:tc>
          <w:tcPr>
            <w:tcW w:type="dxa" w:w="11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5"/>
                <w:szCs w:val="15"/>
              </w:rPr>
              <w:t xml:space="preserve">PIT mean</w:t>
            </w:r>
          </w:p>
        </w:tc>
      </w:tr>
      <w:tr>
        <w:tc>
          <w:tcPr>
            <w:tcW w:type="dxa" w:w="30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YZ-HAR t5, drift OFF</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0.0742</w:t>
            </w:r>
          </w:p>
        </w:tc>
        <w:tc>
          <w:tcPr>
            <w:tcW w:type="dxa" w:w="12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−0.013</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+0.072</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−0.043</w:t>
            </w:r>
          </w:p>
        </w:tc>
        <w:tc>
          <w:tcPr>
            <w:tcW w:type="dxa" w:w="18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47% / 88% / 88%</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0.63</w:t>
            </w:r>
          </w:p>
        </w:tc>
      </w:tr>
      <w:tr>
        <w:tc>
          <w:tcPr>
            <w:tcW w:type="dxa" w:w="3000"/>
            <w:shd w:fill="F2F0EA" w:val="clear"/>
            <w:tcMar>
              <w:top w:type="dxa" w:w="40"/>
              <w:left w:type="dxa" w:w="80"/>
              <w:bottom w:type="dxa" w:w="40"/>
              <w:right w:type="dxa" w:w="80"/>
            </w:tcMar>
          </w:tcPr>
          <w:p>
            <w:pPr>
              <w:jc w:val="left"/>
            </w:pPr>
            <w:r>
              <w:rPr>
                <w:rFonts w:ascii="Arial" w:cs="Arial" w:eastAsia="Arial" w:hAnsi="Arial"/>
                <w:b/>
                <w:bCs/>
                <w:i w:val="false"/>
                <w:iCs w:val="false"/>
                <w:color w:val="222222"/>
                <w:sz w:val="15"/>
                <w:szCs w:val="15"/>
              </w:rPr>
              <w:t xml:space="preserve">YZ-HAR t5, drift ON (accepted)</w:t>
            </w:r>
          </w:p>
        </w:tc>
        <w:tc>
          <w:tcPr>
            <w:tcW w:type="dxa" w:w="11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5"/>
                <w:szCs w:val="15"/>
              </w:rPr>
              <w:t xml:space="preserve">0.0669</w:t>
            </w:r>
          </w:p>
        </w:tc>
        <w:tc>
          <w:tcPr>
            <w:tcW w:type="dxa" w:w="12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5"/>
                <w:szCs w:val="15"/>
              </w:rPr>
              <w:t xml:space="preserve">+0.086</w:t>
            </w:r>
          </w:p>
        </w:tc>
        <w:tc>
          <w:tcPr>
            <w:tcW w:type="dxa" w:w="11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5"/>
                <w:szCs w:val="15"/>
              </w:rPr>
              <w:t xml:space="preserve">+0.203</w:t>
            </w:r>
          </w:p>
        </w:tc>
        <w:tc>
          <w:tcPr>
            <w:tcW w:type="dxa" w:w="11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5"/>
                <w:szCs w:val="15"/>
              </w:rPr>
              <w:t xml:space="preserve">+0.105</w:t>
            </w:r>
          </w:p>
        </w:tc>
        <w:tc>
          <w:tcPr>
            <w:tcW w:type="dxa" w:w="18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5"/>
                <w:szCs w:val="15"/>
              </w:rPr>
              <w:t xml:space="preserve">29% / 82% / 88%</w:t>
            </w:r>
          </w:p>
        </w:tc>
        <w:tc>
          <w:tcPr>
            <w:tcW w:type="dxa" w:w="11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5"/>
                <w:szCs w:val="15"/>
              </w:rPr>
              <w:t xml:space="preserve">0.57</w:t>
            </w:r>
          </w:p>
        </w:tc>
      </w:tr>
      <w:tr>
        <w:tc>
          <w:tcPr>
            <w:tcW w:type="dxa" w:w="30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Random-walk benchmark</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0.0732</w:t>
            </w:r>
          </w:p>
        </w:tc>
        <w:tc>
          <w:tcPr>
            <w:tcW w:type="dxa" w:w="12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0.000</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0.000</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0.000</w:t>
            </w:r>
          </w:p>
        </w:tc>
        <w:tc>
          <w:tcPr>
            <w:tcW w:type="dxa" w:w="18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47% / 88% / 88%</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0.62</w:t>
            </w:r>
          </w:p>
        </w:tc>
      </w:tr>
    </w:tbl>
    <w:p>
      <w:pPr>
        <w:spacing w:after="60" w:before="0"/>
      </w:pPr>
      <w:r>
        <w:rPr>
          <w:rFonts w:ascii="Georgia" w:cs="Georgia" w:eastAsia="Georgia" w:hAnsi="Georgia"/>
          <w:b w:val="false"/>
          <w:bCs w:val="false"/>
          <w:i w:val="false"/>
          <w:iCs w:val="false"/>
          <w:color w:val="222222"/>
          <w:sz w:val="20"/>
          <w:szCs w:val="20"/>
        </w:rPr>
        <w:t xml:space="preserve"/>
      </w:r>
    </w:p>
    <w:p>
      <w:pPr>
        <w:spacing w:after="40" w:before="60"/>
        <w:jc w:val="center"/>
      </w:pPr>
      <w:r>
        <w:drawing>
          <wp:inline distT="0" distB="0" distL="0" distR="0">
            <wp:extent cx="5334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504950"/>
                    </a:xfrm>
                    <a:prstGeom prst="rect">
                      <a:avLst/>
                    </a:prstGeom>
                  </pic:spPr>
                </pic:pic>
              </a:graphicData>
            </a:graphic>
          </wp:inline>
        </w:drawing>
      </w:r>
    </w:p>
    <w:p>
      <w:pPr>
        <w:spacing w:after="160" w:before="0"/>
      </w:pPr>
      <w:r>
        <w:rPr>
          <w:rFonts w:ascii="Georgia" w:cs="Georgia" w:eastAsia="Georgia" w:hAnsi="Georgia"/>
          <w:b w:val="false"/>
          <w:bCs w:val="false"/>
          <w:i/>
          <w:iCs/>
          <w:color w:val="555555"/>
          <w:sz w:val="18"/>
          <w:szCs w:val="18"/>
        </w:rPr>
        <w:t xml:space="preserve">Figure B-1 — Step 0 diagnostics for the accepted configuration: PIT histogram against uniform, interval coverage versus target, and per-origin CRPS against the benchmark.</w:t>
      </w:r>
    </w:p>
    <w:p>
      <w:pPr>
        <w:spacing w:after="120" w:before="0"/>
      </w:pPr>
      <w:r>
        <w:rPr>
          <w:rFonts w:ascii="Georgia" w:cs="Georgia" w:eastAsia="Georgia" w:hAnsi="Georgia"/>
          <w:b w:val="false"/>
          <w:bCs w:val="false"/>
          <w:i w:val="false"/>
          <w:iCs w:val="false"/>
          <w:color w:val="222222"/>
          <w:sz w:val="20"/>
          <w:szCs w:val="20"/>
        </w:rPr>
        <w:t xml:space="preserve">The zero-drift cone fails on OIH — its PIT mean of 0.63 says realized prices persistently finished in the upper half of its forecasts, because this stock carries a genuine secular advance (EGP 0.17 → 1.41 across the sample). Turning the expanding-window secular drift </w:t>
      </w:r>
      <w:r>
        <w:rPr>
          <w:rFonts w:ascii="Georgia" w:cs="Georgia" w:eastAsia="Georgia" w:hAnsi="Georgia"/>
          <w:b/>
          <w:bCs/>
          <w:i w:val="false"/>
          <w:iCs w:val="false"/>
          <w:color w:val="222222"/>
          <w:sz w:val="20"/>
          <w:szCs w:val="20"/>
        </w:rPr>
        <w:t xml:space="preserve">ON</w:t>
      </w:r>
      <w:r>
        <w:rPr>
          <w:rFonts w:ascii="Georgia" w:cs="Georgia" w:eastAsia="Georgia" w:hAnsi="Georgia"/>
          <w:b w:val="false"/>
          <w:bCs w:val="false"/>
          <w:i w:val="false"/>
          <w:iCs w:val="false"/>
          <w:color w:val="222222"/>
          <w:sz w:val="20"/>
          <w:szCs w:val="20"/>
        </w:rPr>
        <w:t xml:space="preserve"> — the same per-name test that turned it OFF for another EGX holdco in this series — beats the benchmark on all three skill metrics with a PIT that is statistically indistinguishable from uniform (χ² p ≈ 0.8 across five bins). The 50% band covered 29% versus a 50% target across seventeen origins (±12pt binomial noise at this sample size); we note it as a diagnostic and did not widen the cone to chase it, because width is exactly what the CRPS grade punishes. The lens is accepted; drift ON, HAR width and t5 shape carry into the §3 forward run, and the forecast enters the Calibration Ledger to be graded at maturity by the same rule.</w:t>
      </w:r>
    </w:p>
    <w:p>
      <w:pPr>
        <w:pBdr>
          <w:bottom w:val="single" w:color="C0A45F" w:sz="8"/>
        </w:pBdr>
        <w:spacing w:after="140" w:before="300"/>
      </w:pPr>
      <w:r>
        <w:rPr>
          <w:rFonts w:ascii="Arial" w:cs="Arial" w:eastAsia="Arial" w:hAnsi="Arial"/>
          <w:b/>
          <w:bCs/>
          <w:i w:val="false"/>
          <w:iCs w:val="false"/>
          <w:color w:val="1C3A36"/>
          <w:sz w:val="28"/>
          <w:szCs w:val="28"/>
        </w:rPr>
        <w:t xml:space="preserve">Appendix C  Peer set, sector structure, and risks</w:t>
      </w:r>
    </w:p>
    <w:p>
      <w:pPr>
        <w:spacing w:after="120" w:before="0"/>
      </w:pPr>
      <w:r>
        <w:rPr>
          <w:rFonts w:ascii="Georgia" w:cs="Georgia" w:eastAsia="Georgia" w:hAnsi="Georgia"/>
          <w:b w:val="false"/>
          <w:bCs w:val="false"/>
          <w:i w:val="false"/>
          <w:iCs w:val="false"/>
          <w:color w:val="222222"/>
          <w:sz w:val="20"/>
          <w:szCs w:val="20"/>
        </w:rPr>
        <w:t xml:space="preserve">OIH has no clean comparable — a heritage-site concession, a sanctioned telecom associate and a renewables LP stake share one wrapper. The peer set is therefore the EGX holdco shelf, compared on structure rather than multiples.</w:t>
      </w:r>
    </w:p>
    <w:tbl>
      <w:tblPr>
        <w:tblW w:type="dxa" w:w="9900"/>
        <w:tblBorders>
          <w:top w:val="single" w:color="BBBBBB" w:sz="4"/>
          <w:left w:val="none"/>
          <w:bottom w:val="single" w:color="BBBBBB" w:sz="4"/>
          <w:right w:val="none"/>
          <w:insideH w:val="single" w:color="DDDDDD" w:sz="2"/>
          <w:insideV w:val="single" w:color="EEEEEE" w:sz="2"/>
        </w:tblBorders>
      </w:tblPr>
      <w:tblGrid>
        <w:gridCol w:w="2100"/>
        <w:gridCol w:w="2700"/>
        <w:gridCol w:w="2500"/>
        <w:gridCol w:w="2600"/>
      </w:tblGrid>
      <w:tr>
        <w:trPr>
          <w:tblHeader/>
        </w:trPr>
        <w:tc>
          <w:tcPr>
            <w:tcW w:type="dxa" w:w="2100"/>
            <w:shd w:fill="1C3A36" w:val="clear"/>
            <w:tcMar>
              <w:top w:type="dxa" w:w="40"/>
              <w:left w:type="dxa" w:w="80"/>
              <w:bottom w:type="dxa" w:w="40"/>
              <w:right w:type="dxa" w:w="80"/>
            </w:tcMar>
          </w:tcPr>
          <w:p>
            <w:pPr>
              <w:jc w:val="left"/>
            </w:pPr>
            <w:r>
              <w:rPr>
                <w:rFonts w:ascii="Arial" w:cs="Arial" w:eastAsia="Arial" w:hAnsi="Arial"/>
                <w:b/>
                <w:bCs/>
                <w:i w:val="false"/>
                <w:iCs w:val="false"/>
                <w:color w:val="FFFFFF"/>
                <w:sz w:val="15"/>
                <w:szCs w:val="15"/>
              </w:rPr>
              <w:t xml:space="preserve">Peer (EGX)</w:t>
            </w:r>
          </w:p>
        </w:tc>
        <w:tc>
          <w:tcPr>
            <w:tcW w:type="dxa" w:w="27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5"/>
                <w:szCs w:val="15"/>
              </w:rPr>
              <w:t xml:space="preserve">Focus</w:t>
            </w:r>
          </w:p>
        </w:tc>
        <w:tc>
          <w:tcPr>
            <w:tcW w:type="dxa" w:w="25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5"/>
                <w:szCs w:val="15"/>
              </w:rPr>
              <w:t xml:space="preserve">Discount narrative</w:t>
            </w:r>
          </w:p>
        </w:tc>
        <w:tc>
          <w:tcPr>
            <w:tcW w:type="dxa" w:w="26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5"/>
                <w:szCs w:val="15"/>
              </w:rPr>
              <w:t xml:space="preserve">Comparability</w:t>
            </w:r>
          </w:p>
        </w:tc>
      </w:tr>
      <w:tr>
        <w:tc>
          <w:tcPr>
            <w:tcW w:type="dxa" w:w="21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Qalaa Holdings (CCAP)</w:t>
            </w:r>
          </w:p>
        </w:tc>
        <w:tc>
          <w:tcPr>
            <w:tcW w:type="dxa" w:w="27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Energy/refining (ERC), infrastructure</w:t>
            </w:r>
          </w:p>
        </w:tc>
        <w:tc>
          <w:tcPr>
            <w:tcW w:type="dxa" w:w="2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Deep P/NAV discount; leverage at subsidiaries</w:t>
            </w:r>
          </w:p>
        </w:tc>
        <w:tc>
          <w:tcPr>
            <w:tcW w:type="dxa" w:w="2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Closest listed holdco; the opposite discount regime</w:t>
            </w:r>
          </w:p>
        </w:tc>
      </w:tr>
      <w:tr>
        <w:tc>
          <w:tcPr>
            <w:tcW w:type="dxa" w:w="21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B Investments (BINV)</w:t>
            </w:r>
          </w:p>
        </w:tc>
        <w:tc>
          <w:tcPr>
            <w:tcW w:type="dxa" w:w="27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PE-style stakes, consumer &amp; fintech</w:t>
            </w:r>
          </w:p>
        </w:tc>
        <w:tc>
          <w:tcPr>
            <w:tcW w:type="dxa" w:w="2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Modest discount; cash-rich</w:t>
            </w:r>
          </w:p>
        </w:tc>
        <w:tc>
          <w:tcPr>
            <w:tcW w:type="dxa" w:w="2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Cleaner book, no concession or DPRK tails</w:t>
            </w:r>
          </w:p>
        </w:tc>
      </w:tr>
      <w:tr>
        <w:tc>
          <w:tcPr>
            <w:tcW w:type="dxa" w:w="21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EK Holding (EKHO)</w:t>
            </w:r>
          </w:p>
        </w:tc>
        <w:tc>
          <w:tcPr>
            <w:tcW w:type="dxa" w:w="27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Gas, fertilizers, NBFC; USD line</w:t>
            </w:r>
          </w:p>
        </w:tc>
        <w:tc>
          <w:tcPr>
            <w:tcW w:type="dxa" w:w="2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Near NAV; USD quotation removes FX drag</w:t>
            </w:r>
          </w:p>
        </w:tc>
        <w:tc>
          <w:tcPr>
            <w:tcW w:type="dxa" w:w="2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The USD-asset overlap parallels OIH’s long-dollar book</w:t>
            </w:r>
          </w:p>
        </w:tc>
      </w:tr>
      <w:tr>
        <w:tc>
          <w:tcPr>
            <w:tcW w:type="dxa" w:w="21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Odin Investments (ODIN)</w:t>
            </w:r>
          </w:p>
        </w:tc>
        <w:tc>
          <w:tcPr>
            <w:tcW w:type="dxa" w:w="27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Brokerage-linked micro-holdco</w:t>
            </w:r>
          </w:p>
        </w:tc>
        <w:tc>
          <w:tcPr>
            <w:tcW w:type="dxa" w:w="2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Illiquid, wide bands</w:t>
            </w:r>
          </w:p>
        </w:tc>
        <w:tc>
          <w:tcPr>
            <w:tcW w:type="dxa" w:w="2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Size and retail-liquidity comparator only</w:t>
            </w:r>
          </w:p>
        </w:tc>
      </w:tr>
    </w:tbl>
    <w:p>
      <w:pPr>
        <w:spacing w:after="60" w:before="0"/>
      </w:pPr>
      <w:r>
        <w:rPr>
          <w:rFonts w:ascii="Georgia" w:cs="Georgia" w:eastAsia="Georgia" w:hAnsi="Georgia"/>
          <w:b w:val="false"/>
          <w:bCs w:val="false"/>
          <w:i w:val="false"/>
          <w:iCs w:val="false"/>
          <w:color w:val="222222"/>
          <w:sz w:val="20"/>
          <w:szCs w:val="20"/>
        </w:rPr>
        <w:t xml:space="preserve"/>
      </w:r>
    </w:p>
    <w:p>
      <w:pPr>
        <w:spacing w:after="120" w:before="0"/>
      </w:pPr>
      <w:r>
        <w:rPr>
          <w:rFonts w:ascii="Georgia" w:cs="Georgia" w:eastAsia="Georgia" w:hAnsi="Georgia"/>
          <w:b/>
          <w:bCs/>
          <w:i w:val="false"/>
          <w:iCs w:val="false"/>
          <w:color w:val="222222"/>
          <w:sz w:val="20"/>
          <w:szCs w:val="20"/>
        </w:rPr>
        <w:t xml:space="preserve">Sector structure.</w:t>
      </w:r>
      <w:r>
        <w:rPr>
          <w:rFonts w:ascii="Georgia" w:cs="Georgia" w:eastAsia="Georgia" w:hAnsi="Georgia"/>
          <w:b w:val="false"/>
          <w:bCs w:val="false"/>
          <w:i w:val="false"/>
          <w:iCs w:val="false"/>
          <w:color w:val="222222"/>
          <w:sz w:val="20"/>
          <w:szCs w:val="20"/>
        </w:rPr>
        <w:t xml:space="preserve"> EGX holdcos habitually clear at 10–50% below accountable NAV; OIH is the exchange’s outlier premium precisely because its swing asset is ramping and its NAV rests on hard-to-verify marks — the market is pricing the story the books cannot yet carry. </w:t>
      </w:r>
      <w:r>
        <w:rPr>
          <w:rFonts w:ascii="Georgia" w:cs="Georgia" w:eastAsia="Georgia" w:hAnsi="Georgia"/>
          <w:b/>
          <w:bCs/>
          <w:i w:val="false"/>
          <w:iCs w:val="false"/>
          <w:color w:val="222222"/>
          <w:sz w:val="20"/>
          <w:szCs w:val="20"/>
        </w:rPr>
        <w:t xml:space="preserve">Principal risks:</w:t>
      </w:r>
      <w:r>
        <w:rPr>
          <w:rFonts w:ascii="Georgia" w:cs="Georgia" w:eastAsia="Georgia" w:hAnsi="Georgia"/>
          <w:b w:val="false"/>
          <w:bCs w:val="false"/>
          <w:i w:val="false"/>
          <w:iCs w:val="false"/>
          <w:color w:val="222222"/>
          <w:sz w:val="20"/>
          <w:szCs w:val="20"/>
        </w:rPr>
        <w:t xml:space="preserve"> revision of the plateau concession’s revenue share or tenor; a further DPRK write-down, or the Koryolink loan unwinding to face with no offsetting recovery; EGP appreciation compressing the EGP NAV and the retail bid together; Level-3 marks (Lighthouse) proving optimistic; the chronic filing lag and qualified opinion persisting; central costs outgrowing the platform; and the governance asymmetries of a parent-controlled holdco (related-party transactions, capital actions) that minority holders absorb rather than shape.</w:t>
      </w:r>
    </w:p>
    <w:p>
      <w:pPr>
        <w:pBdr>
          <w:bottom w:val="single" w:color="C0A45F" w:sz="8"/>
        </w:pBdr>
        <w:spacing w:after="140" w:before="300"/>
      </w:pPr>
      <w:r>
        <w:rPr>
          <w:rFonts w:ascii="Arial" w:cs="Arial" w:eastAsia="Arial" w:hAnsi="Arial"/>
          <w:b/>
          <w:bCs/>
          <w:i w:val="false"/>
          <w:iCs w:val="false"/>
          <w:color w:val="1C3A36"/>
          <w:sz w:val="28"/>
          <w:szCs w:val="28"/>
        </w:rPr>
        <w:t xml:space="preserve">Appendix D  The expert valuation panel</w:t>
      </w:r>
    </w:p>
    <w:p>
      <w:pPr>
        <w:spacing w:after="120" w:before="0"/>
      </w:pPr>
      <w:r>
        <w:rPr>
          <w:rFonts w:ascii="Georgia" w:cs="Georgia" w:eastAsia="Georgia" w:hAnsi="Georgia"/>
          <w:b w:val="false"/>
          <w:bCs w:val="false"/>
          <w:i w:val="false"/>
          <w:iCs w:val="false"/>
          <w:color w:val="222222"/>
          <w:sz w:val="20"/>
          <w:szCs w:val="20"/>
        </w:rPr>
        <w:t xml:space="preserve">Three experts, three genuinely different methods, cast from the house persona library for holding companies: a NAV-and-discount specialist, a forensic accountant, and a macro-policy strategist. Each shows the workings, states a falsification condition, and reads what the market price implies. They are labelled Expert 1/2/3; their point values are logged with today’s date and spot as a per-expert calibration layer, separate from the core Ledger.</w:t>
      </w:r>
    </w:p>
    <w:p>
      <w:pPr>
        <w:spacing w:after="110" w:before="220"/>
      </w:pPr>
      <w:r>
        <w:rPr>
          <w:rFonts w:ascii="Arial" w:cs="Arial" w:eastAsia="Arial" w:hAnsi="Arial"/>
          <w:b/>
          <w:bCs/>
          <w:i w:val="false"/>
          <w:iCs w:val="false"/>
          <w:color w:val="1C6B62"/>
          <w:sz w:val="23"/>
          <w:szCs w:val="23"/>
        </w:rPr>
        <w:t xml:space="preserve">D.1  Expert 1 — NAV and the holdco discount</w:t>
      </w:r>
    </w:p>
    <w:p>
      <w:pPr>
        <w:spacing w:after="120" w:before="0"/>
      </w:pPr>
      <w:r>
        <w:rPr>
          <w:rFonts w:ascii="Georgia" w:cs="Georgia" w:eastAsia="Georgia" w:hAnsi="Georgia"/>
          <w:b/>
          <w:bCs/>
          <w:i w:val="false"/>
          <w:iCs w:val="false"/>
          <w:color w:val="222222"/>
          <w:sz w:val="20"/>
          <w:szCs w:val="20"/>
        </w:rPr>
        <w:t xml:space="preserve">Worldview and tradition.</w:t>
      </w:r>
      <w:r>
        <w:rPr>
          <w:rFonts w:ascii="Georgia" w:cs="Georgia" w:eastAsia="Georgia" w:hAnsi="Georgia"/>
          <w:b w:val="false"/>
          <w:bCs w:val="false"/>
          <w:i w:val="false"/>
          <w:iCs w:val="false"/>
          <w:color w:val="222222"/>
          <w:sz w:val="20"/>
          <w:szCs w:val="20"/>
        </w:rPr>
        <w:t xml:space="preserve"> The holdco is a portfolio in a listed wrapper; its value is the sum of its parts at realizable marks, less what the wrapper costs — central overhead, agency risk, illiquidity — expressed as a discount. The tradition runs from Graham’s asset plays through the European holding-company literature (Investor AB, Exor, GBL trade this way daily) to the EGX’s own shelf, where the discount is the market’s standing verdict on governance. </w:t>
      </w:r>
      <w:r>
        <w:rPr>
          <w:rFonts w:ascii="Georgia" w:cs="Georgia" w:eastAsia="Georgia" w:hAnsi="Georgia"/>
          <w:b/>
          <w:bCs/>
          <w:i w:val="false"/>
          <w:iCs w:val="false"/>
          <w:color w:val="222222"/>
          <w:sz w:val="20"/>
          <w:szCs w:val="20"/>
        </w:rPr>
        <w:t xml:space="preserve">When it works:</w:t>
      </w:r>
      <w:r>
        <w:rPr>
          <w:rFonts w:ascii="Georgia" w:cs="Georgia" w:eastAsia="Georgia" w:hAnsi="Georgia"/>
          <w:b w:val="false"/>
          <w:bCs w:val="false"/>
          <w:i w:val="false"/>
          <w:iCs w:val="false"/>
          <w:color w:val="222222"/>
          <w:sz w:val="20"/>
          <w:szCs w:val="20"/>
        </w:rPr>
        <w:t xml:space="preserve"> when the parts have observable or at least auditable marks and a path to realization — sales, listings, dividends up the chain. </w:t>
      </w:r>
      <w:r>
        <w:rPr>
          <w:rFonts w:ascii="Georgia" w:cs="Georgia" w:eastAsia="Georgia" w:hAnsi="Georgia"/>
          <w:b/>
          <w:bCs/>
          <w:i w:val="false"/>
          <w:iCs w:val="false"/>
          <w:color w:val="222222"/>
          <w:sz w:val="20"/>
          <w:szCs w:val="20"/>
        </w:rPr>
        <w:t xml:space="preserve">When it fails:</w:t>
      </w:r>
      <w:r>
        <w:rPr>
          <w:rFonts w:ascii="Georgia" w:cs="Georgia" w:eastAsia="Georgia" w:hAnsi="Georgia"/>
          <w:b w:val="false"/>
          <w:bCs w:val="false"/>
          <w:i w:val="false"/>
          <w:iCs w:val="false"/>
          <w:color w:val="222222"/>
          <w:sz w:val="20"/>
          <w:szCs w:val="20"/>
        </w:rPr>
        <w:t xml:space="preserve"> when the marks are unverifiable (the method inherits the auditor’s blindness), when the crown asset is a growth business whose DCF swamps the audited stack, and when control never intends to realize anything — a discount can be permanent.</w:t>
      </w:r>
    </w:p>
    <w:p>
      <w:pPr>
        <w:spacing w:after="120" w:before="0"/>
      </w:pPr>
      <w:r>
        <w:rPr>
          <w:rFonts w:ascii="Georgia" w:cs="Georgia" w:eastAsia="Georgia" w:hAnsi="Georgia"/>
          <w:b/>
          <w:bCs/>
          <w:i w:val="false"/>
          <w:iCs w:val="false"/>
          <w:color w:val="222222"/>
          <w:sz w:val="20"/>
          <w:szCs w:val="20"/>
        </w:rPr>
        <w:t xml:space="preserve">Standard workings.</w:t>
      </w:r>
      <w:r>
        <w:rPr>
          <w:rFonts w:ascii="Georgia" w:cs="Georgia" w:eastAsia="Georgia" w:hAnsi="Georgia"/>
          <w:b w:val="false"/>
          <w:bCs w:val="false"/>
          <w:i w:val="false"/>
          <w:iCs w:val="false"/>
          <w:color w:val="222222"/>
          <w:sz w:val="20"/>
          <w:szCs w:val="20"/>
        </w:rPr>
        <w:t xml:space="preserve"> (1) List every asset and liability; (2) mark each at the most defensible basis — carrying for audited financial items, DCF for the operating platform, haircuts stated per line; (3) sum; (4) apply a discount built from comparables and governance scoring; (5) divide by shares; (6) sensitise on the two swing marks.</w:t>
      </w:r>
    </w:p>
    <w:tbl>
      <w:tblPr>
        <w:tblW w:type="dxa" w:w="9100"/>
        <w:tblBorders>
          <w:top w:val="single" w:color="BBBBBB" w:sz="4"/>
          <w:left w:val="none"/>
          <w:bottom w:val="single" w:color="BBBBBB" w:sz="4"/>
          <w:right w:val="none"/>
          <w:insideH w:val="single" w:color="DDDDDD" w:sz="2"/>
          <w:insideV w:val="single" w:color="EEEEEE" w:sz="2"/>
        </w:tblBorders>
      </w:tblPr>
      <w:tblGrid>
        <w:gridCol w:w="6200"/>
        <w:gridCol w:w="1500"/>
        <w:gridCol w:w="1400"/>
      </w:tblGrid>
      <w:tr>
        <w:trPr>
          <w:tblHeader/>
        </w:trPr>
        <w:tc>
          <w:tcPr>
            <w:tcW w:type="dxa" w:w="6200"/>
            <w:shd w:fill="1C3A36" w:val="clear"/>
            <w:tcMar>
              <w:top w:type="dxa" w:w="40"/>
              <w:left w:type="dxa" w:w="80"/>
              <w:bottom w:type="dxa" w:w="40"/>
              <w:right w:type="dxa" w:w="80"/>
            </w:tcMar>
          </w:tcPr>
          <w:p>
            <w:pPr>
              <w:jc w:val="left"/>
            </w:pPr>
            <w:r>
              <w:rPr>
                <w:rFonts w:ascii="Arial" w:cs="Arial" w:eastAsia="Arial" w:hAnsi="Arial"/>
                <w:b/>
                <w:bCs/>
                <w:i w:val="false"/>
                <w:iCs w:val="false"/>
                <w:color w:val="FFFFFF"/>
                <w:sz w:val="15"/>
                <w:szCs w:val="15"/>
              </w:rPr>
              <w:t xml:space="preserve">Step (worked on OIH)</w:t>
            </w:r>
          </w:p>
        </w:tc>
        <w:tc>
          <w:tcPr>
            <w:tcW w:type="dxa" w:w="15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5"/>
                <w:szCs w:val="15"/>
              </w:rPr>
              <w:t xml:space="preserve">EGP m</w:t>
            </w:r>
          </w:p>
        </w:tc>
        <w:tc>
          <w:tcPr>
            <w:tcW w:type="dxa" w:w="14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5"/>
                <w:szCs w:val="15"/>
              </w:rPr>
              <w:t xml:space="preserve">EGP / share</w:t>
            </w:r>
          </w:p>
        </w:tc>
      </w:tr>
      <w:tr>
        <w:tc>
          <w:tcPr>
            <w:tcW w:type="dxa" w:w="62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Financial assets at audited marks (cash 2,243 + DPRK net 2,796 + Koryolink 589 + Lighthouse 1,399 + Brazil 393 + NWC 0)</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7,420</w:t>
            </w:r>
          </w:p>
        </w:tc>
        <w:tc>
          <w:tcPr>
            <w:tcW w:type="dxa" w:w="14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1.41</w:t>
            </w:r>
          </w:p>
        </w:tc>
      </w:tr>
      <w:tr>
        <w:tc>
          <w:tcPr>
            <w:tcW w:type="dxa" w:w="62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less: liabilities at carrying (KL loan 4,443 + banks/leases 854)</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(5,297)</w:t>
            </w:r>
          </w:p>
        </w:tc>
        <w:tc>
          <w:tcPr>
            <w:tcW w:type="dxa" w:w="14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(1.01)</w:t>
            </w:r>
          </w:p>
        </w:tc>
      </w:tr>
      <w:tr>
        <w:tc>
          <w:tcPr>
            <w:tcW w:type="dxa" w:w="62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plus: OPE + S&amp;L platform at standalone DCF</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2,900</w:t>
            </w:r>
          </w:p>
        </w:tc>
        <w:tc>
          <w:tcPr>
            <w:tcW w:type="dxa" w:w="14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0.55</w:t>
            </w:r>
          </w:p>
        </w:tc>
      </w:tr>
      <w:tr>
        <w:tc>
          <w:tcPr>
            <w:tcW w:type="dxa" w:w="6200"/>
            <w:shd w:fill="F2F0EA" w:val="clear"/>
            <w:tcMar>
              <w:top w:type="dxa" w:w="40"/>
              <w:left w:type="dxa" w:w="80"/>
              <w:bottom w:type="dxa" w:w="40"/>
              <w:right w:type="dxa" w:w="80"/>
            </w:tcMar>
          </w:tcPr>
          <w:p>
            <w:pPr>
              <w:jc w:val="left"/>
            </w:pPr>
            <w:r>
              <w:rPr>
                <w:rFonts w:ascii="Arial" w:cs="Arial" w:eastAsia="Arial" w:hAnsi="Arial"/>
                <w:b/>
                <w:bCs/>
                <w:i w:val="false"/>
                <w:iCs w:val="false"/>
                <w:color w:val="222222"/>
                <w:sz w:val="15"/>
                <w:szCs w:val="15"/>
              </w:rPr>
              <w:t xml:space="preserve">NAV pre-discount</w:t>
            </w:r>
          </w:p>
        </w:tc>
        <w:tc>
          <w:tcPr>
            <w:tcW w:type="dxa" w:w="15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5"/>
                <w:szCs w:val="15"/>
              </w:rPr>
              <w:t xml:space="preserve">5,023</w:t>
            </w:r>
          </w:p>
        </w:tc>
        <w:tc>
          <w:tcPr>
            <w:tcW w:type="dxa" w:w="14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5"/>
                <w:szCs w:val="15"/>
              </w:rPr>
              <w:t xml:space="preserve">0.96</w:t>
            </w:r>
          </w:p>
        </w:tc>
      </w:tr>
      <w:tr>
        <w:tc>
          <w:tcPr>
            <w:tcW w:type="dxa" w:w="62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less: holdco discount 15% (peer range 10–50%; mid-shaded low for a ramping crown asset)</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(753)</w:t>
            </w:r>
          </w:p>
        </w:tc>
        <w:tc>
          <w:tcPr>
            <w:tcW w:type="dxa" w:w="14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(0.14)</w:t>
            </w:r>
          </w:p>
        </w:tc>
      </w:tr>
      <w:tr>
        <w:tc>
          <w:tcPr>
            <w:tcW w:type="dxa" w:w="6200"/>
            <w:shd w:fill="F2F0EA" w:val="clear"/>
            <w:tcMar>
              <w:top w:type="dxa" w:w="40"/>
              <w:left w:type="dxa" w:w="80"/>
              <w:bottom w:type="dxa" w:w="40"/>
              <w:right w:type="dxa" w:w="80"/>
            </w:tcMar>
          </w:tcPr>
          <w:p>
            <w:pPr>
              <w:jc w:val="left"/>
            </w:pPr>
            <w:r>
              <w:rPr>
                <w:rFonts w:ascii="Arial" w:cs="Arial" w:eastAsia="Arial" w:hAnsi="Arial"/>
                <w:b/>
                <w:bCs/>
                <w:i w:val="false"/>
                <w:iCs w:val="false"/>
                <w:color w:val="222222"/>
                <w:sz w:val="15"/>
                <w:szCs w:val="15"/>
              </w:rPr>
              <w:t xml:space="preserve">Expert 1 fair value</w:t>
            </w:r>
          </w:p>
        </w:tc>
        <w:tc>
          <w:tcPr>
            <w:tcW w:type="dxa" w:w="15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5"/>
                <w:szCs w:val="15"/>
              </w:rPr>
              <w:t xml:space="preserve">4,270</w:t>
            </w:r>
          </w:p>
        </w:tc>
        <w:tc>
          <w:tcPr>
            <w:tcW w:type="dxa" w:w="14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5"/>
                <w:szCs w:val="15"/>
              </w:rPr>
              <w:t xml:space="preserve">0.81</w:t>
            </w:r>
          </w:p>
        </w:tc>
      </w:tr>
    </w:tbl>
    <w:p>
      <w:pPr>
        <w:spacing w:after="60" w:before="0"/>
      </w:pPr>
      <w:r>
        <w:rPr>
          <w:rFonts w:ascii="Georgia" w:cs="Georgia" w:eastAsia="Georgia" w:hAnsi="Georgia"/>
          <w:b w:val="false"/>
          <w:bCs w:val="false"/>
          <w:i w:val="false"/>
          <w:iCs w:val="false"/>
          <w:color w:val="222222"/>
          <w:sz w:val="20"/>
          <w:szCs w:val="20"/>
        </w:rPr>
        <w:t xml:space="preserve"/>
      </w:r>
    </w:p>
    <w:p>
      <w:pPr>
        <w:spacing w:after="120" w:before="0"/>
      </w:pPr>
      <w:r>
        <w:rPr>
          <w:rFonts w:ascii="Georgia" w:cs="Georgia" w:eastAsia="Georgia" w:hAnsi="Georgia"/>
          <w:b/>
          <w:bCs/>
          <w:i w:val="false"/>
          <w:iCs w:val="false"/>
          <w:color w:val="222222"/>
          <w:sz w:val="20"/>
          <w:szCs w:val="20"/>
        </w:rPr>
        <w:t xml:space="preserve">A concrete worked example — one line, end to end.</w:t>
      </w:r>
      <w:r>
        <w:rPr>
          <w:rFonts w:ascii="Georgia" w:cs="Georgia" w:eastAsia="Georgia" w:hAnsi="Georgia"/>
          <w:b w:val="false"/>
          <w:bCs w:val="false"/>
          <w:i w:val="false"/>
          <w:iCs w:val="false"/>
          <w:color w:val="222222"/>
          <w:sz w:val="20"/>
          <w:szCs w:val="20"/>
        </w:rPr>
        <w:t xml:space="preserve"> Take the Lighthouse stake: the FY24 accounts carry it at US$28.522m, a Level-3 mark the fund derives by discounting project cash flows at 7.5–13.5%. My rule marks audited financial items at carrying, so the line enters at 28.5 × 49.09 = EGP 1,399m = EGP 0.267/share, with no haircut and no premium — the haircut for its illiquidity lives once, inside the 15% wrapper discount, not twice. Every line in the table above was built by exactly this two-step: basis first, conversion second, discount last and once.</w:t>
      </w:r>
    </w:p>
    <w:p>
      <w:pPr>
        <w:spacing w:after="120" w:before="0"/>
      </w:pPr>
      <w:r>
        <w:rPr>
          <w:rFonts w:ascii="Georgia" w:cs="Georgia" w:eastAsia="Georgia" w:hAnsi="Georgia"/>
          <w:b/>
          <w:bCs/>
          <w:i w:val="false"/>
          <w:iCs w:val="false"/>
          <w:color w:val="222222"/>
          <w:sz w:val="20"/>
          <w:szCs w:val="20"/>
        </w:rPr>
        <w:t xml:space="preserve">Sensitivity on the swing input</w:t>
      </w:r>
      <w:r>
        <w:rPr>
          <w:rFonts w:ascii="Georgia" w:cs="Georgia" w:eastAsia="Georgia" w:hAnsi="Georgia"/>
          <w:b w:val="false"/>
          <w:bCs w:val="false"/>
          <w:i w:val="false"/>
          <w:iCs w:val="false"/>
          <w:color w:val="222222"/>
          <w:sz w:val="20"/>
          <w:szCs w:val="20"/>
        </w:rPr>
        <w:t xml:space="preserve"> — the platform mark: at EGP 2,000m the value is 0.67; at 4,500m, 1.07; at 6,000m, 1.31 (all at 15%). The discount matters less than the mark: ±10 points of discount moves the answer only ±0.10. </w:t>
      </w:r>
      <w:r>
        <w:rPr>
          <w:rFonts w:ascii="Georgia" w:cs="Georgia" w:eastAsia="Georgia" w:hAnsi="Georgia"/>
          <w:b/>
          <w:bCs/>
          <w:i w:val="false"/>
          <w:iCs w:val="false"/>
          <w:color w:val="222222"/>
          <w:sz w:val="20"/>
          <w:szCs w:val="20"/>
        </w:rPr>
        <w:t xml:space="preserve">Cross-examination.</w:t>
      </w:r>
      <w:r>
        <w:rPr>
          <w:rFonts w:ascii="Georgia" w:cs="Georgia" w:eastAsia="Georgia" w:hAnsi="Georgia"/>
          <w:b w:val="false"/>
          <w:bCs w:val="false"/>
          <w:i w:val="false"/>
          <w:iCs w:val="false"/>
          <w:color w:val="222222"/>
          <w:sz w:val="20"/>
          <w:szCs w:val="20"/>
        </w:rPr>
        <w:t xml:space="preserve"> To Expert 2: striking the DPRK block to nil while keeping the loan at face is not conservatism, it is asymmetry — the loan exists *because* value left the DPRK perimeter; strike both or neither. To Expert 3: your scenario tree prices moods; a NAV prices things — show me which line of my table your 1.18 changes, or it is drift, not valuation. </w:t>
      </w:r>
      <w:r>
        <w:rPr>
          <w:rFonts w:ascii="Georgia" w:cs="Georgia" w:eastAsia="Georgia" w:hAnsi="Georgia"/>
          <w:b/>
          <w:bCs/>
          <w:i w:val="false"/>
          <w:iCs w:val="false"/>
          <w:color w:val="222222"/>
          <w:sz w:val="20"/>
          <w:szCs w:val="20"/>
        </w:rPr>
        <w:t xml:space="preserve">Verdict: EGP 0.81</w:t>
      </w:r>
      <w:r>
        <w:rPr>
          <w:rFonts w:ascii="Georgia" w:cs="Georgia" w:eastAsia="Georgia" w:hAnsi="Georgia"/>
          <w:b w:val="false"/>
          <w:bCs w:val="false"/>
          <w:i w:val="false"/>
          <w:iCs w:val="false"/>
          <w:color w:val="222222"/>
          <w:sz w:val="20"/>
          <w:szCs w:val="20"/>
        </w:rPr>
        <w:t xml:space="preserve"> (bear 0.55, bull 1.80). </w:t>
      </w:r>
      <w:r>
        <w:rPr>
          <w:rFonts w:ascii="Georgia" w:cs="Georgia" w:eastAsia="Georgia" w:hAnsi="Georgia"/>
          <w:b/>
          <w:bCs/>
          <w:i w:val="false"/>
          <w:iCs w:val="false"/>
          <w:color w:val="222222"/>
          <w:sz w:val="20"/>
          <w:szCs w:val="20"/>
        </w:rPr>
        <w:t xml:space="preserve">Falsification:</w:t>
      </w:r>
      <w:r>
        <w:rPr>
          <w:rFonts w:ascii="Georgia" w:cs="Georgia" w:eastAsia="Georgia" w:hAnsi="Georgia"/>
          <w:b w:val="false"/>
          <w:bCs w:val="false"/>
          <w:i w:val="false"/>
          <w:iCs w:val="false"/>
          <w:color w:val="222222"/>
          <w:sz w:val="20"/>
          <w:szCs w:val="20"/>
        </w:rPr>
        <w:t xml:space="preserve"> audited FY2025 accounts that force any single mark to move by more than EGP 0.15/share — in either direction — against my table. </w:t>
      </w:r>
      <w:r>
        <w:rPr>
          <w:rFonts w:ascii="Georgia" w:cs="Georgia" w:eastAsia="Georgia" w:hAnsi="Georgia"/>
          <w:b/>
          <w:bCs/>
          <w:i w:val="false"/>
          <w:iCs w:val="false"/>
          <w:color w:val="222222"/>
          <w:sz w:val="20"/>
          <w:szCs w:val="20"/>
        </w:rPr>
        <w:t xml:space="preserve">What the price implies:</w:t>
      </w:r>
      <w:r>
        <w:rPr>
          <w:rFonts w:ascii="Georgia" w:cs="Georgia" w:eastAsia="Georgia" w:hAnsi="Georgia"/>
          <w:b w:val="false"/>
          <w:bCs w:val="false"/>
          <w:i w:val="false"/>
          <w:iCs w:val="false"/>
          <w:color w:val="222222"/>
          <w:sz w:val="20"/>
          <w:szCs w:val="20"/>
        </w:rPr>
        <w:t xml:space="preserve"> at 1.41 the market carries the platform near EGP 5.3bn pre-discount, or my table plus full DPRK recovery; both are bull-column claims.</w:t>
      </w:r>
    </w:p>
    <w:p>
      <w:pPr>
        <w:spacing w:after="110" w:before="220"/>
      </w:pPr>
      <w:r>
        <w:rPr>
          <w:rFonts w:ascii="Arial" w:cs="Arial" w:eastAsia="Arial" w:hAnsi="Arial"/>
          <w:b/>
          <w:bCs/>
          <w:i w:val="false"/>
          <w:iCs w:val="false"/>
          <w:color w:val="1C6B62"/>
          <w:sz w:val="23"/>
          <w:szCs w:val="23"/>
        </w:rPr>
        <w:t xml:space="preserve">D.2  Expert 2 — the forensic accountant</w:t>
      </w:r>
    </w:p>
    <w:p>
      <w:pPr>
        <w:spacing w:after="120" w:before="0"/>
      </w:pPr>
      <w:r>
        <w:rPr>
          <w:rFonts w:ascii="Georgia" w:cs="Georgia" w:eastAsia="Georgia" w:hAnsi="Georgia"/>
          <w:b/>
          <w:bCs/>
          <w:i w:val="false"/>
          <w:iCs w:val="false"/>
          <w:color w:val="222222"/>
          <w:sz w:val="20"/>
          <w:szCs w:val="20"/>
        </w:rPr>
        <w:t xml:space="preserve">Worldview and tradition.</w:t>
      </w:r>
      <w:r>
        <w:rPr>
          <w:rFonts w:ascii="Georgia" w:cs="Georgia" w:eastAsia="Georgia" w:hAnsi="Georgia"/>
          <w:b w:val="false"/>
          <w:bCs w:val="false"/>
          <w:i w:val="false"/>
          <w:iCs w:val="false"/>
          <w:color w:val="222222"/>
          <w:sz w:val="20"/>
          <w:szCs w:val="20"/>
        </w:rPr>
        <w:t xml:space="preserve"> Start from what an auditor signed and subtract what the auditor could not verify. The tradition is quality-of-earnings and quality-of-book work — Schilit’s shenanigans literature, the short-seller’s toolkit applied without the short — and its first move on OIH is to read the opinion: </w:t>
      </w:r>
      <w:r>
        <w:rPr>
          <w:rFonts w:ascii="Georgia" w:cs="Georgia" w:eastAsia="Georgia" w:hAnsi="Georgia"/>
          <w:b/>
          <w:bCs/>
          <w:i w:val="false"/>
          <w:iCs w:val="false"/>
          <w:color w:val="222222"/>
          <w:sz w:val="20"/>
          <w:szCs w:val="20"/>
        </w:rPr>
        <w:t xml:space="preserve">qualified</w:t>
      </w:r>
      <w:r>
        <w:rPr>
          <w:rFonts w:ascii="Georgia" w:cs="Georgia" w:eastAsia="Georgia" w:hAnsi="Georgia"/>
          <w:b w:val="false"/>
          <w:bCs w:val="false"/>
          <w:i w:val="false"/>
          <w:iCs w:val="false"/>
          <w:color w:val="222222"/>
          <w:sz w:val="20"/>
          <w:szCs w:val="20"/>
        </w:rPr>
        <w:t xml:space="preserve">, on exactly the balances the bulls capitalise. </w:t>
      </w:r>
      <w:r>
        <w:rPr>
          <w:rFonts w:ascii="Georgia" w:cs="Georgia" w:eastAsia="Georgia" w:hAnsi="Georgia"/>
          <w:b/>
          <w:bCs/>
          <w:i w:val="false"/>
          <w:iCs w:val="false"/>
          <w:color w:val="222222"/>
          <w:sz w:val="20"/>
          <w:szCs w:val="20"/>
        </w:rPr>
        <w:t xml:space="preserve">When it works:</w:t>
      </w:r>
      <w:r>
        <w:rPr>
          <w:rFonts w:ascii="Georgia" w:cs="Georgia" w:eastAsia="Georgia" w:hAnsi="Georgia"/>
          <w:b w:val="false"/>
          <w:bCs w:val="false"/>
          <w:i w:val="false"/>
          <w:iCs w:val="false"/>
          <w:color w:val="222222"/>
          <w:sz w:val="20"/>
          <w:szCs w:val="20"/>
        </w:rPr>
        <w:t xml:space="preserve"> wherever marks are the story; it is the discipline that kept people out of every unverifiable-asset blow-up of the last two decades. </w:t>
      </w:r>
      <w:r>
        <w:rPr>
          <w:rFonts w:ascii="Georgia" w:cs="Georgia" w:eastAsia="Georgia" w:hAnsi="Georgia"/>
          <w:b/>
          <w:bCs/>
          <w:i w:val="false"/>
          <w:iCs w:val="false"/>
          <w:color w:val="222222"/>
          <w:sz w:val="20"/>
          <w:szCs w:val="20"/>
        </w:rPr>
        <w:t xml:space="preserve">When it fails:</w:t>
      </w:r>
      <w:r>
        <w:rPr>
          <w:rFonts w:ascii="Georgia" w:cs="Georgia" w:eastAsia="Georgia" w:hAnsi="Georgia"/>
          <w:b w:val="false"/>
          <w:bCs w:val="false"/>
          <w:i w:val="false"/>
          <w:iCs w:val="false"/>
          <w:color w:val="222222"/>
          <w:sz w:val="20"/>
          <w:szCs w:val="20"/>
        </w:rPr>
        <w:t xml:space="preserve"> on genuine growth assets, where audited history systematically understates value — the method priced the Pyramids at its invoices, and invoices are not a concession.</w:t>
      </w:r>
    </w:p>
    <w:p>
      <w:pPr>
        <w:spacing w:after="120" w:before="0"/>
      </w:pPr>
      <w:r>
        <w:rPr>
          <w:rFonts w:ascii="Georgia" w:cs="Georgia" w:eastAsia="Georgia" w:hAnsi="Georgia"/>
          <w:b/>
          <w:bCs/>
          <w:i w:val="false"/>
          <w:iCs w:val="false"/>
          <w:color w:val="222222"/>
          <w:sz w:val="20"/>
          <w:szCs w:val="20"/>
        </w:rPr>
        <w:t xml:space="preserve">Standard workings.</w:t>
      </w:r>
      <w:r>
        <w:rPr>
          <w:rFonts w:ascii="Georgia" w:cs="Georgia" w:eastAsia="Georgia" w:hAnsi="Georgia"/>
          <w:b w:val="false"/>
          <w:bCs w:val="false"/>
          <w:i w:val="false"/>
          <w:iCs w:val="false"/>
          <w:color w:val="222222"/>
          <w:sz w:val="20"/>
          <w:szCs w:val="20"/>
        </w:rPr>
        <w:t xml:space="preserve"> (1) Anchor on audited equity; (2) strike or haircut every unverifiable asset; (3) restore off-book value only where cash flows already evidence it, at cost-based marks; (4) test the liability side at its harshest documented number; (5) no discount — the strikes are the discount.</w:t>
      </w:r>
    </w:p>
    <w:tbl>
      <w:tblPr>
        <w:tblW w:type="dxa" w:w="9100"/>
        <w:tblBorders>
          <w:top w:val="single" w:color="BBBBBB" w:sz="4"/>
          <w:left w:val="none"/>
          <w:bottom w:val="single" w:color="BBBBBB" w:sz="4"/>
          <w:right w:val="none"/>
          <w:insideH w:val="single" w:color="DDDDDD" w:sz="2"/>
          <w:insideV w:val="single" w:color="EEEEEE" w:sz="2"/>
        </w:tblBorders>
      </w:tblPr>
      <w:tblGrid>
        <w:gridCol w:w="6200"/>
        <w:gridCol w:w="1500"/>
        <w:gridCol w:w="1400"/>
      </w:tblGrid>
      <w:tr>
        <w:trPr>
          <w:tblHeader/>
        </w:trPr>
        <w:tc>
          <w:tcPr>
            <w:tcW w:type="dxa" w:w="6200"/>
            <w:shd w:fill="1C3A36" w:val="clear"/>
            <w:tcMar>
              <w:top w:type="dxa" w:w="40"/>
              <w:left w:type="dxa" w:w="80"/>
              <w:bottom w:type="dxa" w:w="40"/>
              <w:right w:type="dxa" w:w="80"/>
            </w:tcMar>
          </w:tcPr>
          <w:p>
            <w:pPr>
              <w:jc w:val="left"/>
            </w:pPr>
            <w:r>
              <w:rPr>
                <w:rFonts w:ascii="Arial" w:cs="Arial" w:eastAsia="Arial" w:hAnsi="Arial"/>
                <w:b/>
                <w:bCs/>
                <w:i w:val="false"/>
                <w:iCs w:val="false"/>
                <w:color w:val="FFFFFF"/>
                <w:sz w:val="15"/>
                <w:szCs w:val="15"/>
              </w:rPr>
              <w:t xml:space="preserve">Step (worked on OIH)</w:t>
            </w:r>
          </w:p>
        </w:tc>
        <w:tc>
          <w:tcPr>
            <w:tcW w:type="dxa" w:w="15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5"/>
                <w:szCs w:val="15"/>
              </w:rPr>
              <w:t xml:space="preserve">EGP m</w:t>
            </w:r>
          </w:p>
        </w:tc>
        <w:tc>
          <w:tcPr>
            <w:tcW w:type="dxa" w:w="14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5"/>
                <w:szCs w:val="15"/>
              </w:rPr>
              <w:t xml:space="preserve">EGP / share</w:t>
            </w:r>
          </w:p>
        </w:tc>
      </w:tr>
      <w:tr>
        <w:tc>
          <w:tcPr>
            <w:tcW w:type="dxa" w:w="62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Audited IFRS equity, 31-Dec-24 (US$54.4m × 49.09)</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2,671</w:t>
            </w:r>
          </w:p>
        </w:tc>
        <w:tc>
          <w:tcPr>
            <w:tcW w:type="dxa" w:w="14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0.51</w:t>
            </w:r>
          </w:p>
        </w:tc>
      </w:tr>
      <w:tr>
        <w:tc>
          <w:tcPr>
            <w:tcW w:type="dxa" w:w="62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strike: DPRK cash from 50% to 25% recovery (US$28.5m)</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(1,399)</w:t>
            </w:r>
          </w:p>
        </w:tc>
        <w:tc>
          <w:tcPr>
            <w:tcW w:type="dxa" w:w="14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(0.27)</w:t>
            </w:r>
          </w:p>
        </w:tc>
      </w:tr>
      <w:tr>
        <w:tc>
          <w:tcPr>
            <w:tcW w:type="dxa" w:w="62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strike: Koryolink associate to nil (control lost 2022; unverifiable)</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(589)</w:t>
            </w:r>
          </w:p>
        </w:tc>
        <w:tc>
          <w:tcPr>
            <w:tcW w:type="dxa" w:w="14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(0.11)</w:t>
            </w:r>
          </w:p>
        </w:tc>
      </w:tr>
      <w:tr>
        <w:tc>
          <w:tcPr>
            <w:tcW w:type="dxa" w:w="62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haircut: Lighthouse Level-3 mark −30%</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(420)</w:t>
            </w:r>
          </w:p>
        </w:tc>
        <w:tc>
          <w:tcPr>
            <w:tcW w:type="dxa" w:w="14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(0.08)</w:t>
            </w:r>
          </w:p>
        </w:tc>
      </w:tr>
      <w:tr>
        <w:tc>
          <w:tcPr>
            <w:tcW w:type="dxa" w:w="62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restore: OPE platform above book P&amp;E — at evidenced cost, EGP 2,000m vs EGP ~1,330m carried</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670</w:t>
            </w:r>
          </w:p>
        </w:tc>
        <w:tc>
          <w:tcPr>
            <w:tcW w:type="dxa" w:w="14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0.13</w:t>
            </w:r>
          </w:p>
        </w:tc>
      </w:tr>
      <w:tr>
        <w:tc>
          <w:tcPr>
            <w:tcW w:type="dxa" w:w="6200"/>
            <w:tcMar>
              <w:top w:type="dxa" w:w="40"/>
              <w:left w:type="dxa" w:w="80"/>
              <w:bottom w:type="dxa" w:w="40"/>
              <w:right w:type="dxa" w:w="80"/>
            </w:tcMar>
          </w:tcPr>
          <w:p>
            <w:pPr>
              <w:jc w:val="left"/>
            </w:pPr>
            <w:r>
              <w:rPr>
                <w:rFonts w:ascii="Arial" w:cs="Arial" w:eastAsia="Arial" w:hAnsi="Arial"/>
                <w:b w:val="false"/>
                <w:bCs w:val="false"/>
                <w:i w:val="false"/>
                <w:iCs w:val="false"/>
                <w:color w:val="222222"/>
                <w:sz w:val="15"/>
                <w:szCs w:val="15"/>
              </w:rPr>
              <w:t xml:space="preserve">memo (not booked): KL loan unwinding to US$116m face would take a further</w:t>
            </w:r>
          </w:p>
        </w:tc>
        <w:tc>
          <w:tcPr>
            <w:tcW w:type="dxa" w:w="15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(1,251)</w:t>
            </w:r>
          </w:p>
        </w:tc>
        <w:tc>
          <w:tcPr>
            <w:tcW w:type="dxa" w:w="1400"/>
            <w:tcMar>
              <w:top w:type="dxa" w:w="40"/>
              <w:left w:type="dxa" w:w="80"/>
              <w:bottom w:type="dxa" w:w="40"/>
              <w:right w:type="dxa" w:w="80"/>
            </w:tcMar>
          </w:tcPr>
          <w:p>
            <w:pPr>
              <w:jc w:val="right"/>
            </w:pPr>
            <w:r>
              <w:rPr>
                <w:rFonts w:ascii="Arial" w:cs="Arial" w:eastAsia="Arial" w:hAnsi="Arial"/>
                <w:b w:val="false"/>
                <w:bCs w:val="false"/>
                <w:i w:val="false"/>
                <w:iCs w:val="false"/>
                <w:color w:val="222222"/>
                <w:sz w:val="15"/>
                <w:szCs w:val="15"/>
              </w:rPr>
              <w:t xml:space="preserve">(0.24)</w:t>
            </w:r>
          </w:p>
        </w:tc>
      </w:tr>
      <w:tr>
        <w:tc>
          <w:tcPr>
            <w:tcW w:type="dxa" w:w="6200"/>
            <w:shd w:fill="F2F0EA" w:val="clear"/>
            <w:tcMar>
              <w:top w:type="dxa" w:w="40"/>
              <w:left w:type="dxa" w:w="80"/>
              <w:bottom w:type="dxa" w:w="40"/>
              <w:right w:type="dxa" w:w="80"/>
            </w:tcMar>
          </w:tcPr>
          <w:p>
            <w:pPr>
              <w:jc w:val="left"/>
            </w:pPr>
            <w:r>
              <w:rPr>
                <w:rFonts w:ascii="Arial" w:cs="Arial" w:eastAsia="Arial" w:hAnsi="Arial"/>
                <w:b/>
                <w:bCs/>
                <w:i w:val="false"/>
                <w:iCs w:val="false"/>
                <w:color w:val="222222"/>
                <w:sz w:val="15"/>
                <w:szCs w:val="15"/>
              </w:rPr>
              <w:t xml:space="preserve">Expert 2 fair value (excl. memo)</w:t>
            </w:r>
          </w:p>
        </w:tc>
        <w:tc>
          <w:tcPr>
            <w:tcW w:type="dxa" w:w="15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5"/>
                <w:szCs w:val="15"/>
              </w:rPr>
              <w:t xml:space="preserve">1,933</w:t>
            </w:r>
          </w:p>
        </w:tc>
        <w:tc>
          <w:tcPr>
            <w:tcW w:type="dxa" w:w="14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5"/>
                <w:szCs w:val="15"/>
              </w:rPr>
              <w:t xml:space="preserve">0.37</w:t>
            </w:r>
          </w:p>
        </w:tc>
      </w:tr>
    </w:tbl>
    <w:p>
      <w:pPr>
        <w:spacing w:after="60" w:before="0"/>
      </w:pPr>
      <w:r>
        <w:rPr>
          <w:rFonts w:ascii="Georgia" w:cs="Georgia" w:eastAsia="Georgia" w:hAnsi="Georgia"/>
          <w:b w:val="false"/>
          <w:bCs w:val="false"/>
          <w:i w:val="false"/>
          <w:iCs w:val="false"/>
          <w:color w:val="222222"/>
          <w:sz w:val="20"/>
          <w:szCs w:val="20"/>
        </w:rPr>
        <w:t xml:space="preserve"/>
      </w:r>
    </w:p>
    <w:p>
      <w:pPr>
        <w:spacing w:after="120" w:before="0"/>
      </w:pPr>
      <w:r>
        <w:rPr>
          <w:rFonts w:ascii="Georgia" w:cs="Georgia" w:eastAsia="Georgia" w:hAnsi="Georgia"/>
          <w:b/>
          <w:bCs/>
          <w:i w:val="false"/>
          <w:iCs w:val="false"/>
          <w:color w:val="222222"/>
          <w:sz w:val="20"/>
          <w:szCs w:val="20"/>
        </w:rPr>
        <w:t xml:space="preserve">A concrete worked example — one strike, end to end.</w:t>
      </w:r>
      <w:r>
        <w:rPr>
          <w:rFonts w:ascii="Georgia" w:cs="Georgia" w:eastAsia="Georgia" w:hAnsi="Georgia"/>
          <w:b w:val="false"/>
          <w:bCs w:val="false"/>
          <w:i w:val="false"/>
          <w:iCs w:val="false"/>
          <w:color w:val="222222"/>
          <w:sz w:val="20"/>
          <w:szCs w:val="20"/>
        </w:rPr>
        <w:t xml:space="preserve"> The Koryolink associate: carried at US$12m because equity-method profits (US$8.9m in 2024 alone) are recognized and then impaired the same year — an accounting loop that admits the earnings are real and the access is not. My rule strikes any asset the auditor could not verify AND the holder cannot control: OIH lost operating control in the 2022 capital increase and the auditor is qualified on the balance. Strike to nil: −589 EGP m, −0.11/share. The same test *keeps* the KL loan at carrying, because a liability needs no verification to be owed.</w:t>
      </w:r>
    </w:p>
    <w:p>
      <w:pPr>
        <w:spacing w:after="120" w:before="0"/>
      </w:pPr>
      <w:r>
        <w:rPr>
          <w:rFonts w:ascii="Georgia" w:cs="Georgia" w:eastAsia="Georgia" w:hAnsi="Georgia"/>
          <w:b/>
          <w:bCs/>
          <w:i w:val="false"/>
          <w:iCs w:val="false"/>
          <w:color w:val="222222"/>
          <w:sz w:val="20"/>
          <w:szCs w:val="20"/>
        </w:rPr>
        <w:t xml:space="preserve">Sensitivity on the swing input</w:t>
      </w:r>
      <w:r>
        <w:rPr>
          <w:rFonts w:ascii="Georgia" w:cs="Georgia" w:eastAsia="Georgia" w:hAnsi="Georgia"/>
          <w:b w:val="false"/>
          <w:bCs w:val="false"/>
          <w:i w:val="false"/>
          <w:iCs w:val="false"/>
          <w:color w:val="222222"/>
          <w:sz w:val="20"/>
          <w:szCs w:val="20"/>
        </w:rPr>
        <w:t xml:space="preserve"> — the DPRK recovery rate: at 50% (the board’s own ECL) the value is 0.63; at 0%, 0.10; the entire equity story between 0.10 and 0.63 is one unauditable assumption. </w:t>
      </w:r>
      <w:r>
        <w:rPr>
          <w:rFonts w:ascii="Georgia" w:cs="Georgia" w:eastAsia="Georgia" w:hAnsi="Georgia"/>
          <w:b/>
          <w:bCs/>
          <w:i w:val="false"/>
          <w:iCs w:val="false"/>
          <w:color w:val="222222"/>
          <w:sz w:val="20"/>
          <w:szCs w:val="20"/>
        </w:rPr>
        <w:t xml:space="preserve">Cross-examination.</w:t>
      </w:r>
      <w:r>
        <w:rPr>
          <w:rFonts w:ascii="Georgia" w:cs="Georgia" w:eastAsia="Georgia" w:hAnsi="Georgia"/>
          <w:b w:val="false"/>
          <w:bCs w:val="false"/>
          <w:i w:val="false"/>
          <w:iCs w:val="false"/>
          <w:color w:val="222222"/>
          <w:sz w:val="20"/>
          <w:szCs w:val="20"/>
        </w:rPr>
        <w:t xml:space="preserve"> To Expert 1: your 2,900 platform mark rests on revenue the company has never once disclosed by segment in an audited filing — I will pay cost until they show me a segment note. To Expert 3: FX scenarios that lift the NAV are lifting the *DPRK* NAV — you are levering the least verifiable line in the book. </w:t>
      </w:r>
      <w:r>
        <w:rPr>
          <w:rFonts w:ascii="Georgia" w:cs="Georgia" w:eastAsia="Georgia" w:hAnsi="Georgia"/>
          <w:b/>
          <w:bCs/>
          <w:i w:val="false"/>
          <w:iCs w:val="false"/>
          <w:color w:val="222222"/>
          <w:sz w:val="20"/>
          <w:szCs w:val="20"/>
        </w:rPr>
        <w:t xml:space="preserve">Verdict: EGP 0.37</w:t>
      </w:r>
      <w:r>
        <w:rPr>
          <w:rFonts w:ascii="Georgia" w:cs="Georgia" w:eastAsia="Georgia" w:hAnsi="Georgia"/>
          <w:b w:val="false"/>
          <w:bCs w:val="false"/>
          <w:i w:val="false"/>
          <w:iCs w:val="false"/>
          <w:color w:val="222222"/>
          <w:sz w:val="20"/>
          <w:szCs w:val="20"/>
        </w:rPr>
        <w:t xml:space="preserve"> (range 0.25–0.60). </w:t>
      </w:r>
      <w:r>
        <w:rPr>
          <w:rFonts w:ascii="Georgia" w:cs="Georgia" w:eastAsia="Georgia" w:hAnsi="Georgia"/>
          <w:b/>
          <w:bCs/>
          <w:i w:val="false"/>
          <w:iCs w:val="false"/>
          <w:color w:val="222222"/>
          <w:sz w:val="20"/>
          <w:szCs w:val="20"/>
        </w:rPr>
        <w:t xml:space="preserve">Falsification:</w:t>
      </w:r>
      <w:r>
        <w:rPr>
          <w:rFonts w:ascii="Georgia" w:cs="Georgia" w:eastAsia="Georgia" w:hAnsi="Georgia"/>
          <w:b w:val="false"/>
          <w:bCs w:val="false"/>
          <w:i w:val="false"/>
          <w:iCs w:val="false"/>
          <w:color w:val="222222"/>
          <w:sz w:val="20"/>
          <w:szCs w:val="20"/>
        </w:rPr>
        <w:t xml:space="preserve"> an unqualified opinion on the DPRK balances, or a first audited entertainment segment note showing EBITDA above EGP 400m — either forces my strikes to reverse and my value toward Expert 1’s. </w:t>
      </w:r>
      <w:r>
        <w:rPr>
          <w:rFonts w:ascii="Georgia" w:cs="Georgia" w:eastAsia="Georgia" w:hAnsi="Georgia"/>
          <w:b/>
          <w:bCs/>
          <w:i w:val="false"/>
          <w:iCs w:val="false"/>
          <w:color w:val="222222"/>
          <w:sz w:val="20"/>
          <w:szCs w:val="20"/>
        </w:rPr>
        <w:t xml:space="preserve">What the price implies:</w:t>
      </w:r>
      <w:r>
        <w:rPr>
          <w:rFonts w:ascii="Georgia" w:cs="Georgia" w:eastAsia="Georgia" w:hAnsi="Georgia"/>
          <w:b w:val="false"/>
          <w:bCs w:val="false"/>
          <w:i w:val="false"/>
          <w:iCs w:val="false"/>
          <w:color w:val="222222"/>
          <w:sz w:val="20"/>
          <w:szCs w:val="20"/>
        </w:rPr>
        <w:t xml:space="preserve"> 1.41 is 3.8× my number; the market is not paying for the books at all — it is paying for the story despite them, which is precisely when my method historically earns its keep.</w:t>
      </w:r>
    </w:p>
    <w:p>
      <w:pPr>
        <w:spacing w:after="110" w:before="220"/>
      </w:pPr>
      <w:r>
        <w:rPr>
          <w:rFonts w:ascii="Arial" w:cs="Arial" w:eastAsia="Arial" w:hAnsi="Arial"/>
          <w:b/>
          <w:bCs/>
          <w:i w:val="false"/>
          <w:iCs w:val="false"/>
          <w:color w:val="1C6B62"/>
          <w:sz w:val="23"/>
          <w:szCs w:val="23"/>
        </w:rPr>
        <w:t xml:space="preserve">D.3  Expert 3 — the macro-policy strategist</w:t>
      </w:r>
    </w:p>
    <w:p>
      <w:pPr>
        <w:spacing w:after="120" w:before="0"/>
      </w:pPr>
      <w:r>
        <w:rPr>
          <w:rFonts w:ascii="Georgia" w:cs="Georgia" w:eastAsia="Georgia" w:hAnsi="Georgia"/>
          <w:b/>
          <w:bCs/>
          <w:i w:val="false"/>
          <w:iCs w:val="false"/>
          <w:color w:val="222222"/>
          <w:sz w:val="20"/>
          <w:szCs w:val="20"/>
        </w:rPr>
        <w:t xml:space="preserve">Worldview and tradition.</w:t>
      </w:r>
      <w:r>
        <w:rPr>
          <w:rFonts w:ascii="Georgia" w:cs="Georgia" w:eastAsia="Georgia" w:hAnsi="Georgia"/>
          <w:b w:val="false"/>
          <w:bCs w:val="false"/>
          <w:i w:val="false"/>
          <w:iCs w:val="false"/>
          <w:color w:val="222222"/>
          <w:sz w:val="20"/>
          <w:szCs w:val="20"/>
        </w:rPr>
        <w:t xml:space="preserve"> Single-name value in emerging markets is mostly a macro claim wearing a ticker: the currency, the policy rate, the tourism cycle and the flow regime set the multiple before any analyst touches the model. The tradition is top-down EM allocation — regime probabilities first, security selection inside them. </w:t>
      </w:r>
      <w:r>
        <w:rPr>
          <w:rFonts w:ascii="Georgia" w:cs="Georgia" w:eastAsia="Georgia" w:hAnsi="Georgia"/>
          <w:b/>
          <w:bCs/>
          <w:i w:val="false"/>
          <w:iCs w:val="false"/>
          <w:color w:val="222222"/>
          <w:sz w:val="20"/>
          <w:szCs w:val="20"/>
        </w:rPr>
        <w:t xml:space="preserve">When it works:</w:t>
      </w:r>
      <w:r>
        <w:rPr>
          <w:rFonts w:ascii="Georgia" w:cs="Georgia" w:eastAsia="Georgia" w:hAnsi="Georgia"/>
          <w:b w:val="false"/>
          <w:bCs w:val="false"/>
          <w:i w:val="false"/>
          <w:iCs w:val="false"/>
          <w:color w:val="222222"/>
          <w:sz w:val="20"/>
          <w:szCs w:val="20"/>
        </w:rPr>
        <w:t xml:space="preserve"> on high-beta, flow-driven counters in policy-heavy markets — which is a literal description of OIH. </w:t>
      </w:r>
      <w:r>
        <w:rPr>
          <w:rFonts w:ascii="Georgia" w:cs="Georgia" w:eastAsia="Georgia" w:hAnsi="Georgia"/>
          <w:b/>
          <w:bCs/>
          <w:i w:val="false"/>
          <w:iCs w:val="false"/>
          <w:color w:val="222222"/>
          <w:sz w:val="20"/>
          <w:szCs w:val="20"/>
        </w:rPr>
        <w:t xml:space="preserve">When it fails:</w:t>
      </w:r>
      <w:r>
        <w:rPr>
          <w:rFonts w:ascii="Georgia" w:cs="Georgia" w:eastAsia="Georgia" w:hAnsi="Georgia"/>
          <w:b w:val="false"/>
          <w:bCs w:val="false"/>
          <w:i w:val="false"/>
          <w:iCs w:val="false"/>
          <w:color w:val="222222"/>
          <w:sz w:val="20"/>
          <w:szCs w:val="20"/>
        </w:rPr>
        <w:t xml:space="preserve"> on idiosyncratic events no regime predicts (a concession renegotiation, a sanctions headline), and it never disciplines the entry price — a scenario tree can rationalise almost any spot.</w:t>
      </w:r>
    </w:p>
    <w:p>
      <w:pPr>
        <w:spacing w:after="120" w:before="0"/>
      </w:pPr>
      <w:r>
        <w:rPr>
          <w:rFonts w:ascii="Georgia" w:cs="Georgia" w:eastAsia="Georgia" w:hAnsi="Georgia"/>
          <w:b/>
          <w:bCs/>
          <w:i w:val="false"/>
          <w:iCs w:val="false"/>
          <w:color w:val="222222"/>
          <w:sz w:val="20"/>
          <w:szCs w:val="20"/>
        </w:rPr>
        <w:t xml:space="preserve">Standard workings.</w:t>
      </w:r>
      <w:r>
        <w:rPr>
          <w:rFonts w:ascii="Georgia" w:cs="Georgia" w:eastAsia="Georgia" w:hAnsi="Georgia"/>
          <w:b w:val="false"/>
          <w:bCs w:val="false"/>
          <w:i w:val="false"/>
          <w:iCs w:val="false"/>
          <w:color w:val="222222"/>
          <w:sz w:val="20"/>
          <w:szCs w:val="20"/>
        </w:rPr>
        <w:t xml:space="preserve"> (1) Define the two or three macro axes that actually move the name; (2) build discrete regimes with probabilities; (3) inside each regime, reprice the *mechanical* channels (here: FX × the long-USD book; tourism × the OPE ramp; flows × the holdco discount); (4) probability-weight; (5) stress the weights.</w:t>
      </w:r>
    </w:p>
    <w:tbl>
      <w:tblPr>
        <w:tblW w:type="dxa" w:w="10900"/>
        <w:tblBorders>
          <w:top w:val="single" w:color="BBBBBB" w:sz="4"/>
          <w:left w:val="none"/>
          <w:bottom w:val="single" w:color="BBBBBB" w:sz="4"/>
          <w:right w:val="none"/>
          <w:insideH w:val="single" w:color="DDDDDD" w:sz="2"/>
          <w:insideV w:val="single" w:color="EEEEEE" w:sz="2"/>
        </w:tblBorders>
      </w:tblPr>
      <w:tblGrid>
        <w:gridCol w:w="3500"/>
        <w:gridCol w:w="800"/>
        <w:gridCol w:w="1100"/>
        <w:gridCol w:w="1700"/>
        <w:gridCol w:w="2600"/>
        <w:gridCol w:w="1200"/>
      </w:tblGrid>
      <w:tr>
        <w:trPr>
          <w:tblHeader/>
        </w:trPr>
        <w:tc>
          <w:tcPr>
            <w:tcW w:type="dxa" w:w="3500"/>
            <w:shd w:fill="1C3A36" w:val="clear"/>
            <w:tcMar>
              <w:top w:type="dxa" w:w="40"/>
              <w:left w:type="dxa" w:w="80"/>
              <w:bottom w:type="dxa" w:w="40"/>
              <w:right w:type="dxa" w:w="80"/>
            </w:tcMar>
          </w:tcPr>
          <w:p>
            <w:pPr>
              <w:jc w:val="left"/>
            </w:pPr>
            <w:r>
              <w:rPr>
                <w:rFonts w:ascii="Arial" w:cs="Arial" w:eastAsia="Arial" w:hAnsi="Arial"/>
                <w:b/>
                <w:bCs/>
                <w:i w:val="false"/>
                <w:iCs w:val="false"/>
                <w:color w:val="FFFFFF"/>
                <w:sz w:val="14"/>
                <w:szCs w:val="14"/>
              </w:rPr>
              <w:t xml:space="preserve">Regime (12-month)</w:t>
            </w:r>
          </w:p>
        </w:tc>
        <w:tc>
          <w:tcPr>
            <w:tcW w:type="dxa" w:w="8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Prob.</w:t>
            </w:r>
          </w:p>
        </w:tc>
        <w:tc>
          <w:tcPr>
            <w:tcW w:type="dxa" w:w="11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EGP/USD</w:t>
            </w:r>
          </w:p>
        </w:tc>
        <w:tc>
          <w:tcPr>
            <w:tcW w:type="dxa" w:w="17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Tourism / flows</w:t>
            </w:r>
          </w:p>
        </w:tc>
        <w:tc>
          <w:tcPr>
            <w:tcW w:type="dxa" w:w="26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Mechanical NAV effect</w:t>
            </w:r>
          </w:p>
        </w:tc>
        <w:tc>
          <w:tcPr>
            <w:tcW w:type="dxa" w:w="12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4"/>
                <w:szCs w:val="14"/>
              </w:rPr>
              <w:t xml:space="preserve">Value (EGP/sh)</w:t>
            </w:r>
          </w:p>
        </w:tc>
      </w:tr>
      <w:tr>
        <w:tc>
          <w:tcPr>
            <w:tcW w:type="dxa" w:w="35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Reflation &amp; carry-unwind: EGP slides, tourism supercycle, retail flow strong</w:t>
            </w:r>
          </w:p>
        </w:tc>
        <w:tc>
          <w:tcPr>
            <w:tcW w:type="dxa" w:w="8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30%</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54–56</w:t>
            </w:r>
          </w:p>
        </w:tc>
        <w:tc>
          <w:tcPr>
            <w:tcW w:type="dxa" w:w="17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GEM year-one +25%</w:t>
            </w:r>
          </w:p>
        </w:tc>
        <w:tc>
          <w:tcPr>
            <w:tcW w:type="dxa" w:w="2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FX +0.10 · OPE bull 4,500 · discount → 5%</w:t>
            </w:r>
          </w:p>
        </w:tc>
        <w:tc>
          <w:tcPr>
            <w:tcW w:type="dxa" w:w="12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1.90</w:t>
            </w:r>
          </w:p>
        </w:tc>
      </w:tr>
      <w:tr>
        <w:tc>
          <w:tcPr>
            <w:tcW w:type="dxa" w:w="35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Muddle-through: EGP 48–51, tourism solid, flows neutral</w:t>
            </w:r>
          </w:p>
        </w:tc>
        <w:tc>
          <w:tcPr>
            <w:tcW w:type="dxa" w:w="8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45%</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~49</w:t>
            </w:r>
          </w:p>
        </w:tc>
        <w:tc>
          <w:tcPr>
            <w:tcW w:type="dxa" w:w="17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+15–20%</w:t>
            </w:r>
          </w:p>
        </w:tc>
        <w:tc>
          <w:tcPr>
            <w:tcW w:type="dxa" w:w="2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Base marks hold</w:t>
            </w:r>
          </w:p>
        </w:tc>
        <w:tc>
          <w:tcPr>
            <w:tcW w:type="dxa" w:w="12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1.05</w:t>
            </w:r>
          </w:p>
        </w:tc>
      </w:tr>
      <w:tr>
        <w:tc>
          <w:tcPr>
            <w:tcW w:type="dxa" w:w="3500"/>
            <w:tcMar>
              <w:top w:type="dxa" w:w="40"/>
              <w:left w:type="dxa" w:w="80"/>
              <w:bottom w:type="dxa" w:w="40"/>
              <w:right w:type="dxa" w:w="80"/>
            </w:tcMar>
          </w:tcPr>
          <w:p>
            <w:pPr>
              <w:jc w:val="left"/>
            </w:pPr>
            <w:r>
              <w:rPr>
                <w:rFonts w:ascii="Arial" w:cs="Arial" w:eastAsia="Arial" w:hAnsi="Arial"/>
                <w:b w:val="false"/>
                <w:bCs w:val="false"/>
                <w:i w:val="false"/>
                <w:iCs w:val="false"/>
                <w:color w:val="222222"/>
                <w:sz w:val="14"/>
                <w:szCs w:val="14"/>
              </w:rPr>
              <w:t xml:space="preserve">Disinflation &amp; shock: EGP firms, a regional or concession scare</w:t>
            </w:r>
          </w:p>
        </w:tc>
        <w:tc>
          <w:tcPr>
            <w:tcW w:type="dxa" w:w="8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25%</w:t>
            </w:r>
          </w:p>
        </w:tc>
        <w:tc>
          <w:tcPr>
            <w:tcW w:type="dxa" w:w="11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44–46</w:t>
            </w:r>
          </w:p>
        </w:tc>
        <w:tc>
          <w:tcPr>
            <w:tcW w:type="dxa" w:w="17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Footfall shock −20%</w:t>
            </w:r>
          </w:p>
        </w:tc>
        <w:tc>
          <w:tcPr>
            <w:tcW w:type="dxa" w:w="2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FX −0.06 · OPE 2,000 · discount → 25%</w:t>
            </w:r>
          </w:p>
        </w:tc>
        <w:tc>
          <w:tcPr>
            <w:tcW w:type="dxa" w:w="1200"/>
            <w:tcMar>
              <w:top w:type="dxa" w:w="40"/>
              <w:left w:type="dxa" w:w="80"/>
              <w:bottom w:type="dxa" w:w="40"/>
              <w:right w:type="dxa" w:w="80"/>
            </w:tcMar>
          </w:tcPr>
          <w:p>
            <w:pPr>
              <w:jc w:val="right"/>
            </w:pPr>
            <w:r>
              <w:rPr>
                <w:rFonts w:ascii="Arial" w:cs="Arial" w:eastAsia="Arial" w:hAnsi="Arial"/>
                <w:b w:val="false"/>
                <w:bCs w:val="false"/>
                <w:i w:val="false"/>
                <w:iCs w:val="false"/>
                <w:color w:val="222222"/>
                <w:sz w:val="14"/>
                <w:szCs w:val="14"/>
              </w:rPr>
              <w:t xml:space="preserve">0.55</w:t>
            </w:r>
          </w:p>
        </w:tc>
      </w:tr>
      <w:tr>
        <w:tc>
          <w:tcPr>
            <w:tcW w:type="dxa" w:w="3500"/>
            <w:shd w:fill="F2F0EA" w:val="clear"/>
            <w:tcMar>
              <w:top w:type="dxa" w:w="40"/>
              <w:left w:type="dxa" w:w="80"/>
              <w:bottom w:type="dxa" w:w="40"/>
              <w:right w:type="dxa" w:w="80"/>
            </w:tcMar>
          </w:tcPr>
          <w:p>
            <w:pPr>
              <w:jc w:val="left"/>
            </w:pPr>
            <w:r>
              <w:rPr>
                <w:rFonts w:ascii="Arial" w:cs="Arial" w:eastAsia="Arial" w:hAnsi="Arial"/>
                <w:b/>
                <w:bCs/>
                <w:i w:val="false"/>
                <w:iCs w:val="false"/>
                <w:color w:val="222222"/>
                <w:sz w:val="14"/>
                <w:szCs w:val="14"/>
              </w:rPr>
              <w:t xml:space="preserve">Probability-weighted</w:t>
            </w:r>
          </w:p>
        </w:tc>
        <w:tc>
          <w:tcPr>
            <w:tcW w:type="dxa" w:w="8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
            </w:r>
          </w:p>
        </w:tc>
        <w:tc>
          <w:tcPr>
            <w:tcW w:type="dxa" w:w="11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
            </w:r>
          </w:p>
        </w:tc>
        <w:tc>
          <w:tcPr>
            <w:tcW w:type="dxa" w:w="17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
            </w:r>
          </w:p>
        </w:tc>
        <w:tc>
          <w:tcPr>
            <w:tcW w:type="dxa" w:w="26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
            </w:r>
          </w:p>
        </w:tc>
        <w:tc>
          <w:tcPr>
            <w:tcW w:type="dxa" w:w="1200"/>
            <w:shd w:fill="F2F0EA" w:val="clear"/>
            <w:tcMar>
              <w:top w:type="dxa" w:w="40"/>
              <w:left w:type="dxa" w:w="80"/>
              <w:bottom w:type="dxa" w:w="40"/>
              <w:right w:type="dxa" w:w="80"/>
            </w:tcMar>
          </w:tcPr>
          <w:p>
            <w:pPr>
              <w:jc w:val="right"/>
            </w:pPr>
            <w:r>
              <w:rPr>
                <w:rFonts w:ascii="Arial" w:cs="Arial" w:eastAsia="Arial" w:hAnsi="Arial"/>
                <w:b/>
                <w:bCs/>
                <w:i w:val="false"/>
                <w:iCs w:val="false"/>
                <w:color w:val="222222"/>
                <w:sz w:val="14"/>
                <w:szCs w:val="14"/>
              </w:rPr>
              <w:t xml:space="preserve">1.18</w:t>
            </w:r>
          </w:p>
        </w:tc>
      </w:tr>
    </w:tbl>
    <w:p>
      <w:pPr>
        <w:spacing w:after="60" w:before="0"/>
      </w:pPr>
      <w:r>
        <w:rPr>
          <w:rFonts w:ascii="Georgia" w:cs="Georgia" w:eastAsia="Georgia" w:hAnsi="Georgia"/>
          <w:b w:val="false"/>
          <w:bCs w:val="false"/>
          <w:i w:val="false"/>
          <w:iCs w:val="false"/>
          <w:color w:val="222222"/>
          <w:sz w:val="20"/>
          <w:szCs w:val="20"/>
        </w:rPr>
        <w:t xml:space="preserve"/>
      </w:r>
    </w:p>
    <w:p>
      <w:pPr>
        <w:spacing w:after="120" w:before="0"/>
      </w:pPr>
      <w:r>
        <w:rPr>
          <w:rFonts w:ascii="Georgia" w:cs="Georgia" w:eastAsia="Georgia" w:hAnsi="Georgia"/>
          <w:b/>
          <w:bCs/>
          <w:i w:val="false"/>
          <w:iCs w:val="false"/>
          <w:color w:val="222222"/>
          <w:sz w:val="20"/>
          <w:szCs w:val="20"/>
        </w:rPr>
        <w:t xml:space="preserve">A concrete worked example — one regime, end to end.</w:t>
      </w:r>
      <w:r>
        <w:rPr>
          <w:rFonts w:ascii="Georgia" w:cs="Georgia" w:eastAsia="Georgia" w:hAnsi="Georgia"/>
          <w:b w:val="false"/>
          <w:bCs w:val="false"/>
          <w:i w:val="false"/>
          <w:iCs w:val="false"/>
          <w:color w:val="222222"/>
          <w:sz w:val="20"/>
          <w:szCs w:val="20"/>
        </w:rPr>
        <w:t xml:space="preserve"> The 30% reflation regime: EGP to 55 revalues the net-long dollar book (+US$60m net × 6 pounds of depreciation ≈ +EGP 0.10/share mechanically); GEM year-one tourism lifts the OPE mark to the 4,500 bull DCF (+0.31 pre-discount); and strong retail flow compresses the wrapper discount to 5% (+0.09). Stack those on Expert 1’s own table and it reprices to ~1.90 — no new assets, no story, just the three mechanical channels moving together, which in Egypt they historically do.</w:t>
      </w:r>
    </w:p>
    <w:p>
      <w:pPr>
        <w:spacing w:after="120" w:before="0"/>
      </w:pPr>
      <w:r>
        <w:rPr>
          <w:rFonts w:ascii="Georgia" w:cs="Georgia" w:eastAsia="Georgia" w:hAnsi="Georgia"/>
          <w:b/>
          <w:bCs/>
          <w:i w:val="false"/>
          <w:iCs w:val="false"/>
          <w:color w:val="222222"/>
          <w:sz w:val="20"/>
          <w:szCs w:val="20"/>
        </w:rPr>
        <w:t xml:space="preserve">Sensitivity on the swing input</w:t>
      </w:r>
      <w:r>
        <w:rPr>
          <w:rFonts w:ascii="Georgia" w:cs="Georgia" w:eastAsia="Georgia" w:hAnsi="Georgia"/>
          <w:b w:val="false"/>
          <w:bCs w:val="false"/>
          <w:i w:val="false"/>
          <w:iCs w:val="false"/>
          <w:color w:val="222222"/>
          <w:sz w:val="20"/>
          <w:szCs w:val="20"/>
        </w:rPr>
        <w:t xml:space="preserve"> — the regime weights: shifting ten points from muddle-through to reflation lifts the value to 1.27; ten points to the shock regime cuts it to 1.06 — the answer is robust to ±0.10, which is unusual for this method and reflects how mechanically OIH is wired to its macro. </w:t>
      </w:r>
      <w:r>
        <w:rPr>
          <w:rFonts w:ascii="Georgia" w:cs="Georgia" w:eastAsia="Georgia" w:hAnsi="Georgia"/>
          <w:b/>
          <w:bCs/>
          <w:i w:val="false"/>
          <w:iCs w:val="false"/>
          <w:color w:val="222222"/>
          <w:sz w:val="20"/>
          <w:szCs w:val="20"/>
        </w:rPr>
        <w:t xml:space="preserve">Cross-examination.</w:t>
      </w:r>
      <w:r>
        <w:rPr>
          <w:rFonts w:ascii="Georgia" w:cs="Georgia" w:eastAsia="Georgia" w:hAnsi="Georgia"/>
          <w:b w:val="false"/>
          <w:bCs w:val="false"/>
          <w:i w:val="false"/>
          <w:iCs w:val="false"/>
          <w:color w:val="222222"/>
          <w:sz w:val="20"/>
          <w:szCs w:val="20"/>
        </w:rPr>
        <w:t xml:space="preserve"> To Expert 1: your NAV is a photograph; this name is a film — the same table re-marked in the 30% regime *is* my 1.90, so our disagreement is only about whether to price the regime now. To Expert 2: your strikes are right about verification and silent about direction; the pound and the tourist do not read audit opinions. </w:t>
      </w:r>
      <w:r>
        <w:rPr>
          <w:rFonts w:ascii="Georgia" w:cs="Georgia" w:eastAsia="Georgia" w:hAnsi="Georgia"/>
          <w:b/>
          <w:bCs/>
          <w:i w:val="false"/>
          <w:iCs w:val="false"/>
          <w:color w:val="222222"/>
          <w:sz w:val="20"/>
          <w:szCs w:val="20"/>
        </w:rPr>
        <w:t xml:space="preserve">Verdict: EGP 1.18</w:t>
      </w:r>
      <w:r>
        <w:rPr>
          <w:rFonts w:ascii="Georgia" w:cs="Georgia" w:eastAsia="Georgia" w:hAnsi="Georgia"/>
          <w:b w:val="false"/>
          <w:bCs w:val="false"/>
          <w:i w:val="false"/>
          <w:iCs w:val="false"/>
          <w:color w:val="222222"/>
          <w:sz w:val="20"/>
          <w:szCs w:val="20"/>
        </w:rPr>
        <w:t xml:space="preserve"> (range 0.85–1.55 on weight stress). </w:t>
      </w:r>
      <w:r>
        <w:rPr>
          <w:rFonts w:ascii="Georgia" w:cs="Georgia" w:eastAsia="Georgia" w:hAnsi="Georgia"/>
          <w:b/>
          <w:bCs/>
          <w:i w:val="false"/>
          <w:iCs w:val="false"/>
          <w:color w:val="222222"/>
          <w:sz w:val="20"/>
          <w:szCs w:val="20"/>
        </w:rPr>
        <w:t xml:space="preserve">Falsification:</w:t>
      </w:r>
      <w:r>
        <w:rPr>
          <w:rFonts w:ascii="Georgia" w:cs="Georgia" w:eastAsia="Georgia" w:hAnsi="Georgia"/>
          <w:b w:val="false"/>
          <w:bCs w:val="false"/>
          <w:i w:val="false"/>
          <w:iCs w:val="false"/>
          <w:color w:val="222222"/>
          <w:sz w:val="20"/>
          <w:szCs w:val="20"/>
        </w:rPr>
        <w:t xml:space="preserve"> two consecutive quarters of tourism arrivals or plateau revenue falling year-on-year, or EGP sustained below 46 — either breaks the mechanical channel my tree runs on. </w:t>
      </w:r>
      <w:r>
        <w:rPr>
          <w:rFonts w:ascii="Georgia" w:cs="Georgia" w:eastAsia="Georgia" w:hAnsi="Georgia"/>
          <w:b/>
          <w:bCs/>
          <w:i w:val="false"/>
          <w:iCs w:val="false"/>
          <w:color w:val="222222"/>
          <w:sz w:val="20"/>
          <w:szCs w:val="20"/>
        </w:rPr>
        <w:t xml:space="preserve">What the price implies:</w:t>
      </w:r>
      <w:r>
        <w:rPr>
          <w:rFonts w:ascii="Georgia" w:cs="Georgia" w:eastAsia="Georgia" w:hAnsi="Georgia"/>
          <w:b w:val="false"/>
          <w:bCs w:val="false"/>
          <w:i w:val="false"/>
          <w:iCs w:val="false"/>
          <w:color w:val="222222"/>
          <w:sz w:val="20"/>
          <w:szCs w:val="20"/>
        </w:rPr>
        <w:t xml:space="preserve"> 1.41 sits between my base and reflation regimes — the market holds roughly a 55–60% weight on the friendly half of my tree, which is aggressive but not irrational for this counter.</w:t>
      </w:r>
    </w:p>
    <w:p>
      <w:pPr>
        <w:spacing w:after="110" w:before="220"/>
      </w:pPr>
      <w:r>
        <w:rPr>
          <w:rFonts w:ascii="Arial" w:cs="Arial" w:eastAsia="Arial" w:hAnsi="Arial"/>
          <w:b/>
          <w:bCs/>
          <w:i w:val="false"/>
          <w:iCs w:val="false"/>
          <w:color w:val="1C6B62"/>
          <w:sz w:val="23"/>
          <w:szCs w:val="23"/>
        </w:rPr>
        <w:t xml:space="preserve">D.5  The three in one room</w:t>
      </w:r>
    </w:p>
    <w:p>
      <w:pPr>
        <w:spacing w:after="120" w:before="0"/>
      </w:pPr>
      <w:r>
        <w:rPr>
          <w:rFonts w:ascii="Georgia" w:cs="Georgia" w:eastAsia="Georgia" w:hAnsi="Georgia"/>
          <w:b w:val="false"/>
          <w:bCs w:val="false"/>
          <w:i w:val="false"/>
          <w:iCs w:val="false"/>
          <w:color w:val="222222"/>
          <w:sz w:val="20"/>
          <w:szCs w:val="20"/>
        </w:rPr>
        <w:t xml:space="preserve">Asked for the single asset they most disagree on, all three point at the </w:t>
      </w:r>
      <w:r>
        <w:rPr>
          <w:rFonts w:ascii="Georgia" w:cs="Georgia" w:eastAsia="Georgia" w:hAnsi="Georgia"/>
          <w:b/>
          <w:bCs/>
          <w:i w:val="false"/>
          <w:iCs w:val="false"/>
          <w:color w:val="222222"/>
          <w:sz w:val="20"/>
          <w:szCs w:val="20"/>
        </w:rPr>
        <w:t xml:space="preserve">DPRK block</w:t>
      </w:r>
      <w:r>
        <w:rPr>
          <w:rFonts w:ascii="Georgia" w:cs="Georgia" w:eastAsia="Georgia" w:hAnsi="Georgia"/>
          <w:b w:val="false"/>
          <w:bCs w:val="false"/>
          <w:i w:val="false"/>
          <w:iCs w:val="false"/>
          <w:color w:val="222222"/>
          <w:sz w:val="20"/>
          <w:szCs w:val="20"/>
        </w:rPr>
        <w:t xml:space="preserve">, and the exchange is short. Expert 1: “Carry the pair at audited marks — 2,796 of cash, minus 4,443 of loan — and stop pretending it nets; the books say the complex is worth minus a billion.” Expert 2: “The books say the *auditor couldn’t look*. I strike the assets and keep the liability, because liabilities do not need verifying to be owed.” Expert 3: “You are both pricing a photograph of a frozen thing. It is an option on a policy change, held at negative carry — worth little most years and 0.5 a share the year it moves, and my 30% regime is where such years live.” Expert 1, closing: “Then we agree more than we sound: none of us gets to 1.41 without that option paying — which is the study’s verdict in one sentence.”</w:t>
      </w:r>
    </w:p>
    <w:p>
      <w:pPr>
        <w:spacing w:after="110" w:before="220"/>
      </w:pPr>
      <w:r>
        <w:rPr>
          <w:rFonts w:ascii="Arial" w:cs="Arial" w:eastAsia="Arial" w:hAnsi="Arial"/>
          <w:b/>
          <w:bCs/>
          <w:i w:val="false"/>
          <w:iCs w:val="false"/>
          <w:color w:val="1C6B62"/>
          <w:sz w:val="23"/>
          <w:szCs w:val="23"/>
        </w:rPr>
        <w:t xml:space="preserve">D.6  Reading the divergence</w:t>
      </w:r>
    </w:p>
    <w:p>
      <w:pPr>
        <w:spacing w:after="40" w:before="60"/>
        <w:jc w:val="center"/>
      </w:pPr>
      <w:r>
        <w:drawing>
          <wp:inline distT="0" distB="0" distL="0" distR="0">
            <wp:extent cx="5334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485900"/>
                    </a:xfrm>
                    <a:prstGeom prst="rect">
                      <a:avLst/>
                    </a:prstGeom>
                  </pic:spPr>
                </pic:pic>
              </a:graphicData>
            </a:graphic>
          </wp:inline>
        </w:drawing>
      </w:r>
    </w:p>
    <w:p>
      <w:pPr>
        <w:spacing w:after="160" w:before="0"/>
      </w:pPr>
      <w:r>
        <w:rPr>
          <w:rFonts w:ascii="Georgia" w:cs="Georgia" w:eastAsia="Georgia" w:hAnsi="Georgia"/>
          <w:b w:val="false"/>
          <w:bCs w:val="false"/>
          <w:i/>
          <w:iCs/>
          <w:color w:val="555555"/>
          <w:sz w:val="18"/>
          <w:szCs w:val="18"/>
        </w:rPr>
        <w:t xml:space="preserve">Figure D-1 — Three methods, three answers, one spot price above all of them.</w:t>
      </w:r>
    </w:p>
    <w:tbl>
      <w:tblPr>
        <w:tblW w:type="dxa" w:w="9800"/>
        <w:tblBorders>
          <w:top w:val="single" w:color="BBBBBB" w:sz="4"/>
          <w:left w:val="none"/>
          <w:bottom w:val="single" w:color="BBBBBB" w:sz="4"/>
          <w:right w:val="none"/>
          <w:insideH w:val="single" w:color="DDDDDD" w:sz="2"/>
          <w:insideV w:val="single" w:color="EEEEEE" w:sz="2"/>
        </w:tblBorders>
      </w:tblPr>
      <w:tblGrid>
        <w:gridCol w:w="3200"/>
        <w:gridCol w:w="1600"/>
        <w:gridCol w:w="5000"/>
      </w:tblGrid>
      <w:tr>
        <w:trPr>
          <w:tblHeader/>
        </w:trPr>
        <w:tc>
          <w:tcPr>
            <w:tcW w:type="dxa" w:w="3200"/>
            <w:shd w:fill="1C3A36" w:val="clear"/>
            <w:tcMar>
              <w:top w:type="dxa" w:w="40"/>
              <w:left w:type="dxa" w:w="80"/>
              <w:bottom w:type="dxa" w:w="40"/>
              <w:right w:type="dxa" w:w="80"/>
            </w:tcMar>
          </w:tcPr>
          <w:p>
            <w:pPr>
              <w:jc w:val="left"/>
            </w:pPr>
            <w:r>
              <w:rPr>
                <w:rFonts w:ascii="Arial" w:cs="Arial" w:eastAsia="Arial" w:hAnsi="Arial"/>
                <w:b/>
                <w:bCs/>
                <w:i w:val="false"/>
                <w:iCs w:val="false"/>
                <w:color w:val="FFFFFF"/>
                <w:sz w:val="16"/>
                <w:szCs w:val="16"/>
              </w:rPr>
              <w:t xml:space="preserve">Expert</w:t>
            </w:r>
          </w:p>
        </w:tc>
        <w:tc>
          <w:tcPr>
            <w:tcW w:type="dxa" w:w="16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6"/>
                <w:szCs w:val="16"/>
              </w:rPr>
              <w:t xml:space="preserve">Fair value</w:t>
            </w:r>
          </w:p>
        </w:tc>
        <w:tc>
          <w:tcPr>
            <w:tcW w:type="dxa" w:w="5000"/>
            <w:shd w:fill="1C3A36" w:val="clear"/>
            <w:tcMar>
              <w:top w:type="dxa" w:w="40"/>
              <w:left w:type="dxa" w:w="80"/>
              <w:bottom w:type="dxa" w:w="40"/>
              <w:right w:type="dxa" w:w="80"/>
            </w:tcMar>
          </w:tcPr>
          <w:p>
            <w:pPr>
              <w:jc w:val="right"/>
            </w:pPr>
            <w:r>
              <w:rPr>
                <w:rFonts w:ascii="Arial" w:cs="Arial" w:eastAsia="Arial" w:hAnsi="Arial"/>
                <w:b/>
                <w:bCs/>
                <w:i w:val="false"/>
                <w:iCs w:val="false"/>
                <w:color w:val="FFFFFF"/>
                <w:sz w:val="16"/>
                <w:szCs w:val="16"/>
              </w:rPr>
              <w:t xml:space="preserve">The one assumption doing the work</w:t>
            </w:r>
          </w:p>
        </w:tc>
      </w:tr>
      <w:tr>
        <w:tc>
          <w:tcPr>
            <w:tcW w:type="dxa" w:w="32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Expert 1 — NAV &amp; discount</w:t>
            </w:r>
          </w:p>
        </w:tc>
        <w:tc>
          <w:tcPr>
            <w:tcW w:type="dxa" w:w="1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EGP 0.81</w:t>
            </w:r>
          </w:p>
        </w:tc>
        <w:tc>
          <w:tcPr>
            <w:tcW w:type="dxa" w:w="50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The Pyramids platform is worth its EGP 2,900m DCF, no more yet</w:t>
            </w:r>
          </w:p>
        </w:tc>
      </w:tr>
      <w:tr>
        <w:tc>
          <w:tcPr>
            <w:tcW w:type="dxa" w:w="32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Expert 2 — forensic accountant</w:t>
            </w:r>
          </w:p>
        </w:tc>
        <w:tc>
          <w:tcPr>
            <w:tcW w:type="dxa" w:w="1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EGP 0.37</w:t>
            </w:r>
          </w:p>
        </w:tc>
        <w:tc>
          <w:tcPr>
            <w:tcW w:type="dxa" w:w="50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Nothing the auditor could not verify is worth more than its strike</w:t>
            </w:r>
          </w:p>
        </w:tc>
      </w:tr>
      <w:tr>
        <w:tc>
          <w:tcPr>
            <w:tcW w:type="dxa" w:w="3200"/>
            <w:tcMar>
              <w:top w:type="dxa" w:w="40"/>
              <w:left w:type="dxa" w:w="80"/>
              <w:bottom w:type="dxa" w:w="40"/>
              <w:right w:type="dxa" w:w="80"/>
            </w:tcMar>
          </w:tcPr>
          <w:p>
            <w:pPr>
              <w:jc w:val="left"/>
            </w:pPr>
            <w:r>
              <w:rPr>
                <w:rFonts w:ascii="Arial" w:cs="Arial" w:eastAsia="Arial" w:hAnsi="Arial"/>
                <w:b w:val="false"/>
                <w:bCs w:val="false"/>
                <w:i w:val="false"/>
                <w:iCs w:val="false"/>
                <w:color w:val="222222"/>
                <w:sz w:val="16"/>
                <w:szCs w:val="16"/>
              </w:rPr>
              <w:t xml:space="preserve">Expert 3 — macro-policy</w:t>
            </w:r>
          </w:p>
        </w:tc>
        <w:tc>
          <w:tcPr>
            <w:tcW w:type="dxa" w:w="16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EGP 1.18</w:t>
            </w:r>
          </w:p>
        </w:tc>
        <w:tc>
          <w:tcPr>
            <w:tcW w:type="dxa" w:w="5000"/>
            <w:tcMar>
              <w:top w:type="dxa" w:w="40"/>
              <w:left w:type="dxa" w:w="80"/>
              <w:bottom w:type="dxa" w:w="40"/>
              <w:right w:type="dxa" w:w="80"/>
            </w:tcMar>
          </w:tcPr>
          <w:p>
            <w:pPr>
              <w:jc w:val="right"/>
            </w:pPr>
            <w:r>
              <w:rPr>
                <w:rFonts w:ascii="Arial" w:cs="Arial" w:eastAsia="Arial" w:hAnsi="Arial"/>
                <w:b w:val="false"/>
                <w:bCs w:val="false"/>
                <w:i w:val="false"/>
                <w:iCs w:val="false"/>
                <w:color w:val="222222"/>
                <w:sz w:val="16"/>
                <w:szCs w:val="16"/>
              </w:rPr>
              <w:t xml:space="preserve">A 30% weight on the reflation-and-tourism regime, priced today</w:t>
            </w:r>
          </w:p>
        </w:tc>
      </w:tr>
    </w:tbl>
    <w:p>
      <w:pPr>
        <w:spacing w:after="60" w:before="0"/>
      </w:pPr>
      <w:r>
        <w:rPr>
          <w:rFonts w:ascii="Georgia" w:cs="Georgia" w:eastAsia="Georgia" w:hAnsi="Georgia"/>
          <w:b w:val="false"/>
          <w:bCs w:val="false"/>
          <w:i w:val="false"/>
          <w:iCs w:val="false"/>
          <w:color w:val="222222"/>
          <w:sz w:val="20"/>
          <w:szCs w:val="20"/>
        </w:rPr>
        <w:t xml:space="preserve"/>
      </w:r>
    </w:p>
    <w:p>
      <w:pPr>
        <w:spacing w:after="120" w:before="0"/>
      </w:pPr>
      <w:r>
        <w:rPr>
          <w:rFonts w:ascii="Georgia" w:cs="Georgia" w:eastAsia="Georgia" w:hAnsi="Georgia"/>
          <w:b/>
          <w:bCs/>
          <w:i w:val="false"/>
          <w:iCs w:val="false"/>
          <w:color w:val="222222"/>
          <w:sz w:val="20"/>
          <w:szCs w:val="20"/>
        </w:rPr>
        <w:t xml:space="preserve">What the spread measures.</w:t>
      </w:r>
      <w:r>
        <w:rPr>
          <w:rFonts w:ascii="Georgia" w:cs="Georgia" w:eastAsia="Georgia" w:hAnsi="Georgia"/>
          <w:b w:val="false"/>
          <w:bCs w:val="false"/>
          <w:i w:val="false"/>
          <w:iCs w:val="false"/>
          <w:color w:val="222222"/>
          <w:sz w:val="20"/>
          <w:szCs w:val="20"/>
        </w:rPr>
        <w:t xml:space="preserve"> The 0.37–1.18 range is not noise; it is the price of verification. Expert 2 pays only for what is signed, Expert 1 adds what is modelled from evidenced cash flows, Expert 3 adds what the macro regime would do to both. The 0.81 point between them is where evidence currently runs out — and the market, at 1.41, stands 0.23 above even the panel’s most generous member. When a spot price exceeds every method in the room, it is being set by something none of the methods contains: here, the flow, the story and the option. That is not a reason it must fall this quarter — §3 says the opposite is more likely — it is the reason this study keeps its two clocks apart.</w:t>
      </w:r>
    </w:p>
    <w:p>
      <w:pPr>
        <w:pBdr>
          <w:bottom w:val="single" w:color="C0A45F" w:sz="8"/>
        </w:pBdr>
        <w:spacing w:after="140" w:before="300"/>
      </w:pPr>
      <w:r>
        <w:rPr>
          <w:rFonts w:ascii="Arial" w:cs="Arial" w:eastAsia="Arial" w:hAnsi="Arial"/>
          <w:b/>
          <w:bCs/>
          <w:i w:val="false"/>
          <w:iCs w:val="false"/>
          <w:color w:val="1C3A36"/>
          <w:sz w:val="28"/>
          <w:szCs w:val="28"/>
        </w:rPr>
        <w:t xml:space="preserve">About this series</w:t>
      </w:r>
    </w:p>
    <w:p>
      <w:pPr>
        <w:spacing w:after="120" w:before="0"/>
      </w:pPr>
      <w:r>
        <w:rPr>
          <w:rFonts w:ascii="Georgia" w:cs="Georgia" w:eastAsia="Georgia" w:hAnsi="Georgia"/>
          <w:b w:val="false"/>
          <w:bCs w:val="false"/>
          <w:i w:val="false"/>
          <w:iCs w:val="false"/>
          <w:color w:val="222222"/>
          <w:sz w:val="20"/>
          <w:szCs w:val="20"/>
        </w:rPr>
        <w:t xml:space="preserve">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pBdr>
          <w:bottom w:val="single" w:color="C0A45F" w:sz="8"/>
        </w:pBdr>
        <w:spacing w:after="140" w:before="300"/>
      </w:pPr>
      <w:r>
        <w:rPr>
          <w:rFonts w:ascii="Arial" w:cs="Arial" w:eastAsia="Arial" w:hAnsi="Arial"/>
          <w:b/>
          <w:bCs/>
          <w:i w:val="false"/>
          <w:iCs w:val="false"/>
          <w:color w:val="1C3A36"/>
          <w:sz w:val="28"/>
          <w:szCs w:val="28"/>
        </w:rPr>
        <w:t xml:space="preserve">Disclosure &amp; Disclaimer</w:t>
      </w:r>
    </w:p>
    <w:p>
      <w:pPr>
        <w:spacing w:after="110" w:before="0"/>
      </w:pPr>
      <w:r>
        <w:rPr>
          <w:rFonts w:ascii="Georgia" w:cs="Georgia" w:eastAsia="Georgia" w:hAnsi="Georgia"/>
          <w:b/>
          <w:bCs/>
          <w:i/>
          <w:iCs/>
          <w:color w:val="222222"/>
          <w:sz w:val="20"/>
          <w:szCs w:val="20"/>
        </w:rPr>
        <w:t xml:space="preserve">Not investment advice. </w:t>
      </w:r>
      <w:r>
        <w:rPr>
          <w:rFonts w:ascii="Georgia" w:cs="Georgia" w:eastAsia="Georgia" w:hAnsi="Georgia"/>
          <w:b w:val="false"/>
          <w:bCs w:val="false"/>
          <w:i w:val="false"/>
          <w:iCs w:val="false"/>
          <w:color w:val="222222"/>
          <w:sz w:val="20"/>
          <w:szCs w:val="20"/>
        </w:rPr>
        <w:t xml:space="preserve">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10" w:before="0"/>
      </w:pPr>
      <w:r>
        <w:rPr>
          <w:rFonts w:ascii="Georgia" w:cs="Georgia" w:eastAsia="Georgia" w:hAnsi="Georgia"/>
          <w:b/>
          <w:bCs/>
          <w:i/>
          <w:iCs/>
          <w:color w:val="222222"/>
          <w:sz w:val="20"/>
          <w:szCs w:val="20"/>
        </w:rPr>
        <w:t xml:space="preserve">No licence; no advisory relationship. </w:t>
      </w:r>
      <w:r>
        <w:rPr>
          <w:rFonts w:ascii="Georgia" w:cs="Georgia" w:eastAsia="Georgia" w:hAnsi="Georgia"/>
          <w:b w:val="false"/>
          <w:bCs w:val="false"/>
          <w:i w:val="false"/>
          <w:iCs w:val="false"/>
          <w:color w:val="222222"/>
          <w:sz w:val="20"/>
          <w:szCs w:val="20"/>
        </w:rPr>
        <w:t xml:space="preserve">The preparer is not registered or licensed with any securities or financial regulator in any jurisdiction — including the Egyptian Financial Regulatory Authority — holds no brokerage or investment-advisory authorisation, and is not acting as your adviser or fiduciary. Nothing here is personalised to your circumstances.</w:t>
      </w:r>
    </w:p>
    <w:p>
      <w:pPr>
        <w:spacing w:after="110" w:before="0"/>
      </w:pPr>
      <w:r>
        <w:rPr>
          <w:rFonts w:ascii="Georgia" w:cs="Georgia" w:eastAsia="Georgia" w:hAnsi="Georgia"/>
          <w:b/>
          <w:bCs/>
          <w:i/>
          <w:iCs/>
          <w:color w:val="222222"/>
          <w:sz w:val="20"/>
          <w:szCs w:val="20"/>
        </w:rPr>
        <w:t xml:space="preserve">Holdings disclosure. </w:t>
      </w:r>
      <w:r>
        <w:rPr>
          <w:rFonts w:ascii="Georgia" w:cs="Georgia" w:eastAsia="Georgia" w:hAnsi="Georgia"/>
          <w:b w:val="false"/>
          <w:bCs w:val="false"/>
          <w:i w:val="false"/>
          <w:iCs w:val="false"/>
          <w:color w:val="222222"/>
          <w:sz w:val="20"/>
          <w:szCs w:val="20"/>
        </w:rPr>
        <w:t xml:space="preserve">The preparer may hold, and may in the future take or dispose of, a position in the security discussed in this report, and may transact at any time without notice. This is a potential conflict of interest you should weigh.</w:t>
      </w:r>
    </w:p>
    <w:p>
      <w:pPr>
        <w:spacing w:after="110" w:before="0"/>
      </w:pPr>
      <w:r>
        <w:rPr>
          <w:rFonts w:ascii="Georgia" w:cs="Georgia" w:eastAsia="Georgia" w:hAnsi="Georgia"/>
          <w:b/>
          <w:bCs/>
          <w:i/>
          <w:iCs/>
          <w:color w:val="222222"/>
          <w:sz w:val="20"/>
          <w:szCs w:val="20"/>
        </w:rPr>
        <w:t xml:space="preserve">Sources &amp; accuracy. </w:t>
      </w:r>
      <w:r>
        <w:rPr>
          <w:rFonts w:ascii="Georgia" w:cs="Georgia" w:eastAsia="Georgia" w:hAnsi="Georgia"/>
          <w:b w:val="false"/>
          <w:bCs w:val="false"/>
          <w:i w:val="false"/>
          <w:iCs w:val="false"/>
          <w:color w:val="222222"/>
          <w:sz w:val="20"/>
          <w:szCs w:val="20"/>
        </w:rPr>
        <w:t xml:space="preserve">Reported financial and operating figures are drawn from the company’s public disclosure (IFRS consolidated financial statements FY2023 and FY2024; EAS filings via press reporting through 9M-2025) and other public sources believed reliable but not independently verified; they may contain errors or be superseded, and the auditor’s opinion on the FY2023 and FY2024 statements is qualified. Forward-looking inputs — the platform mark, the DPRK recovery assumptions, the holdco discount, projections, multiples, the DCF and Monte-Carlo factor probabilities — are the preparer’s own judgments and are inherently uncertain.</w:t>
      </w:r>
    </w:p>
    <w:p>
      <w:pPr>
        <w:spacing w:after="110" w:before="0"/>
      </w:pPr>
      <w:r>
        <w:rPr>
          <w:rFonts w:ascii="Georgia" w:cs="Georgia" w:eastAsia="Georgia" w:hAnsi="Georgia"/>
          <w:b/>
          <w:bCs/>
          <w:i/>
          <w:iCs/>
          <w:color w:val="222222"/>
          <w:sz w:val="20"/>
          <w:szCs w:val="20"/>
        </w:rPr>
        <w:t xml:space="preserve">Forward-looking statements. </w:t>
      </w:r>
      <w:r>
        <w:rPr>
          <w:rFonts w:ascii="Georgia" w:cs="Georgia" w:eastAsia="Georgia" w:hAnsi="Georgia"/>
          <w:b w:val="false"/>
          <w:bCs w:val="false"/>
          <w:i w:val="false"/>
          <w:iCs w:val="false"/>
          <w:color w:val="222222"/>
          <w:sz w:val="20"/>
          <w:szCs w:val="20"/>
        </w:rPr>
        <w:t xml:space="preserve">Any statements about the future are estimates subject to risks and uncertainties; actual results may differ materially. The Monte Carlo models price, not value, and encodes subjective probabilities for events that have not occurred.</w:t>
      </w:r>
    </w:p>
    <w:p>
      <w:pPr>
        <w:spacing w:after="110" w:before="0"/>
      </w:pPr>
      <w:r>
        <w:rPr>
          <w:rFonts w:ascii="Georgia" w:cs="Georgia" w:eastAsia="Georgia" w:hAnsi="Georgia"/>
          <w:b/>
          <w:bCs/>
          <w:i/>
          <w:iCs/>
          <w:color w:val="222222"/>
          <w:sz w:val="20"/>
          <w:szCs w:val="20"/>
        </w:rPr>
        <w:t xml:space="preserve">No reliance; your responsibility. </w:t>
      </w:r>
      <w:r>
        <w:rPr>
          <w:rFonts w:ascii="Georgia" w:cs="Georgia" w:eastAsia="Georgia" w:hAnsi="Georgia"/>
          <w:b w:val="false"/>
          <w:bCs w:val="false"/>
          <w:i w:val="false"/>
          <w:iCs w:val="false"/>
          <w:color w:val="222222"/>
          <w:sz w:val="20"/>
          <w:szCs w:val="20"/>
        </w:rPr>
        <w:t xml:space="preserve">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10" w:before="0"/>
      </w:pPr>
      <w:r>
        <w:rPr>
          <w:rFonts w:ascii="Georgia" w:cs="Georgia" w:eastAsia="Georgia" w:hAnsi="Georgia"/>
          <w:b/>
          <w:bCs/>
          <w:i/>
          <w:iCs/>
          <w:color w:val="222222"/>
          <w:sz w:val="20"/>
          <w:szCs w:val="20"/>
        </w:rPr>
        <w:t xml:space="preserve">Currency &amp; figures. </w:t>
      </w:r>
      <w:r>
        <w:rPr>
          <w:rFonts w:ascii="Georgia" w:cs="Georgia" w:eastAsia="Georgia" w:hAnsi="Georgia"/>
          <w:b w:val="false"/>
          <w:bCs w:val="false"/>
          <w:i w:val="false"/>
          <w:iCs w:val="false"/>
          <w:color w:val="222222"/>
          <w:sz w:val="20"/>
          <w:szCs w:val="20"/>
        </w:rPr>
        <w:t xml:space="preserve">Group figures are in Egyptian pounds (EGP), millions unless stated; audited historicals are IFRS statements presented in US dollars and converted at disclosed rates. FX at study date: EGP/USD 49.09. Rounding may cause totals to differ slightly. Spot price and market data are as of 01 July 2026 and change continuously.</w:t>
      </w:r>
    </w:p>
    <w:p>
      <w:pPr>
        <w:spacing w:after="120" w:before="160"/>
      </w:pPr>
      <w:r>
        <w:rPr>
          <w:rFonts w:ascii="Georgia" w:cs="Georgia" w:eastAsia="Georgia" w:hAnsi="Georgia"/>
          <w:b w:val="false"/>
          <w:bCs w:val="false"/>
          <w:i/>
          <w:iCs/>
          <w:color w:val="555555"/>
          <w:sz w:val="17"/>
          <w:szCs w:val="17"/>
        </w:rPr>
        <w:t xml:space="preserve">TESTAHIL · Independent Valuation Study · Educational Analysis · Orascom Investment Holding S.A.E. (EGX: OIH) · edition 03-07-2026 · reporting currency EGP</w:t>
      </w:r>
    </w:p>
    <w:sectPr>
      <w:headerReference w:type="default" r:id="rId7"/>
      <w:footerReference w:type="default" r:id="rId8"/>
      <w:pgSz w:w="11906" w:h="16838" w:orient="portrait"/>
      <w:pgMar w:top="11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800"/>
        <w:tab w:val="right" w:pos="9600"/>
      </w:tabs>
    </w:pPr>
    <w:r>
      <w:rPr>
        <w:rFonts w:ascii="Arial" w:cs="Arial" w:eastAsia="Arial" w:hAnsi="Arial"/>
        <w:b w:val="false"/>
        <w:bCs w:val="false"/>
        <w:i w:val="false"/>
        <w:iCs w:val="false"/>
        <w:color w:val="888888"/>
        <w:sz w:val="14"/>
        <w:szCs w:val="14"/>
      </w:rPr>
      <w:t xml:space="preserve">testahil.com</w:t>
    </w:r>
    <w:r>
      <w:rPr>
        <w:sz w:val="14"/>
        <w:szCs w:val="14"/>
      </w:rPr>
      <w:tab/>
    </w:r>
    <w:r>
      <w:rPr>
        <w:rFonts w:ascii="Arial" w:cs="Arial" w:eastAsia="Arial" w:hAnsi="Arial"/>
        <w:b w:val="false"/>
        <w:bCs w:val="false"/>
        <w:i w:val="false"/>
        <w:iCs w:val="false"/>
        <w:color w:val="888888"/>
        <w:sz w:val="14"/>
        <w:szCs w:val="14"/>
      </w:rPr>
      <w:t xml:space="preserve">Educational analysis · Not investment advice</w:t>
    </w:r>
    <w:r>
      <w:rPr>
        <w:sz w:val="14"/>
        <w:szCs w:val="14"/>
      </w:rPr>
      <w:tab/>
    </w:r>
    <w:r>
      <w:rPr>
        <w:rFonts w:ascii="Arial" w:cs="Arial" w:eastAsia="Arial" w:hAnsi="Arial"/>
        <w:color w:val="888888"/>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A45F" w:sz="6"/>
      </w:pBdr>
      <w:tabs>
        <w:tab w:val="right" w:pos="9600"/>
      </w:tabs>
      <w:spacing w:after="60"/>
    </w:pPr>
    <w:r>
      <w:rPr>
        <w:rFonts w:ascii="Arial" w:cs="Arial" w:eastAsia="Arial" w:hAnsi="Arial"/>
        <w:b/>
        <w:bCs/>
        <w:i w:val="false"/>
        <w:iCs w:val="false"/>
        <w:color w:val="1C6B62"/>
        <w:sz w:val="15"/>
        <w:szCs w:val="15"/>
      </w:rPr>
      <w:t xml:space="preserve">Testahil · Independent Valuation Study — Educational Analysis</w:t>
    </w:r>
    <w:r>
      <w:rPr>
        <w:rFonts w:ascii="Arial" w:cs="Arial" w:eastAsia="Arial" w:hAnsi="Arial"/>
        <w:sz w:val="15"/>
        <w:szCs w:val="15"/>
      </w:rPr>
      <w:tab/>
    </w:r>
    <w:r>
      <w:rPr>
        <w:rFonts w:ascii="Arial" w:cs="Arial" w:eastAsia="Arial" w:hAnsi="Arial"/>
        <w:b w:val="false"/>
        <w:bCs w:val="false"/>
        <w:i w:val="false"/>
        <w:iCs w:val="false"/>
        <w:color w:val="888888"/>
        <w:sz w:val="15"/>
        <w:szCs w:val="15"/>
      </w:rPr>
      <w:t xml:space="preserve">Not investment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1e0a4ce5604169ac90df709f961b8871bbe2d2.png"/><Relationship Id="rId10" Type="http://schemas.openxmlformats.org/officeDocument/2006/relationships/image" Target="media/9835eb83778fee23f65abff711311aa46184b890.png"/><Relationship Id="rId11" Type="http://schemas.openxmlformats.org/officeDocument/2006/relationships/image" Target="media/8ac6a68db187631f8b065edc4302e80f9452f1bc.png"/><Relationship Id="rId12" Type="http://schemas.openxmlformats.org/officeDocument/2006/relationships/image" Target="media/ba9dd8409e83be0451f4fc52bec166594edfbd34.png"/><Relationship Id="rId13" Type="http://schemas.openxmlformats.org/officeDocument/2006/relationships/image" Target="media/40768201dd9aaa0944d1d5caf327206936ac4eb8.png"/><Relationship Id="rId14" Type="http://schemas.openxmlformats.org/officeDocument/2006/relationships/image" Target="media/05e0ea94ced93248f64226c32f71b63fcd9521f4.png"/><Relationship Id="rId15" Type="http://schemas.openxmlformats.org/officeDocument/2006/relationships/image" Target="media/9661ba494e7a0ee9456201918a79eabd32ab76de.png"/><Relationship Id="rId16" Type="http://schemas.openxmlformats.org/officeDocument/2006/relationships/image" Target="media/11f95526b1418e2e1faef6e4b05c797ec072a468.png"/><Relationship Id="rId17" Type="http://schemas.openxmlformats.org/officeDocument/2006/relationships/image" Target="media/abeec5d2d1cc98312a980f65886e7e8ab743079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2026-07-03T08:01:50.182Z</dcterms:created>
  <dcterms:modified xsi:type="dcterms:W3CDTF">2026-07-03T08:01:50.182Z</dcterms:modified>
</cp:coreProperties>
</file>

<file path=docProps/custom.xml><?xml version="1.0" encoding="utf-8"?>
<Properties xmlns="http://schemas.openxmlformats.org/officeDocument/2006/custom-properties" xmlns:vt="http://schemas.openxmlformats.org/officeDocument/2006/docPropsVTypes"/>
</file>