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3312"/>
        <w:gridCol w:w="3312"/>
        <w:gridCol w:w="3312"/>
      </w:tblGrid>
      <w:tr>
        <w:tc>
          <w:tcPr>
            <w:tcW w:type="dxa" w:w="4320"/>
            <w:shd w:val="clear" w:fill="1B5E5E"/>
          </w:tcPr>
          <w:p>
            <w:r/>
            <w:r>
              <w:rPr>
                <w:rFonts w:ascii="Calibri" w:hAnsi="Calibri"/>
                <w:b/>
                <w:color w:val="FFFFFF"/>
                <w:sz w:val="18"/>
              </w:rPr>
              <w:t>Testahil  ·  Independent Valuation Study — Educational Analysis</w:t>
            </w:r>
          </w:p>
        </w:tc>
        <w:tc>
          <w:tcPr>
            <w:tcW w:type="dxa" w:w="3744"/>
            <w:shd w:val="clear" w:fill="1B5E5E"/>
          </w:tcPr>
          <w:p>
            <w:pPr>
              <w:jc w:val="center"/>
            </w:pPr>
            <w:r/>
            <w:r>
              <w:rPr>
                <w:rFonts w:ascii="Calibri" w:hAnsi="Calibri"/>
                <w:b/>
                <w:color w:val="FFFFFF"/>
                <w:sz w:val="18"/>
              </w:rPr>
              <w:t>Pioneers Properties for Urban Development (EGX: PRDC)</w:t>
            </w:r>
          </w:p>
        </w:tc>
        <w:tc>
          <w:tcPr>
            <w:tcW w:type="dxa" w:w="2016"/>
            <w:shd w:val="clear" w:fill="1B5E5E"/>
          </w:tcPr>
          <w:p>
            <w:pPr>
              <w:jc w:val="right"/>
            </w:pPr>
            <w:r/>
            <w:r>
              <w:rPr>
                <w:rFonts w:ascii="Calibri" w:hAnsi="Calibri"/>
                <w:b/>
                <w:color w:val="FFFFFF"/>
                <w:sz w:val="18"/>
              </w:rPr>
              <w:t>Not investment advice</w:t>
            </w:r>
          </w:p>
        </w:tc>
      </w:tr>
    </w:tbl>
    <w:p/>
    <w:p>
      <w:r>
        <w:rPr>
          <w:b/>
          <w:color w:val="1B5E5E"/>
          <w:sz w:val="24"/>
        </w:rPr>
        <w:t>Independent Valuation Study — Educational Analysis</w:t>
      </w:r>
    </w:p>
    <w:p>
      <w:r>
        <w:rPr>
          <w:b/>
          <w:sz w:val="32"/>
        </w:rPr>
        <w:t>Pioneers Properties for Urban Development (PRE Group)  ·  EGX: PRDC</w:t>
      </w:r>
    </w:p>
    <w:p>
      <w:r>
        <w:rPr>
          <w:i/>
          <w:sz w:val="20"/>
        </w:rPr>
        <w:t>Fundamental analysis · Technical analysis · Monte Carlo simulation — one integrated read</w:t>
      </w:r>
    </w:p>
    <w:p>
      <w:r>
        <w:rPr>
          <w:rFonts w:ascii="Calibri" w:hAnsi="Calibri"/>
          <w:b/>
          <w:i w:val="0"/>
          <w:sz w:val="20"/>
        </w:rPr>
        <w:t xml:space="preserve">Anchor: </w:t>
      </w:r>
      <w:r>
        <w:rPr>
          <w:rFonts w:ascii="Calibri" w:hAnsi="Calibri"/>
          <w:b w:val="0"/>
          <w:i w:val="0"/>
          <w:sz w:val="20"/>
        </w:rPr>
        <w:t>EGP 8.28 (6 Jul 2026 close) · 1,047.2 mn shares · mkt cap ~EGP 8.67 bn · the real-estate-and-contracting entity demerged from Pioneers Holding in October 2021, housing the group's development pipeline (IVOIRE, Second Home), a large contracting arm, a rental portfolio and the majority-owned listed developer El Kahera Housing · prices and probabilities computed 6 Jul 2026 from the attached daily history · primary lens: split-leg sum-of-the-parts / RNAV (development legs carry no terminal value; recurring legs on a cap rate) · the swing factors are land monetisation, the holdco/minority discount and the contracting-margin cycle.</w:t>
      </w:r>
    </w:p>
    <w:tbl>
      <w:tblPr>
        <w:tblStyle w:val="TableGrid"/>
        <w:tblW w:type="auto" w:w="0"/>
        <w:tblLook w:firstColumn="1" w:firstRow="1" w:lastColumn="0" w:lastRow="0" w:noHBand="0" w:noVBand="1" w:val="04A0"/>
      </w:tblPr>
      <w:tblGrid>
        <w:gridCol w:w="9936"/>
      </w:tblGrid>
      <w:tr>
        <w:tc>
          <w:tcPr>
            <w:tcW w:type="dxa" w:w="9936"/>
            <w:shd w:val="clear" w:fill="F7F4EC"/>
          </w:tcPr>
          <w:p>
            <w:r/>
            <w:r>
              <w:rPr>
                <w:b/>
                <w:sz w:val="19"/>
              </w:rPr>
              <w:t xml:space="preserve">READ FIRST — what this document is, and is not.  </w:t>
            </w:r>
            <w:r>
              <w:rPr>
                <w:sz w:val="17"/>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(FY2023–FY2025 results and EGX filings); forward-looking inputs — the marks on the development pipeline, the contracting and rental legs, the holdco/minority discount, the multiples, the DCF and the Monte-Carlo factor probabilities — are the preparer's judgments and are flagged throughout. A note on classification: several data vendors still tag PRDC under 'diversified financials / capital markets', a legacy label inherited from the former Pioneers Holding parent; this study treats it as what it operationally is — a real-estate developer with a large contracting arm. Consult a licensed financial advisor before any investment decision.</w:t>
            </w:r>
          </w:p>
        </w:tc>
      </w:tr>
    </w:tbl>
    <w:p/>
    <w:p>
      <w:r>
        <w:rPr>
          <w:rFonts w:ascii="Calibri" w:hAnsi="Calibri"/>
          <w:b/>
          <w:color w:val="1B5E5E"/>
          <w:sz w:val="30"/>
        </w:rPr>
        <w:t>Headline</w:t>
      </w:r>
    </w:p>
    <w:p>
      <w:r>
        <w:rPr>
          <w:rFonts w:ascii="Calibri" w:hAnsi="Calibri"/>
          <w:b/>
          <w:i w:val="0"/>
          <w:sz w:val="21"/>
        </w:rPr>
        <w:t xml:space="preserve">The model's read: broadly fairly valued after a sharp re-rating, with the upside now resting on land monetisation and a narrowing holdco/minority discount rather than on a cheap price. </w:t>
      </w:r>
      <w:r>
        <w:rPr>
          <w:rFonts w:ascii="Calibri" w:hAnsi="Calibri"/>
          <w:b w:val="0"/>
          <w:i w:val="0"/>
          <w:sz w:val="21"/>
        </w:rPr>
        <w:t>At EGP 8.28 the shares sit almost exactly on our weighted central estimate of EGP 8.23 (about -1%). For most of its listed life PRDC traded at a deep discount to its net asset value — a complex developer-contractor wrapped around a majority-owned listed subsidiary, paying no dividend, with earnings diluted by minority interests. In the first half of 2026 that discount collapsed: the stock roughly tripled from a 52-week low of EGP 3.08 to EGP 8.75 in mid-June before settling near EGP 8.28. The re-rating has done most of the work the value case implied. Our split-leg RNAV lands at EGP 8.85, a consolidated DCF at EGP 7.46 (a conservative, terminal-heavy cross-check), a relative-multiple read at EGP 6.01 (the floor, on the stock's still-sub-book P/B), and a property-cycle read at EGP 9.20 (the ceiling, crediting mid-cycle earnings power). Technically the stock is the mirror image of a value name: above every major moving average, RSI near 70, MACD positive — momentum is strong but stretched. Over three months the Monte Carlo places the 5th–95th band at roughly EGP 5.86–13.17, with a median modestly above spot; note that Step 0 calibration is marginal for this name (Appendix B), so §3 is presented as an illustrative price map rather than a graded forecast.</w:t>
      </w:r>
    </w:p>
    <w:p>
      <w:r>
        <w:rPr>
          <w:rFonts w:ascii="Calibri" w:hAnsi="Calibri"/>
          <w:b/>
          <w:color w:val="1B5E5E"/>
          <w:sz w:val="30"/>
        </w:rPr>
        <w:t>Valuation summary — every read at a glance</w:t>
      </w:r>
    </w:p>
    <w:p>
      <w:r>
        <w:rPr>
          <w:rFonts w:ascii="Calibri" w:hAnsi="Calibri"/>
          <w:b w:val="0"/>
          <w:i w:val="0"/>
          <w:sz w:val="21"/>
        </w:rPr>
        <w:t>One table for the reads that follow — what the business is worth (fundamental), what the tape is doing (technical), where price could travel over three months (Monte Carlo, illustrative),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1B5E5E"/>
          </w:tcPr>
          <w:p>
            <w:pPr>
              <w:jc w:val="center"/>
            </w:pPr>
            <w:r/>
            <w:r>
              <w:rPr>
                <w:rFonts w:ascii="Calibri" w:hAnsi="Calibri"/>
                <w:b/>
                <w:color w:val="FFFFFF"/>
                <w:sz w:val="19"/>
              </w:rPr>
              <w:t>Lens / read</w:t>
            </w:r>
          </w:p>
        </w:tc>
        <w:tc>
          <w:tcPr>
            <w:tcW w:type="dxa" w:w="3312"/>
            <w:shd w:val="clear" w:fill="1B5E5E"/>
          </w:tcPr>
          <w:p>
            <w:pPr>
              <w:jc w:val="center"/>
            </w:pPr>
            <w:r/>
            <w:r>
              <w:rPr>
                <w:rFonts w:ascii="Calibri" w:hAnsi="Calibri"/>
                <w:b/>
                <w:color w:val="FFFFFF"/>
                <w:sz w:val="19"/>
              </w:rPr>
              <w:t>What it measures</w:t>
            </w:r>
          </w:p>
        </w:tc>
        <w:tc>
          <w:tcPr>
            <w:tcW w:type="dxa" w:w="2160"/>
            <w:shd w:val="clear" w:fill="1B5E5E"/>
          </w:tcPr>
          <w:p>
            <w:pPr>
              <w:jc w:val="center"/>
            </w:pPr>
            <w:r/>
            <w:r>
              <w:rPr>
                <w:rFonts w:ascii="Calibri" w:hAnsi="Calibri"/>
                <w:b/>
                <w:color w:val="FFFFFF"/>
                <w:sz w:val="19"/>
              </w:rPr>
              <w:t>Output</w:t>
            </w:r>
          </w:p>
        </w:tc>
        <w:tc>
          <w:tcPr>
            <w:tcW w:type="dxa" w:w="2160"/>
            <w:shd w:val="clear" w:fill="1B5E5E"/>
          </w:tcPr>
          <w:p>
            <w:pPr>
              <w:jc w:val="center"/>
            </w:pPr>
            <w:r/>
            <w:r>
              <w:rPr>
                <w:rFonts w:ascii="Calibri" w:hAnsi="Calibri"/>
                <w:b/>
                <w:color w:val="FFFFFF"/>
                <w:sz w:val="19"/>
              </w:rPr>
              <w:t>Takeaway</w:t>
            </w:r>
          </w:p>
        </w:tc>
      </w:tr>
      <w:tr>
        <w:tc>
          <w:tcPr>
            <w:tcW w:type="dxa" w:w="2160"/>
            <w:gridSpan w:val="4"/>
            <w:shd w:val="clear" w:fill="E7EDEC"/>
          </w:tcPr>
          <w:p>
            <w:r/>
            <w:r>
              <w:rPr>
                <w:rFonts w:ascii="Calibri" w:hAnsi="Calibri"/>
                <w:b/>
                <w:sz w:val="19"/>
              </w:rPr>
              <w:t>FUNDAMENTAL — what the business is worth (the anchor)</w:t>
            </w:r>
          </w:p>
        </w:tc>
      </w:tr>
      <w:tr>
        <w:tc>
          <w:tcPr>
            <w:tcW w:type="dxa" w:w="2880"/>
          </w:tcPr>
          <w:p>
            <w:r/>
            <w:r>
              <w:rPr>
                <w:rFonts w:ascii="Calibri" w:hAnsi="Calibri"/>
                <w:b w:val="0"/>
                <w:sz w:val="19"/>
              </w:rPr>
              <w:t>Sum-of-the-parts / RNAV (primary)</w:t>
            </w:r>
          </w:p>
        </w:tc>
        <w:tc>
          <w:tcPr>
            <w:tcW w:type="dxa" w:w="3312"/>
          </w:tcPr>
          <w:p>
            <w:pPr>
              <w:jc w:val="center"/>
            </w:pPr>
            <w:r/>
            <w:r>
              <w:rPr>
                <w:rFonts w:ascii="Calibri" w:hAnsi="Calibri"/>
                <w:b w:val="0"/>
                <w:sz w:val="19"/>
              </w:rPr>
              <w:t>Split-leg marked assets less net debt, minority &amp; discount</w:t>
            </w:r>
          </w:p>
        </w:tc>
        <w:tc>
          <w:tcPr>
            <w:tcW w:type="dxa" w:w="2160"/>
          </w:tcPr>
          <w:p>
            <w:pPr>
              <w:jc w:val="center"/>
            </w:pPr>
            <w:r/>
            <w:r>
              <w:rPr>
                <w:rFonts w:ascii="Calibri" w:hAnsi="Calibri"/>
                <w:b w:val="0"/>
                <w:sz w:val="19"/>
              </w:rPr>
              <w:t>EGP 8.85</w:t>
            </w:r>
          </w:p>
        </w:tc>
        <w:tc>
          <w:tcPr>
            <w:tcW w:type="dxa" w:w="2160"/>
          </w:tcPr>
          <w:p>
            <w:pPr>
              <w:jc w:val="center"/>
            </w:pPr>
            <w:r/>
            <w:r>
              <w:rPr>
                <w:rFonts w:ascii="Calibri" w:hAnsi="Calibri"/>
                <w:b w:val="0"/>
                <w:sz w:val="19"/>
              </w:rPr>
              <w:t>+7% vs spot</w:t>
            </w:r>
          </w:p>
        </w:tc>
      </w:tr>
      <w:tr>
        <w:tc>
          <w:tcPr>
            <w:tcW w:type="dxa" w:w="2880"/>
          </w:tcPr>
          <w:p>
            <w:r/>
            <w:r>
              <w:rPr>
                <w:rFonts w:ascii="Calibri" w:hAnsi="Calibri"/>
                <w:b w:val="0"/>
                <w:sz w:val="19"/>
              </w:rPr>
              <w:t>Consolidated DCF</w:t>
            </w:r>
          </w:p>
        </w:tc>
        <w:tc>
          <w:tcPr>
            <w:tcW w:type="dxa" w:w="3312"/>
          </w:tcPr>
          <w:p>
            <w:pPr>
              <w:jc w:val="center"/>
            </w:pPr>
            <w:r/>
            <w:r>
              <w:rPr>
                <w:rFonts w:ascii="Calibri" w:hAnsi="Calibri"/>
                <w:b w:val="0"/>
                <w:sz w:val="19"/>
              </w:rPr>
              <w:t>Discounted 5-yr FCFF (terminal-heavy)</w:t>
            </w:r>
          </w:p>
        </w:tc>
        <w:tc>
          <w:tcPr>
            <w:tcW w:type="dxa" w:w="2160"/>
          </w:tcPr>
          <w:p>
            <w:pPr>
              <w:jc w:val="center"/>
            </w:pPr>
            <w:r/>
            <w:r>
              <w:rPr>
                <w:rFonts w:ascii="Calibri" w:hAnsi="Calibri"/>
                <w:b w:val="0"/>
                <w:sz w:val="19"/>
              </w:rPr>
              <w:t>EGP 7.46</w:t>
            </w:r>
          </w:p>
        </w:tc>
        <w:tc>
          <w:tcPr>
            <w:tcW w:type="dxa" w:w="2160"/>
          </w:tcPr>
          <w:p>
            <w:pPr>
              <w:jc w:val="center"/>
            </w:pPr>
            <w:r/>
            <w:r>
              <w:rPr>
                <w:rFonts w:ascii="Calibri" w:hAnsi="Calibri"/>
                <w:b w:val="0"/>
                <w:sz w:val="19"/>
              </w:rPr>
              <w:t>-10% · conservative</w:t>
            </w:r>
          </w:p>
        </w:tc>
      </w:tr>
      <w:tr>
        <w:tc>
          <w:tcPr>
            <w:tcW w:type="dxa" w:w="2880"/>
          </w:tcPr>
          <w:p>
            <w:r/>
            <w:r>
              <w:rPr>
                <w:rFonts w:ascii="Calibri" w:hAnsi="Calibri"/>
                <w:b w:val="0"/>
                <w:sz w:val="19"/>
              </w:rPr>
              <w:t>Relative multiples</w:t>
            </w:r>
          </w:p>
        </w:tc>
        <w:tc>
          <w:tcPr>
            <w:tcW w:type="dxa" w:w="3312"/>
          </w:tcPr>
          <w:p>
            <w:pPr>
              <w:jc w:val="center"/>
            </w:pPr>
            <w:r/>
            <w:r>
              <w:rPr>
                <w:rFonts w:ascii="Calibri" w:hAnsi="Calibri"/>
                <w:b w:val="0"/>
                <w:sz w:val="19"/>
              </w:rPr>
              <w:t>P/B-anchored; P/E &amp; EV/EBITDA floor</w:t>
            </w:r>
          </w:p>
        </w:tc>
        <w:tc>
          <w:tcPr>
            <w:tcW w:type="dxa" w:w="2160"/>
          </w:tcPr>
          <w:p>
            <w:pPr>
              <w:jc w:val="center"/>
            </w:pPr>
            <w:r/>
            <w:r>
              <w:rPr>
                <w:rFonts w:ascii="Calibri" w:hAnsi="Calibri"/>
                <w:b w:val="0"/>
                <w:sz w:val="19"/>
              </w:rPr>
              <w:t>EGP 6.01</w:t>
            </w:r>
          </w:p>
        </w:tc>
        <w:tc>
          <w:tcPr>
            <w:tcW w:type="dxa" w:w="2160"/>
          </w:tcPr>
          <w:p>
            <w:pPr>
              <w:jc w:val="center"/>
            </w:pPr>
            <w:r/>
            <w:r>
              <w:rPr>
                <w:rFonts w:ascii="Calibri" w:hAnsi="Calibri"/>
                <w:b w:val="0"/>
                <w:sz w:val="19"/>
              </w:rPr>
              <w:t>-27% · the floor</w:t>
            </w:r>
          </w:p>
        </w:tc>
      </w:tr>
      <w:tr>
        <w:tc>
          <w:tcPr>
            <w:tcW w:type="dxa" w:w="2880"/>
            <w:shd w:val="clear" w:fill="F1E6C8"/>
          </w:tcPr>
          <w:p>
            <w:r/>
            <w:r>
              <w:rPr>
                <w:rFonts w:ascii="Calibri" w:hAnsi="Calibri"/>
                <w:b/>
                <w:sz w:val="19"/>
              </w:rPr>
              <w:t>Property-cycle earnings</w:t>
            </w:r>
          </w:p>
        </w:tc>
        <w:tc>
          <w:tcPr>
            <w:tcW w:type="dxa" w:w="3312"/>
            <w:shd w:val="clear" w:fill="F1E6C8"/>
          </w:tcPr>
          <w:p>
            <w:pPr>
              <w:jc w:val="center"/>
            </w:pPr>
            <w:r/>
            <w:r>
              <w:rPr>
                <w:rFonts w:ascii="Calibri" w:hAnsi="Calibri"/>
                <w:b/>
                <w:sz w:val="19"/>
              </w:rPr>
              <w:t>Mid-cycle attributable earnings power</w:t>
            </w:r>
          </w:p>
        </w:tc>
        <w:tc>
          <w:tcPr>
            <w:tcW w:type="dxa" w:w="2160"/>
            <w:shd w:val="clear" w:fill="F1E6C8"/>
          </w:tcPr>
          <w:p>
            <w:pPr>
              <w:jc w:val="center"/>
            </w:pPr>
            <w:r/>
            <w:r>
              <w:rPr>
                <w:rFonts w:ascii="Calibri" w:hAnsi="Calibri"/>
                <w:b/>
                <w:sz w:val="19"/>
              </w:rPr>
              <w:t>EGP 9.20</w:t>
            </w:r>
          </w:p>
        </w:tc>
        <w:tc>
          <w:tcPr>
            <w:tcW w:type="dxa" w:w="2160"/>
            <w:shd w:val="clear" w:fill="F1E6C8"/>
          </w:tcPr>
          <w:p>
            <w:pPr>
              <w:jc w:val="center"/>
            </w:pPr>
            <w:r/>
            <w:r>
              <w:rPr>
                <w:rFonts w:ascii="Calibri" w:hAnsi="Calibri"/>
                <w:b/>
                <w:sz w:val="19"/>
              </w:rPr>
              <w:t>+11% · the ceiling</w:t>
            </w:r>
          </w:p>
        </w:tc>
      </w:tr>
      <w:tr>
        <w:tc>
          <w:tcPr>
            <w:tcW w:type="dxa" w:w="2880"/>
          </w:tcPr>
          <w:p>
            <w:r/>
            <w:r>
              <w:rPr>
                <w:rFonts w:ascii="Calibri" w:hAnsi="Calibri"/>
                <w:b w:val="0"/>
                <w:sz w:val="19"/>
              </w:rPr>
              <w:t>Weighted central</w:t>
            </w:r>
          </w:p>
        </w:tc>
        <w:tc>
          <w:tcPr>
            <w:tcW w:type="dxa" w:w="3312"/>
          </w:tcPr>
          <w:p>
            <w:pPr>
              <w:jc w:val="center"/>
            </w:pPr>
            <w:r/>
            <w:r>
              <w:rPr>
                <w:rFonts w:ascii="Calibri" w:hAnsi="Calibri"/>
                <w:b w:val="0"/>
                <w:sz w:val="19"/>
              </w:rPr>
              <w:t>Blend 40 / 20 / 15 / 25</w:t>
            </w:r>
          </w:p>
        </w:tc>
        <w:tc>
          <w:tcPr>
            <w:tcW w:type="dxa" w:w="2160"/>
          </w:tcPr>
          <w:p>
            <w:pPr>
              <w:jc w:val="center"/>
            </w:pPr>
            <w:r/>
            <w:r>
              <w:rPr>
                <w:rFonts w:ascii="Calibri" w:hAnsi="Calibri"/>
                <w:b w:val="0"/>
                <w:sz w:val="19"/>
              </w:rPr>
              <w:t>EGP 8.23</w:t>
            </w:r>
          </w:p>
        </w:tc>
        <w:tc>
          <w:tcPr>
            <w:tcW w:type="dxa" w:w="2160"/>
          </w:tcPr>
          <w:p>
            <w:pPr>
              <w:jc w:val="center"/>
            </w:pPr>
            <w:r/>
            <w:r>
              <w:rPr>
                <w:rFonts w:ascii="Calibri" w:hAnsi="Calibri"/>
                <w:b w:val="0"/>
                <w:sz w:val="19"/>
              </w:rPr>
              <w:t>-1% vs EGP 8.28</w:t>
            </w:r>
          </w:p>
        </w:tc>
      </w:tr>
      <w:tr>
        <w:tc>
          <w:tcPr>
            <w:tcW w:type="dxa" w:w="2160"/>
            <w:gridSpan w:val="4"/>
            <w:shd w:val="clear" w:fill="E7EDEC"/>
          </w:tcPr>
          <w:p>
            <w:r/>
            <w:r>
              <w:rPr>
                <w:rFonts w:ascii="Calibri" w:hAnsi="Calibri"/>
                <w:b/>
                <w:sz w:val="19"/>
              </w:rPr>
              <w:t>TECHNICAL — what the tape is doing (timing, not value)</w:t>
            </w:r>
          </w:p>
        </w:tc>
      </w:tr>
      <w:tr>
        <w:tc>
          <w:tcPr>
            <w:tcW w:type="dxa" w:w="2880"/>
          </w:tcPr>
          <w:p>
            <w:r/>
            <w:r>
              <w:rPr>
                <w:rFonts w:ascii="Calibri" w:hAnsi="Calibri"/>
                <w:b w:val="0"/>
                <w:sz w:val="19"/>
              </w:rPr>
              <w:t>Trend &amp; momentum</w:t>
            </w:r>
          </w:p>
        </w:tc>
        <w:tc>
          <w:tcPr>
            <w:tcW w:type="dxa" w:w="3312"/>
          </w:tcPr>
          <w:p>
            <w:pPr>
              <w:jc w:val="center"/>
            </w:pPr>
            <w:r/>
            <w:r>
              <w:rPr>
                <w:rFonts w:ascii="Calibri" w:hAnsi="Calibri"/>
                <w:b w:val="0"/>
                <w:sz w:val="19"/>
              </w:rPr>
              <w:t>Price vs the 20/50/100/200-day averages</w:t>
            </w:r>
          </w:p>
        </w:tc>
        <w:tc>
          <w:tcPr>
            <w:tcW w:type="dxa" w:w="2160"/>
          </w:tcPr>
          <w:p>
            <w:pPr>
              <w:jc w:val="center"/>
            </w:pPr>
            <w:r/>
            <w:r>
              <w:rPr>
                <w:rFonts w:ascii="Calibri" w:hAnsi="Calibri"/>
                <w:b w:val="0"/>
                <w:sz w:val="19"/>
              </w:rPr>
              <w:t>Above all four</w:t>
            </w:r>
          </w:p>
        </w:tc>
        <w:tc>
          <w:tcPr>
            <w:tcW w:type="dxa" w:w="2160"/>
          </w:tcPr>
          <w:p>
            <w:pPr>
              <w:jc w:val="center"/>
            </w:pPr>
            <w:r/>
            <w:r>
              <w:rPr>
                <w:rFonts w:ascii="Calibri" w:hAnsi="Calibri"/>
                <w:b w:val="0"/>
                <w:sz w:val="19"/>
              </w:rPr>
              <w:t>Strong uptrend</w:t>
            </w:r>
          </w:p>
        </w:tc>
      </w:tr>
      <w:tr>
        <w:tc>
          <w:tcPr>
            <w:tcW w:type="dxa" w:w="2880"/>
          </w:tcPr>
          <w:p>
            <w:r/>
            <w:r>
              <w:rPr>
                <w:rFonts w:ascii="Calibri" w:hAnsi="Calibri"/>
                <w:b w:val="0"/>
                <w:sz w:val="19"/>
              </w:rPr>
              <w:t>Momentum / range</w:t>
            </w:r>
          </w:p>
        </w:tc>
        <w:tc>
          <w:tcPr>
            <w:tcW w:type="dxa" w:w="3312"/>
          </w:tcPr>
          <w:p>
            <w:pPr>
              <w:jc w:val="center"/>
            </w:pPr>
            <w:r/>
            <w:r>
              <w:rPr>
                <w:rFonts w:ascii="Calibri" w:hAnsi="Calibri"/>
                <w:b w:val="0"/>
                <w:sz w:val="19"/>
              </w:rPr>
              <w:t>RSI · MACD · 52-week range</w:t>
            </w:r>
          </w:p>
        </w:tc>
        <w:tc>
          <w:tcPr>
            <w:tcW w:type="dxa" w:w="2160"/>
          </w:tcPr>
          <w:p>
            <w:pPr>
              <w:jc w:val="center"/>
            </w:pPr>
            <w:r/>
            <w:r>
              <w:rPr>
                <w:rFonts w:ascii="Calibri" w:hAnsi="Calibri"/>
                <w:b w:val="0"/>
                <w:sz w:val="19"/>
              </w:rPr>
              <w:t>RSI 70 · MACD +0.50 · 3.08–8.75</w:t>
            </w:r>
          </w:p>
        </w:tc>
        <w:tc>
          <w:tcPr>
            <w:tcW w:type="dxa" w:w="2160"/>
          </w:tcPr>
          <w:p>
            <w:pPr>
              <w:jc w:val="center"/>
            </w:pPr>
            <w:r/>
            <w:r>
              <w:rPr>
                <w:rFonts w:ascii="Calibri" w:hAnsi="Calibri"/>
                <w:b w:val="0"/>
                <w:sz w:val="19"/>
              </w:rPr>
              <w:t>Stretched up</w:t>
            </w:r>
          </w:p>
        </w:tc>
      </w:tr>
      <w:tr>
        <w:tc>
          <w:tcPr>
            <w:tcW w:type="dxa" w:w="2160"/>
            <w:gridSpan w:val="4"/>
            <w:shd w:val="clear" w:fill="E7EDEC"/>
          </w:tcPr>
          <w:p>
            <w:r/>
            <w:r>
              <w:rPr>
                <w:rFonts w:ascii="Calibri" w:hAnsi="Calibri"/>
                <w:b/>
                <w:sz w:val="19"/>
              </w:rPr>
              <w:t>MONTE CARLO — where price could go in 3 months (illustrative; Step 0 marginal)</w:t>
            </w:r>
          </w:p>
        </w:tc>
      </w:tr>
      <w:tr>
        <w:tc>
          <w:tcPr>
            <w:tcW w:type="dxa" w:w="2880"/>
          </w:tcPr>
          <w:p>
            <w:r/>
            <w:r>
              <w:rPr>
                <w:rFonts w:ascii="Calibri" w:hAnsi="Calibri"/>
                <w:b w:val="0"/>
                <w:sz w:val="19"/>
              </w:rPr>
              <w:t>T+20 sessions</w:t>
            </w:r>
          </w:p>
        </w:tc>
        <w:tc>
          <w:tcPr>
            <w:tcW w:type="dxa" w:w="3312"/>
          </w:tcPr>
          <w:p>
            <w:pPr>
              <w:jc w:val="center"/>
            </w:pPr>
            <w:r/>
            <w:r>
              <w:rPr>
                <w:rFonts w:ascii="Calibri" w:hAnsi="Calibri"/>
                <w:b w:val="0"/>
                <w:sz w:val="19"/>
              </w:rPr>
              <w:t>50,000 paths · 16 factors</w:t>
            </w:r>
          </w:p>
        </w:tc>
        <w:tc>
          <w:tcPr>
            <w:tcW w:type="dxa" w:w="2160"/>
          </w:tcPr>
          <w:p>
            <w:pPr>
              <w:jc w:val="center"/>
            </w:pPr>
            <w:r/>
            <w:r>
              <w:rPr>
                <w:rFonts w:ascii="Calibri" w:hAnsi="Calibri"/>
                <w:b w:val="0"/>
                <w:sz w:val="19"/>
              </w:rPr>
              <w:t>p5 6.63 · p50 8.45 · p95 10.68</w:t>
            </w:r>
          </w:p>
        </w:tc>
        <w:tc>
          <w:tcPr>
            <w:tcW w:type="dxa" w:w="2160"/>
          </w:tcPr>
          <w:p>
            <w:pPr>
              <w:jc w:val="center"/>
            </w:pPr>
            <w:r/>
            <w:r>
              <w:rPr>
                <w:rFonts w:ascii="Calibri" w:hAnsi="Calibri"/>
                <w:b w:val="0"/>
                <w:sz w:val="19"/>
              </w:rPr>
              <w:t>Median ≈ spot+</w:t>
            </w:r>
          </w:p>
        </w:tc>
      </w:tr>
      <w:tr>
        <w:tc>
          <w:tcPr>
            <w:tcW w:type="dxa" w:w="2880"/>
          </w:tcPr>
          <w:p>
            <w:r/>
            <w:r>
              <w:rPr>
                <w:rFonts w:ascii="Calibri" w:hAnsi="Calibri"/>
                <w:b w:val="0"/>
                <w:sz w:val="19"/>
              </w:rPr>
              <w:t>T+60 sessions</w:t>
            </w:r>
          </w:p>
        </w:tc>
        <w:tc>
          <w:tcPr>
            <w:tcW w:type="dxa" w:w="3312"/>
          </w:tcPr>
          <w:p>
            <w:pPr>
              <w:jc w:val="center"/>
            </w:pPr>
            <w:r/>
            <w:r>
              <w:rPr>
                <w:rFonts w:ascii="Calibri" w:hAnsi="Calibri"/>
                <w:b w:val="0"/>
                <w:sz w:val="19"/>
              </w:rPr>
              <w:t>same engine, longer horizon</w:t>
            </w:r>
          </w:p>
        </w:tc>
        <w:tc>
          <w:tcPr>
            <w:tcW w:type="dxa" w:w="2160"/>
          </w:tcPr>
          <w:p>
            <w:pPr>
              <w:jc w:val="center"/>
            </w:pPr>
            <w:r/>
            <w:r>
              <w:rPr>
                <w:rFonts w:ascii="Calibri" w:hAnsi="Calibri"/>
                <w:b w:val="0"/>
                <w:sz w:val="19"/>
              </w:rPr>
              <w:t>p5 5.86 · p50 8.81 · p95 13.17</w:t>
            </w:r>
          </w:p>
        </w:tc>
        <w:tc>
          <w:tcPr>
            <w:tcW w:type="dxa" w:w="2160"/>
          </w:tcPr>
          <w:p>
            <w:pPr>
              <w:jc w:val="center"/>
            </w:pPr>
            <w:r/>
            <w:r>
              <w:rPr>
                <w:rFonts w:ascii="Calibri" w:hAnsi="Calibri"/>
                <w:b w:val="0"/>
                <w:sz w:val="19"/>
              </w:rPr>
              <w:t>Wide, right-skewed</w:t>
            </w:r>
          </w:p>
        </w:tc>
      </w:tr>
      <w:tr>
        <w:tc>
          <w:tcPr>
            <w:tcW w:type="dxa" w:w="2160"/>
            <w:gridSpan w:val="4"/>
            <w:shd w:val="clear" w:fill="E7EDEC"/>
          </w:tcPr>
          <w:p>
            <w:r/>
            <w:r>
              <w:rPr>
                <w:rFonts w:ascii="Calibri" w:hAnsi="Calibri"/>
                <w:b/>
                <w:sz w:val="19"/>
              </w:rPr>
              <w:t>EXPERT PANEL — three independent methods (Appendix D)</w:t>
            </w:r>
          </w:p>
        </w:tc>
      </w:tr>
      <w:tr>
        <w:tc>
          <w:tcPr>
            <w:tcW w:type="dxa" w:w="2880"/>
          </w:tcPr>
          <w:p>
            <w:r/>
            <w:r>
              <w:rPr>
                <w:rFonts w:ascii="Calibri" w:hAnsi="Calibri"/>
                <w:b w:val="0"/>
                <w:sz w:val="19"/>
              </w:rPr>
              <w:t>Expert 1 — RNAV &amp; realizable value</w:t>
            </w:r>
          </w:p>
        </w:tc>
        <w:tc>
          <w:tcPr>
            <w:tcW w:type="dxa" w:w="3312"/>
          </w:tcPr>
          <w:p>
            <w:pPr>
              <w:jc w:val="center"/>
            </w:pPr>
            <w:r/>
            <w:r>
              <w:rPr>
                <w:rFonts w:ascii="Calibri" w:hAnsi="Calibri"/>
                <w:b w:val="0"/>
                <w:sz w:val="19"/>
              </w:rPr>
              <w:t>Conservative marks + cash-conversion</w:t>
            </w:r>
          </w:p>
        </w:tc>
        <w:tc>
          <w:tcPr>
            <w:tcW w:type="dxa" w:w="2160"/>
          </w:tcPr>
          <w:p>
            <w:pPr>
              <w:jc w:val="center"/>
            </w:pPr>
            <w:r/>
            <w:r>
              <w:rPr>
                <w:rFonts w:ascii="Calibri" w:hAnsi="Calibri"/>
                <w:b w:val="0"/>
                <w:sz w:val="19"/>
              </w:rPr>
              <w:t>EGP 7.8</w:t>
            </w:r>
          </w:p>
        </w:tc>
        <w:tc>
          <w:tcPr>
            <w:tcW w:type="dxa" w:w="2160"/>
          </w:tcPr>
          <w:p>
            <w:pPr>
              <w:jc w:val="center"/>
            </w:pPr>
            <w:r/>
            <w:r>
              <w:rPr>
                <w:rFonts w:ascii="Calibri" w:hAnsi="Calibri"/>
                <w:b w:val="0"/>
                <w:sz w:val="19"/>
              </w:rPr>
              <w:t>The anchor</w:t>
            </w:r>
          </w:p>
        </w:tc>
      </w:tr>
      <w:tr>
        <w:tc>
          <w:tcPr>
            <w:tcW w:type="dxa" w:w="2880"/>
          </w:tcPr>
          <w:p>
            <w:r/>
            <w:r>
              <w:rPr>
                <w:rFonts w:ascii="Calibri" w:hAnsi="Calibri"/>
                <w:b w:val="0"/>
                <w:sz w:val="19"/>
              </w:rPr>
              <w:t>Expert 2 — absorption / sales velocity</w:t>
            </w:r>
          </w:p>
        </w:tc>
        <w:tc>
          <w:tcPr>
            <w:tcW w:type="dxa" w:w="3312"/>
          </w:tcPr>
          <w:p>
            <w:pPr>
              <w:jc w:val="center"/>
            </w:pPr>
            <w:r/>
            <w:r>
              <w:rPr>
                <w:rFonts w:ascii="Calibri" w:hAnsi="Calibri"/>
                <w:b w:val="0"/>
                <w:sz w:val="19"/>
              </w:rPr>
              <w:t>Order-book converted to cash</w:t>
            </w:r>
          </w:p>
        </w:tc>
        <w:tc>
          <w:tcPr>
            <w:tcW w:type="dxa" w:w="2160"/>
          </w:tcPr>
          <w:p>
            <w:pPr>
              <w:jc w:val="center"/>
            </w:pPr>
            <w:r/>
            <w:r>
              <w:rPr>
                <w:rFonts w:ascii="Calibri" w:hAnsi="Calibri"/>
                <w:b w:val="0"/>
                <w:sz w:val="19"/>
              </w:rPr>
              <w:t>EGP 9.4</w:t>
            </w:r>
          </w:p>
        </w:tc>
        <w:tc>
          <w:tcPr>
            <w:tcW w:type="dxa" w:w="2160"/>
          </w:tcPr>
          <w:p>
            <w:pPr>
              <w:jc w:val="center"/>
            </w:pPr>
            <w:r/>
            <w:r>
              <w:rPr>
                <w:rFonts w:ascii="Calibri" w:hAnsi="Calibri"/>
                <w:b w:val="0"/>
                <w:sz w:val="19"/>
              </w:rPr>
              <w:t>Most bullish</w:t>
            </w:r>
          </w:p>
        </w:tc>
      </w:tr>
      <w:tr>
        <w:tc>
          <w:tcPr>
            <w:tcW w:type="dxa" w:w="2880"/>
          </w:tcPr>
          <w:p>
            <w:r/>
            <w:r>
              <w:rPr>
                <w:rFonts w:ascii="Calibri" w:hAnsi="Calibri"/>
                <w:b w:val="0"/>
                <w:sz w:val="19"/>
              </w:rPr>
              <w:t>Expert 3 — macro-policy scenarios</w:t>
            </w:r>
          </w:p>
        </w:tc>
        <w:tc>
          <w:tcPr>
            <w:tcW w:type="dxa" w:w="3312"/>
          </w:tcPr>
          <w:p>
            <w:pPr>
              <w:jc w:val="center"/>
            </w:pPr>
            <w:r/>
            <w:r>
              <w:rPr>
                <w:rFonts w:ascii="Calibri" w:hAnsi="Calibri"/>
                <w:b w:val="0"/>
                <w:sz w:val="19"/>
              </w:rPr>
              <w:t>Rates, EGP, mortgage, Gulf flows</w:t>
            </w:r>
          </w:p>
        </w:tc>
        <w:tc>
          <w:tcPr>
            <w:tcW w:type="dxa" w:w="2160"/>
          </w:tcPr>
          <w:p>
            <w:pPr>
              <w:jc w:val="center"/>
            </w:pPr>
            <w:r/>
            <w:r>
              <w:rPr>
                <w:rFonts w:ascii="Calibri" w:hAnsi="Calibri"/>
                <w:b w:val="0"/>
                <w:sz w:val="19"/>
              </w:rPr>
              <w:t>EGP 8.2</w:t>
            </w:r>
          </w:p>
        </w:tc>
        <w:tc>
          <w:tcPr>
            <w:tcW w:type="dxa" w:w="2160"/>
          </w:tcPr>
          <w:p>
            <w:pPr>
              <w:jc w:val="center"/>
            </w:pPr>
            <w:r/>
            <w:r>
              <w:rPr>
                <w:rFonts w:ascii="Calibri" w:hAnsi="Calibri"/>
                <w:b w:val="0"/>
                <w:sz w:val="19"/>
              </w:rPr>
              <w:t>Middle</w:t>
            </w:r>
          </w:p>
        </w:tc>
      </w:tr>
      <w:tr>
        <w:tc>
          <w:tcPr>
            <w:tcW w:type="dxa" w:w="2880"/>
          </w:tcPr>
          <w:p>
            <w:r/>
            <w:r>
              <w:rPr>
                <w:rFonts w:ascii="Calibri" w:hAnsi="Calibri"/>
                <w:b w:val="0"/>
                <w:sz w:val="19"/>
              </w:rPr>
              <w:t>Panel range</w:t>
            </w:r>
          </w:p>
        </w:tc>
        <w:tc>
          <w:tcPr>
            <w:tcW w:type="dxa" w:w="3312"/>
          </w:tcPr>
          <w:p>
            <w:pPr>
              <w:jc w:val="center"/>
            </w:pPr>
            <w:r/>
            <w:r>
              <w:rPr>
                <w:rFonts w:ascii="Calibri" w:hAnsi="Calibri"/>
                <w:b w:val="0"/>
                <w:sz w:val="19"/>
              </w:rPr>
              <w:t>Spread = land + discount question</w:t>
            </w:r>
          </w:p>
        </w:tc>
        <w:tc>
          <w:tcPr>
            <w:tcW w:type="dxa" w:w="2160"/>
          </w:tcPr>
          <w:p>
            <w:pPr>
              <w:jc w:val="center"/>
            </w:pPr>
            <w:r/>
            <w:r>
              <w:rPr>
                <w:rFonts w:ascii="Calibri" w:hAnsi="Calibri"/>
                <w:b w:val="0"/>
                <w:sz w:val="19"/>
              </w:rPr>
              <w:t>EGP 7.8–9.4</w:t>
            </w:r>
          </w:p>
        </w:tc>
        <w:tc>
          <w:tcPr>
            <w:tcW w:type="dxa" w:w="2160"/>
          </w:tcPr>
          <w:p>
            <w:pPr>
              <w:jc w:val="center"/>
            </w:pPr>
            <w:r/>
            <w:r>
              <w:rPr>
                <w:rFonts w:ascii="Calibri" w:hAnsi="Calibri"/>
                <w:b w:val="0"/>
                <w:sz w:val="19"/>
              </w:rPr>
              <w:t>Centres ~EGP 8.5</w:t>
            </w:r>
          </w:p>
        </w:tc>
      </w:tr>
    </w:tbl>
    <w:p/>
    <w:p>
      <w:r>
        <w:rPr>
          <w:rFonts w:ascii="Calibri" w:hAnsi="Calibri"/>
          <w:b/>
          <w:i w:val="0"/>
          <w:sz w:val="21"/>
        </w:rPr>
        <w:t xml:space="preserve">Bottom line. </w:t>
      </w:r>
      <w:r>
        <w:rPr>
          <w:rFonts w:ascii="Calibri" w:hAnsi="Calibri"/>
          <w:b w:val="0"/>
          <w:i w:val="0"/>
          <w:sz w:val="21"/>
        </w:rPr>
        <w:t>Every read points the same way on value and disagrees only on magnitude. The fundamental central sits at EGP 8.23 — essentially on the EGP 8.28 spot — the three experts span EGP 7.8–9.4, and each one turns on the same pair of questions: what the development land bank is really worth, and how wide a discount the holdco-and-minority structure deserves. The technical tape is the lone dissenter in the other direction — strong and overbought after the surge — which is why the three-month distribution centres a little above spot with a wide band rather than snapping back.</w:t>
      </w:r>
    </w:p>
    <w:p>
      <w:r>
        <w:rPr>
          <w:rFonts w:ascii="Calibri" w:hAnsi="Calibri"/>
          <w:b/>
          <w:color w:val="1B5E5E"/>
          <w:sz w:val="30"/>
        </w:rPr>
        <w:t>Company overview — Pioneers Properties at a glance</w:t>
      </w:r>
    </w:p>
    <w:tbl>
      <w:tblPr>
        <w:tblStyle w:val="TableGrid"/>
        <w:tblW w:type="auto" w:w="0"/>
        <w:jc w:val="center"/>
        <w:tblLook w:firstColumn="1" w:firstRow="1" w:lastColumn="0" w:lastRow="0" w:noHBand="0" w:noVBand="1" w:val="04A0"/>
      </w:tblPr>
      <w:tblGrid>
        <w:gridCol w:w="4968"/>
        <w:gridCol w:w="4968"/>
      </w:tblGrid>
      <w:tr>
        <w:tc>
          <w:tcPr>
            <w:tcW w:type="dxa" w:w="2736"/>
            <w:shd w:val="clear" w:fill="1B5E5E"/>
          </w:tcPr>
          <w:p>
            <w:pPr>
              <w:jc w:val="center"/>
            </w:pPr>
            <w:r/>
            <w:r>
              <w:rPr>
                <w:rFonts w:ascii="Calibri" w:hAnsi="Calibri"/>
                <w:b/>
                <w:color w:val="FFFFFF"/>
                <w:sz w:val="19"/>
              </w:rPr>
              <w:t>Item</w:t>
            </w:r>
          </w:p>
        </w:tc>
        <w:tc>
          <w:tcPr>
            <w:tcW w:type="dxa" w:w="6336"/>
            <w:shd w:val="clear" w:fill="1B5E5E"/>
          </w:tcPr>
          <w:p>
            <w:pPr>
              <w:jc w:val="center"/>
            </w:pPr>
            <w:r/>
            <w:r>
              <w:rPr>
                <w:rFonts w:ascii="Calibri" w:hAnsi="Calibri"/>
                <w:b/>
                <w:color w:val="FFFFFF"/>
                <w:sz w:val="19"/>
              </w:rPr>
              <w:t>Value</w:t>
            </w:r>
          </w:p>
        </w:tc>
      </w:tr>
      <w:tr>
        <w:tc>
          <w:tcPr>
            <w:tcW w:type="dxa" w:w="2736"/>
          </w:tcPr>
          <w:p>
            <w:r/>
            <w:r>
              <w:rPr>
                <w:rFonts w:ascii="Calibri" w:hAnsi="Calibri"/>
                <w:b w:val="0"/>
                <w:sz w:val="19"/>
              </w:rPr>
              <w:t>Listed entity</w:t>
            </w:r>
          </w:p>
        </w:tc>
        <w:tc>
          <w:tcPr>
            <w:tcW w:type="dxa" w:w="6336"/>
          </w:tcPr>
          <w:p>
            <w:pPr>
              <w:jc w:val="center"/>
            </w:pPr>
            <w:r/>
            <w:r>
              <w:rPr>
                <w:rFonts w:ascii="Calibri" w:hAnsi="Calibri"/>
                <w:b w:val="0"/>
                <w:sz w:val="19"/>
              </w:rPr>
              <w:t>Pioneers Properties for Urban Development — PRE Group (EGX: PRDC; ISIN EGS21FW1C015)</w:t>
            </w:r>
          </w:p>
        </w:tc>
      </w:tr>
      <w:tr>
        <w:tc>
          <w:tcPr>
            <w:tcW w:type="dxa" w:w="2736"/>
          </w:tcPr>
          <w:p>
            <w:r/>
            <w:r>
              <w:rPr>
                <w:rFonts w:ascii="Calibri" w:hAnsi="Calibri"/>
                <w:b w:val="0"/>
                <w:sz w:val="19"/>
              </w:rPr>
              <w:t>What it owns</w:t>
            </w:r>
          </w:p>
        </w:tc>
        <w:tc>
          <w:tcPr>
            <w:tcW w:type="dxa" w:w="6336"/>
          </w:tcPr>
          <w:p>
            <w:pPr>
              <w:jc w:val="center"/>
            </w:pPr>
            <w:r/>
            <w:r>
              <w:rPr>
                <w:rFonts w:ascii="Calibri" w:hAnsi="Calibri"/>
                <w:b w:val="0"/>
                <w:sz w:val="19"/>
              </w:rPr>
              <w:t>Real-estate development (IVOIRE, Second Home) · a large contracting arm · rental/leasing portfolio · El Kahera Housing (majority-owned, listed)</w:t>
            </w:r>
          </w:p>
        </w:tc>
      </w:tr>
      <w:tr>
        <w:tc>
          <w:tcPr>
            <w:tcW w:type="dxa" w:w="2736"/>
          </w:tcPr>
          <w:p>
            <w:r/>
            <w:r>
              <w:rPr>
                <w:rFonts w:ascii="Calibri" w:hAnsi="Calibri"/>
                <w:b w:val="0"/>
                <w:sz w:val="19"/>
              </w:rPr>
              <w:t>Spot / date</w:t>
            </w:r>
          </w:p>
        </w:tc>
        <w:tc>
          <w:tcPr>
            <w:tcW w:type="dxa" w:w="6336"/>
          </w:tcPr>
          <w:p>
            <w:pPr>
              <w:jc w:val="center"/>
            </w:pPr>
            <w:r/>
            <w:r>
              <w:rPr>
                <w:rFonts w:ascii="Calibri" w:hAnsi="Calibri"/>
                <w:b w:val="0"/>
                <w:sz w:val="19"/>
              </w:rPr>
              <w:t>EGP 8.28 · 6 Jul 2026 close</w:t>
            </w:r>
          </w:p>
        </w:tc>
      </w:tr>
      <w:tr>
        <w:tc>
          <w:tcPr>
            <w:tcW w:type="dxa" w:w="2736"/>
          </w:tcPr>
          <w:p>
            <w:r/>
            <w:r>
              <w:rPr>
                <w:rFonts w:ascii="Calibri" w:hAnsi="Calibri"/>
                <w:b w:val="0"/>
                <w:sz w:val="19"/>
              </w:rPr>
              <w:t>Shares · market cap</w:t>
            </w:r>
          </w:p>
        </w:tc>
        <w:tc>
          <w:tcPr>
            <w:tcW w:type="dxa" w:w="6336"/>
          </w:tcPr>
          <w:p>
            <w:pPr>
              <w:jc w:val="center"/>
            </w:pPr>
            <w:r/>
            <w:r>
              <w:rPr>
                <w:rFonts w:ascii="Calibri" w:hAnsi="Calibri"/>
                <w:b w:val="0"/>
                <w:sz w:val="19"/>
              </w:rPr>
              <w:t>1,047.2 mn · ~EGP 8.67 bn</w:t>
            </w:r>
          </w:p>
        </w:tc>
      </w:tr>
      <w:tr>
        <w:tc>
          <w:tcPr>
            <w:tcW w:type="dxa" w:w="2736"/>
          </w:tcPr>
          <w:p>
            <w:r/>
            <w:r>
              <w:rPr>
                <w:rFonts w:ascii="Calibri" w:hAnsi="Calibri"/>
                <w:b w:val="0"/>
                <w:sz w:val="19"/>
              </w:rPr>
              <w:t>FY25 revenue / consol. NPAT</w:t>
            </w:r>
          </w:p>
        </w:tc>
        <w:tc>
          <w:tcPr>
            <w:tcW w:type="dxa" w:w="6336"/>
          </w:tcPr>
          <w:p>
            <w:pPr>
              <w:jc w:val="center"/>
            </w:pPr>
            <w:r/>
            <w:r>
              <w:rPr>
                <w:rFonts w:ascii="Calibri" w:hAnsi="Calibri"/>
                <w:b w:val="0"/>
                <w:sz w:val="19"/>
              </w:rPr>
              <w:t>EGP ~6.40 bn · EGP ~0.67 bn (attributable lower after minority)</w:t>
            </w:r>
          </w:p>
        </w:tc>
      </w:tr>
      <w:tr>
        <w:tc>
          <w:tcPr>
            <w:tcW w:type="dxa" w:w="2736"/>
          </w:tcPr>
          <w:p>
            <w:r/>
            <w:r>
              <w:rPr>
                <w:rFonts w:ascii="Calibri" w:hAnsi="Calibri"/>
                <w:b w:val="0"/>
                <w:sz w:val="19"/>
              </w:rPr>
              <w:t>Revenue mix (H1-24)</w:t>
            </w:r>
          </w:p>
        </w:tc>
        <w:tc>
          <w:tcPr>
            <w:tcW w:type="dxa" w:w="6336"/>
          </w:tcPr>
          <w:p>
            <w:pPr>
              <w:jc w:val="center"/>
            </w:pPr>
            <w:r/>
            <w:r>
              <w:rPr>
                <w:rFonts w:ascii="Calibri" w:hAnsi="Calibri"/>
                <w:b w:val="0"/>
                <w:sz w:val="19"/>
              </w:rPr>
              <w:t>Contracting ~57% · real-estate sales ~37% · rental ~5% · retail ~1%</w:t>
            </w:r>
          </w:p>
        </w:tc>
      </w:tr>
      <w:tr>
        <w:tc>
          <w:tcPr>
            <w:tcW w:type="dxa" w:w="2736"/>
          </w:tcPr>
          <w:p>
            <w:r/>
            <w:r>
              <w:rPr>
                <w:rFonts w:ascii="Calibri" w:hAnsi="Calibri"/>
                <w:b w:val="0"/>
                <w:sz w:val="19"/>
              </w:rPr>
              <w:t>Contracted sales / backlog</w:t>
            </w:r>
          </w:p>
        </w:tc>
        <w:tc>
          <w:tcPr>
            <w:tcW w:type="dxa" w:w="6336"/>
          </w:tcPr>
          <w:p>
            <w:pPr>
              <w:jc w:val="center"/>
            </w:pPr>
            <w:r/>
            <w:r>
              <w:rPr>
                <w:rFonts w:ascii="Calibri" w:hAnsi="Calibri"/>
                <w:b w:val="0"/>
                <w:sz w:val="19"/>
              </w:rPr>
              <w:t>~EGP 27–30 bn p.a. contracted sales; contracting backlog ~EGP 7 bn</w:t>
            </w:r>
          </w:p>
        </w:tc>
      </w:tr>
      <w:tr>
        <w:tc>
          <w:tcPr>
            <w:tcW w:type="dxa" w:w="2736"/>
          </w:tcPr>
          <w:p>
            <w:r/>
            <w:r>
              <w:rPr>
                <w:rFonts w:ascii="Calibri" w:hAnsi="Calibri"/>
                <w:b w:val="0"/>
                <w:sz w:val="19"/>
              </w:rPr>
              <w:t>Total assets · equity (attr.)</w:t>
            </w:r>
          </w:p>
        </w:tc>
        <w:tc>
          <w:tcPr>
            <w:tcW w:type="dxa" w:w="6336"/>
          </w:tcPr>
          <w:p>
            <w:pPr>
              <w:jc w:val="center"/>
            </w:pPr>
            <w:r/>
            <w:r>
              <w:rPr>
                <w:rFonts w:ascii="Calibri" w:hAnsi="Calibri"/>
                <w:b w:val="0"/>
                <w:sz w:val="19"/>
              </w:rPr>
              <w:t>~EGP 54 bn · ~EGP 13.5 bn (H1-24 disclosure)</w:t>
            </w:r>
          </w:p>
        </w:tc>
      </w:tr>
      <w:tr>
        <w:tc>
          <w:tcPr>
            <w:tcW w:type="dxa" w:w="2736"/>
          </w:tcPr>
          <w:p>
            <w:r/>
            <w:r>
              <w:rPr>
                <w:rFonts w:ascii="Calibri" w:hAnsi="Calibri"/>
                <w:b w:val="0"/>
                <w:sz w:val="19"/>
              </w:rPr>
              <w:t>Land bank</w:t>
            </w:r>
          </w:p>
        </w:tc>
        <w:tc>
          <w:tcPr>
            <w:tcW w:type="dxa" w:w="6336"/>
          </w:tcPr>
          <w:p>
            <w:pPr>
              <w:jc w:val="center"/>
            </w:pPr>
            <w:r/>
            <w:r>
              <w:rPr>
                <w:rFonts w:ascii="Calibri" w:hAnsi="Calibri"/>
                <w:b w:val="0"/>
                <w:sz w:val="19"/>
              </w:rPr>
              <w:t>~545 acres (de jure) / ~833 acres (control basis), largely Greater Cairo</w:t>
            </w:r>
          </w:p>
        </w:tc>
      </w:tr>
      <w:tr>
        <w:tc>
          <w:tcPr>
            <w:tcW w:type="dxa" w:w="2736"/>
          </w:tcPr>
          <w:p>
            <w:r/>
            <w:r>
              <w:rPr>
                <w:rFonts w:ascii="Calibri" w:hAnsi="Calibri"/>
                <w:b w:val="0"/>
                <w:sz w:val="19"/>
              </w:rPr>
              <w:t>Key shareholders</w:t>
            </w:r>
          </w:p>
        </w:tc>
        <w:tc>
          <w:tcPr>
            <w:tcW w:type="dxa" w:w="6336"/>
          </w:tcPr>
          <w:p>
            <w:pPr>
              <w:jc w:val="center"/>
            </w:pPr>
            <w:r/>
            <w:r>
              <w:rPr>
                <w:rFonts w:ascii="Calibri" w:hAnsi="Calibri"/>
                <w:b w:val="0"/>
                <w:sz w:val="19"/>
              </w:rPr>
              <w:t>Zaki family ~28% (CEO Waleed Zaki) · Al-Muhaidib (KSA) ~14% · Kuwait &amp; Norway SWFs ~4% / ~2.5%</w:t>
            </w:r>
          </w:p>
        </w:tc>
      </w:tr>
      <w:tr>
        <w:tc>
          <w:tcPr>
            <w:tcW w:type="dxa" w:w="2736"/>
          </w:tcPr>
          <w:p>
            <w:r/>
            <w:r>
              <w:rPr>
                <w:rFonts w:ascii="Calibri" w:hAnsi="Calibri"/>
                <w:b w:val="0"/>
                <w:sz w:val="19"/>
              </w:rPr>
              <w:t>Corporate event</w:t>
            </w:r>
          </w:p>
        </w:tc>
        <w:tc>
          <w:tcPr>
            <w:tcW w:type="dxa" w:w="6336"/>
          </w:tcPr>
          <w:p>
            <w:pPr>
              <w:jc w:val="center"/>
            </w:pPr>
            <w:r/>
            <w:r>
              <w:rPr>
                <w:rFonts w:ascii="Calibri" w:hAnsi="Calibri"/>
                <w:b w:val="0"/>
                <w:sz w:val="19"/>
              </w:rPr>
              <w:t>Demerged from Pioneers Holding; listed on EGX 11 Oct 2021</w:t>
            </w:r>
          </w:p>
        </w:tc>
      </w:tr>
      <w:tr>
        <w:tc>
          <w:tcPr>
            <w:tcW w:type="dxa" w:w="2736"/>
          </w:tcPr>
          <w:p>
            <w:r/>
            <w:r>
              <w:rPr>
                <w:rFonts w:ascii="Calibri" w:hAnsi="Calibri"/>
                <w:b w:val="0"/>
                <w:sz w:val="19"/>
              </w:rPr>
              <w:t>Dividend</w:t>
            </w:r>
          </w:p>
        </w:tc>
        <w:tc>
          <w:tcPr>
            <w:tcW w:type="dxa" w:w="6336"/>
          </w:tcPr>
          <w:p>
            <w:pPr>
              <w:jc w:val="center"/>
            </w:pPr>
            <w:r/>
            <w:r>
              <w:rPr>
                <w:rFonts w:ascii="Calibri" w:hAnsi="Calibri"/>
                <w:b w:val="0"/>
                <w:sz w:val="19"/>
              </w:rPr>
              <w:t>None declared to date</w:t>
            </w:r>
          </w:p>
        </w:tc>
      </w:tr>
    </w:tbl>
    <w:p>
      <w:r>
        <w:rPr>
          <w:rFonts w:ascii="Calibri" w:hAnsi="Calibri"/>
          <w:b w:val="0"/>
          <w:i/>
          <w:sz w:val="17"/>
        </w:rPr>
        <w:t>Source: EGX filings, company press releases (H1-2024, FY2024, 9M-2025), and exchange data. Values rounded; several splits are house estimates flagged in the model.</w:t>
      </w:r>
    </w:p>
    <w:p/>
    <w:p>
      <w:r>
        <w:rPr>
          <w:rFonts w:ascii="Calibri" w:hAnsi="Calibri"/>
          <w:b/>
          <w:color w:val="1B5E5E"/>
          <w:sz w:val="30"/>
        </w:rPr>
        <w:t>1  Fundamental valuation</w:t>
      </w:r>
    </w:p>
    <w:p>
      <w:r>
        <w:rPr>
          <w:rFonts w:ascii="Calibri" w:hAnsi="Calibri"/>
          <w:b w:val="0"/>
          <w:i w:val="0"/>
          <w:sz w:val="21"/>
        </w:rPr>
        <w:t xml:space="preserve">We value PRDC as a holding company that consolidates several quite different real-estate businesses, and triangulate four lenses. The primary lens is a </w:t>
      </w:r>
      <w:r>
        <w:rPr>
          <w:rFonts w:ascii="Calibri" w:hAnsi="Calibri"/>
          <w:b/>
          <w:i w:val="0"/>
          <w:sz w:val="21"/>
        </w:rPr>
        <w:t>split-leg sum-of-the-parts (SOTP / RNAV)</w:t>
      </w:r>
      <w:r>
        <w:rPr>
          <w:rFonts w:ascii="Calibri" w:hAnsi="Calibri"/>
          <w:b w:val="0"/>
          <w:i w:val="0"/>
          <w:sz w:val="21"/>
        </w:rPr>
        <w:t xml:space="preserve"> because the parts run on different economics — a finite development pipeline that books profit as units are sold and handed over, a lower-margin going-concern contracting arm, a small recurring rental portfolio, and a majority-owned listed subsidiary whose minority is other people's money — and a single group multiple would blur them. Crucially, under the house split-NAV rule the </w:t>
      </w:r>
      <w:r>
        <w:rPr>
          <w:rFonts w:ascii="Calibri" w:hAnsi="Calibri"/>
          <w:b/>
          <w:i w:val="0"/>
          <w:sz w:val="21"/>
        </w:rPr>
        <w:t>development legs carry no terminal value</w:t>
      </w:r>
      <w:r>
        <w:rPr>
          <w:rFonts w:ascii="Calibri" w:hAnsi="Calibri"/>
          <w:b w:val="0"/>
          <w:i w:val="0"/>
          <w:sz w:val="21"/>
        </w:rPr>
        <w:t xml:space="preserve"> (they are finite, sold over roughly a decade), while only the recurring leg receives a perpetual cap-rate treatment. A consolidated DCF, a relative-multiple cross-check and a property-cycle read (which replaces 'normalized earnings power' for a developer, since each project is finite) complete the set. The weights and the football field are in §1.5; the swing factors — land value and the discount — are dissected in §1.7 and the sensitivity grid in §1.9.</w:t>
      </w:r>
    </w:p>
    <w:p>
      <w:r>
        <w:rPr>
          <w:rFonts w:ascii="Calibri" w:hAnsi="Calibri"/>
          <w:b/>
          <w:color w:val="1B5E5E"/>
          <w:sz w:val="24"/>
        </w:rPr>
        <w:t>1.1  Split-leg sum-of-the-parts / RNAV — the primary lens</w:t>
      </w:r>
    </w:p>
    <w:p>
      <w:r>
        <w:rPr>
          <w:rFonts w:ascii="Calibri" w:hAnsi="Calibri"/>
          <w:b w:val="0"/>
          <w:i w:val="0"/>
          <w:sz w:val="21"/>
        </w:rPr>
        <w:t>Each leg is marked on the basis that fits it. The development leg is an RNAV: the present value of the net development profit the current contracted-sales backlog and the launched/unlaunched pipeline will generate, with no terminal value. The contracting arm is a going concern, marked on normalised earnings and a contractor multiple. The rental/leasing portfolio is marked on its net operating income and a cap rate. From the summed asset value we deduct consolidated net debt and — because a large slice of the group sits in majority-owned subsidiaries — an explicit minority-interest line, then apply a holdco/complexity discount anchored to the stock's own history of trading below NAV.</w:t>
      </w:r>
    </w:p>
    <w:tbl>
      <w:tblPr>
        <w:tblStyle w:val="TableGrid"/>
        <w:tblW w:type="auto" w:w="0"/>
        <w:jc w:val="center"/>
        <w:tblLook w:firstColumn="1" w:firstRow="1" w:lastColumn="0" w:lastRow="0" w:noHBand="0" w:noVBand="1" w:val="04A0"/>
      </w:tblPr>
      <w:tblGrid>
        <w:gridCol w:w="3312"/>
        <w:gridCol w:w="3312"/>
        <w:gridCol w:w="3312"/>
      </w:tblGrid>
      <w:tr>
        <w:tc>
          <w:tcPr>
            <w:tcW w:type="dxa" w:w="4176"/>
            <w:shd w:val="clear" w:fill="1B5E5E"/>
          </w:tcPr>
          <w:p>
            <w:pPr>
              <w:jc w:val="center"/>
            </w:pPr>
            <w:r/>
            <w:r>
              <w:rPr>
                <w:rFonts w:ascii="Calibri" w:hAnsi="Calibri"/>
                <w:b/>
                <w:color w:val="FFFFFF"/>
                <w:sz w:val="19"/>
              </w:rPr>
              <w:t>Part (base case, EGP mn)</w:t>
            </w:r>
          </w:p>
        </w:tc>
        <w:tc>
          <w:tcPr>
            <w:tcW w:type="dxa" w:w="3456"/>
            <w:shd w:val="clear" w:fill="1B5E5E"/>
          </w:tcPr>
          <w:p>
            <w:pPr>
              <w:jc w:val="center"/>
            </w:pPr>
            <w:r/>
            <w:r>
              <w:rPr>
                <w:rFonts w:ascii="Calibri" w:hAnsi="Calibri"/>
                <w:b/>
                <w:color w:val="FFFFFF"/>
                <w:sz w:val="19"/>
              </w:rPr>
              <w:t>Basis</w:t>
            </w:r>
          </w:p>
        </w:tc>
        <w:tc>
          <w:tcPr>
            <w:tcW w:type="dxa" w:w="1440"/>
            <w:shd w:val="clear" w:fill="1B5E5E"/>
          </w:tcPr>
          <w:p>
            <w:pPr>
              <w:jc w:val="center"/>
            </w:pPr>
            <w:r/>
            <w:r>
              <w:rPr>
                <w:rFonts w:ascii="Calibri" w:hAnsi="Calibri"/>
                <w:b/>
                <w:color w:val="FFFFFF"/>
                <w:sz w:val="19"/>
              </w:rPr>
              <w:t>Value</w:t>
            </w:r>
          </w:p>
        </w:tc>
      </w:tr>
      <w:tr>
        <w:tc>
          <w:tcPr>
            <w:tcW w:type="dxa" w:w="4176"/>
          </w:tcPr>
          <w:p>
            <w:r/>
            <w:r>
              <w:rPr>
                <w:rFonts w:ascii="Calibri" w:hAnsi="Calibri"/>
                <w:b w:val="0"/>
                <w:sz w:val="19"/>
              </w:rPr>
              <w:t>Real-estate development (IVOIRE East/West, Second Home, land bank)</w:t>
            </w:r>
          </w:p>
        </w:tc>
        <w:tc>
          <w:tcPr>
            <w:tcW w:type="dxa" w:w="3456"/>
          </w:tcPr>
          <w:p>
            <w:pPr>
              <w:jc w:val="center"/>
            </w:pPr>
            <w:r/>
            <w:r>
              <w:rPr>
                <w:rFonts w:ascii="Calibri" w:hAnsi="Calibri"/>
                <w:b w:val="0"/>
                <w:sz w:val="19"/>
              </w:rPr>
              <w:t>RNAV — PV of net development profit; no terminal value</w:t>
            </w:r>
          </w:p>
        </w:tc>
        <w:tc>
          <w:tcPr>
            <w:tcW w:type="dxa" w:w="1440"/>
          </w:tcPr>
          <w:p>
            <w:pPr>
              <w:jc w:val="center"/>
            </w:pPr>
            <w:r/>
            <w:r>
              <w:rPr>
                <w:rFonts w:ascii="Calibri" w:hAnsi="Calibri"/>
                <w:b w:val="0"/>
                <w:sz w:val="19"/>
              </w:rPr>
              <w:t>15,000</w:t>
            </w:r>
          </w:p>
        </w:tc>
      </w:tr>
      <w:tr>
        <w:tc>
          <w:tcPr>
            <w:tcW w:type="dxa" w:w="4176"/>
          </w:tcPr>
          <w:p>
            <w:r/>
            <w:r>
              <w:rPr>
                <w:rFonts w:ascii="Calibri" w:hAnsi="Calibri"/>
                <w:b w:val="0"/>
                <w:sz w:val="19"/>
              </w:rPr>
              <w:t>Contracting arm</w:t>
            </w:r>
          </w:p>
        </w:tc>
        <w:tc>
          <w:tcPr>
            <w:tcW w:type="dxa" w:w="3456"/>
          </w:tcPr>
          <w:p>
            <w:pPr>
              <w:jc w:val="center"/>
            </w:pPr>
            <w:r/>
            <w:r>
              <w:rPr>
                <w:rFonts w:ascii="Calibri" w:hAnsi="Calibri"/>
                <w:b w:val="0"/>
                <w:sz w:val="19"/>
              </w:rPr>
              <w:t>Normalised earnings x 8x (going concern)</w:t>
            </w:r>
          </w:p>
        </w:tc>
        <w:tc>
          <w:tcPr>
            <w:tcW w:type="dxa" w:w="1440"/>
          </w:tcPr>
          <w:p>
            <w:pPr>
              <w:jc w:val="center"/>
            </w:pPr>
            <w:r/>
            <w:r>
              <w:rPr>
                <w:rFonts w:ascii="Calibri" w:hAnsi="Calibri"/>
                <w:b w:val="0"/>
                <w:sz w:val="19"/>
              </w:rPr>
              <w:t>1,500</w:t>
            </w:r>
          </w:p>
        </w:tc>
      </w:tr>
      <w:tr>
        <w:tc>
          <w:tcPr>
            <w:tcW w:type="dxa" w:w="4176"/>
          </w:tcPr>
          <w:p>
            <w:r/>
            <w:r>
              <w:rPr>
                <w:rFonts w:ascii="Calibri" w:hAnsi="Calibri"/>
                <w:b w:val="0"/>
                <w:sz w:val="19"/>
              </w:rPr>
              <w:t>Rental / leasing portfolio</w:t>
            </w:r>
          </w:p>
        </w:tc>
        <w:tc>
          <w:tcPr>
            <w:tcW w:type="dxa" w:w="3456"/>
          </w:tcPr>
          <w:p>
            <w:pPr>
              <w:jc w:val="center"/>
            </w:pPr>
            <w:r/>
            <w:r>
              <w:rPr>
                <w:rFonts w:ascii="Calibri" w:hAnsi="Calibri"/>
                <w:b w:val="0"/>
                <w:sz w:val="19"/>
              </w:rPr>
              <w:t>NOI / cap-rate (recurring)</w:t>
            </w:r>
          </w:p>
        </w:tc>
        <w:tc>
          <w:tcPr>
            <w:tcW w:type="dxa" w:w="1440"/>
          </w:tcPr>
          <w:p>
            <w:pPr>
              <w:jc w:val="center"/>
            </w:pPr>
            <w:r/>
            <w:r>
              <w:rPr>
                <w:rFonts w:ascii="Calibri" w:hAnsi="Calibri"/>
                <w:b w:val="0"/>
                <w:sz w:val="19"/>
              </w:rPr>
              <w:t>1,500</w:t>
            </w:r>
          </w:p>
        </w:tc>
      </w:tr>
      <w:tr>
        <w:tc>
          <w:tcPr>
            <w:tcW w:type="dxa" w:w="4176"/>
          </w:tcPr>
          <w:p>
            <w:r/>
            <w:r>
              <w:rPr>
                <w:rFonts w:ascii="Calibri" w:hAnsi="Calibri"/>
                <w:b w:val="0"/>
                <w:sz w:val="19"/>
              </w:rPr>
              <w:t>Retail &amp; other</w:t>
            </w:r>
          </w:p>
        </w:tc>
        <w:tc>
          <w:tcPr>
            <w:tcW w:type="dxa" w:w="3456"/>
          </w:tcPr>
          <w:p>
            <w:pPr>
              <w:jc w:val="center"/>
            </w:pPr>
            <w:r/>
            <w:r>
              <w:rPr>
                <w:rFonts w:ascii="Calibri" w:hAnsi="Calibri"/>
                <w:b w:val="0"/>
                <w:sz w:val="19"/>
              </w:rPr>
              <w:t>Book / residual</w:t>
            </w:r>
          </w:p>
        </w:tc>
        <w:tc>
          <w:tcPr>
            <w:tcW w:type="dxa" w:w="1440"/>
          </w:tcPr>
          <w:p>
            <w:pPr>
              <w:jc w:val="center"/>
            </w:pPr>
            <w:r/>
            <w:r>
              <w:rPr>
                <w:rFonts w:ascii="Calibri" w:hAnsi="Calibri"/>
                <w:b w:val="0"/>
                <w:sz w:val="19"/>
              </w:rPr>
              <w:t>300</w:t>
            </w:r>
          </w:p>
        </w:tc>
      </w:tr>
      <w:tr>
        <w:tc>
          <w:tcPr>
            <w:tcW w:type="dxa" w:w="4176"/>
          </w:tcPr>
          <w:p>
            <w:r/>
            <w:r>
              <w:rPr>
                <w:rFonts w:ascii="Calibri" w:hAnsi="Calibri"/>
                <w:b w:val="0"/>
                <w:sz w:val="19"/>
              </w:rPr>
              <w:t>Σ Asset (enterprise) value</w:t>
            </w:r>
          </w:p>
        </w:tc>
        <w:tc>
          <w:tcPr>
            <w:tcW w:type="dxa" w:w="3456"/>
          </w:tcPr>
          <w:p>
            <w:pPr>
              <w:jc w:val="center"/>
            </w:pPr>
            <w:r/>
            <w:r>
              <w:rPr>
                <w:rFonts w:ascii="Calibri" w:hAnsi="Calibri"/>
                <w:b w:val="0"/>
                <w:sz w:val="19"/>
              </w:rPr>
            </w:r>
          </w:p>
        </w:tc>
        <w:tc>
          <w:tcPr>
            <w:tcW w:type="dxa" w:w="1440"/>
          </w:tcPr>
          <w:p>
            <w:pPr>
              <w:jc w:val="center"/>
            </w:pPr>
            <w:r/>
            <w:r>
              <w:rPr>
                <w:rFonts w:ascii="Calibri" w:hAnsi="Calibri"/>
                <w:b w:val="0"/>
                <w:sz w:val="19"/>
              </w:rPr>
              <w:t>18,300</w:t>
            </w:r>
          </w:p>
        </w:tc>
      </w:tr>
      <w:tr>
        <w:tc>
          <w:tcPr>
            <w:tcW w:type="dxa" w:w="4176"/>
          </w:tcPr>
          <w:p>
            <w:r/>
            <w:r>
              <w:rPr>
                <w:rFonts w:ascii="Calibri" w:hAnsi="Calibri"/>
                <w:b w:val="0"/>
                <w:sz w:val="19"/>
              </w:rPr>
              <w:t>less: consolidated net debt (est.)</w:t>
            </w:r>
          </w:p>
        </w:tc>
        <w:tc>
          <w:tcPr>
            <w:tcW w:type="dxa" w:w="3456"/>
          </w:tcPr>
          <w:p>
            <w:pPr>
              <w:jc w:val="center"/>
            </w:pPr>
            <w:r/>
            <w:r>
              <w:rPr>
                <w:rFonts w:ascii="Calibri" w:hAnsi="Calibri"/>
                <w:b w:val="0"/>
                <w:sz w:val="19"/>
              </w:rPr>
            </w:r>
          </w:p>
        </w:tc>
        <w:tc>
          <w:tcPr>
            <w:tcW w:type="dxa" w:w="1440"/>
          </w:tcPr>
          <w:p>
            <w:pPr>
              <w:jc w:val="center"/>
            </w:pPr>
            <w:r/>
            <w:r>
              <w:rPr>
                <w:rFonts w:ascii="Calibri" w:hAnsi="Calibri"/>
                <w:b w:val="0"/>
                <w:sz w:val="19"/>
              </w:rPr>
              <w:t>(5,000)</w:t>
            </w:r>
          </w:p>
        </w:tc>
      </w:tr>
      <w:tr>
        <w:tc>
          <w:tcPr>
            <w:tcW w:type="dxa" w:w="4176"/>
          </w:tcPr>
          <w:p>
            <w:r/>
            <w:r>
              <w:rPr>
                <w:rFonts w:ascii="Calibri" w:hAnsi="Calibri"/>
                <w:b w:val="0"/>
                <w:sz w:val="19"/>
              </w:rPr>
              <w:t>less: minority interest (est.)</w:t>
            </w:r>
          </w:p>
        </w:tc>
        <w:tc>
          <w:tcPr>
            <w:tcW w:type="dxa" w:w="3456"/>
          </w:tcPr>
          <w:p>
            <w:pPr>
              <w:jc w:val="center"/>
            </w:pPr>
            <w:r/>
            <w:r>
              <w:rPr>
                <w:rFonts w:ascii="Calibri" w:hAnsi="Calibri"/>
                <w:b w:val="0"/>
                <w:sz w:val="19"/>
              </w:rPr>
            </w:r>
          </w:p>
        </w:tc>
        <w:tc>
          <w:tcPr>
            <w:tcW w:type="dxa" w:w="1440"/>
          </w:tcPr>
          <w:p>
            <w:pPr>
              <w:jc w:val="center"/>
            </w:pPr>
            <w:r/>
            <w:r>
              <w:rPr>
                <w:rFonts w:ascii="Calibri" w:hAnsi="Calibri"/>
                <w:b w:val="0"/>
                <w:sz w:val="19"/>
              </w:rPr>
              <w:t>(3,000)</w:t>
            </w:r>
          </w:p>
        </w:tc>
      </w:tr>
      <w:tr>
        <w:tc>
          <w:tcPr>
            <w:tcW w:type="dxa" w:w="4176"/>
          </w:tcPr>
          <w:p>
            <w:r/>
            <w:r>
              <w:rPr>
                <w:rFonts w:ascii="Calibri" w:hAnsi="Calibri"/>
                <w:b w:val="0"/>
                <w:sz w:val="19"/>
              </w:rPr>
              <w:t>Attributable NAV (pre-discount)</w:t>
            </w:r>
          </w:p>
        </w:tc>
        <w:tc>
          <w:tcPr>
            <w:tcW w:type="dxa" w:w="3456"/>
          </w:tcPr>
          <w:p>
            <w:pPr>
              <w:jc w:val="center"/>
            </w:pPr>
            <w:r/>
            <w:r>
              <w:rPr>
                <w:rFonts w:ascii="Calibri" w:hAnsi="Calibri"/>
                <w:b w:val="0"/>
                <w:sz w:val="19"/>
              </w:rPr>
              <w:t>= EGP 9.84 / share</w:t>
            </w:r>
          </w:p>
        </w:tc>
        <w:tc>
          <w:tcPr>
            <w:tcW w:type="dxa" w:w="1440"/>
          </w:tcPr>
          <w:p>
            <w:pPr>
              <w:jc w:val="center"/>
            </w:pPr>
            <w:r/>
            <w:r>
              <w:rPr>
                <w:rFonts w:ascii="Calibri" w:hAnsi="Calibri"/>
                <w:b w:val="0"/>
                <w:sz w:val="19"/>
              </w:rPr>
              <w:t>10,300</w:t>
            </w:r>
          </w:p>
        </w:tc>
      </w:tr>
      <w:tr>
        <w:tc>
          <w:tcPr>
            <w:tcW w:type="dxa" w:w="4176"/>
          </w:tcPr>
          <w:p>
            <w:r/>
            <w:r>
              <w:rPr>
                <w:rFonts w:ascii="Calibri" w:hAnsi="Calibri"/>
                <w:b w:val="0"/>
                <w:sz w:val="19"/>
              </w:rPr>
              <w:t>less: holdco / complexity discount</w:t>
            </w:r>
          </w:p>
        </w:tc>
        <w:tc>
          <w:tcPr>
            <w:tcW w:type="dxa" w:w="3456"/>
          </w:tcPr>
          <w:p>
            <w:pPr>
              <w:jc w:val="center"/>
            </w:pPr>
            <w:r/>
            <w:r>
              <w:rPr>
                <w:rFonts w:ascii="Calibri" w:hAnsi="Calibri"/>
                <w:b w:val="0"/>
                <w:sz w:val="19"/>
              </w:rPr>
              <w:t>10% (market-implied ~16%)</w:t>
            </w:r>
          </w:p>
        </w:tc>
        <w:tc>
          <w:tcPr>
            <w:tcW w:type="dxa" w:w="1440"/>
          </w:tcPr>
          <w:p>
            <w:pPr>
              <w:jc w:val="center"/>
            </w:pPr>
            <w:r/>
            <w:r>
              <w:rPr>
                <w:rFonts w:ascii="Calibri" w:hAnsi="Calibri"/>
                <w:b w:val="0"/>
                <w:sz w:val="19"/>
              </w:rPr>
              <w:t>(1,030)</w:t>
            </w:r>
          </w:p>
        </w:tc>
      </w:tr>
      <w:tr>
        <w:tc>
          <w:tcPr>
            <w:tcW w:type="dxa" w:w="4176"/>
            <w:shd w:val="clear" w:fill="F1E6C8"/>
          </w:tcPr>
          <w:p>
            <w:r/>
            <w:r>
              <w:rPr>
                <w:rFonts w:ascii="Calibri" w:hAnsi="Calibri"/>
                <w:b/>
                <w:sz w:val="19"/>
              </w:rPr>
              <w:t>RNAV equity value</w:t>
            </w:r>
          </w:p>
        </w:tc>
        <w:tc>
          <w:tcPr>
            <w:tcW w:type="dxa" w:w="3456"/>
            <w:shd w:val="clear" w:fill="F1E6C8"/>
          </w:tcPr>
          <w:p>
            <w:pPr>
              <w:jc w:val="center"/>
            </w:pPr>
            <w:r/>
            <w:r>
              <w:rPr>
                <w:rFonts w:ascii="Calibri" w:hAnsi="Calibri"/>
                <w:b/>
                <w:sz w:val="19"/>
              </w:rPr>
              <w:t>= EGP 8.85 / share</w:t>
            </w:r>
          </w:p>
        </w:tc>
        <w:tc>
          <w:tcPr>
            <w:tcW w:type="dxa" w:w="1440"/>
            <w:shd w:val="clear" w:fill="F1E6C8"/>
          </w:tcPr>
          <w:p>
            <w:pPr>
              <w:jc w:val="center"/>
            </w:pPr>
            <w:r/>
            <w:r>
              <w:rPr>
                <w:rFonts w:ascii="Calibri" w:hAnsi="Calibri"/>
                <w:b/>
                <w:sz w:val="19"/>
              </w:rPr>
              <w:t>9,270</w:t>
            </w:r>
          </w:p>
        </w:tc>
      </w:tr>
    </w:tbl>
    <w:p/>
    <w:p>
      <w:r>
        <w:rPr>
          <w:rFonts w:ascii="Calibri" w:hAnsi="Calibri"/>
          <w:b/>
          <w:i w:val="0"/>
          <w:sz w:val="21"/>
        </w:rPr>
        <w:t>RNAV base ≈ EGP 8.85/share</w:t>
      </w:r>
      <w:r>
        <w:rPr>
          <w:rFonts w:ascii="Calibri" w:hAnsi="Calibri"/>
          <w:b w:val="0"/>
          <w:i w:val="0"/>
          <w:sz w:val="21"/>
        </w:rPr>
        <w:t>, with a bear–bull span of EGP 6.30–12.00 driven mainly by the development-leg NAV, the minority deduction and the discount (see §1.9). The pre-discount attributable NAV of EGP 9.84 says the market is paying EGP 8.28 for EGP 9.84 of marked net assets — an implied discount of about 16%, a little wider than our assumed 10%. For years that implied discount was far deeper (the stock traded well below book); the crux of any remaining upside is whether it keeps narrowing.</w:t>
      </w:r>
    </w:p>
    <w:p>
      <w:r>
        <w:rPr>
          <w:rFonts w:ascii="Calibri" w:hAnsi="Calibri"/>
          <w:b/>
          <w:color w:val="1B5E5E"/>
          <w:sz w:val="24"/>
        </w:rPr>
        <w:t>1.2  Consolidated DCF — the cash-flow cross-check</w:t>
      </w:r>
    </w:p>
    <w:p>
      <w:r>
        <w:rPr>
          <w:rFonts w:ascii="Calibri" w:hAnsi="Calibri"/>
          <w:b w:val="0"/>
          <w:i w:val="0"/>
          <w:sz w:val="21"/>
        </w:rPr>
        <w:t xml:space="preserve">A consolidated free-cash-flow-to-firm model is the natural check on the asset sum, though for a developer it is the least reliable lens — the value sits in a multi-year pipeline that a five-year explicit window truncates, so the answer leans heavily on the terminal. We forecast group revenue growing from a ~EGP 6.4 bn base, hold a blended EBITDA margin near 24% (development ~30% gross, diluted by lower-margin contracting), treat working capital as a modest </w:t>
      </w:r>
      <w:r>
        <w:rPr>
          <w:rFonts w:ascii="Calibri" w:hAnsi="Calibri"/>
          <w:b/>
          <w:i w:val="0"/>
          <w:sz w:val="21"/>
        </w:rPr>
        <w:t>source</w:t>
      </w:r>
      <w:r>
        <w:rPr>
          <w:rFonts w:ascii="Calibri" w:hAnsi="Calibri"/>
          <w:b w:val="0"/>
          <w:i w:val="0"/>
          <w:sz w:val="21"/>
        </w:rPr>
        <w:t xml:space="preserve"> of cash (customer advances fund the build under instalment sales), and discount at an 18.5% debt-blended WACC. The cost of equity is shown explicitly as Ke = rf 15.0% + β 1.0 × ERP 6.5% = 21.5%; terminal growth is 10% (an EGP-nominal figure below prospective inflation).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shd w:val="clear" w:fill="1B5E5E"/>
          </w:tcPr>
          <w:p>
            <w:pPr>
              <w:jc w:val="center"/>
            </w:pPr>
            <w:r/>
            <w:r>
              <w:rPr>
                <w:rFonts w:ascii="Calibri" w:hAnsi="Calibri"/>
                <w:b/>
                <w:color w:val="FFFFFF"/>
                <w:sz w:val="19"/>
              </w:rPr>
              <w:t>DCF line (EGP mn)</w:t>
            </w:r>
          </w:p>
        </w:tc>
        <w:tc>
          <w:tcPr>
            <w:tcW w:type="dxa" w:w="1267"/>
            <w:shd w:val="clear" w:fill="1B5E5E"/>
          </w:tcPr>
          <w:p>
            <w:pPr>
              <w:jc w:val="center"/>
            </w:pPr>
            <w:r/>
            <w:r>
              <w:rPr>
                <w:rFonts w:ascii="Calibri" w:hAnsi="Calibri"/>
                <w:b/>
                <w:color w:val="FFFFFF"/>
                <w:sz w:val="19"/>
              </w:rPr>
              <w:t>FY26E</w:t>
            </w:r>
          </w:p>
        </w:tc>
        <w:tc>
          <w:tcPr>
            <w:tcW w:type="dxa" w:w="1267"/>
            <w:shd w:val="clear" w:fill="1B5E5E"/>
          </w:tcPr>
          <w:p>
            <w:pPr>
              <w:jc w:val="center"/>
            </w:pPr>
            <w:r/>
            <w:r>
              <w:rPr>
                <w:rFonts w:ascii="Calibri" w:hAnsi="Calibri"/>
                <w:b/>
                <w:color w:val="FFFFFF"/>
                <w:sz w:val="19"/>
              </w:rPr>
              <w:t>FY27E</w:t>
            </w:r>
          </w:p>
        </w:tc>
        <w:tc>
          <w:tcPr>
            <w:tcW w:type="dxa" w:w="1267"/>
            <w:shd w:val="clear" w:fill="1B5E5E"/>
          </w:tcPr>
          <w:p>
            <w:pPr>
              <w:jc w:val="center"/>
            </w:pPr>
            <w:r/>
            <w:r>
              <w:rPr>
                <w:rFonts w:ascii="Calibri" w:hAnsi="Calibri"/>
                <w:b/>
                <w:color w:val="FFFFFF"/>
                <w:sz w:val="19"/>
              </w:rPr>
              <w:t>FY28E</w:t>
            </w:r>
          </w:p>
        </w:tc>
        <w:tc>
          <w:tcPr>
            <w:tcW w:type="dxa" w:w="1267"/>
            <w:shd w:val="clear" w:fill="1B5E5E"/>
          </w:tcPr>
          <w:p>
            <w:pPr>
              <w:jc w:val="center"/>
            </w:pPr>
            <w:r/>
            <w:r>
              <w:rPr>
                <w:rFonts w:ascii="Calibri" w:hAnsi="Calibri"/>
                <w:b/>
                <w:color w:val="FFFFFF"/>
                <w:sz w:val="19"/>
              </w:rPr>
              <w:t>FY29E</w:t>
            </w:r>
          </w:p>
        </w:tc>
        <w:tc>
          <w:tcPr>
            <w:tcW w:type="dxa" w:w="1267"/>
            <w:shd w:val="clear" w:fill="1B5E5E"/>
          </w:tcPr>
          <w:p>
            <w:pPr>
              <w:jc w:val="center"/>
            </w:pPr>
            <w:r/>
            <w:r>
              <w:rPr>
                <w:rFonts w:ascii="Calibri" w:hAnsi="Calibri"/>
                <w:b/>
                <w:color w:val="FFFFFF"/>
                <w:sz w:val="19"/>
              </w:rPr>
              <w:t>FY30E</w:t>
            </w:r>
          </w:p>
        </w:tc>
      </w:tr>
      <w:tr>
        <w:tc>
          <w:tcPr>
            <w:tcW w:type="dxa" w:w="2736"/>
          </w:tcPr>
          <w:p>
            <w:r/>
            <w:r>
              <w:rPr>
                <w:rFonts w:ascii="Calibri" w:hAnsi="Calibri"/>
                <w:b w:val="0"/>
                <w:sz w:val="19"/>
              </w:rPr>
              <w:t>Revenue</w:t>
            </w:r>
          </w:p>
        </w:tc>
        <w:tc>
          <w:tcPr>
            <w:tcW w:type="dxa" w:w="1267"/>
          </w:tcPr>
          <w:p>
            <w:pPr>
              <w:jc w:val="center"/>
            </w:pPr>
            <w:r/>
            <w:r>
              <w:rPr>
                <w:rFonts w:ascii="Calibri" w:hAnsi="Calibri"/>
                <w:b w:val="0"/>
                <w:sz w:val="19"/>
              </w:rPr>
              <w:t>7,040</w:t>
            </w:r>
          </w:p>
        </w:tc>
        <w:tc>
          <w:tcPr>
            <w:tcW w:type="dxa" w:w="1267"/>
          </w:tcPr>
          <w:p>
            <w:pPr>
              <w:jc w:val="center"/>
            </w:pPr>
            <w:r/>
            <w:r>
              <w:rPr>
                <w:rFonts w:ascii="Calibri" w:hAnsi="Calibri"/>
                <w:b w:val="0"/>
                <w:sz w:val="19"/>
              </w:rPr>
              <w:t>8,096</w:t>
            </w:r>
          </w:p>
        </w:tc>
        <w:tc>
          <w:tcPr>
            <w:tcW w:type="dxa" w:w="1267"/>
          </w:tcPr>
          <w:p>
            <w:pPr>
              <w:jc w:val="center"/>
            </w:pPr>
            <w:r/>
            <w:r>
              <w:rPr>
                <w:rFonts w:ascii="Calibri" w:hAnsi="Calibri"/>
                <w:b w:val="0"/>
                <w:sz w:val="19"/>
              </w:rPr>
              <w:t>9,310</w:t>
            </w:r>
          </w:p>
        </w:tc>
        <w:tc>
          <w:tcPr>
            <w:tcW w:type="dxa" w:w="1267"/>
          </w:tcPr>
          <w:p>
            <w:pPr>
              <w:jc w:val="center"/>
            </w:pPr>
            <w:r/>
            <w:r>
              <w:rPr>
                <w:rFonts w:ascii="Calibri" w:hAnsi="Calibri"/>
                <w:b w:val="0"/>
                <w:sz w:val="19"/>
              </w:rPr>
              <w:t>10,707</w:t>
            </w:r>
          </w:p>
        </w:tc>
        <w:tc>
          <w:tcPr>
            <w:tcW w:type="dxa" w:w="1267"/>
          </w:tcPr>
          <w:p>
            <w:pPr>
              <w:jc w:val="center"/>
            </w:pPr>
            <w:r/>
            <w:r>
              <w:rPr>
                <w:rFonts w:ascii="Calibri" w:hAnsi="Calibri"/>
                <w:b w:val="0"/>
                <w:sz w:val="19"/>
              </w:rPr>
              <w:t>12,313</w:t>
            </w:r>
          </w:p>
        </w:tc>
      </w:tr>
      <w:tr>
        <w:tc>
          <w:tcPr>
            <w:tcW w:type="dxa" w:w="2736"/>
          </w:tcPr>
          <w:p>
            <w:r/>
            <w:r>
              <w:rPr>
                <w:rFonts w:ascii="Calibri" w:hAnsi="Calibri"/>
                <w:b w:val="0"/>
                <w:sz w:val="19"/>
              </w:rPr>
              <w:t>EBITDA</w:t>
            </w:r>
          </w:p>
        </w:tc>
        <w:tc>
          <w:tcPr>
            <w:tcW w:type="dxa" w:w="1267"/>
          </w:tcPr>
          <w:p>
            <w:pPr>
              <w:jc w:val="center"/>
            </w:pPr>
            <w:r/>
            <w:r>
              <w:rPr>
                <w:rFonts w:ascii="Calibri" w:hAnsi="Calibri"/>
                <w:b w:val="0"/>
                <w:sz w:val="19"/>
              </w:rPr>
              <w:t>1,690</w:t>
            </w:r>
          </w:p>
        </w:tc>
        <w:tc>
          <w:tcPr>
            <w:tcW w:type="dxa" w:w="1267"/>
          </w:tcPr>
          <w:p>
            <w:pPr>
              <w:jc w:val="center"/>
            </w:pPr>
            <w:r/>
            <w:r>
              <w:rPr>
                <w:rFonts w:ascii="Calibri" w:hAnsi="Calibri"/>
                <w:b w:val="0"/>
                <w:sz w:val="19"/>
              </w:rPr>
              <w:t>1,943</w:t>
            </w:r>
          </w:p>
        </w:tc>
        <w:tc>
          <w:tcPr>
            <w:tcW w:type="dxa" w:w="1267"/>
          </w:tcPr>
          <w:p>
            <w:pPr>
              <w:jc w:val="center"/>
            </w:pPr>
            <w:r/>
            <w:r>
              <w:rPr>
                <w:rFonts w:ascii="Calibri" w:hAnsi="Calibri"/>
                <w:b w:val="0"/>
                <w:sz w:val="19"/>
              </w:rPr>
              <w:t>2,234</w:t>
            </w:r>
          </w:p>
        </w:tc>
        <w:tc>
          <w:tcPr>
            <w:tcW w:type="dxa" w:w="1267"/>
          </w:tcPr>
          <w:p>
            <w:pPr>
              <w:jc w:val="center"/>
            </w:pPr>
            <w:r/>
            <w:r>
              <w:rPr>
                <w:rFonts w:ascii="Calibri" w:hAnsi="Calibri"/>
                <w:b w:val="0"/>
                <w:sz w:val="19"/>
              </w:rPr>
              <w:t>2,570</w:t>
            </w:r>
          </w:p>
        </w:tc>
        <w:tc>
          <w:tcPr>
            <w:tcW w:type="dxa" w:w="1267"/>
          </w:tcPr>
          <w:p>
            <w:pPr>
              <w:jc w:val="center"/>
            </w:pPr>
            <w:r/>
            <w:r>
              <w:rPr>
                <w:rFonts w:ascii="Calibri" w:hAnsi="Calibri"/>
                <w:b w:val="0"/>
                <w:sz w:val="19"/>
              </w:rPr>
              <w:t>2,955</w:t>
            </w:r>
          </w:p>
        </w:tc>
      </w:tr>
      <w:tr>
        <w:tc>
          <w:tcPr>
            <w:tcW w:type="dxa" w:w="2736"/>
          </w:tcPr>
          <w:p>
            <w:r/>
            <w:r>
              <w:rPr>
                <w:rFonts w:ascii="Calibri" w:hAnsi="Calibri"/>
                <w:b w:val="0"/>
                <w:sz w:val="19"/>
              </w:rPr>
              <w:t>D&amp;A</w:t>
            </w:r>
          </w:p>
        </w:tc>
        <w:tc>
          <w:tcPr>
            <w:tcW w:type="dxa" w:w="1267"/>
          </w:tcPr>
          <w:p>
            <w:pPr>
              <w:jc w:val="center"/>
            </w:pPr>
            <w:r/>
            <w:r>
              <w:rPr>
                <w:rFonts w:ascii="Calibri" w:hAnsi="Calibri"/>
                <w:b w:val="0"/>
                <w:sz w:val="19"/>
              </w:rPr>
              <w:t>(141)</w:t>
            </w:r>
          </w:p>
        </w:tc>
        <w:tc>
          <w:tcPr>
            <w:tcW w:type="dxa" w:w="1267"/>
          </w:tcPr>
          <w:p>
            <w:pPr>
              <w:jc w:val="center"/>
            </w:pPr>
            <w:r/>
            <w:r>
              <w:rPr>
                <w:rFonts w:ascii="Calibri" w:hAnsi="Calibri"/>
                <w:b w:val="0"/>
                <w:sz w:val="19"/>
              </w:rPr>
              <w:t>(162)</w:t>
            </w:r>
          </w:p>
        </w:tc>
        <w:tc>
          <w:tcPr>
            <w:tcW w:type="dxa" w:w="1267"/>
          </w:tcPr>
          <w:p>
            <w:pPr>
              <w:jc w:val="center"/>
            </w:pPr>
            <w:r/>
            <w:r>
              <w:rPr>
                <w:rFonts w:ascii="Calibri" w:hAnsi="Calibri"/>
                <w:b w:val="0"/>
                <w:sz w:val="19"/>
              </w:rPr>
              <w:t>(186)</w:t>
            </w:r>
          </w:p>
        </w:tc>
        <w:tc>
          <w:tcPr>
            <w:tcW w:type="dxa" w:w="1267"/>
          </w:tcPr>
          <w:p>
            <w:pPr>
              <w:jc w:val="center"/>
            </w:pPr>
            <w:r/>
            <w:r>
              <w:rPr>
                <w:rFonts w:ascii="Calibri" w:hAnsi="Calibri"/>
                <w:b w:val="0"/>
                <w:sz w:val="19"/>
              </w:rPr>
              <w:t>(214)</w:t>
            </w:r>
          </w:p>
        </w:tc>
        <w:tc>
          <w:tcPr>
            <w:tcW w:type="dxa" w:w="1267"/>
          </w:tcPr>
          <w:p>
            <w:pPr>
              <w:jc w:val="center"/>
            </w:pPr>
            <w:r/>
            <w:r>
              <w:rPr>
                <w:rFonts w:ascii="Calibri" w:hAnsi="Calibri"/>
                <w:b w:val="0"/>
                <w:sz w:val="19"/>
              </w:rPr>
              <w:t>(246)</w:t>
            </w:r>
          </w:p>
        </w:tc>
      </w:tr>
      <w:tr>
        <w:tc>
          <w:tcPr>
            <w:tcW w:type="dxa" w:w="2736"/>
          </w:tcPr>
          <w:p>
            <w:r/>
            <w:r>
              <w:rPr>
                <w:rFonts w:ascii="Calibri" w:hAnsi="Calibri"/>
                <w:b w:val="0"/>
                <w:sz w:val="19"/>
              </w:rPr>
              <w:t>EBIT</w:t>
            </w:r>
          </w:p>
        </w:tc>
        <w:tc>
          <w:tcPr>
            <w:tcW w:type="dxa" w:w="1267"/>
          </w:tcPr>
          <w:p>
            <w:pPr>
              <w:jc w:val="center"/>
            </w:pPr>
            <w:r/>
            <w:r>
              <w:rPr>
                <w:rFonts w:ascii="Calibri" w:hAnsi="Calibri"/>
                <w:b w:val="0"/>
                <w:sz w:val="19"/>
              </w:rPr>
              <w:t>1,549</w:t>
            </w:r>
          </w:p>
        </w:tc>
        <w:tc>
          <w:tcPr>
            <w:tcW w:type="dxa" w:w="1267"/>
          </w:tcPr>
          <w:p>
            <w:pPr>
              <w:jc w:val="center"/>
            </w:pPr>
            <w:r/>
            <w:r>
              <w:rPr>
                <w:rFonts w:ascii="Calibri" w:hAnsi="Calibri"/>
                <w:b w:val="0"/>
                <w:sz w:val="19"/>
              </w:rPr>
              <w:t>1,781</w:t>
            </w:r>
          </w:p>
        </w:tc>
        <w:tc>
          <w:tcPr>
            <w:tcW w:type="dxa" w:w="1267"/>
          </w:tcPr>
          <w:p>
            <w:pPr>
              <w:jc w:val="center"/>
            </w:pPr>
            <w:r/>
            <w:r>
              <w:rPr>
                <w:rFonts w:ascii="Calibri" w:hAnsi="Calibri"/>
                <w:b w:val="0"/>
                <w:sz w:val="19"/>
              </w:rPr>
              <w:t>2,048</w:t>
            </w:r>
          </w:p>
        </w:tc>
        <w:tc>
          <w:tcPr>
            <w:tcW w:type="dxa" w:w="1267"/>
          </w:tcPr>
          <w:p>
            <w:pPr>
              <w:jc w:val="center"/>
            </w:pPr>
            <w:r/>
            <w:r>
              <w:rPr>
                <w:rFonts w:ascii="Calibri" w:hAnsi="Calibri"/>
                <w:b w:val="0"/>
                <w:sz w:val="19"/>
              </w:rPr>
              <w:t>2,356</w:t>
            </w:r>
          </w:p>
        </w:tc>
        <w:tc>
          <w:tcPr>
            <w:tcW w:type="dxa" w:w="1267"/>
          </w:tcPr>
          <w:p>
            <w:pPr>
              <w:jc w:val="center"/>
            </w:pPr>
            <w:r/>
            <w:r>
              <w:rPr>
                <w:rFonts w:ascii="Calibri" w:hAnsi="Calibri"/>
                <w:b w:val="0"/>
                <w:sz w:val="19"/>
              </w:rPr>
              <w:t>2,709</w:t>
            </w:r>
          </w:p>
        </w:tc>
      </w:tr>
      <w:tr>
        <w:tc>
          <w:tcPr>
            <w:tcW w:type="dxa" w:w="2736"/>
          </w:tcPr>
          <w:p>
            <w:r/>
            <w:r>
              <w:rPr>
                <w:rFonts w:ascii="Calibri" w:hAnsi="Calibri"/>
                <w:b w:val="0"/>
                <w:sz w:val="19"/>
              </w:rPr>
              <w:t>NOPAT = EBIT×(1−t)</w:t>
            </w:r>
          </w:p>
        </w:tc>
        <w:tc>
          <w:tcPr>
            <w:tcW w:type="dxa" w:w="1267"/>
          </w:tcPr>
          <w:p>
            <w:pPr>
              <w:jc w:val="center"/>
            </w:pPr>
            <w:r/>
            <w:r>
              <w:rPr>
                <w:rFonts w:ascii="Calibri" w:hAnsi="Calibri"/>
                <w:b w:val="0"/>
                <w:sz w:val="19"/>
              </w:rPr>
              <w:t>1,200</w:t>
            </w:r>
          </w:p>
        </w:tc>
        <w:tc>
          <w:tcPr>
            <w:tcW w:type="dxa" w:w="1267"/>
          </w:tcPr>
          <w:p>
            <w:pPr>
              <w:jc w:val="center"/>
            </w:pPr>
            <w:r/>
            <w:r>
              <w:rPr>
                <w:rFonts w:ascii="Calibri" w:hAnsi="Calibri"/>
                <w:b w:val="0"/>
                <w:sz w:val="19"/>
              </w:rPr>
              <w:t>1,380</w:t>
            </w:r>
          </w:p>
        </w:tc>
        <w:tc>
          <w:tcPr>
            <w:tcW w:type="dxa" w:w="1267"/>
          </w:tcPr>
          <w:p>
            <w:pPr>
              <w:jc w:val="center"/>
            </w:pPr>
            <w:r/>
            <w:r>
              <w:rPr>
                <w:rFonts w:ascii="Calibri" w:hAnsi="Calibri"/>
                <w:b w:val="0"/>
                <w:sz w:val="19"/>
              </w:rPr>
              <w:t>1,587</w:t>
            </w:r>
          </w:p>
        </w:tc>
        <w:tc>
          <w:tcPr>
            <w:tcW w:type="dxa" w:w="1267"/>
          </w:tcPr>
          <w:p>
            <w:pPr>
              <w:jc w:val="center"/>
            </w:pPr>
            <w:r/>
            <w:r>
              <w:rPr>
                <w:rFonts w:ascii="Calibri" w:hAnsi="Calibri"/>
                <w:b w:val="0"/>
                <w:sz w:val="19"/>
              </w:rPr>
              <w:t>1,826</w:t>
            </w:r>
          </w:p>
        </w:tc>
        <w:tc>
          <w:tcPr>
            <w:tcW w:type="dxa" w:w="1267"/>
          </w:tcPr>
          <w:p>
            <w:pPr>
              <w:jc w:val="center"/>
            </w:pPr>
            <w:r/>
            <w:r>
              <w:rPr>
                <w:rFonts w:ascii="Calibri" w:hAnsi="Calibri"/>
                <w:b w:val="0"/>
                <w:sz w:val="19"/>
              </w:rPr>
              <w:t>2,099</w:t>
            </w:r>
          </w:p>
        </w:tc>
      </w:tr>
      <w:tr>
        <w:tc>
          <w:tcPr>
            <w:tcW w:type="dxa" w:w="2736"/>
          </w:tcPr>
          <w:p>
            <w:r/>
            <w:r>
              <w:rPr>
                <w:rFonts w:ascii="Calibri" w:hAnsi="Calibri"/>
                <w:b w:val="0"/>
                <w:sz w:val="19"/>
              </w:rPr>
              <w:t>+ D&amp;A</w:t>
            </w:r>
          </w:p>
        </w:tc>
        <w:tc>
          <w:tcPr>
            <w:tcW w:type="dxa" w:w="1267"/>
          </w:tcPr>
          <w:p>
            <w:pPr>
              <w:jc w:val="center"/>
            </w:pPr>
            <w:r/>
            <w:r>
              <w:rPr>
                <w:rFonts w:ascii="Calibri" w:hAnsi="Calibri"/>
                <w:b w:val="0"/>
                <w:sz w:val="19"/>
              </w:rPr>
              <w:t>141</w:t>
            </w:r>
          </w:p>
        </w:tc>
        <w:tc>
          <w:tcPr>
            <w:tcW w:type="dxa" w:w="1267"/>
          </w:tcPr>
          <w:p>
            <w:pPr>
              <w:jc w:val="center"/>
            </w:pPr>
            <w:r/>
            <w:r>
              <w:rPr>
                <w:rFonts w:ascii="Calibri" w:hAnsi="Calibri"/>
                <w:b w:val="0"/>
                <w:sz w:val="19"/>
              </w:rPr>
              <w:t>162</w:t>
            </w:r>
          </w:p>
        </w:tc>
        <w:tc>
          <w:tcPr>
            <w:tcW w:type="dxa" w:w="1267"/>
          </w:tcPr>
          <w:p>
            <w:pPr>
              <w:jc w:val="center"/>
            </w:pPr>
            <w:r/>
            <w:r>
              <w:rPr>
                <w:rFonts w:ascii="Calibri" w:hAnsi="Calibri"/>
                <w:b w:val="0"/>
                <w:sz w:val="19"/>
              </w:rPr>
              <w:t>186</w:t>
            </w:r>
          </w:p>
        </w:tc>
        <w:tc>
          <w:tcPr>
            <w:tcW w:type="dxa" w:w="1267"/>
          </w:tcPr>
          <w:p>
            <w:pPr>
              <w:jc w:val="center"/>
            </w:pPr>
            <w:r/>
            <w:r>
              <w:rPr>
                <w:rFonts w:ascii="Calibri" w:hAnsi="Calibri"/>
                <w:b w:val="0"/>
                <w:sz w:val="19"/>
              </w:rPr>
              <w:t>214</w:t>
            </w:r>
          </w:p>
        </w:tc>
        <w:tc>
          <w:tcPr>
            <w:tcW w:type="dxa" w:w="1267"/>
          </w:tcPr>
          <w:p>
            <w:pPr>
              <w:jc w:val="center"/>
            </w:pPr>
            <w:r/>
            <w:r>
              <w:rPr>
                <w:rFonts w:ascii="Calibri" w:hAnsi="Calibri"/>
                <w:b w:val="0"/>
                <w:sz w:val="19"/>
              </w:rPr>
              <w:t>246</w:t>
            </w:r>
          </w:p>
        </w:tc>
      </w:tr>
      <w:tr>
        <w:tc>
          <w:tcPr>
            <w:tcW w:type="dxa" w:w="2736"/>
          </w:tcPr>
          <w:p>
            <w:r/>
            <w:r>
              <w:rPr>
                <w:rFonts w:ascii="Calibri" w:hAnsi="Calibri"/>
                <w:b w:val="0"/>
                <w:sz w:val="19"/>
              </w:rPr>
              <w:t>− Capex</w:t>
            </w:r>
          </w:p>
        </w:tc>
        <w:tc>
          <w:tcPr>
            <w:tcW w:type="dxa" w:w="1267"/>
          </w:tcPr>
          <w:p>
            <w:pPr>
              <w:jc w:val="center"/>
            </w:pPr>
            <w:r/>
            <w:r>
              <w:rPr>
                <w:rFonts w:ascii="Calibri" w:hAnsi="Calibri"/>
                <w:b w:val="0"/>
                <w:sz w:val="19"/>
              </w:rPr>
              <w:t>(211)</w:t>
            </w:r>
          </w:p>
        </w:tc>
        <w:tc>
          <w:tcPr>
            <w:tcW w:type="dxa" w:w="1267"/>
          </w:tcPr>
          <w:p>
            <w:pPr>
              <w:jc w:val="center"/>
            </w:pPr>
            <w:r/>
            <w:r>
              <w:rPr>
                <w:rFonts w:ascii="Calibri" w:hAnsi="Calibri"/>
                <w:b w:val="0"/>
                <w:sz w:val="19"/>
              </w:rPr>
              <w:t>(243)</w:t>
            </w:r>
          </w:p>
        </w:tc>
        <w:tc>
          <w:tcPr>
            <w:tcW w:type="dxa" w:w="1267"/>
          </w:tcPr>
          <w:p>
            <w:pPr>
              <w:jc w:val="center"/>
            </w:pPr>
            <w:r/>
            <w:r>
              <w:rPr>
                <w:rFonts w:ascii="Calibri" w:hAnsi="Calibri"/>
                <w:b w:val="0"/>
                <w:sz w:val="19"/>
              </w:rPr>
              <w:t>(279)</w:t>
            </w:r>
          </w:p>
        </w:tc>
        <w:tc>
          <w:tcPr>
            <w:tcW w:type="dxa" w:w="1267"/>
          </w:tcPr>
          <w:p>
            <w:pPr>
              <w:jc w:val="center"/>
            </w:pPr>
            <w:r/>
            <w:r>
              <w:rPr>
                <w:rFonts w:ascii="Calibri" w:hAnsi="Calibri"/>
                <w:b w:val="0"/>
                <w:sz w:val="19"/>
              </w:rPr>
              <w:t>(321)</w:t>
            </w:r>
          </w:p>
        </w:tc>
        <w:tc>
          <w:tcPr>
            <w:tcW w:type="dxa" w:w="1267"/>
          </w:tcPr>
          <w:p>
            <w:pPr>
              <w:jc w:val="center"/>
            </w:pPr>
            <w:r/>
            <w:r>
              <w:rPr>
                <w:rFonts w:ascii="Calibri" w:hAnsi="Calibri"/>
                <w:b w:val="0"/>
                <w:sz w:val="19"/>
              </w:rPr>
              <w:t>(369)</w:t>
            </w:r>
          </w:p>
        </w:tc>
      </w:tr>
      <w:tr>
        <w:tc>
          <w:tcPr>
            <w:tcW w:type="dxa" w:w="2736"/>
          </w:tcPr>
          <w:p>
            <w:r/>
            <w:r>
              <w:rPr>
                <w:rFonts w:ascii="Calibri" w:hAnsi="Calibri"/>
                <w:b w:val="0"/>
                <w:sz w:val="19"/>
              </w:rPr>
              <w:t>− Δ working capital</w:t>
            </w:r>
          </w:p>
        </w:tc>
        <w:tc>
          <w:tcPr>
            <w:tcW w:type="dxa" w:w="1267"/>
          </w:tcPr>
          <w:p>
            <w:pPr>
              <w:jc w:val="center"/>
            </w:pPr>
            <w:r/>
            <w:r>
              <w:rPr>
                <w:rFonts w:ascii="Calibri" w:hAnsi="Calibri"/>
                <w:b w:val="0"/>
                <w:sz w:val="19"/>
              </w:rPr>
              <w:t>19</w:t>
            </w:r>
          </w:p>
        </w:tc>
        <w:tc>
          <w:tcPr>
            <w:tcW w:type="dxa" w:w="1267"/>
          </w:tcPr>
          <w:p>
            <w:pPr>
              <w:jc w:val="center"/>
            </w:pPr>
            <w:r/>
            <w:r>
              <w:rPr>
                <w:rFonts w:ascii="Calibri" w:hAnsi="Calibri"/>
                <w:b w:val="0"/>
                <w:sz w:val="19"/>
              </w:rPr>
              <w:t>32</w:t>
            </w:r>
          </w:p>
        </w:tc>
        <w:tc>
          <w:tcPr>
            <w:tcW w:type="dxa" w:w="1267"/>
          </w:tcPr>
          <w:p>
            <w:pPr>
              <w:jc w:val="center"/>
            </w:pPr>
            <w:r/>
            <w:r>
              <w:rPr>
                <w:rFonts w:ascii="Calibri" w:hAnsi="Calibri"/>
                <w:b w:val="0"/>
                <w:sz w:val="19"/>
              </w:rPr>
              <w:t>36</w:t>
            </w:r>
          </w:p>
        </w:tc>
        <w:tc>
          <w:tcPr>
            <w:tcW w:type="dxa" w:w="1267"/>
          </w:tcPr>
          <w:p>
            <w:pPr>
              <w:jc w:val="center"/>
            </w:pPr>
            <w:r/>
            <w:r>
              <w:rPr>
                <w:rFonts w:ascii="Calibri" w:hAnsi="Calibri"/>
                <w:b w:val="0"/>
                <w:sz w:val="19"/>
              </w:rPr>
              <w:t>42</w:t>
            </w:r>
          </w:p>
        </w:tc>
        <w:tc>
          <w:tcPr>
            <w:tcW w:type="dxa" w:w="1267"/>
          </w:tcPr>
          <w:p>
            <w:pPr>
              <w:jc w:val="center"/>
            </w:pPr>
            <w:r/>
            <w:r>
              <w:rPr>
                <w:rFonts w:ascii="Calibri" w:hAnsi="Calibri"/>
                <w:b w:val="0"/>
                <w:sz w:val="19"/>
              </w:rPr>
              <w:t>48</w:t>
            </w:r>
          </w:p>
        </w:tc>
      </w:tr>
      <w:tr>
        <w:tc>
          <w:tcPr>
            <w:tcW w:type="dxa" w:w="2736"/>
            <w:shd w:val="clear" w:fill="F1E6C8"/>
          </w:tcPr>
          <w:p>
            <w:r/>
            <w:r>
              <w:rPr>
                <w:rFonts w:ascii="Calibri" w:hAnsi="Calibri"/>
                <w:b/>
                <w:sz w:val="19"/>
              </w:rPr>
              <w:t>FCFF</w:t>
            </w:r>
          </w:p>
        </w:tc>
        <w:tc>
          <w:tcPr>
            <w:tcW w:type="dxa" w:w="1267"/>
            <w:shd w:val="clear" w:fill="F1E6C8"/>
          </w:tcPr>
          <w:p>
            <w:pPr>
              <w:jc w:val="center"/>
            </w:pPr>
            <w:r/>
            <w:r>
              <w:rPr>
                <w:rFonts w:ascii="Calibri" w:hAnsi="Calibri"/>
                <w:b/>
                <w:sz w:val="19"/>
              </w:rPr>
              <w:t>1,149</w:t>
            </w:r>
          </w:p>
        </w:tc>
        <w:tc>
          <w:tcPr>
            <w:tcW w:type="dxa" w:w="1267"/>
            <w:shd w:val="clear" w:fill="F1E6C8"/>
          </w:tcPr>
          <w:p>
            <w:pPr>
              <w:jc w:val="center"/>
            </w:pPr>
            <w:r/>
            <w:r>
              <w:rPr>
                <w:rFonts w:ascii="Calibri" w:hAnsi="Calibri"/>
                <w:b/>
                <w:sz w:val="19"/>
              </w:rPr>
              <w:t>1,331</w:t>
            </w:r>
          </w:p>
        </w:tc>
        <w:tc>
          <w:tcPr>
            <w:tcW w:type="dxa" w:w="1267"/>
            <w:shd w:val="clear" w:fill="F1E6C8"/>
          </w:tcPr>
          <w:p>
            <w:pPr>
              <w:jc w:val="center"/>
            </w:pPr>
            <w:r/>
            <w:r>
              <w:rPr>
                <w:rFonts w:ascii="Calibri" w:hAnsi="Calibri"/>
                <w:b/>
                <w:sz w:val="19"/>
              </w:rPr>
              <w:t>1,531</w:t>
            </w:r>
          </w:p>
        </w:tc>
        <w:tc>
          <w:tcPr>
            <w:tcW w:type="dxa" w:w="1267"/>
            <w:shd w:val="clear" w:fill="F1E6C8"/>
          </w:tcPr>
          <w:p>
            <w:pPr>
              <w:jc w:val="center"/>
            </w:pPr>
            <w:r/>
            <w:r>
              <w:rPr>
                <w:rFonts w:ascii="Calibri" w:hAnsi="Calibri"/>
                <w:b/>
                <w:sz w:val="19"/>
              </w:rPr>
              <w:t>1,760</w:t>
            </w:r>
          </w:p>
        </w:tc>
        <w:tc>
          <w:tcPr>
            <w:tcW w:type="dxa" w:w="1267"/>
            <w:shd w:val="clear" w:fill="F1E6C8"/>
          </w:tcPr>
          <w:p>
            <w:pPr>
              <w:jc w:val="center"/>
            </w:pPr>
            <w:r/>
            <w:r>
              <w:rPr>
                <w:rFonts w:ascii="Calibri" w:hAnsi="Calibri"/>
                <w:b/>
                <w:sz w:val="19"/>
              </w:rPr>
              <w:t>2,024</w:t>
            </w:r>
          </w:p>
        </w:tc>
      </w:tr>
      <w:tr>
        <w:tc>
          <w:tcPr>
            <w:tcW w:type="dxa" w:w="2736"/>
          </w:tcPr>
          <w:p>
            <w:r/>
            <w:r>
              <w:rPr>
                <w:rFonts w:ascii="Calibri" w:hAnsi="Calibri"/>
                <w:b w:val="0"/>
                <w:sz w:val="19"/>
              </w:rPr>
              <w:t>Discount factor</w:t>
            </w:r>
          </w:p>
        </w:tc>
        <w:tc>
          <w:tcPr>
            <w:tcW w:type="dxa" w:w="1267"/>
          </w:tcPr>
          <w:p>
            <w:pPr>
              <w:jc w:val="center"/>
            </w:pPr>
            <w:r/>
            <w:r>
              <w:rPr>
                <w:rFonts w:ascii="Calibri" w:hAnsi="Calibri"/>
                <w:b w:val="0"/>
                <w:sz w:val="19"/>
              </w:rPr>
              <w:t>0.844</w:t>
            </w:r>
          </w:p>
        </w:tc>
        <w:tc>
          <w:tcPr>
            <w:tcW w:type="dxa" w:w="1267"/>
          </w:tcPr>
          <w:p>
            <w:pPr>
              <w:jc w:val="center"/>
            </w:pPr>
            <w:r/>
            <w:r>
              <w:rPr>
                <w:rFonts w:ascii="Calibri" w:hAnsi="Calibri"/>
                <w:b w:val="0"/>
                <w:sz w:val="19"/>
              </w:rPr>
              <w:t>0.712</w:t>
            </w:r>
          </w:p>
        </w:tc>
        <w:tc>
          <w:tcPr>
            <w:tcW w:type="dxa" w:w="1267"/>
          </w:tcPr>
          <w:p>
            <w:pPr>
              <w:jc w:val="center"/>
            </w:pPr>
            <w:r/>
            <w:r>
              <w:rPr>
                <w:rFonts w:ascii="Calibri" w:hAnsi="Calibri"/>
                <w:b w:val="0"/>
                <w:sz w:val="19"/>
              </w:rPr>
              <w:t>0.601</w:t>
            </w:r>
          </w:p>
        </w:tc>
        <w:tc>
          <w:tcPr>
            <w:tcW w:type="dxa" w:w="1267"/>
          </w:tcPr>
          <w:p>
            <w:pPr>
              <w:jc w:val="center"/>
            </w:pPr>
            <w:r/>
            <w:r>
              <w:rPr>
                <w:rFonts w:ascii="Calibri" w:hAnsi="Calibri"/>
                <w:b w:val="0"/>
                <w:sz w:val="19"/>
              </w:rPr>
              <w:t>0.507</w:t>
            </w:r>
          </w:p>
        </w:tc>
        <w:tc>
          <w:tcPr>
            <w:tcW w:type="dxa" w:w="1267"/>
          </w:tcPr>
          <w:p>
            <w:pPr>
              <w:jc w:val="center"/>
            </w:pPr>
            <w:r/>
            <w:r>
              <w:rPr>
                <w:rFonts w:ascii="Calibri" w:hAnsi="Calibri"/>
                <w:b w:val="0"/>
                <w:sz w:val="19"/>
              </w:rPr>
              <w:t>0.428</w:t>
            </w:r>
          </w:p>
        </w:tc>
      </w:tr>
      <w:tr>
        <w:tc>
          <w:tcPr>
            <w:tcW w:type="dxa" w:w="2736"/>
            <w:shd w:val="clear" w:fill="F1E6C8"/>
          </w:tcPr>
          <w:p>
            <w:r/>
            <w:r>
              <w:rPr>
                <w:rFonts w:ascii="Calibri" w:hAnsi="Calibri"/>
                <w:b/>
                <w:sz w:val="19"/>
              </w:rPr>
              <w:t>PV of FCFF</w:t>
            </w:r>
          </w:p>
        </w:tc>
        <w:tc>
          <w:tcPr>
            <w:tcW w:type="dxa" w:w="1267"/>
            <w:shd w:val="clear" w:fill="F1E6C8"/>
          </w:tcPr>
          <w:p>
            <w:pPr>
              <w:jc w:val="center"/>
            </w:pPr>
            <w:r/>
            <w:r>
              <w:rPr>
                <w:rFonts w:ascii="Calibri" w:hAnsi="Calibri"/>
                <w:b/>
                <w:sz w:val="19"/>
              </w:rPr>
              <w:t>970</w:t>
            </w:r>
          </w:p>
        </w:tc>
        <w:tc>
          <w:tcPr>
            <w:tcW w:type="dxa" w:w="1267"/>
            <w:shd w:val="clear" w:fill="F1E6C8"/>
          </w:tcPr>
          <w:p>
            <w:pPr>
              <w:jc w:val="center"/>
            </w:pPr>
            <w:r/>
            <w:r>
              <w:rPr>
                <w:rFonts w:ascii="Calibri" w:hAnsi="Calibri"/>
                <w:b/>
                <w:sz w:val="19"/>
              </w:rPr>
              <w:t>948</w:t>
            </w:r>
          </w:p>
        </w:tc>
        <w:tc>
          <w:tcPr>
            <w:tcW w:type="dxa" w:w="1267"/>
            <w:shd w:val="clear" w:fill="F1E6C8"/>
          </w:tcPr>
          <w:p>
            <w:pPr>
              <w:jc w:val="center"/>
            </w:pPr>
            <w:r/>
            <w:r>
              <w:rPr>
                <w:rFonts w:ascii="Calibri" w:hAnsi="Calibri"/>
                <w:b/>
                <w:sz w:val="19"/>
              </w:rPr>
              <w:t>920</w:t>
            </w:r>
          </w:p>
        </w:tc>
        <w:tc>
          <w:tcPr>
            <w:tcW w:type="dxa" w:w="1267"/>
            <w:shd w:val="clear" w:fill="F1E6C8"/>
          </w:tcPr>
          <w:p>
            <w:pPr>
              <w:jc w:val="center"/>
            </w:pPr>
            <w:r/>
            <w:r>
              <w:rPr>
                <w:rFonts w:ascii="Calibri" w:hAnsi="Calibri"/>
                <w:b/>
                <w:sz w:val="19"/>
              </w:rPr>
              <w:t>893</w:t>
            </w:r>
          </w:p>
        </w:tc>
        <w:tc>
          <w:tcPr>
            <w:tcW w:type="dxa" w:w="1267"/>
            <w:shd w:val="clear" w:fill="F1E6C8"/>
          </w:tcPr>
          <w:p>
            <w:pPr>
              <w:jc w:val="center"/>
            </w:pPr>
            <w:r/>
            <w:r>
              <w:rPr>
                <w:rFonts w:ascii="Calibri" w:hAnsi="Calibri"/>
                <w:b/>
                <w:sz w:val="19"/>
              </w:rPr>
              <w:t>866</w:t>
            </w:r>
          </w:p>
        </w:tc>
      </w:tr>
    </w:tbl>
    <w:p/>
    <w:tbl>
      <w:tblPr>
        <w:tblStyle w:val="TableGrid"/>
        <w:tblW w:type="auto" w:w="0"/>
        <w:jc w:val="center"/>
        <w:tblLook w:firstColumn="1" w:firstRow="1" w:lastColumn="0" w:lastRow="0" w:noHBand="0" w:noVBand="1" w:val="04A0"/>
      </w:tblPr>
      <w:tblGrid>
        <w:gridCol w:w="4968"/>
        <w:gridCol w:w="4968"/>
      </w:tblGrid>
      <w:tr>
        <w:tc>
          <w:tcPr>
            <w:tcW w:type="dxa" w:w="4608"/>
            <w:shd w:val="clear" w:fill="1B5E5E"/>
          </w:tcPr>
          <w:p>
            <w:pPr>
              <w:jc w:val="center"/>
            </w:pPr>
            <w:r/>
            <w:r>
              <w:rPr>
                <w:rFonts w:ascii="Calibri" w:hAnsi="Calibri"/>
                <w:b/>
                <w:color w:val="FFFFFF"/>
                <w:sz w:val="19"/>
              </w:rPr>
              <w:t>DCF bridge</w:t>
            </w:r>
          </w:p>
        </w:tc>
        <w:tc>
          <w:tcPr>
            <w:tcW w:type="dxa" w:w="2304"/>
            <w:shd w:val="clear" w:fill="1B5E5E"/>
          </w:tcPr>
          <w:p>
            <w:pPr>
              <w:jc w:val="center"/>
            </w:pPr>
            <w:r/>
            <w:r>
              <w:rPr>
                <w:rFonts w:ascii="Calibri" w:hAnsi="Calibri"/>
                <w:b/>
                <w:color w:val="FFFFFF"/>
                <w:sz w:val="19"/>
              </w:rPr>
              <w:t>Value (EGP mn)</w:t>
            </w:r>
          </w:p>
        </w:tc>
      </w:tr>
      <w:tr>
        <w:tc>
          <w:tcPr>
            <w:tcW w:type="dxa" w:w="4608"/>
          </w:tcPr>
          <w:p>
            <w:r/>
            <w:r>
              <w:rPr>
                <w:rFonts w:ascii="Calibri" w:hAnsi="Calibri"/>
                <w:b w:val="0"/>
                <w:sz w:val="19"/>
              </w:rPr>
              <w:t>Σ PV of explicit FCFF (FY26–30)</w:t>
            </w:r>
          </w:p>
        </w:tc>
        <w:tc>
          <w:tcPr>
            <w:tcW w:type="dxa" w:w="2304"/>
          </w:tcPr>
          <w:p>
            <w:pPr>
              <w:jc w:val="center"/>
            </w:pPr>
            <w:r/>
            <w:r>
              <w:rPr>
                <w:rFonts w:ascii="Calibri" w:hAnsi="Calibri"/>
                <w:b w:val="0"/>
                <w:sz w:val="19"/>
              </w:rPr>
              <w:t>4,597</w:t>
            </w:r>
          </w:p>
        </w:tc>
      </w:tr>
      <w:tr>
        <w:tc>
          <w:tcPr>
            <w:tcW w:type="dxa" w:w="4608"/>
          </w:tcPr>
          <w:p>
            <w:r/>
            <w:r>
              <w:rPr>
                <w:rFonts w:ascii="Calibri" w:hAnsi="Calibri"/>
                <w:b w:val="0"/>
                <w:sz w:val="19"/>
              </w:rPr>
              <w:t>Terminal value (Gordon)</w:t>
            </w:r>
          </w:p>
        </w:tc>
        <w:tc>
          <w:tcPr>
            <w:tcW w:type="dxa" w:w="2304"/>
          </w:tcPr>
          <w:p>
            <w:pPr>
              <w:jc w:val="center"/>
            </w:pPr>
            <w:r/>
            <w:r>
              <w:rPr>
                <w:rFonts w:ascii="Calibri" w:hAnsi="Calibri"/>
                <w:b w:val="0"/>
                <w:sz w:val="19"/>
              </w:rPr>
              <w:t>26,198</w:t>
            </w:r>
          </w:p>
        </w:tc>
      </w:tr>
      <w:tr>
        <w:tc>
          <w:tcPr>
            <w:tcW w:type="dxa" w:w="4608"/>
          </w:tcPr>
          <w:p>
            <w:r/>
            <w:r>
              <w:rPr>
                <w:rFonts w:ascii="Calibri" w:hAnsi="Calibri"/>
                <w:b w:val="0"/>
                <w:sz w:val="19"/>
              </w:rPr>
              <w:t>PV of terminal value</w:t>
            </w:r>
          </w:p>
        </w:tc>
        <w:tc>
          <w:tcPr>
            <w:tcW w:type="dxa" w:w="2304"/>
          </w:tcPr>
          <w:p>
            <w:pPr>
              <w:jc w:val="center"/>
            </w:pPr>
            <w:r/>
            <w:r>
              <w:rPr>
                <w:rFonts w:ascii="Calibri" w:hAnsi="Calibri"/>
                <w:b w:val="0"/>
                <w:sz w:val="19"/>
              </w:rPr>
              <w:t>11,212</w:t>
            </w:r>
          </w:p>
        </w:tc>
      </w:tr>
      <w:tr>
        <w:tc>
          <w:tcPr>
            <w:tcW w:type="dxa" w:w="4608"/>
          </w:tcPr>
          <w:p>
            <w:r/>
            <w:r>
              <w:rPr>
                <w:rFonts w:ascii="Calibri" w:hAnsi="Calibri"/>
                <w:b w:val="0"/>
                <w:sz w:val="19"/>
              </w:rPr>
              <w:t>Enterprise value</w:t>
            </w:r>
          </w:p>
        </w:tc>
        <w:tc>
          <w:tcPr>
            <w:tcW w:type="dxa" w:w="2304"/>
          </w:tcPr>
          <w:p>
            <w:pPr>
              <w:jc w:val="center"/>
            </w:pPr>
            <w:r/>
            <w:r>
              <w:rPr>
                <w:rFonts w:ascii="Calibri" w:hAnsi="Calibri"/>
                <w:b w:val="0"/>
                <w:sz w:val="19"/>
              </w:rPr>
              <w:t>15,809</w:t>
            </w:r>
          </w:p>
        </w:tc>
      </w:tr>
      <w:tr>
        <w:tc>
          <w:tcPr>
            <w:tcW w:type="dxa" w:w="4608"/>
          </w:tcPr>
          <w:p>
            <w:r/>
            <w:r>
              <w:rPr>
                <w:rFonts w:ascii="Calibri" w:hAnsi="Calibri"/>
                <w:b w:val="0"/>
                <w:sz w:val="19"/>
              </w:rPr>
              <w:t>TV as % of enterprise value</w:t>
            </w:r>
          </w:p>
        </w:tc>
        <w:tc>
          <w:tcPr>
            <w:tcW w:type="dxa" w:w="2304"/>
          </w:tcPr>
          <w:p>
            <w:pPr>
              <w:jc w:val="center"/>
            </w:pPr>
            <w:r/>
            <w:r>
              <w:rPr>
                <w:rFonts w:ascii="Calibri" w:hAnsi="Calibri"/>
                <w:b w:val="0"/>
                <w:sz w:val="19"/>
              </w:rPr>
              <w:t>71%</w:t>
            </w:r>
          </w:p>
        </w:tc>
      </w:tr>
      <w:tr>
        <w:tc>
          <w:tcPr>
            <w:tcW w:type="dxa" w:w="4608"/>
          </w:tcPr>
          <w:p>
            <w:r/>
            <w:r>
              <w:rPr>
                <w:rFonts w:ascii="Calibri" w:hAnsi="Calibri"/>
                <w:b w:val="0"/>
                <w:sz w:val="19"/>
              </w:rPr>
              <w:t>less: net debt + minority</w:t>
            </w:r>
          </w:p>
        </w:tc>
        <w:tc>
          <w:tcPr>
            <w:tcW w:type="dxa" w:w="2304"/>
          </w:tcPr>
          <w:p>
            <w:pPr>
              <w:jc w:val="center"/>
            </w:pPr>
            <w:r/>
            <w:r>
              <w:rPr>
                <w:rFonts w:ascii="Calibri" w:hAnsi="Calibri"/>
                <w:b w:val="0"/>
                <w:sz w:val="19"/>
              </w:rPr>
              <w:t>(8,000)</w:t>
            </w:r>
          </w:p>
        </w:tc>
      </w:tr>
      <w:tr>
        <w:tc>
          <w:tcPr>
            <w:tcW w:type="dxa" w:w="4608"/>
          </w:tcPr>
          <w:p>
            <w:r/>
            <w:r>
              <w:rPr>
                <w:rFonts w:ascii="Calibri" w:hAnsi="Calibri"/>
                <w:b w:val="0"/>
                <w:sz w:val="19"/>
              </w:rPr>
              <w:t>Equity value</w:t>
            </w:r>
          </w:p>
        </w:tc>
        <w:tc>
          <w:tcPr>
            <w:tcW w:type="dxa" w:w="2304"/>
          </w:tcPr>
          <w:p>
            <w:pPr>
              <w:jc w:val="center"/>
            </w:pPr>
            <w:r/>
            <w:r>
              <w:rPr>
                <w:rFonts w:ascii="Calibri" w:hAnsi="Calibri"/>
                <w:b w:val="0"/>
                <w:sz w:val="19"/>
              </w:rPr>
              <w:t>7,809</w:t>
            </w:r>
          </w:p>
        </w:tc>
      </w:tr>
      <w:tr>
        <w:tc>
          <w:tcPr>
            <w:tcW w:type="dxa" w:w="4608"/>
            <w:shd w:val="clear" w:fill="F1E6C8"/>
          </w:tcPr>
          <w:p>
            <w:r/>
            <w:r>
              <w:rPr>
                <w:rFonts w:ascii="Calibri" w:hAnsi="Calibri"/>
                <w:b/>
                <w:sz w:val="19"/>
              </w:rPr>
              <w:t>DCF fair value / share (EGP)</w:t>
            </w:r>
          </w:p>
        </w:tc>
        <w:tc>
          <w:tcPr>
            <w:tcW w:type="dxa" w:w="2304"/>
            <w:shd w:val="clear" w:fill="F1E6C8"/>
          </w:tcPr>
          <w:p>
            <w:pPr>
              <w:jc w:val="center"/>
            </w:pPr>
            <w:r/>
            <w:r>
              <w:rPr>
                <w:rFonts w:ascii="Calibri" w:hAnsi="Calibri"/>
                <w:b/>
                <w:sz w:val="19"/>
              </w:rPr>
              <w:t>7.46</w:t>
            </w:r>
          </w:p>
        </w:tc>
      </w:tr>
    </w:tbl>
    <w:p/>
    <w:p>
      <w:r>
        <w:rPr>
          <w:rFonts w:ascii="Calibri" w:hAnsi="Calibri"/>
          <w:b w:val="0"/>
          <w:i w:val="0"/>
          <w:sz w:val="21"/>
        </w:rPr>
        <w:t xml:space="preserve">The DCF base of </w:t>
      </w:r>
      <w:r>
        <w:rPr>
          <w:rFonts w:ascii="Calibri" w:hAnsi="Calibri"/>
          <w:b/>
          <w:i w:val="0"/>
          <w:sz w:val="21"/>
        </w:rPr>
        <w:t>EGP 7.46</w:t>
      </w:r>
      <w:r>
        <w:rPr>
          <w:rFonts w:ascii="Calibri" w:hAnsi="Calibri"/>
          <w:b w:val="0"/>
          <w:i w:val="0"/>
          <w:sz w:val="21"/>
        </w:rPr>
        <w:t xml:space="preserve"> sits below the SOTP — as expected, since a five-year FCFF window under-captures a decade-long development pipeline, and the 71% terminal-value share (disclosed per house rule) shows the answer is largely a terminal-g-versus-WACC bet dressed as a cash-flow model. We therefore treat it as the conservative floor on cash, not a co-anchor, and never blend it with the multiple into a single point — the football field does that job.</w:t>
      </w:r>
    </w:p>
    <w:p>
      <w:r>
        <w:rPr>
          <w:rFonts w:ascii="Calibri" w:hAnsi="Calibri"/>
          <w:b/>
          <w:color w:val="1B5E5E"/>
          <w:sz w:val="24"/>
        </w:rPr>
        <w:t>1.3  Relative multiples</w:t>
      </w:r>
    </w:p>
    <w:p>
      <w:r>
        <w:rPr>
          <w:rFonts w:ascii="Calibri" w:hAnsi="Calibri"/>
          <w:b w:val="0"/>
          <w:i w:val="0"/>
          <w:sz w:val="21"/>
        </w:rPr>
        <w:t>On its own numbers PRDC screens cheap on assets and unremarkable on earnings. The reliable anchor for an asset-heavy developer trading below book is price-to-book: at EGP 8.28 against a book value of about EGP 13.85/share the stock is on ~0.60× P/B, a discount that a ~5% return on equity partly justifies. Earnings-based multiples are less usable — attributable EPS is depressed by the minority split and the FY25 profit decline, so a clean P/E marks only a floor, and an EV/EBITDA net of debt and minority is dragged low by the same deductions.</w:t>
      </w:r>
    </w:p>
    <w:tbl>
      <w:tblPr>
        <w:tblStyle w:val="TableGrid"/>
        <w:tblW w:type="auto" w:w="0"/>
        <w:jc w:val="center"/>
        <w:tblLook w:firstColumn="1" w:firstRow="1" w:lastColumn="0" w:lastRow="0" w:noHBand="0" w:noVBand="1" w:val="04A0"/>
      </w:tblPr>
      <w:tblGrid>
        <w:gridCol w:w="3312"/>
        <w:gridCol w:w="3312"/>
        <w:gridCol w:w="3312"/>
      </w:tblGrid>
      <w:tr>
        <w:tc>
          <w:tcPr>
            <w:tcW w:type="dxa" w:w="4320"/>
            <w:shd w:val="clear" w:fill="1B5E5E"/>
          </w:tcPr>
          <w:p>
            <w:pPr>
              <w:jc w:val="center"/>
            </w:pPr>
            <w:r/>
            <w:r>
              <w:rPr>
                <w:rFonts w:ascii="Calibri" w:hAnsi="Calibri"/>
                <w:b/>
                <w:color w:val="FFFFFF"/>
                <w:sz w:val="19"/>
              </w:rPr>
              <w:t>Relative basis</w:t>
            </w:r>
          </w:p>
        </w:tc>
        <w:tc>
          <w:tcPr>
            <w:tcW w:type="dxa" w:w="1872"/>
            <w:shd w:val="clear" w:fill="1B5E5E"/>
          </w:tcPr>
          <w:p>
            <w:pPr>
              <w:jc w:val="center"/>
            </w:pPr>
            <w:r/>
            <w:r>
              <w:rPr>
                <w:rFonts w:ascii="Calibri" w:hAnsi="Calibri"/>
                <w:b/>
                <w:color w:val="FFFFFF"/>
                <w:sz w:val="19"/>
              </w:rPr>
              <w:t>Multiple</w:t>
            </w:r>
          </w:p>
        </w:tc>
        <w:tc>
          <w:tcPr>
            <w:tcW w:type="dxa" w:w="2592"/>
            <w:shd w:val="clear" w:fill="1B5E5E"/>
          </w:tcPr>
          <w:p>
            <w:pPr>
              <w:jc w:val="center"/>
            </w:pPr>
            <w:r/>
            <w:r>
              <w:rPr>
                <w:rFonts w:ascii="Calibri" w:hAnsi="Calibri"/>
                <w:b/>
                <w:color w:val="FFFFFF"/>
                <w:sz w:val="19"/>
              </w:rPr>
              <w:t>Implied EGP/share</w:t>
            </w:r>
          </w:p>
        </w:tc>
      </w:tr>
      <w:tr>
        <w:tc>
          <w:tcPr>
            <w:tcW w:type="dxa" w:w="4320"/>
          </w:tcPr>
          <w:p>
            <w:r/>
            <w:r>
              <w:rPr>
                <w:rFonts w:ascii="Calibri" w:hAnsi="Calibri"/>
                <w:b w:val="0"/>
                <w:sz w:val="19"/>
              </w:rPr>
              <w:t>P/B on book value</w:t>
            </w:r>
          </w:p>
        </w:tc>
        <w:tc>
          <w:tcPr>
            <w:tcW w:type="dxa" w:w="1872"/>
          </w:tcPr>
          <w:p>
            <w:pPr>
              <w:jc w:val="center"/>
            </w:pPr>
            <w:r/>
            <w:r>
              <w:rPr>
                <w:rFonts w:ascii="Calibri" w:hAnsi="Calibri"/>
                <w:b w:val="0"/>
                <w:sz w:val="19"/>
              </w:rPr>
              <w:t>0.55×</w:t>
            </w:r>
          </w:p>
        </w:tc>
        <w:tc>
          <w:tcPr>
            <w:tcW w:type="dxa" w:w="2592"/>
          </w:tcPr>
          <w:p>
            <w:pPr>
              <w:jc w:val="center"/>
            </w:pPr>
            <w:r/>
            <w:r>
              <w:rPr>
                <w:rFonts w:ascii="Calibri" w:hAnsi="Calibri"/>
                <w:b w:val="0"/>
                <w:sz w:val="19"/>
              </w:rPr>
              <w:t>7.62</w:t>
            </w:r>
          </w:p>
        </w:tc>
      </w:tr>
      <w:tr>
        <w:tc>
          <w:tcPr>
            <w:tcW w:type="dxa" w:w="4320"/>
          </w:tcPr>
          <w:p>
            <w:r/>
            <w:r>
              <w:rPr>
                <w:rFonts w:ascii="Calibri" w:hAnsi="Calibri"/>
                <w:b w:val="0"/>
                <w:sz w:val="19"/>
              </w:rPr>
              <w:t>P/E on attributable EPS (depressed)</w:t>
            </w:r>
          </w:p>
        </w:tc>
        <w:tc>
          <w:tcPr>
            <w:tcW w:type="dxa" w:w="1872"/>
          </w:tcPr>
          <w:p>
            <w:pPr>
              <w:jc w:val="center"/>
            </w:pPr>
            <w:r/>
            <w:r>
              <w:rPr>
                <w:rFonts w:ascii="Calibri" w:hAnsi="Calibri"/>
                <w:b w:val="0"/>
                <w:sz w:val="19"/>
              </w:rPr>
              <w:t>8.0×</w:t>
            </w:r>
          </w:p>
        </w:tc>
        <w:tc>
          <w:tcPr>
            <w:tcW w:type="dxa" w:w="2592"/>
          </w:tcPr>
          <w:p>
            <w:pPr>
              <w:jc w:val="center"/>
            </w:pPr>
            <w:r/>
            <w:r>
              <w:rPr>
                <w:rFonts w:ascii="Calibri" w:hAnsi="Calibri"/>
                <w:b w:val="0"/>
                <w:sz w:val="19"/>
              </w:rPr>
              <w:t>2.80</w:t>
            </w:r>
          </w:p>
        </w:tc>
      </w:tr>
      <w:tr>
        <w:tc>
          <w:tcPr>
            <w:tcW w:type="dxa" w:w="4320"/>
          </w:tcPr>
          <w:p>
            <w:r/>
            <w:r>
              <w:rPr>
                <w:rFonts w:ascii="Calibri" w:hAnsi="Calibri"/>
                <w:b w:val="0"/>
                <w:sz w:val="19"/>
              </w:rPr>
              <w:t>EV/EBITDA (net of debt &amp; minority)</w:t>
            </w:r>
          </w:p>
        </w:tc>
        <w:tc>
          <w:tcPr>
            <w:tcW w:type="dxa" w:w="1872"/>
          </w:tcPr>
          <w:p>
            <w:pPr>
              <w:jc w:val="center"/>
            </w:pPr>
            <w:r/>
            <w:r>
              <w:rPr>
                <w:rFonts w:ascii="Calibri" w:hAnsi="Calibri"/>
                <w:b w:val="0"/>
                <w:sz w:val="19"/>
              </w:rPr>
              <w:t>7.0×</w:t>
            </w:r>
          </w:p>
        </w:tc>
        <w:tc>
          <w:tcPr>
            <w:tcW w:type="dxa" w:w="2592"/>
          </w:tcPr>
          <w:p>
            <w:pPr>
              <w:jc w:val="center"/>
            </w:pPr>
            <w:r/>
            <w:r>
              <w:rPr>
                <w:rFonts w:ascii="Calibri" w:hAnsi="Calibri"/>
                <w:b w:val="0"/>
                <w:sz w:val="19"/>
              </w:rPr>
              <w:t>1.72</w:t>
            </w:r>
          </w:p>
        </w:tc>
      </w:tr>
      <w:tr>
        <w:tc>
          <w:tcPr>
            <w:tcW w:type="dxa" w:w="4320"/>
            <w:shd w:val="clear" w:fill="F1E6C8"/>
          </w:tcPr>
          <w:p>
            <w:r/>
            <w:r>
              <w:rPr>
                <w:rFonts w:ascii="Calibri" w:hAnsi="Calibri"/>
                <w:b/>
                <w:sz w:val="19"/>
              </w:rPr>
              <w:t>Blended relative (P/B-weighted)</w:t>
            </w:r>
          </w:p>
        </w:tc>
        <w:tc>
          <w:tcPr>
            <w:tcW w:type="dxa" w:w="1872"/>
            <w:shd w:val="clear" w:fill="F1E6C8"/>
          </w:tcPr>
          <w:p>
            <w:pPr>
              <w:jc w:val="center"/>
            </w:pPr>
            <w:r/>
            <w:r>
              <w:rPr>
                <w:rFonts w:ascii="Calibri" w:hAnsi="Calibri"/>
                <w:b/>
                <w:sz w:val="19"/>
              </w:rPr>
            </w:r>
          </w:p>
        </w:tc>
        <w:tc>
          <w:tcPr>
            <w:tcW w:type="dxa" w:w="2592"/>
            <w:shd w:val="clear" w:fill="F1E6C8"/>
          </w:tcPr>
          <w:p>
            <w:pPr>
              <w:jc w:val="center"/>
            </w:pPr>
            <w:r/>
            <w:r>
              <w:rPr>
                <w:rFonts w:ascii="Calibri" w:hAnsi="Calibri"/>
                <w:b/>
                <w:sz w:val="19"/>
              </w:rPr>
              <w:t>6.01</w:t>
            </w:r>
          </w:p>
        </w:tc>
      </w:tr>
    </w:tbl>
    <w:p/>
    <w:p>
      <w:r>
        <w:rPr>
          <w:rFonts w:ascii="Calibri" w:hAnsi="Calibri"/>
          <w:b/>
          <w:i w:val="0"/>
          <w:sz w:val="21"/>
        </w:rPr>
        <w:t>Relative base ≈ EGP 6.01</w:t>
      </w:r>
      <w:r>
        <w:rPr>
          <w:rFonts w:ascii="Calibri" w:hAnsi="Calibri"/>
          <w:b w:val="0"/>
          <w:i w:val="0"/>
          <w:sz w:val="21"/>
        </w:rPr>
        <w:t xml:space="preserve"> — the most conservative lens and the floor of the range. It treats PRDC as a below-book asset play whose earnings quality (minority leakage, no dividend) caps the multiple, and credits no separate optionality to the land bank.</w:t>
      </w:r>
    </w:p>
    <w:p>
      <w:r>
        <w:rPr>
          <w:rFonts w:ascii="Calibri" w:hAnsi="Calibri"/>
          <w:b/>
          <w:color w:val="1B5E5E"/>
          <w:sz w:val="24"/>
        </w:rPr>
        <w:t>1.4  Property-cycle framing (replaces 'normalized earnings power')</w:t>
      </w:r>
    </w:p>
    <w:p>
      <w:r>
        <w:rPr>
          <w:rFonts w:ascii="Calibri" w:hAnsi="Calibri"/>
          <w:b w:val="0"/>
          <w:i w:val="0"/>
          <w:sz w:val="21"/>
        </w:rPr>
        <w:t>Because each PRDC project is finite — land is bought, built and sold over roughly a decade — a 'normalized EPS' is near-meaningless, so we state cycle position instead. Egypt's residential market is deep in an inflation-driven presales boom: with real deposit rates negative for much of the period, property has been the household inflation hedge, and off-plan penetration is high. Contracted sales of ~EGP 27–30 bn a year put PRDC's launch machine near a cyclical high; IVOIRE East (438,000 sqm, ~EGP 22 bn of gross development value) is the flagship still being absorbed. Capitalising mid-cycle attributable earnings power — the profit the group can sustainably book and, eventually, distribute once the current build-out matures — points to a value around EGP 9.20, the ceiling of the central case. The bet embedded here is that the presales boom does not roll over into affordability strain before the pipeline is delivered.</w:t>
      </w:r>
    </w:p>
    <w:p>
      <w:r>
        <w:rPr>
          <w:rFonts w:ascii="Calibri" w:hAnsi="Calibri"/>
          <w:b/>
          <w:color w:val="1B5E5E"/>
          <w:sz w:val="24"/>
        </w:rPr>
        <w:t>1.5  Synthesis — five lenses</w:t>
      </w:r>
    </w:p>
    <w:p>
      <w:r>
        <w:rPr>
          <w:rFonts w:ascii="Calibri" w:hAnsi="Calibri"/>
          <w:b w:val="0"/>
          <w:i w:val="0"/>
          <w:sz w:val="21"/>
        </w:rPr>
        <w:t>We weight the SOTP/RNAV most heavily because it respects the differing economics of the legs and the split-NAV discipline; the DCF and property-cycle lenses carry the recovery/monetisation thesis; the relative lens anchors the floor.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456"/>
            <w:shd w:val="clear" w:fill="1B5E5E"/>
          </w:tcPr>
          <w:p>
            <w:pPr>
              <w:jc w:val="center"/>
            </w:pPr>
            <w:r/>
            <w:r>
              <w:rPr>
                <w:rFonts w:ascii="Calibri" w:hAnsi="Calibri"/>
                <w:b/>
                <w:color w:val="FFFFFF"/>
                <w:sz w:val="19"/>
              </w:rPr>
              <w:t>Lens</w:t>
            </w:r>
          </w:p>
        </w:tc>
        <w:tc>
          <w:tcPr>
            <w:tcW w:type="dxa" w:w="1296"/>
            <w:shd w:val="clear" w:fill="1B5E5E"/>
          </w:tcPr>
          <w:p>
            <w:pPr>
              <w:jc w:val="center"/>
            </w:pPr>
            <w:r/>
            <w:r>
              <w:rPr>
                <w:rFonts w:ascii="Calibri" w:hAnsi="Calibri"/>
                <w:b/>
                <w:color w:val="FFFFFF"/>
                <w:sz w:val="19"/>
              </w:rPr>
              <w:t>Weight</w:t>
            </w:r>
          </w:p>
        </w:tc>
        <w:tc>
          <w:tcPr>
            <w:tcW w:type="dxa" w:w="1440"/>
            <w:shd w:val="clear" w:fill="1B5E5E"/>
          </w:tcPr>
          <w:p>
            <w:pPr>
              <w:jc w:val="center"/>
            </w:pPr>
            <w:r/>
            <w:r>
              <w:rPr>
                <w:rFonts w:ascii="Calibri" w:hAnsi="Calibri"/>
                <w:b/>
                <w:color w:val="FFFFFF"/>
                <w:sz w:val="19"/>
              </w:rPr>
              <w:t>Bear</w:t>
            </w:r>
          </w:p>
        </w:tc>
        <w:tc>
          <w:tcPr>
            <w:tcW w:type="dxa" w:w="1440"/>
            <w:shd w:val="clear" w:fill="1B5E5E"/>
          </w:tcPr>
          <w:p>
            <w:pPr>
              <w:jc w:val="center"/>
            </w:pPr>
            <w:r/>
            <w:r>
              <w:rPr>
                <w:rFonts w:ascii="Calibri" w:hAnsi="Calibri"/>
                <w:b/>
                <w:color w:val="FFFFFF"/>
                <w:sz w:val="19"/>
              </w:rPr>
              <w:t>Base</w:t>
            </w:r>
          </w:p>
        </w:tc>
        <w:tc>
          <w:tcPr>
            <w:tcW w:type="dxa" w:w="1440"/>
            <w:shd w:val="clear" w:fill="1B5E5E"/>
          </w:tcPr>
          <w:p>
            <w:pPr>
              <w:jc w:val="center"/>
            </w:pPr>
            <w:r/>
            <w:r>
              <w:rPr>
                <w:rFonts w:ascii="Calibri" w:hAnsi="Calibri"/>
                <w:b/>
                <w:color w:val="FFFFFF"/>
                <w:sz w:val="19"/>
              </w:rPr>
              <w:t>Bull</w:t>
            </w:r>
          </w:p>
        </w:tc>
      </w:tr>
      <w:tr>
        <w:tc>
          <w:tcPr>
            <w:tcW w:type="dxa" w:w="3456"/>
          </w:tcPr>
          <w:p>
            <w:r/>
            <w:r>
              <w:rPr>
                <w:rFonts w:ascii="Calibri" w:hAnsi="Calibri"/>
                <w:b w:val="0"/>
                <w:sz w:val="19"/>
              </w:rPr>
              <w:t>Sum-of-the-parts / RNAV</w:t>
            </w:r>
          </w:p>
        </w:tc>
        <w:tc>
          <w:tcPr>
            <w:tcW w:type="dxa" w:w="1296"/>
          </w:tcPr>
          <w:p>
            <w:pPr>
              <w:jc w:val="center"/>
            </w:pPr>
            <w:r/>
            <w:r>
              <w:rPr>
                <w:rFonts w:ascii="Calibri" w:hAnsi="Calibri"/>
                <w:b w:val="0"/>
                <w:sz w:val="19"/>
              </w:rPr>
              <w:t>40%</w:t>
            </w:r>
          </w:p>
        </w:tc>
        <w:tc>
          <w:tcPr>
            <w:tcW w:type="dxa" w:w="1440"/>
          </w:tcPr>
          <w:p>
            <w:pPr>
              <w:jc w:val="center"/>
            </w:pPr>
            <w:r/>
            <w:r>
              <w:rPr>
                <w:rFonts w:ascii="Calibri" w:hAnsi="Calibri"/>
                <w:b w:val="0"/>
                <w:sz w:val="19"/>
              </w:rPr>
              <w:t>6.30</w:t>
            </w:r>
          </w:p>
        </w:tc>
        <w:tc>
          <w:tcPr>
            <w:tcW w:type="dxa" w:w="1440"/>
          </w:tcPr>
          <w:p>
            <w:pPr>
              <w:jc w:val="center"/>
            </w:pPr>
            <w:r/>
            <w:r>
              <w:rPr>
                <w:rFonts w:ascii="Calibri" w:hAnsi="Calibri"/>
                <w:b w:val="0"/>
                <w:sz w:val="19"/>
              </w:rPr>
              <w:t>8.85</w:t>
            </w:r>
          </w:p>
        </w:tc>
        <w:tc>
          <w:tcPr>
            <w:tcW w:type="dxa" w:w="1440"/>
          </w:tcPr>
          <w:p>
            <w:pPr>
              <w:jc w:val="center"/>
            </w:pPr>
            <w:r/>
            <w:r>
              <w:rPr>
                <w:rFonts w:ascii="Calibri" w:hAnsi="Calibri"/>
                <w:b w:val="0"/>
                <w:sz w:val="19"/>
              </w:rPr>
              <w:t>12.00</w:t>
            </w:r>
          </w:p>
        </w:tc>
      </w:tr>
      <w:tr>
        <w:tc>
          <w:tcPr>
            <w:tcW w:type="dxa" w:w="3456"/>
          </w:tcPr>
          <w:p>
            <w:r/>
            <w:r>
              <w:rPr>
                <w:rFonts w:ascii="Calibri" w:hAnsi="Calibri"/>
                <w:b w:val="0"/>
                <w:sz w:val="19"/>
              </w:rPr>
              <w:t>Consolidated DCF</w:t>
            </w:r>
          </w:p>
        </w:tc>
        <w:tc>
          <w:tcPr>
            <w:tcW w:type="dxa" w:w="1296"/>
          </w:tcPr>
          <w:p>
            <w:pPr>
              <w:jc w:val="center"/>
            </w:pPr>
            <w:r/>
            <w:r>
              <w:rPr>
                <w:rFonts w:ascii="Calibri" w:hAnsi="Calibri"/>
                <w:b w:val="0"/>
                <w:sz w:val="19"/>
              </w:rPr>
              <w:t>20%</w:t>
            </w:r>
          </w:p>
        </w:tc>
        <w:tc>
          <w:tcPr>
            <w:tcW w:type="dxa" w:w="1440"/>
          </w:tcPr>
          <w:p>
            <w:pPr>
              <w:jc w:val="center"/>
            </w:pPr>
            <w:r/>
            <w:r>
              <w:rPr>
                <w:rFonts w:ascii="Calibri" w:hAnsi="Calibri"/>
                <w:b w:val="0"/>
                <w:sz w:val="19"/>
              </w:rPr>
              <w:t>5.37</w:t>
            </w:r>
          </w:p>
        </w:tc>
        <w:tc>
          <w:tcPr>
            <w:tcW w:type="dxa" w:w="1440"/>
          </w:tcPr>
          <w:p>
            <w:pPr>
              <w:jc w:val="center"/>
            </w:pPr>
            <w:r/>
            <w:r>
              <w:rPr>
                <w:rFonts w:ascii="Calibri" w:hAnsi="Calibri"/>
                <w:b w:val="0"/>
                <w:sz w:val="19"/>
              </w:rPr>
              <w:t>7.46</w:t>
            </w:r>
          </w:p>
        </w:tc>
        <w:tc>
          <w:tcPr>
            <w:tcW w:type="dxa" w:w="1440"/>
          </w:tcPr>
          <w:p>
            <w:pPr>
              <w:jc w:val="center"/>
            </w:pPr>
            <w:r/>
            <w:r>
              <w:rPr>
                <w:rFonts w:ascii="Calibri" w:hAnsi="Calibri"/>
                <w:b w:val="0"/>
                <w:sz w:val="19"/>
              </w:rPr>
              <w:t>11.56</w:t>
            </w:r>
          </w:p>
        </w:tc>
      </w:tr>
      <w:tr>
        <w:tc>
          <w:tcPr>
            <w:tcW w:type="dxa" w:w="3456"/>
          </w:tcPr>
          <w:p>
            <w:r/>
            <w:r>
              <w:rPr>
                <w:rFonts w:ascii="Calibri" w:hAnsi="Calibri"/>
                <w:b w:val="0"/>
                <w:sz w:val="19"/>
              </w:rPr>
              <w:t>Relative multiples</w:t>
            </w:r>
          </w:p>
        </w:tc>
        <w:tc>
          <w:tcPr>
            <w:tcW w:type="dxa" w:w="1296"/>
          </w:tcPr>
          <w:p>
            <w:pPr>
              <w:jc w:val="center"/>
            </w:pPr>
            <w:r/>
            <w:r>
              <w:rPr>
                <w:rFonts w:ascii="Calibri" w:hAnsi="Calibri"/>
                <w:b w:val="0"/>
                <w:sz w:val="19"/>
              </w:rPr>
              <w:t>15%</w:t>
            </w:r>
          </w:p>
        </w:tc>
        <w:tc>
          <w:tcPr>
            <w:tcW w:type="dxa" w:w="1440"/>
          </w:tcPr>
          <w:p>
            <w:pPr>
              <w:jc w:val="center"/>
            </w:pPr>
            <w:r/>
            <w:r>
              <w:rPr>
                <w:rFonts w:ascii="Calibri" w:hAnsi="Calibri"/>
                <w:b w:val="0"/>
                <w:sz w:val="19"/>
              </w:rPr>
              <w:t>4.50</w:t>
            </w:r>
          </w:p>
        </w:tc>
        <w:tc>
          <w:tcPr>
            <w:tcW w:type="dxa" w:w="1440"/>
          </w:tcPr>
          <w:p>
            <w:pPr>
              <w:jc w:val="center"/>
            </w:pPr>
            <w:r/>
            <w:r>
              <w:rPr>
                <w:rFonts w:ascii="Calibri" w:hAnsi="Calibri"/>
                <w:b w:val="0"/>
                <w:sz w:val="19"/>
              </w:rPr>
              <w:t>6.01</w:t>
            </w:r>
          </w:p>
        </w:tc>
        <w:tc>
          <w:tcPr>
            <w:tcW w:type="dxa" w:w="1440"/>
          </w:tcPr>
          <w:p>
            <w:pPr>
              <w:jc w:val="center"/>
            </w:pPr>
            <w:r/>
            <w:r>
              <w:rPr>
                <w:rFonts w:ascii="Calibri" w:hAnsi="Calibri"/>
                <w:b w:val="0"/>
                <w:sz w:val="19"/>
              </w:rPr>
              <w:t>8.80</w:t>
            </w:r>
          </w:p>
        </w:tc>
      </w:tr>
      <w:tr>
        <w:tc>
          <w:tcPr>
            <w:tcW w:type="dxa" w:w="3456"/>
          </w:tcPr>
          <w:p>
            <w:r/>
            <w:r>
              <w:rPr>
                <w:rFonts w:ascii="Calibri" w:hAnsi="Calibri"/>
                <w:b w:val="0"/>
                <w:sz w:val="19"/>
              </w:rPr>
              <w:t>Property-cycle earnings</w:t>
            </w:r>
          </w:p>
        </w:tc>
        <w:tc>
          <w:tcPr>
            <w:tcW w:type="dxa" w:w="1296"/>
          </w:tcPr>
          <w:p>
            <w:pPr>
              <w:jc w:val="center"/>
            </w:pPr>
            <w:r/>
            <w:r>
              <w:rPr>
                <w:rFonts w:ascii="Calibri" w:hAnsi="Calibri"/>
                <w:b w:val="0"/>
                <w:sz w:val="19"/>
              </w:rPr>
              <w:t>25%</w:t>
            </w:r>
          </w:p>
        </w:tc>
        <w:tc>
          <w:tcPr>
            <w:tcW w:type="dxa" w:w="1440"/>
          </w:tcPr>
          <w:p>
            <w:pPr>
              <w:jc w:val="center"/>
            </w:pPr>
            <w:r/>
            <w:r>
              <w:rPr>
                <w:rFonts w:ascii="Calibri" w:hAnsi="Calibri"/>
                <w:b w:val="0"/>
                <w:sz w:val="19"/>
              </w:rPr>
              <w:t>6.60</w:t>
            </w:r>
          </w:p>
        </w:tc>
        <w:tc>
          <w:tcPr>
            <w:tcW w:type="dxa" w:w="1440"/>
          </w:tcPr>
          <w:p>
            <w:pPr>
              <w:jc w:val="center"/>
            </w:pPr>
            <w:r/>
            <w:r>
              <w:rPr>
                <w:rFonts w:ascii="Calibri" w:hAnsi="Calibri"/>
                <w:b w:val="0"/>
                <w:sz w:val="19"/>
              </w:rPr>
              <w:t>9.20</w:t>
            </w:r>
          </w:p>
        </w:tc>
        <w:tc>
          <w:tcPr>
            <w:tcW w:type="dxa" w:w="1440"/>
          </w:tcPr>
          <w:p>
            <w:pPr>
              <w:jc w:val="center"/>
            </w:pPr>
            <w:r/>
            <w:r>
              <w:rPr>
                <w:rFonts w:ascii="Calibri" w:hAnsi="Calibri"/>
                <w:b w:val="0"/>
                <w:sz w:val="19"/>
              </w:rPr>
              <w:t>12.30</w:t>
            </w:r>
          </w:p>
        </w:tc>
      </w:tr>
      <w:tr>
        <w:tc>
          <w:tcPr>
            <w:tcW w:type="dxa" w:w="3456"/>
            <w:shd w:val="clear" w:fill="F1E6C8"/>
          </w:tcPr>
          <w:p>
            <w:r/>
            <w:r>
              <w:rPr>
                <w:rFonts w:ascii="Calibri" w:hAnsi="Calibri"/>
                <w:b/>
                <w:sz w:val="19"/>
              </w:rPr>
              <w:t>Weighted central</w:t>
            </w:r>
          </w:p>
        </w:tc>
        <w:tc>
          <w:tcPr>
            <w:tcW w:type="dxa" w:w="1296"/>
            <w:shd w:val="clear" w:fill="F1E6C8"/>
          </w:tcPr>
          <w:p>
            <w:pPr>
              <w:jc w:val="center"/>
            </w:pPr>
            <w:r/>
            <w:r>
              <w:rPr>
                <w:rFonts w:ascii="Calibri" w:hAnsi="Calibri"/>
                <w:b/>
                <w:sz w:val="19"/>
              </w:rPr>
            </w:r>
          </w:p>
        </w:tc>
        <w:tc>
          <w:tcPr>
            <w:tcW w:type="dxa" w:w="1440"/>
            <w:shd w:val="clear" w:fill="F1E6C8"/>
          </w:tcPr>
          <w:p>
            <w:pPr>
              <w:jc w:val="center"/>
            </w:pPr>
            <w:r/>
            <w:r>
              <w:rPr>
                <w:rFonts w:ascii="Calibri" w:hAnsi="Calibri"/>
                <w:b/>
                <w:sz w:val="19"/>
              </w:rPr>
              <w:t>5.92</w:t>
            </w:r>
          </w:p>
        </w:tc>
        <w:tc>
          <w:tcPr>
            <w:tcW w:type="dxa" w:w="1440"/>
            <w:shd w:val="clear" w:fill="F1E6C8"/>
          </w:tcPr>
          <w:p>
            <w:pPr>
              <w:jc w:val="center"/>
            </w:pPr>
            <w:r/>
            <w:r>
              <w:rPr>
                <w:rFonts w:ascii="Calibri" w:hAnsi="Calibri"/>
                <w:b/>
                <w:sz w:val="19"/>
              </w:rPr>
              <w:t>8.23</w:t>
            </w:r>
          </w:p>
        </w:tc>
        <w:tc>
          <w:tcPr>
            <w:tcW w:type="dxa" w:w="1440"/>
            <w:shd w:val="clear" w:fill="F1E6C8"/>
          </w:tcPr>
          <w:p>
            <w:pPr>
              <w:jc w:val="center"/>
            </w:pPr>
            <w:r/>
            <w:r>
              <w:rPr>
                <w:rFonts w:ascii="Calibri" w:hAnsi="Calibri"/>
                <w:b/>
                <w:sz w:val="19"/>
              </w:rPr>
              <w:t>11.51</w:t>
            </w:r>
          </w:p>
        </w:tc>
      </w:tr>
    </w:tbl>
    <w:p/>
    <w:p>
      <w:pPr>
        <w:jc w:val="center"/>
      </w:pPr>
      <w:r>
        <w:drawing>
          <wp:inline xmlns:a="http://schemas.openxmlformats.org/drawingml/2006/main" xmlns:pic="http://schemas.openxmlformats.org/drawingml/2006/picture">
            <wp:extent cx="5760720" cy="3141513"/>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3141513"/>
                    </a:xfrm>
                    <a:prstGeom prst="rect"/>
                  </pic:spPr>
                </pic:pic>
              </a:graphicData>
            </a:graphic>
          </wp:inline>
        </w:drawing>
      </w:r>
    </w:p>
    <w:p>
      <w:r>
        <w:rPr>
          <w:rFonts w:ascii="Calibri" w:hAnsi="Calibri"/>
          <w:b w:val="0"/>
          <w:i/>
          <w:sz w:val="17"/>
        </w:rPr>
        <w:t>Figure 1 — Valuation football field. Bars span bear–bull per lens; the brass tick is each base case; the gold band is the blended central range; the dark line is spot.</w:t>
      </w:r>
    </w:p>
    <w:p>
      <w:r>
        <w:rPr>
          <w:rFonts w:ascii="Calibri" w:hAnsi="Calibri"/>
          <w:b/>
          <w:i w:val="0"/>
          <w:sz w:val="21"/>
        </w:rPr>
        <w:t>Central fair value ≈ EGP 8.23/share</w:t>
      </w:r>
      <w:r>
        <w:rPr>
          <w:rFonts w:ascii="Calibri" w:hAnsi="Calibri"/>
          <w:b w:val="0"/>
          <w:i w:val="0"/>
          <w:sz w:val="21"/>
        </w:rPr>
        <w:t>, essentially on spot. The spread of the lenses (EGP 6.01 to EGP 9.20 at base) is itself the message: this is no longer a deep-value name, but a fairly-valued holding whose further re-rating depends on land being monetised at the marks and the structural discount continuing to narrow.</w:t>
      </w:r>
    </w:p>
    <w:p>
      <w:r>
        <w:rPr>
          <w:rFonts w:ascii="Calibri" w:hAnsi="Calibri"/>
          <w:b/>
          <w:color w:val="1B5E5E"/>
          <w:sz w:val="24"/>
        </w:rPr>
        <w:t>1.6  The holding-company assets — a deeper look</w:t>
      </w:r>
    </w:p>
    <w:p>
      <w:r>
        <w:rPr>
          <w:rFonts w:ascii="Calibri" w:hAnsi="Calibri"/>
          <w:b w:val="0"/>
          <w:i w:val="0"/>
          <w:sz w:val="21"/>
        </w:rPr>
        <w:t>The value engine is the development pipeline; the contracting arm is the cash-converting workhorse; the rental portfolio is a small recurring anchor; and El Kahera Housing is the reason a minority line matters. The table scores each leg on the axes that drive the SOTP.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024"/>
            <w:shd w:val="clear" w:fill="1B5E5E"/>
          </w:tcPr>
          <w:p>
            <w:pPr>
              <w:jc w:val="center"/>
            </w:pPr>
            <w:r/>
            <w:r>
              <w:rPr>
                <w:rFonts w:ascii="Calibri" w:hAnsi="Calibri"/>
                <w:b/>
                <w:color w:val="FFFFFF"/>
                <w:sz w:val="19"/>
              </w:rPr>
              <w:t>Leg</w:t>
            </w:r>
          </w:p>
        </w:tc>
        <w:tc>
          <w:tcPr>
            <w:tcW w:type="dxa" w:w="1872"/>
            <w:shd w:val="clear" w:fill="1B5E5E"/>
          </w:tcPr>
          <w:p>
            <w:pPr>
              <w:jc w:val="center"/>
            </w:pPr>
            <w:r/>
            <w:r>
              <w:rPr>
                <w:rFonts w:ascii="Calibri" w:hAnsi="Calibri"/>
                <w:b/>
                <w:color w:val="FFFFFF"/>
                <w:sz w:val="19"/>
              </w:rPr>
              <w:t>Cyclicality</w:t>
            </w:r>
          </w:p>
        </w:tc>
        <w:tc>
          <w:tcPr>
            <w:tcW w:type="dxa" w:w="2448"/>
            <w:shd w:val="clear" w:fill="1B5E5E"/>
          </w:tcPr>
          <w:p>
            <w:pPr>
              <w:jc w:val="center"/>
            </w:pPr>
            <w:r/>
            <w:r>
              <w:rPr>
                <w:rFonts w:ascii="Calibri" w:hAnsi="Calibri"/>
                <w:b/>
                <w:color w:val="FFFFFF"/>
                <w:sz w:val="19"/>
              </w:rPr>
              <w:t>Margin trend</w:t>
            </w:r>
          </w:p>
        </w:tc>
        <w:tc>
          <w:tcPr>
            <w:tcW w:type="dxa" w:w="2160"/>
            <w:shd w:val="clear" w:fill="1B5E5E"/>
          </w:tcPr>
          <w:p>
            <w:pPr>
              <w:jc w:val="center"/>
            </w:pPr>
            <w:r/>
            <w:r>
              <w:rPr>
                <w:rFonts w:ascii="Calibri" w:hAnsi="Calibri"/>
                <w:b/>
                <w:color w:val="FFFFFF"/>
                <w:sz w:val="19"/>
              </w:rPr>
              <w:t>Capital / cash intensity</w:t>
            </w:r>
          </w:p>
        </w:tc>
        <w:tc>
          <w:tcPr>
            <w:tcW w:type="dxa" w:w="1584"/>
            <w:shd w:val="clear" w:fill="1B5E5E"/>
          </w:tcPr>
          <w:p>
            <w:pPr>
              <w:jc w:val="center"/>
            </w:pPr>
            <w:r/>
            <w:r>
              <w:rPr>
                <w:rFonts w:ascii="Calibri" w:hAnsi="Calibri"/>
                <w:b/>
                <w:color w:val="FFFFFF"/>
                <w:sz w:val="19"/>
              </w:rPr>
              <w:t>Swing role</w:t>
            </w:r>
          </w:p>
        </w:tc>
      </w:tr>
      <w:tr>
        <w:tc>
          <w:tcPr>
            <w:tcW w:type="dxa" w:w="3024"/>
          </w:tcPr>
          <w:p>
            <w:r/>
            <w:r>
              <w:rPr>
                <w:rFonts w:ascii="Calibri" w:hAnsi="Calibri"/>
                <w:b w:val="0"/>
                <w:sz w:val="19"/>
              </w:rPr>
              <w:t>Real-estate development</w:t>
            </w:r>
          </w:p>
        </w:tc>
        <w:tc>
          <w:tcPr>
            <w:tcW w:type="dxa" w:w="1872"/>
          </w:tcPr>
          <w:p>
            <w:pPr>
              <w:jc w:val="center"/>
            </w:pPr>
            <w:r/>
            <w:r>
              <w:rPr>
                <w:rFonts w:ascii="Calibri" w:hAnsi="Calibri"/>
                <w:b w:val="0"/>
                <w:sz w:val="19"/>
              </w:rPr>
              <w:t>High (presales cycle)</w:t>
            </w:r>
          </w:p>
        </w:tc>
        <w:tc>
          <w:tcPr>
            <w:tcW w:type="dxa" w:w="2448"/>
          </w:tcPr>
          <w:p>
            <w:pPr>
              <w:jc w:val="center"/>
            </w:pPr>
            <w:r/>
            <w:r>
              <w:rPr>
                <w:rFonts w:ascii="Calibri" w:hAnsi="Calibri"/>
                <w:b w:val="0"/>
                <w:sz w:val="19"/>
              </w:rPr>
              <w:t>~30% gross; mix-dependent</w:t>
            </w:r>
          </w:p>
        </w:tc>
        <w:tc>
          <w:tcPr>
            <w:tcW w:type="dxa" w:w="2160"/>
          </w:tcPr>
          <w:p>
            <w:pPr>
              <w:jc w:val="center"/>
            </w:pPr>
            <w:r/>
            <w:r>
              <w:rPr>
                <w:rFonts w:ascii="Calibri" w:hAnsi="Calibri"/>
                <w:b w:val="0"/>
                <w:sz w:val="19"/>
              </w:rPr>
              <w:t>Very high (land + WIP)</w:t>
            </w:r>
          </w:p>
        </w:tc>
        <w:tc>
          <w:tcPr>
            <w:tcW w:type="dxa" w:w="1584"/>
          </w:tcPr>
          <w:p>
            <w:pPr>
              <w:jc w:val="center"/>
            </w:pPr>
            <w:r/>
            <w:r>
              <w:rPr>
                <w:rFonts w:ascii="Calibri" w:hAnsi="Calibri"/>
                <w:b w:val="0"/>
                <w:sz w:val="19"/>
              </w:rPr>
              <w:t>Dominant</w:t>
            </w:r>
          </w:p>
        </w:tc>
      </w:tr>
      <w:tr>
        <w:tc>
          <w:tcPr>
            <w:tcW w:type="dxa" w:w="3024"/>
          </w:tcPr>
          <w:p>
            <w:r/>
            <w:r>
              <w:rPr>
                <w:rFonts w:ascii="Calibri" w:hAnsi="Calibri"/>
                <w:b w:val="0"/>
                <w:sz w:val="19"/>
              </w:rPr>
              <w:t>Contracting arm</w:t>
            </w:r>
          </w:p>
        </w:tc>
        <w:tc>
          <w:tcPr>
            <w:tcW w:type="dxa" w:w="1872"/>
          </w:tcPr>
          <w:p>
            <w:pPr>
              <w:jc w:val="center"/>
            </w:pPr>
            <w:r/>
            <w:r>
              <w:rPr>
                <w:rFonts w:ascii="Calibri" w:hAnsi="Calibri"/>
                <w:b w:val="0"/>
                <w:sz w:val="19"/>
              </w:rPr>
              <w:t>Moderate</w:t>
            </w:r>
          </w:p>
        </w:tc>
        <w:tc>
          <w:tcPr>
            <w:tcW w:type="dxa" w:w="2448"/>
          </w:tcPr>
          <w:p>
            <w:pPr>
              <w:jc w:val="center"/>
            </w:pPr>
            <w:r/>
            <w:r>
              <w:rPr>
                <w:rFonts w:ascii="Calibri" w:hAnsi="Calibri"/>
                <w:b w:val="0"/>
                <w:sz w:val="19"/>
              </w:rPr>
              <w:t>Thin (~5–8%), input-cost sensitive</w:t>
            </w:r>
          </w:p>
        </w:tc>
        <w:tc>
          <w:tcPr>
            <w:tcW w:type="dxa" w:w="2160"/>
          </w:tcPr>
          <w:p>
            <w:pPr>
              <w:jc w:val="center"/>
            </w:pPr>
            <w:r/>
            <w:r>
              <w:rPr>
                <w:rFonts w:ascii="Calibri" w:hAnsi="Calibri"/>
                <w:b w:val="0"/>
                <w:sz w:val="19"/>
              </w:rPr>
              <w:t>High working capital</w:t>
            </w:r>
          </w:p>
        </w:tc>
        <w:tc>
          <w:tcPr>
            <w:tcW w:type="dxa" w:w="1584"/>
          </w:tcPr>
          <w:p>
            <w:pPr>
              <w:jc w:val="center"/>
            </w:pPr>
            <w:r/>
            <w:r>
              <w:rPr>
                <w:rFonts w:ascii="Calibri" w:hAnsi="Calibri"/>
                <w:b w:val="0"/>
                <w:sz w:val="19"/>
              </w:rPr>
              <w:t>Cash converter</w:t>
            </w:r>
          </w:p>
        </w:tc>
      </w:tr>
      <w:tr>
        <w:tc>
          <w:tcPr>
            <w:tcW w:type="dxa" w:w="3024"/>
          </w:tcPr>
          <w:p>
            <w:r/>
            <w:r>
              <w:rPr>
                <w:rFonts w:ascii="Calibri" w:hAnsi="Calibri"/>
                <w:b w:val="0"/>
                <w:sz w:val="19"/>
              </w:rPr>
              <w:t>Rental / leasing</w:t>
            </w:r>
          </w:p>
        </w:tc>
        <w:tc>
          <w:tcPr>
            <w:tcW w:type="dxa" w:w="1872"/>
          </w:tcPr>
          <w:p>
            <w:pPr>
              <w:jc w:val="center"/>
            </w:pPr>
            <w:r/>
            <w:r>
              <w:rPr>
                <w:rFonts w:ascii="Calibri" w:hAnsi="Calibri"/>
                <w:b w:val="0"/>
                <w:sz w:val="19"/>
              </w:rPr>
              <w:t>Low</w:t>
            </w:r>
          </w:p>
        </w:tc>
        <w:tc>
          <w:tcPr>
            <w:tcW w:type="dxa" w:w="2448"/>
          </w:tcPr>
          <w:p>
            <w:pPr>
              <w:jc w:val="center"/>
            </w:pPr>
            <w:r/>
            <w:r>
              <w:rPr>
                <w:rFonts w:ascii="Calibri" w:hAnsi="Calibri"/>
                <w:b w:val="0"/>
                <w:sz w:val="19"/>
              </w:rPr>
              <w:t>Steady, inflation-linked</w:t>
            </w:r>
          </w:p>
        </w:tc>
        <w:tc>
          <w:tcPr>
            <w:tcW w:type="dxa" w:w="2160"/>
          </w:tcPr>
          <w:p>
            <w:pPr>
              <w:jc w:val="center"/>
            </w:pPr>
            <w:r/>
            <w:r>
              <w:rPr>
                <w:rFonts w:ascii="Calibri" w:hAnsi="Calibri"/>
                <w:b w:val="0"/>
                <w:sz w:val="19"/>
              </w:rPr>
              <w:t>Low (owned assets)</w:t>
            </w:r>
          </w:p>
        </w:tc>
        <w:tc>
          <w:tcPr>
            <w:tcW w:type="dxa" w:w="1584"/>
          </w:tcPr>
          <w:p>
            <w:pPr>
              <w:jc w:val="center"/>
            </w:pPr>
            <w:r/>
            <w:r>
              <w:rPr>
                <w:rFonts w:ascii="Calibri" w:hAnsi="Calibri"/>
                <w:b w:val="0"/>
                <w:sz w:val="19"/>
              </w:rPr>
              <w:t>Recurring anchor</w:t>
            </w:r>
          </w:p>
        </w:tc>
      </w:tr>
      <w:tr>
        <w:tc>
          <w:tcPr>
            <w:tcW w:type="dxa" w:w="3024"/>
          </w:tcPr>
          <w:p>
            <w:r/>
            <w:r>
              <w:rPr>
                <w:rFonts w:ascii="Calibri" w:hAnsi="Calibri"/>
                <w:b w:val="0"/>
                <w:sz w:val="19"/>
              </w:rPr>
              <w:t>El Kahera Housing (majority)</w:t>
            </w:r>
          </w:p>
        </w:tc>
        <w:tc>
          <w:tcPr>
            <w:tcW w:type="dxa" w:w="1872"/>
          </w:tcPr>
          <w:p>
            <w:pPr>
              <w:jc w:val="center"/>
            </w:pPr>
            <w:r/>
            <w:r>
              <w:rPr>
                <w:rFonts w:ascii="Calibri" w:hAnsi="Calibri"/>
                <w:b w:val="0"/>
                <w:sz w:val="19"/>
              </w:rPr>
              <w:t>Moderate</w:t>
            </w:r>
          </w:p>
        </w:tc>
        <w:tc>
          <w:tcPr>
            <w:tcW w:type="dxa" w:w="2448"/>
          </w:tcPr>
          <w:p>
            <w:pPr>
              <w:jc w:val="center"/>
            </w:pPr>
            <w:r/>
            <w:r>
              <w:rPr>
                <w:rFonts w:ascii="Calibri" w:hAnsi="Calibri"/>
                <w:b w:val="0"/>
                <w:sz w:val="19"/>
              </w:rPr>
              <w:t>Developer economics</w:t>
            </w:r>
          </w:p>
        </w:tc>
        <w:tc>
          <w:tcPr>
            <w:tcW w:type="dxa" w:w="2160"/>
          </w:tcPr>
          <w:p>
            <w:pPr>
              <w:jc w:val="center"/>
            </w:pPr>
            <w:r/>
            <w:r>
              <w:rPr>
                <w:rFonts w:ascii="Calibri" w:hAnsi="Calibri"/>
                <w:b w:val="0"/>
                <w:sz w:val="19"/>
              </w:rPr>
              <w:t>High</w:t>
            </w:r>
          </w:p>
        </w:tc>
        <w:tc>
          <w:tcPr>
            <w:tcW w:type="dxa" w:w="1584"/>
          </w:tcPr>
          <w:p>
            <w:pPr>
              <w:jc w:val="center"/>
            </w:pPr>
            <w:r/>
            <w:r>
              <w:rPr>
                <w:rFonts w:ascii="Calibri" w:hAnsi="Calibri"/>
                <w:b w:val="0"/>
                <w:sz w:val="19"/>
              </w:rPr>
              <w:t>Minority leakage</w:t>
            </w:r>
          </w:p>
        </w:tc>
      </w:tr>
    </w:tbl>
    <w:p/>
    <w:p>
      <w:r>
        <w:rPr>
          <w:rFonts w:ascii="Calibri" w:hAnsi="Calibri"/>
          <w:b w:val="0"/>
          <w:i w:val="0"/>
          <w:sz w:val="21"/>
        </w:rPr>
        <w:t>The development leg's economics are the classic Egyptian off-plan model: units are contracted years before hand-over, cash is collected on an instalment schedule that funds construction, and profit is booked on completion. That is why reported profit and cash diverge, why working capital can be a source rather than a use, and why the RNAV — not the income statement — is the right anchor. The contracting arm, roughly 57% of revenue, is a lower-margin going concern with a ~EGP 7 bn backlog; it smooths cash but adds little multiple. The rental portfolio is small but genuinely recurring. El Kahera Housing and the other majority-owned subsidiaries are consolidated line-by-line, which is why net profit before minority overstates what accrues to PRDC holders — the explicit minority deduction in §1.1 corrects for it.</w:t>
      </w:r>
    </w:p>
    <w:p>
      <w:r>
        <w:rPr>
          <w:rFonts w:ascii="Calibri" w:hAnsi="Calibri"/>
          <w:b/>
          <w:color w:val="1B5E5E"/>
          <w:sz w:val="24"/>
        </w:rPr>
        <w:t>1.7  The crux — land marks, the discount, and the contracting cycle</w:t>
      </w:r>
    </w:p>
    <w:p>
      <w:r>
        <w:rPr>
          <w:rFonts w:ascii="Calibri" w:hAnsi="Calibri"/>
          <w:b w:val="0"/>
          <w:i w:val="0"/>
          <w:sz w:val="21"/>
        </w:rPr>
        <w:t xml:space="preserve">Three judgments drive the valuation more than any other, and — per house discipline — we sensitise each on its own observable driver, not on an abstract margin. First, </w:t>
      </w:r>
      <w:r>
        <w:rPr>
          <w:rFonts w:ascii="Calibri" w:hAnsi="Calibri"/>
          <w:b/>
          <w:i w:val="0"/>
          <w:sz w:val="21"/>
        </w:rPr>
        <w:t>what the development land bank is worth</w:t>
      </w:r>
      <w:r>
        <w:rPr>
          <w:rFonts w:ascii="Calibri" w:hAnsi="Calibri"/>
          <w:b w:val="0"/>
          <w:i w:val="0"/>
          <w:sz w:val="21"/>
        </w:rPr>
        <w:t xml:space="preserve">: the RNAV credits ~EGP 15 bn to the development leg, an implicit value per developable metre that is a house estimate; every EGP 2 bn on that mark is worth roughly EGP 1.4/share at the group level after minority and discount. Second, </w:t>
      </w:r>
      <w:r>
        <w:rPr>
          <w:rFonts w:ascii="Calibri" w:hAnsi="Calibri"/>
          <w:b/>
          <w:i w:val="0"/>
          <w:sz w:val="21"/>
        </w:rPr>
        <w:t>the holdco/complexity discount</w:t>
      </w:r>
      <w:r>
        <w:rPr>
          <w:rFonts w:ascii="Calibri" w:hAnsi="Calibri"/>
          <w:b w:val="0"/>
          <w:i w:val="0"/>
          <w:sz w:val="21"/>
        </w:rPr>
        <w:t xml:space="preserve">: an Egyptian developer-contractor wrapped around a majority-owned listed subsidiary, paying no dividend, will not trade at the clean sum of its parts. We apply 10%; the market is implying nearer 16%. If governance and disclosure improve and land is monetised, that discount can narrow — the principal non-operating source of upside. Third, </w:t>
      </w:r>
      <w:r>
        <w:rPr>
          <w:rFonts w:ascii="Calibri" w:hAnsi="Calibri"/>
          <w:b/>
          <w:i w:val="0"/>
          <w:sz w:val="21"/>
        </w:rPr>
        <w:t>the contracting-margin cycle</w:t>
      </w:r>
      <w:r>
        <w:rPr>
          <w:rFonts w:ascii="Calibri" w:hAnsi="Calibri"/>
          <w:b w:val="0"/>
          <w:i w:val="0"/>
          <w:sz w:val="21"/>
        </w:rPr>
        <w:t>: at ~57% of revenue, a one-point move in the contracting net margin swings group earnings and, through the property-cycle lens, a few tens of piastres per share. The binary catastrophic case worth naming is an EGP funding/affordability shock that stalls presales absorption: were contracted-sales velocity to fall by a third, the development leg's RNAV — and with it the whole central value — would move toward the bear case in §1.9.</w:t>
      </w:r>
    </w:p>
    <w:p>
      <w:r>
        <w:rPr>
          <w:rFonts w:ascii="Calibri" w:hAnsi="Calibri"/>
          <w:b/>
          <w:color w:val="1B5E5E"/>
          <w:sz w:val="24"/>
        </w:rPr>
        <w:t>1.8  Macro and country — rates, the pound, mortgages and Gulf flows</w:t>
      </w:r>
    </w:p>
    <w:p>
      <w:r>
        <w:rPr>
          <w:rFonts w:ascii="Calibri" w:hAnsi="Calibri"/>
          <w:b w:val="0"/>
          <w:i w:val="0"/>
          <w:sz w:val="21"/>
        </w:rPr>
        <w:t xml:space="preserve">PRDC is a domestic Egyptian cyclical whose value is set by four macro levers. </w:t>
      </w:r>
      <w:r>
        <w:rPr>
          <w:rFonts w:ascii="Calibri" w:hAnsi="Calibri"/>
          <w:b/>
          <w:i w:val="0"/>
          <w:sz w:val="21"/>
        </w:rPr>
        <w:t>The CBE policy-rate path</w:t>
      </w:r>
      <w:r>
        <w:rPr>
          <w:rFonts w:ascii="Calibri" w:hAnsi="Calibri"/>
          <w:b w:val="0"/>
          <w:i w:val="0"/>
          <w:sz w:val="21"/>
        </w:rPr>
        <w:t xml:space="preserve"> cuts both ways: high rates lift the discount rate on the pipeline but real assets are the inflation hedge that drives presales; a rate-cutting cycle (the CBE corridor easing from its 2024 highs) is, on balance, supportive of demand and of the discount narrowing. </w:t>
      </w:r>
      <w:r>
        <w:rPr>
          <w:rFonts w:ascii="Calibri" w:hAnsi="Calibri"/>
          <w:b/>
          <w:i w:val="0"/>
          <w:sz w:val="21"/>
        </w:rPr>
        <w:t>The pound</w:t>
      </w:r>
      <w:r>
        <w:rPr>
          <w:rFonts w:ascii="Calibri" w:hAnsi="Calibri"/>
          <w:b w:val="0"/>
          <w:i w:val="0"/>
          <w:sz w:val="21"/>
        </w:rPr>
        <w:t xml:space="preserve"> matters for build-cost (imported materials) and for dollar-linked pricing on premium units; a further step devaluation is a cost-and-risk-premium negative even as it can lift nominal land values. </w:t>
      </w:r>
      <w:r>
        <w:rPr>
          <w:rFonts w:ascii="Calibri" w:hAnsi="Calibri"/>
          <w:b/>
          <w:i w:val="0"/>
          <w:sz w:val="21"/>
        </w:rPr>
        <w:t>Mortgage finance</w:t>
      </w:r>
      <w:r>
        <w:rPr>
          <w:rFonts w:ascii="Calibri" w:hAnsi="Calibri"/>
          <w:b w:val="0"/>
          <w:i w:val="0"/>
          <w:sz w:val="21"/>
        </w:rPr>
        <w:t xml:space="preserve"> is thin in Egypt, so most sales are developer instalments — an expansion of subsidised mortgage schemes would widen the buyer pool and quicken absorption. </w:t>
      </w:r>
      <w:r>
        <w:rPr>
          <w:rFonts w:ascii="Calibri" w:hAnsi="Calibri"/>
          <w:b/>
          <w:i w:val="0"/>
          <w:sz w:val="21"/>
        </w:rPr>
        <w:t>Gulf liquidity</w:t>
      </w:r>
      <w:r>
        <w:rPr>
          <w:rFonts w:ascii="Calibri" w:hAnsi="Calibri"/>
          <w:b w:val="0"/>
          <w:i w:val="0"/>
          <w:sz w:val="21"/>
        </w:rPr>
        <w:t xml:space="preserve"> is unusually relevant here: the Saudi Al-Muhaidib family and the Kuwaiti and Norwegian sovereign funds are on the register, and GCC buyer purchasing power supports the coast and premium Cairo product. These levers are the swing factors behind the bear and bull cases in §1.5 and the catalysts in §5.</w:t>
      </w:r>
    </w:p>
    <w:p>
      <w:r>
        <w:rPr>
          <w:rFonts w:ascii="Calibri" w:hAnsi="Calibri"/>
          <w:b/>
          <w:color w:val="1B5E5E"/>
          <w:sz w:val="24"/>
        </w:rPr>
        <w:t>1.9  RNAV sensitivity — how much the swing inputs move the value</w:t>
      </w:r>
    </w:p>
    <w:p>
      <w:r>
        <w:rPr>
          <w:rFonts w:ascii="Calibri" w:hAnsi="Calibri"/>
          <w:b w:val="0"/>
          <w:i w:val="0"/>
          <w:sz w:val="21"/>
        </w:rPr>
        <w:t>Holding the contracting, rental and other legs at base, the grid re-prices the RNAV across the development-leg NAV and the holdco/complexity discount — the two inputs that matter most. The value runs from about EGP 6 to EGP 12 a share across the plausible box.</w:t>
      </w:r>
    </w:p>
    <w:p>
      <w:pPr>
        <w:jc w:val="center"/>
      </w:pPr>
      <w:r>
        <w:drawing>
          <wp:inline xmlns:a="http://schemas.openxmlformats.org/drawingml/2006/main" xmlns:pic="http://schemas.openxmlformats.org/drawingml/2006/picture">
            <wp:extent cx="5760720" cy="3164339"/>
            <wp:docPr id="2" name="Picture 2"/>
            <wp:cNvGraphicFramePr>
              <a:graphicFrameLocks noChangeAspect="1"/>
            </wp:cNvGraphicFramePr>
            <a:graphic>
              <a:graphicData uri="http://schemas.openxmlformats.org/drawingml/2006/picture">
                <pic:pic>
                  <pic:nvPicPr>
                    <pic:cNvPr id="0" name="fig2_sotp_sensitivity.png"/>
                    <pic:cNvPicPr/>
                  </pic:nvPicPr>
                  <pic:blipFill>
                    <a:blip r:embed="rId10"/>
                    <a:stretch>
                      <a:fillRect/>
                    </a:stretch>
                  </pic:blipFill>
                  <pic:spPr>
                    <a:xfrm>
                      <a:off x="0" y="0"/>
                      <a:ext cx="5760720" cy="3164339"/>
                    </a:xfrm>
                    <a:prstGeom prst="rect"/>
                  </pic:spPr>
                </pic:pic>
              </a:graphicData>
            </a:graphic>
          </wp:inline>
        </w:drawing>
      </w:r>
    </w:p>
    <w:p>
      <w:r>
        <w:rPr>
          <w:rFonts w:ascii="Calibri" w:hAnsi="Calibri"/>
          <w:b w:val="0"/>
          <w:i/>
          <w:sz w:val="17"/>
        </w:rPr>
        <w:t>Figure 2 — RNAV sensitivity to the development-leg NAV and the holdco/complexity discount (EGP/share, post-discount).</w:t>
      </w:r>
    </w:p>
    <w:p>
      <w:r>
        <w:rPr>
          <w:rFonts w:ascii="Calibri" w:hAnsi="Calibri"/>
          <w:b w:val="0"/>
          <w:i w:val="0"/>
          <w:sz w:val="21"/>
        </w:rPr>
        <w:t>Read it as the bet you are taking: the EGP 8.28 market price is consistent with roughly a EGP 15 bn development mark at a mid-teens discount — i.e. a partial, not a full, monetisation-and-re-rating already in the price.</w:t>
      </w:r>
    </w:p>
    <w:p>
      <w:r>
        <w:rPr>
          <w:rFonts w:ascii="Calibri" w:hAnsi="Calibri"/>
          <w:b/>
          <w:color w:val="1B5E5E"/>
          <w:sz w:val="30"/>
        </w:rPr>
        <w:t>2  Technical and price structure</w:t>
      </w:r>
    </w:p>
    <w:p>
      <w:r>
        <w:rPr>
          <w:rFonts w:ascii="Calibri" w:hAnsi="Calibri"/>
          <w:b w:val="0"/>
          <w:i w:val="0"/>
          <w:sz w:val="21"/>
        </w:rPr>
        <w:t>The tape is strong and stretched to the upside — the opposite of a value name. PRDC trades above all four major moving averages, the MACD line is above its signal, and RSI sits near 70, in the upper zone though not yet at an extreme. The structure is a powerful post-discount re-rating that has carried price from a 52-week low of EGP 3.08 to a high of EGP 8.75 in mid-June, with a sharp intra-quarter surge and equally sharp reversals along the way (single sessions of +17% and −13% appear in the record).</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val="clear" w:fill="1B5E5E"/>
          </w:tcPr>
          <w:p>
            <w:pPr>
              <w:jc w:val="center"/>
            </w:pPr>
            <w:r/>
            <w:r>
              <w:rPr>
                <w:rFonts w:ascii="Calibri" w:hAnsi="Calibri"/>
                <w:b/>
                <w:color w:val="FFFFFF"/>
                <w:sz w:val="19"/>
              </w:rPr>
              <w:t>Indicator</w:t>
            </w:r>
          </w:p>
        </w:tc>
        <w:tc>
          <w:tcPr>
            <w:tcW w:type="dxa" w:w="4176"/>
            <w:shd w:val="clear" w:fill="1B5E5E"/>
          </w:tcPr>
          <w:p>
            <w:pPr>
              <w:jc w:val="center"/>
            </w:pPr>
            <w:r/>
            <w:r>
              <w:rPr>
                <w:rFonts w:ascii="Calibri" w:hAnsi="Calibri"/>
                <w:b/>
                <w:color w:val="FFFFFF"/>
                <w:sz w:val="19"/>
              </w:rPr>
              <w:t>Reading</w:t>
            </w:r>
          </w:p>
        </w:tc>
        <w:tc>
          <w:tcPr>
            <w:tcW w:type="dxa" w:w="2880"/>
            <w:shd w:val="clear" w:fill="1B5E5E"/>
          </w:tcPr>
          <w:p>
            <w:pPr>
              <w:jc w:val="center"/>
            </w:pPr>
            <w:r/>
            <w:r>
              <w:rPr>
                <w:rFonts w:ascii="Calibri" w:hAnsi="Calibri"/>
                <w:b/>
                <w:color w:val="FFFFFF"/>
                <w:sz w:val="19"/>
              </w:rPr>
              <w:t>Signal</w:t>
            </w:r>
          </w:p>
        </w:tc>
      </w:tr>
      <w:tr>
        <w:tc>
          <w:tcPr>
            <w:tcW w:type="dxa" w:w="2736"/>
          </w:tcPr>
          <w:p>
            <w:r/>
            <w:r>
              <w:rPr>
                <w:rFonts w:ascii="Calibri" w:hAnsi="Calibri"/>
                <w:b w:val="0"/>
                <w:sz w:val="19"/>
              </w:rPr>
              <w:t>Spot</w:t>
            </w:r>
          </w:p>
        </w:tc>
        <w:tc>
          <w:tcPr>
            <w:tcW w:type="dxa" w:w="4176"/>
          </w:tcPr>
          <w:p>
            <w:pPr>
              <w:jc w:val="center"/>
            </w:pPr>
            <w:r/>
            <w:r>
              <w:rPr>
                <w:rFonts w:ascii="Calibri" w:hAnsi="Calibri"/>
                <w:b w:val="0"/>
                <w:sz w:val="19"/>
              </w:rPr>
              <w:t>EGP 8.28</w:t>
            </w:r>
          </w:p>
        </w:tc>
        <w:tc>
          <w:tcPr>
            <w:tcW w:type="dxa" w:w="2880"/>
          </w:tcPr>
          <w:p>
            <w:pPr>
              <w:jc w:val="center"/>
            </w:pPr>
            <w:r/>
            <w:r>
              <w:rPr>
                <w:rFonts w:ascii="Calibri" w:hAnsi="Calibri"/>
                <w:b w:val="0"/>
                <w:sz w:val="19"/>
              </w:rPr>
              <w:t>—</w:t>
            </w:r>
          </w:p>
        </w:tc>
      </w:tr>
      <w:tr>
        <w:tc>
          <w:tcPr>
            <w:tcW w:type="dxa" w:w="2736"/>
          </w:tcPr>
          <w:p>
            <w:r/>
            <w:r>
              <w:rPr>
                <w:rFonts w:ascii="Calibri" w:hAnsi="Calibri"/>
                <w:b w:val="0"/>
                <w:sz w:val="19"/>
              </w:rPr>
              <w:t>SMA 20 / 50</w:t>
            </w:r>
          </w:p>
        </w:tc>
        <w:tc>
          <w:tcPr>
            <w:tcW w:type="dxa" w:w="4176"/>
          </w:tcPr>
          <w:p>
            <w:pPr>
              <w:jc w:val="center"/>
            </w:pPr>
            <w:r/>
            <w:r>
              <w:rPr>
                <w:rFonts w:ascii="Calibri" w:hAnsi="Calibri"/>
                <w:b w:val="0"/>
                <w:sz w:val="19"/>
              </w:rPr>
              <w:t>EGP 7.08 / 6.09</w:t>
            </w:r>
          </w:p>
        </w:tc>
        <w:tc>
          <w:tcPr>
            <w:tcW w:type="dxa" w:w="2880"/>
          </w:tcPr>
          <w:p>
            <w:pPr>
              <w:jc w:val="center"/>
            </w:pPr>
            <w:r/>
            <w:r>
              <w:rPr>
                <w:rFonts w:ascii="Calibri" w:hAnsi="Calibri"/>
                <w:b w:val="0"/>
                <w:sz w:val="19"/>
              </w:rPr>
              <w:t>Above both — short-term up</w:t>
            </w:r>
          </w:p>
        </w:tc>
      </w:tr>
      <w:tr>
        <w:tc>
          <w:tcPr>
            <w:tcW w:type="dxa" w:w="2736"/>
          </w:tcPr>
          <w:p>
            <w:r/>
            <w:r>
              <w:rPr>
                <w:rFonts w:ascii="Calibri" w:hAnsi="Calibri"/>
                <w:b w:val="0"/>
                <w:sz w:val="19"/>
              </w:rPr>
              <w:t>SMA 100 / 200</w:t>
            </w:r>
          </w:p>
        </w:tc>
        <w:tc>
          <w:tcPr>
            <w:tcW w:type="dxa" w:w="4176"/>
          </w:tcPr>
          <w:p>
            <w:pPr>
              <w:jc w:val="center"/>
            </w:pPr>
            <w:r/>
            <w:r>
              <w:rPr>
                <w:rFonts w:ascii="Calibri" w:hAnsi="Calibri"/>
                <w:b w:val="0"/>
                <w:sz w:val="19"/>
              </w:rPr>
              <w:t>EGP 5.13 / 4.49</w:t>
            </w:r>
          </w:p>
        </w:tc>
        <w:tc>
          <w:tcPr>
            <w:tcW w:type="dxa" w:w="2880"/>
          </w:tcPr>
          <w:p>
            <w:pPr>
              <w:jc w:val="center"/>
            </w:pPr>
            <w:r/>
            <w:r>
              <w:rPr>
                <w:rFonts w:ascii="Calibri" w:hAnsi="Calibri"/>
                <w:b w:val="0"/>
                <w:sz w:val="19"/>
              </w:rPr>
              <w:t>Above both — trend up</w:t>
            </w:r>
          </w:p>
        </w:tc>
      </w:tr>
      <w:tr>
        <w:tc>
          <w:tcPr>
            <w:tcW w:type="dxa" w:w="2736"/>
          </w:tcPr>
          <w:p>
            <w:r/>
            <w:r>
              <w:rPr>
                <w:rFonts w:ascii="Calibri" w:hAnsi="Calibri"/>
                <w:b w:val="0"/>
                <w:sz w:val="19"/>
              </w:rPr>
              <w:t>RSI (14)</w:t>
            </w:r>
          </w:p>
        </w:tc>
        <w:tc>
          <w:tcPr>
            <w:tcW w:type="dxa" w:w="4176"/>
          </w:tcPr>
          <w:p>
            <w:pPr>
              <w:jc w:val="center"/>
            </w:pPr>
            <w:r/>
            <w:r>
              <w:rPr>
                <w:rFonts w:ascii="Calibri" w:hAnsi="Calibri"/>
                <w:b w:val="0"/>
                <w:sz w:val="19"/>
              </w:rPr>
              <w:t>70</w:t>
            </w:r>
          </w:p>
        </w:tc>
        <w:tc>
          <w:tcPr>
            <w:tcW w:type="dxa" w:w="2880"/>
          </w:tcPr>
          <w:p>
            <w:pPr>
              <w:jc w:val="center"/>
            </w:pPr>
            <w:r/>
            <w:r>
              <w:rPr>
                <w:rFonts w:ascii="Calibri" w:hAnsi="Calibri"/>
                <w:b w:val="0"/>
                <w:sz w:val="19"/>
              </w:rPr>
              <w:t>Upper zone, near overbought</w:t>
            </w:r>
          </w:p>
        </w:tc>
      </w:tr>
      <w:tr>
        <w:tc>
          <w:tcPr>
            <w:tcW w:type="dxa" w:w="2736"/>
          </w:tcPr>
          <w:p>
            <w:r/>
            <w:r>
              <w:rPr>
                <w:rFonts w:ascii="Calibri" w:hAnsi="Calibri"/>
                <w:b w:val="0"/>
                <w:sz w:val="19"/>
              </w:rPr>
              <w:t>MACD (12,26,9)</w:t>
            </w:r>
          </w:p>
        </w:tc>
        <w:tc>
          <w:tcPr>
            <w:tcW w:type="dxa" w:w="4176"/>
          </w:tcPr>
          <w:p>
            <w:pPr>
              <w:jc w:val="center"/>
            </w:pPr>
            <w:r/>
            <w:r>
              <w:rPr>
                <w:rFonts w:ascii="Calibri" w:hAnsi="Calibri"/>
                <w:b w:val="0"/>
                <w:sz w:val="19"/>
              </w:rPr>
              <w:t>+0.50 line / +0.47 signal / +0.04 hist</w:t>
            </w:r>
          </w:p>
        </w:tc>
        <w:tc>
          <w:tcPr>
            <w:tcW w:type="dxa" w:w="2880"/>
          </w:tcPr>
          <w:p>
            <w:pPr>
              <w:jc w:val="center"/>
            </w:pPr>
            <w:r/>
            <w:r>
              <w:rPr>
                <w:rFonts w:ascii="Calibri" w:hAnsi="Calibri"/>
                <w:b w:val="0"/>
                <w:sz w:val="19"/>
              </w:rPr>
              <w:t>Bullish, momentum positive</w:t>
            </w:r>
          </w:p>
        </w:tc>
      </w:tr>
      <w:tr>
        <w:tc>
          <w:tcPr>
            <w:tcW w:type="dxa" w:w="2736"/>
          </w:tcPr>
          <w:p>
            <w:r/>
            <w:r>
              <w:rPr>
                <w:rFonts w:ascii="Calibri" w:hAnsi="Calibri"/>
                <w:b w:val="0"/>
                <w:sz w:val="19"/>
              </w:rPr>
              <w:t>52-week range</w:t>
            </w:r>
          </w:p>
        </w:tc>
        <w:tc>
          <w:tcPr>
            <w:tcW w:type="dxa" w:w="4176"/>
          </w:tcPr>
          <w:p>
            <w:pPr>
              <w:jc w:val="center"/>
            </w:pPr>
            <w:r/>
            <w:r>
              <w:rPr>
                <w:rFonts w:ascii="Calibri" w:hAnsi="Calibri"/>
                <w:b w:val="0"/>
                <w:sz w:val="19"/>
              </w:rPr>
              <w:t>EGP 3.08 – 8.75</w:t>
            </w:r>
          </w:p>
        </w:tc>
        <w:tc>
          <w:tcPr>
            <w:tcW w:type="dxa" w:w="2880"/>
          </w:tcPr>
          <w:p>
            <w:pPr>
              <w:jc w:val="center"/>
            </w:pPr>
            <w:r/>
            <w:r>
              <w:rPr>
                <w:rFonts w:ascii="Calibri" w:hAnsi="Calibri"/>
                <w:b w:val="0"/>
                <w:sz w:val="19"/>
              </w:rPr>
              <w:t>Upper third of range</w:t>
            </w:r>
          </w:p>
        </w:tc>
      </w:tr>
      <w:tr>
        <w:tc>
          <w:tcPr>
            <w:tcW w:type="dxa" w:w="2736"/>
          </w:tcPr>
          <w:p>
            <w:r/>
            <w:r>
              <w:rPr>
                <w:rFonts w:ascii="Calibri" w:hAnsi="Calibri"/>
                <w:b w:val="0"/>
                <w:sz w:val="19"/>
              </w:rPr>
              <w:t>Realized vol (252d)</w:t>
            </w:r>
          </w:p>
        </w:tc>
        <w:tc>
          <w:tcPr>
            <w:tcW w:type="dxa" w:w="4176"/>
          </w:tcPr>
          <w:p>
            <w:pPr>
              <w:jc w:val="center"/>
            </w:pPr>
            <w:r/>
            <w:r>
              <w:rPr>
                <w:rFonts w:ascii="Calibri" w:hAnsi="Calibri"/>
                <w:b w:val="0"/>
                <w:sz w:val="19"/>
              </w:rPr>
              <w:t>45%</w:t>
            </w:r>
          </w:p>
        </w:tc>
        <w:tc>
          <w:tcPr>
            <w:tcW w:type="dxa" w:w="2880"/>
          </w:tcPr>
          <w:p>
            <w:pPr>
              <w:jc w:val="center"/>
            </w:pPr>
            <w:r/>
            <w:r>
              <w:rPr>
                <w:rFonts w:ascii="Calibri" w:hAnsi="Calibri"/>
                <w:b w:val="0"/>
                <w:sz w:val="19"/>
              </w:rPr>
              <w:t>Very elevated</w:t>
            </w:r>
          </w:p>
        </w:tc>
      </w:tr>
    </w:tbl>
    <w:p/>
    <w:p>
      <w:pPr>
        <w:jc w:val="center"/>
      </w:pPr>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fig3_ma_stack.png"/>
                    <pic:cNvPicPr/>
                  </pic:nvPicPr>
                  <pic:blipFill>
                    <a:blip r:embed="rId11"/>
                    <a:stretch>
                      <a:fillRect/>
                    </a:stretch>
                  </pic:blipFill>
                  <pic:spPr>
                    <a:xfrm>
                      <a:off x="0" y="0"/>
                      <a:ext cx="5760720" cy="2995574"/>
                    </a:xfrm>
                    <a:prstGeom prst="rect"/>
                  </pic:spPr>
                </pic:pic>
              </a:graphicData>
            </a:graphic>
          </wp:inline>
        </w:drawing>
      </w:r>
    </w:p>
    <w:p>
      <w:r>
        <w:rPr>
          <w:rFonts w:ascii="Calibri" w:hAnsi="Calibri"/>
          <w:b w:val="0"/>
          <w:i/>
          <w:sz w:val="17"/>
        </w:rPr>
        <w:t>Figure 3 — Price versus the moving-average stack, last 260 sessions.</w:t>
      </w:r>
    </w:p>
    <w:p>
      <w:r>
        <w:rPr>
          <w:rFonts w:ascii="Calibri" w:hAnsi="Calibri"/>
          <w:b w:val="0"/>
          <w:i w:val="0"/>
          <w:sz w:val="21"/>
        </w:rPr>
        <w:t>For the probabilistic work this matters in one way: a strong, above-trend but overbought tape widens the near-term two-sided tail — momentum can extend, but mean-reversion after a near-tripling is a live risk. The technical and fundamental pictures agree that value and price have converged; where they part is direction from here, and §6 reads the resulting probability zones without forcing a call.</w:t>
      </w:r>
    </w:p>
    <w:p>
      <w:r>
        <w:rPr>
          <w:rFonts w:ascii="Calibri" w:hAnsi="Calibri"/>
          <w:b/>
          <w:color w:val="1B5E5E"/>
          <w:sz w:val="30"/>
        </w:rPr>
        <w:t>3  Monte Carlo — a probabilistic price map (illustrative)</w:t>
      </w:r>
    </w:p>
    <w:p>
      <w:r>
        <w:rPr>
          <w:rFonts w:ascii="Calibri" w:hAnsi="Calibri"/>
          <w:b w:val="0"/>
          <w:i w:val="0"/>
          <w:sz w:val="21"/>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Calibri" w:hAnsi="Calibri"/>
          <w:b/>
          <w:i w:val="0"/>
          <w:sz w:val="21"/>
        </w:rPr>
        <w:t>By design the paths diffuse from spot, and the §1 value gap is kept out of the drift</w:t>
      </w:r>
      <w:r>
        <w:rPr>
          <w:rFonts w:ascii="Calibri" w:hAnsi="Calibri"/>
          <w:b w:val="0"/>
          <w:i w:val="0"/>
          <w:sz w:val="21"/>
        </w:rPr>
        <w:t xml:space="preserve"> — the fundamental NAV question lives in §1, not here; §3 maps where price could go from today, not where value sits. Width is sized by the YZ-HAR engine (a log-HAR variance cascade on a gap-aware Yang-Zhang proxy, annualised ≈ {A['ann_vol_fwd_har']*100:.0f}%); innovations are unit-variance Student-t(5); the drift is the EGX-developer secular drift, floored at zero (+{A['drift_60d']*100:.1f}% over the quarter). </w:t>
      </w:r>
      <w:r>
        <w:rPr>
          <w:rFonts w:ascii="Calibri" w:hAnsi="Calibri"/>
          <w:b/>
          <w:i w:val="0"/>
          <w:sz w:val="21"/>
        </w:rPr>
        <w:t>Important calibration caveat:</w:t>
      </w:r>
      <w:r>
        <w:rPr>
          <w:rFonts w:ascii="Calibri" w:hAnsi="Calibri"/>
          <w:b w:val="0"/>
          <w:i w:val="0"/>
          <w:sz w:val="21"/>
        </w:rPr>
        <w:t xml:space="preserve"> Step 0 (Appendix B) is only marginal for this name — the engine roughly matches, and does not decisively beat, the random-walk benchmark, with a PIT tilted high because PRDC's 2026 breakout was not forecastable from its own price history. We therefore present this section as an illustrative price map, not a graded forecast, and read it alongside the overbought technical tape.</w:t>
      </w:r>
    </w:p>
    <w:p>
      <w:r>
        <w:rPr>
          <w:rFonts w:ascii="Calibri" w:hAnsi="Calibri"/>
          <w:b/>
          <w:i w:val="0"/>
          <w:sz w:val="21"/>
        </w:rPr>
        <w:t>The probability read (T+60, from the same 50,000 paths):</w:t>
      </w:r>
    </w:p>
    <w:tbl>
      <w:tblPr>
        <w:tblStyle w:val="TableGrid"/>
        <w:tblW w:type="auto" w:w="0"/>
        <w:jc w:val="center"/>
        <w:tblLook w:firstColumn="1" w:firstRow="1" w:lastColumn="0" w:lastRow="0" w:noHBand="0" w:noVBand="1" w:val="04A0"/>
      </w:tblPr>
      <w:tblGrid>
        <w:gridCol w:w="4968"/>
        <w:gridCol w:w="4968"/>
      </w:tblGrid>
      <w:tr>
        <w:tc>
          <w:tcPr>
            <w:tcW w:type="dxa" w:w="4320"/>
            <w:shd w:val="clear" w:fill="1B5E5E"/>
          </w:tcPr>
          <w:p>
            <w:pPr>
              <w:jc w:val="center"/>
            </w:pPr>
            <w:r/>
            <w:r>
              <w:rPr>
                <w:rFonts w:ascii="Calibri" w:hAnsi="Calibri"/>
                <w:b/>
                <w:color w:val="FFFFFF"/>
                <w:sz w:val="19"/>
              </w:rPr>
              <w:t>Probability read</w:t>
            </w:r>
          </w:p>
        </w:tc>
        <w:tc>
          <w:tcPr>
            <w:tcW w:type="dxa" w:w="4752"/>
            <w:shd w:val="clear" w:fill="1B5E5E"/>
          </w:tcPr>
          <w:p>
            <w:pPr>
              <w:jc w:val="center"/>
            </w:pPr>
            <w:r/>
            <w:r>
              <w:rPr>
                <w:rFonts w:ascii="Calibri" w:hAnsi="Calibri"/>
                <w:b/>
                <w:color w:val="FFFFFF"/>
                <w:sz w:val="19"/>
              </w:rPr>
              <w:t>Value</w:t>
            </w:r>
          </w:p>
        </w:tc>
      </w:tr>
      <w:tr>
        <w:tc>
          <w:tcPr>
            <w:tcW w:type="dxa" w:w="4320"/>
          </w:tcPr>
          <w:p>
            <w:r/>
            <w:r>
              <w:rPr>
                <w:rFonts w:ascii="Calibri" w:hAnsi="Calibri"/>
                <w:b w:val="0"/>
                <w:sz w:val="19"/>
              </w:rPr>
              <w:t>P(price above spot)</w:t>
            </w:r>
          </w:p>
        </w:tc>
        <w:tc>
          <w:tcPr>
            <w:tcW w:type="dxa" w:w="4752"/>
          </w:tcPr>
          <w:p>
            <w:pPr>
              <w:jc w:val="center"/>
            </w:pPr>
            <w:r/>
            <w:r>
              <w:rPr>
                <w:rFonts w:ascii="Calibri" w:hAnsi="Calibri"/>
                <w:b w:val="0"/>
                <w:sz w:val="19"/>
              </w:rPr>
              <w:t>61%</w:t>
            </w:r>
          </w:p>
        </w:tc>
      </w:tr>
      <w:tr>
        <w:tc>
          <w:tcPr>
            <w:tcW w:type="dxa" w:w="4320"/>
          </w:tcPr>
          <w:p>
            <w:r/>
            <w:r>
              <w:rPr>
                <w:rFonts w:ascii="Calibri" w:hAnsi="Calibri"/>
                <w:b w:val="0"/>
                <w:sz w:val="19"/>
              </w:rPr>
              <w:t>P(+10%) vs P(−10%)</w:t>
            </w:r>
          </w:p>
        </w:tc>
        <w:tc>
          <w:tcPr>
            <w:tcW w:type="dxa" w:w="4752"/>
          </w:tcPr>
          <w:p>
            <w:pPr>
              <w:jc w:val="center"/>
            </w:pPr>
            <w:r/>
            <w:r>
              <w:rPr>
                <w:rFonts w:ascii="Calibri" w:hAnsi="Calibri"/>
                <w:b w:val="0"/>
                <w:sz w:val="19"/>
              </w:rPr>
              <w:t>44% vs 23%   (odds 1.89×)</w:t>
            </w:r>
          </w:p>
        </w:tc>
      </w:tr>
      <w:tr>
        <w:tc>
          <w:tcPr>
            <w:tcW w:type="dxa" w:w="4320"/>
          </w:tcPr>
          <w:p>
            <w:r/>
            <w:r>
              <w:rPr>
                <w:rFonts w:ascii="Calibri" w:hAnsi="Calibri"/>
                <w:b w:val="0"/>
                <w:sz w:val="19"/>
              </w:rPr>
              <w:t>Median level / move</w:t>
            </w:r>
          </w:p>
        </w:tc>
        <w:tc>
          <w:tcPr>
            <w:tcW w:type="dxa" w:w="4752"/>
          </w:tcPr>
          <w:p>
            <w:pPr>
              <w:jc w:val="center"/>
            </w:pPr>
            <w:r/>
            <w:r>
              <w:rPr>
                <w:rFonts w:ascii="Calibri" w:hAnsi="Calibri"/>
                <w:b w:val="0"/>
                <w:sz w:val="19"/>
              </w:rPr>
              <w:t>EGP 8.81   (+6.4%)</w:t>
            </w:r>
          </w:p>
        </w:tc>
      </w:tr>
      <w:tr>
        <w:tc>
          <w:tcPr>
            <w:tcW w:type="dxa" w:w="4320"/>
          </w:tcPr>
          <w:p>
            <w:r/>
            <w:r>
              <w:rPr>
                <w:rFonts w:ascii="Calibri" w:hAnsi="Calibri"/>
                <w:b w:val="0"/>
                <w:sz w:val="19"/>
              </w:rPr>
              <w:t>50% band (25th–75th)</w:t>
            </w:r>
          </w:p>
        </w:tc>
        <w:tc>
          <w:tcPr>
            <w:tcW w:type="dxa" w:w="4752"/>
          </w:tcPr>
          <w:p>
            <w:pPr>
              <w:jc w:val="center"/>
            </w:pPr>
            <w:r/>
            <w:r>
              <w:rPr>
                <w:rFonts w:ascii="Calibri" w:hAnsi="Calibri"/>
                <w:b w:val="0"/>
                <w:sz w:val="19"/>
              </w:rPr>
              <w:t>EGP 7.55 – 10.25   (-9% / +24% of spot)</w:t>
            </w:r>
          </w:p>
        </w:tc>
      </w:tr>
      <w:tr>
        <w:tc>
          <w:tcPr>
            <w:tcW w:type="dxa" w:w="4320"/>
          </w:tcPr>
          <w:p>
            <w:r/>
            <w:r>
              <w:rPr>
                <w:rFonts w:ascii="Calibri" w:hAnsi="Calibri"/>
                <w:b w:val="0"/>
                <w:sz w:val="19"/>
              </w:rPr>
              <w:t>Touch(+10%) / Touch(−10%)</w:t>
            </w:r>
          </w:p>
        </w:tc>
        <w:tc>
          <w:tcPr>
            <w:tcW w:type="dxa" w:w="4752"/>
          </w:tcPr>
          <w:p>
            <w:pPr>
              <w:jc w:val="center"/>
            </w:pPr>
            <w:r/>
            <w:r>
              <w:rPr>
                <w:rFonts w:ascii="Calibri" w:hAnsi="Calibri"/>
                <w:b w:val="0"/>
                <w:sz w:val="19"/>
              </w:rPr>
              <w:t>70% / 50%</w:t>
            </w:r>
          </w:p>
        </w:tc>
      </w:tr>
    </w:tbl>
    <w:p/>
    <w:p>
      <w:r>
        <w:rPr>
          <w:rFonts w:ascii="Calibri" w:hAnsi="Calibri"/>
          <w:b w:val="0"/>
          <w:i w:val="0"/>
          <w:sz w:val="21"/>
        </w:rPr>
        <w:t>The read is a modest positive tilt — a little more than even odds of finishing above spot, driven by the secular drift, with a wide, right-skewed band. It is presentation-only, computed after simulation, and leaves the engine and Step 0 unchanged.</w:t>
      </w:r>
    </w:p>
    <w:p>
      <w:r>
        <w:rPr>
          <w:rFonts w:ascii="Calibri" w:hAnsi="Calibri"/>
          <w:b w:val="0"/>
          <w:i w:val="0"/>
          <w:sz w:val="21"/>
        </w:rPr>
        <w:t>The factor stack, seven continuous drivers and nine discrete events: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shd w:val="clear" w:fill="1B5E5E"/>
          </w:tcPr>
          <w:p>
            <w:pPr>
              <w:jc w:val="center"/>
            </w:pPr>
            <w:r/>
            <w:r>
              <w:rPr>
                <w:rFonts w:ascii="Calibri" w:hAnsi="Calibri"/>
                <w:b/>
                <w:color w:val="FFFFFF"/>
                <w:sz w:val="19"/>
              </w:rPr>
              <w:t>Continuous factor (7)</w:t>
            </w:r>
          </w:p>
        </w:tc>
        <w:tc>
          <w:tcPr>
            <w:tcW w:type="dxa" w:w="3744"/>
            <w:shd w:val="clear" w:fill="1B5E5E"/>
          </w:tcPr>
          <w:p>
            <w:pPr>
              <w:jc w:val="center"/>
            </w:pPr>
            <w:r/>
            <w:r>
              <w:rPr>
                <w:rFonts w:ascii="Calibri" w:hAnsi="Calibri"/>
                <w:b/>
                <w:color w:val="FFFFFF"/>
                <w:sz w:val="19"/>
              </w:rPr>
              <w:t>Discrete event (9)</w:t>
            </w:r>
          </w:p>
        </w:tc>
        <w:tc>
          <w:tcPr>
            <w:tcW w:type="dxa" w:w="1152"/>
            <w:shd w:val="clear" w:fill="1B5E5E"/>
          </w:tcPr>
          <w:p>
            <w:pPr>
              <w:jc w:val="center"/>
            </w:pPr>
            <w:r/>
            <w:r>
              <w:rPr>
                <w:rFonts w:ascii="Calibri" w:hAnsi="Calibri"/>
                <w:b/>
                <w:color w:val="FFFFFF"/>
                <w:sz w:val="19"/>
              </w:rPr>
              <w:t>Prob.</w:t>
            </w:r>
          </w:p>
        </w:tc>
        <w:tc>
          <w:tcPr>
            <w:tcW w:type="dxa" w:w="1296"/>
            <w:shd w:val="clear" w:fill="1B5E5E"/>
          </w:tcPr>
          <w:p>
            <w:pPr>
              <w:jc w:val="center"/>
            </w:pPr>
            <w:r/>
            <w:r>
              <w:rPr>
                <w:rFonts w:ascii="Calibri" w:hAnsi="Calibri"/>
                <w:b/>
                <w:color w:val="FFFFFF"/>
                <w:sz w:val="19"/>
              </w:rPr>
              <w:t>Mean impact</w:t>
            </w:r>
          </w:p>
        </w:tc>
      </w:tr>
      <w:tr>
        <w:tc>
          <w:tcPr>
            <w:tcW w:type="dxa" w:w="3168"/>
          </w:tcPr>
          <w:p>
            <w:r/>
            <w:r>
              <w:rPr>
                <w:rFonts w:ascii="Calibri" w:hAnsi="Calibri"/>
                <w:b w:val="0"/>
                <w:sz w:val="19"/>
              </w:rPr>
              <w:t>CBE policy-rate path</w:t>
            </w:r>
          </w:p>
        </w:tc>
        <w:tc>
          <w:tcPr>
            <w:tcW w:type="dxa" w:w="3744"/>
          </w:tcPr>
          <w:p>
            <w:pPr>
              <w:jc w:val="center"/>
            </w:pPr>
            <w:r/>
            <w:r>
              <w:rPr>
                <w:rFonts w:ascii="Calibri" w:hAnsi="Calibri"/>
                <w:b w:val="0"/>
                <w:sz w:val="19"/>
              </w:rPr>
              <w:t>Geopolitical / regional security</w:t>
            </w:r>
          </w:p>
        </w:tc>
        <w:tc>
          <w:tcPr>
            <w:tcW w:type="dxa" w:w="1152"/>
          </w:tcPr>
          <w:p>
            <w:pPr>
              <w:jc w:val="center"/>
            </w:pPr>
            <w:r/>
            <w:r>
              <w:rPr>
                <w:rFonts w:ascii="Calibri" w:hAnsi="Calibri"/>
                <w:b w:val="0"/>
                <w:sz w:val="19"/>
              </w:rPr>
              <w:t>30%</w:t>
            </w:r>
          </w:p>
        </w:tc>
        <w:tc>
          <w:tcPr>
            <w:tcW w:type="dxa" w:w="1296"/>
          </w:tcPr>
          <w:p>
            <w:pPr>
              <w:jc w:val="center"/>
            </w:pPr>
            <w:r/>
            <w:r>
              <w:rPr>
                <w:rFonts w:ascii="Calibri" w:hAnsi="Calibri"/>
                <w:b w:val="0"/>
                <w:sz w:val="19"/>
              </w:rPr>
              <w:t>-10.0%</w:t>
            </w:r>
          </w:p>
        </w:tc>
      </w:tr>
      <w:tr>
        <w:tc>
          <w:tcPr>
            <w:tcW w:type="dxa" w:w="3168"/>
          </w:tcPr>
          <w:p>
            <w:r/>
            <w:r>
              <w:rPr>
                <w:rFonts w:ascii="Calibri" w:hAnsi="Calibri"/>
                <w:b w:val="0"/>
                <w:sz w:val="19"/>
              </w:rPr>
              <w:t>EGP/USD rate</w:t>
            </w:r>
          </w:p>
        </w:tc>
        <w:tc>
          <w:tcPr>
            <w:tcW w:type="dxa" w:w="3744"/>
          </w:tcPr>
          <w:p>
            <w:pPr>
              <w:jc w:val="center"/>
            </w:pPr>
            <w:r/>
            <w:r>
              <w:rPr>
                <w:rFonts w:ascii="Calibri" w:hAnsi="Calibri"/>
                <w:b w:val="0"/>
                <w:sz w:val="19"/>
              </w:rPr>
              <w:t>Cross-border / Gulf inflows</w:t>
            </w:r>
          </w:p>
        </w:tc>
        <w:tc>
          <w:tcPr>
            <w:tcW w:type="dxa" w:w="1152"/>
          </w:tcPr>
          <w:p>
            <w:pPr>
              <w:jc w:val="center"/>
            </w:pPr>
            <w:r/>
            <w:r>
              <w:rPr>
                <w:rFonts w:ascii="Calibri" w:hAnsi="Calibri"/>
                <w:b w:val="0"/>
                <w:sz w:val="19"/>
              </w:rPr>
              <w:t>30%</w:t>
            </w:r>
          </w:p>
        </w:tc>
        <w:tc>
          <w:tcPr>
            <w:tcW w:type="dxa" w:w="1296"/>
          </w:tcPr>
          <w:p>
            <w:pPr>
              <w:jc w:val="center"/>
            </w:pPr>
            <w:r/>
            <w:r>
              <w:rPr>
                <w:rFonts w:ascii="Calibri" w:hAnsi="Calibri"/>
                <w:b w:val="0"/>
                <w:sz w:val="19"/>
              </w:rPr>
              <w:t>+3.0%</w:t>
            </w:r>
          </w:p>
        </w:tc>
      </w:tr>
      <w:tr>
        <w:tc>
          <w:tcPr>
            <w:tcW w:type="dxa" w:w="3168"/>
          </w:tcPr>
          <w:p>
            <w:r/>
            <w:r>
              <w:rPr>
                <w:rFonts w:ascii="Calibri" w:hAnsi="Calibri"/>
                <w:b w:val="0"/>
                <w:sz w:val="19"/>
              </w:rPr>
              <w:t>Inflation (CPI)</w:t>
            </w:r>
          </w:p>
        </w:tc>
        <w:tc>
          <w:tcPr>
            <w:tcW w:type="dxa" w:w="3744"/>
          </w:tcPr>
          <w:p>
            <w:pPr>
              <w:jc w:val="center"/>
            </w:pPr>
            <w:r/>
            <w:r>
              <w:rPr>
                <w:rFonts w:ascii="Calibri" w:hAnsi="Calibri"/>
                <w:b w:val="0"/>
                <w:sz w:val="19"/>
              </w:rPr>
              <w:t>Project launch &amp; sales execution (IVOIRE / Second Home)</w:t>
            </w:r>
          </w:p>
        </w:tc>
        <w:tc>
          <w:tcPr>
            <w:tcW w:type="dxa" w:w="1152"/>
          </w:tcPr>
          <w:p>
            <w:pPr>
              <w:jc w:val="center"/>
            </w:pPr>
            <w:r/>
            <w:r>
              <w:rPr>
                <w:rFonts w:ascii="Calibri" w:hAnsi="Calibri"/>
                <w:b w:val="0"/>
                <w:sz w:val="19"/>
              </w:rPr>
              <w:t>50%</w:t>
            </w:r>
          </w:p>
        </w:tc>
        <w:tc>
          <w:tcPr>
            <w:tcW w:type="dxa" w:w="1296"/>
          </w:tcPr>
          <w:p>
            <w:pPr>
              <w:jc w:val="center"/>
            </w:pPr>
            <w:r/>
            <w:r>
              <w:rPr>
                <w:rFonts w:ascii="Calibri" w:hAnsi="Calibri"/>
                <w:b w:val="0"/>
                <w:sz w:val="19"/>
              </w:rPr>
              <w:t>+4.0%</w:t>
            </w:r>
          </w:p>
        </w:tc>
      </w:tr>
      <w:tr>
        <w:tc>
          <w:tcPr>
            <w:tcW w:type="dxa" w:w="3168"/>
          </w:tcPr>
          <w:p>
            <w:r/>
            <w:r>
              <w:rPr>
                <w:rFonts w:ascii="Calibri" w:hAnsi="Calibri"/>
                <w:b w:val="0"/>
                <w:sz w:val="19"/>
              </w:rPr>
              <w:t>EGX30 &amp; foreign flows</w:t>
            </w:r>
          </w:p>
        </w:tc>
        <w:tc>
          <w:tcPr>
            <w:tcW w:type="dxa" w:w="3744"/>
          </w:tcPr>
          <w:p>
            <w:pPr>
              <w:jc w:val="center"/>
            </w:pPr>
            <w:r/>
            <w:r>
              <w:rPr>
                <w:rFonts w:ascii="Calibri" w:hAnsi="Calibri"/>
                <w:b w:val="0"/>
                <w:sz w:val="19"/>
              </w:rPr>
              <w:t>Mortgage finance &amp; credit expansion</w:t>
            </w:r>
          </w:p>
        </w:tc>
        <w:tc>
          <w:tcPr>
            <w:tcW w:type="dxa" w:w="1152"/>
          </w:tcPr>
          <w:p>
            <w:pPr>
              <w:jc w:val="center"/>
            </w:pPr>
            <w:r/>
            <w:r>
              <w:rPr>
                <w:rFonts w:ascii="Calibri" w:hAnsi="Calibri"/>
                <w:b w:val="0"/>
                <w:sz w:val="19"/>
              </w:rPr>
              <w:t>35%</w:t>
            </w:r>
          </w:p>
        </w:tc>
        <w:tc>
          <w:tcPr>
            <w:tcW w:type="dxa" w:w="1296"/>
          </w:tcPr>
          <w:p>
            <w:pPr>
              <w:jc w:val="center"/>
            </w:pPr>
            <w:r/>
            <w:r>
              <w:rPr>
                <w:rFonts w:ascii="Calibri" w:hAnsi="Calibri"/>
                <w:b w:val="0"/>
                <w:sz w:val="19"/>
              </w:rPr>
              <w:t>+1.5%</w:t>
            </w:r>
          </w:p>
        </w:tc>
      </w:tr>
      <w:tr>
        <w:tc>
          <w:tcPr>
            <w:tcW w:type="dxa" w:w="3168"/>
          </w:tcPr>
          <w:p>
            <w:r/>
            <w:r>
              <w:rPr>
                <w:rFonts w:ascii="Calibri" w:hAnsi="Calibri"/>
                <w:b w:val="0"/>
                <w:sz w:val="19"/>
              </w:rPr>
              <w:t>Residential demand / absorption</w:t>
            </w:r>
          </w:p>
        </w:tc>
        <w:tc>
          <w:tcPr>
            <w:tcW w:type="dxa" w:w="3744"/>
          </w:tcPr>
          <w:p>
            <w:pPr>
              <w:jc w:val="center"/>
            </w:pPr>
            <w:r/>
            <w:r>
              <w:rPr>
                <w:rFonts w:ascii="Calibri" w:hAnsi="Calibri"/>
                <w:b w:val="0"/>
                <w:sz w:val="19"/>
              </w:rPr>
              <w:t>Contracting backlog / award</w:t>
            </w:r>
          </w:p>
        </w:tc>
        <w:tc>
          <w:tcPr>
            <w:tcW w:type="dxa" w:w="1152"/>
          </w:tcPr>
          <w:p>
            <w:pPr>
              <w:jc w:val="center"/>
            </w:pPr>
            <w:r/>
            <w:r>
              <w:rPr>
                <w:rFonts w:ascii="Calibri" w:hAnsi="Calibri"/>
                <w:b w:val="0"/>
                <w:sz w:val="19"/>
              </w:rPr>
              <w:t>40%</w:t>
            </w:r>
          </w:p>
        </w:tc>
        <w:tc>
          <w:tcPr>
            <w:tcW w:type="dxa" w:w="1296"/>
          </w:tcPr>
          <w:p>
            <w:pPr>
              <w:jc w:val="center"/>
            </w:pPr>
            <w:r/>
            <w:r>
              <w:rPr>
                <w:rFonts w:ascii="Calibri" w:hAnsi="Calibri"/>
                <w:b w:val="0"/>
                <w:sz w:val="19"/>
              </w:rPr>
              <w:t>+2.0%</w:t>
            </w:r>
          </w:p>
        </w:tc>
      </w:tr>
      <w:tr>
        <w:tc>
          <w:tcPr>
            <w:tcW w:type="dxa" w:w="3168"/>
          </w:tcPr>
          <w:p>
            <w:r/>
            <w:r>
              <w:rPr>
                <w:rFonts w:ascii="Calibri" w:hAnsi="Calibri"/>
                <w:b w:val="0"/>
                <w:sz w:val="19"/>
              </w:rPr>
              <w:t>Brent / Gulf liquidity</w:t>
            </w:r>
          </w:p>
        </w:tc>
        <w:tc>
          <w:tcPr>
            <w:tcW w:type="dxa" w:w="3744"/>
          </w:tcPr>
          <w:p>
            <w:pPr>
              <w:jc w:val="center"/>
            </w:pPr>
            <w:r/>
            <w:r>
              <w:rPr>
                <w:rFonts w:ascii="Calibri" w:hAnsi="Calibri"/>
                <w:b w:val="0"/>
                <w:sz w:val="19"/>
              </w:rPr>
              <w:t>Land acquisition / new-launch land deal</w:t>
            </w:r>
          </w:p>
        </w:tc>
        <w:tc>
          <w:tcPr>
            <w:tcW w:type="dxa" w:w="1152"/>
          </w:tcPr>
          <w:p>
            <w:pPr>
              <w:jc w:val="center"/>
            </w:pPr>
            <w:r/>
            <w:r>
              <w:rPr>
                <w:rFonts w:ascii="Calibri" w:hAnsi="Calibri"/>
                <w:b w:val="0"/>
                <w:sz w:val="19"/>
              </w:rPr>
              <w:t>30%</w:t>
            </w:r>
          </w:p>
        </w:tc>
        <w:tc>
          <w:tcPr>
            <w:tcW w:type="dxa" w:w="1296"/>
          </w:tcPr>
          <w:p>
            <w:pPr>
              <w:jc w:val="center"/>
            </w:pPr>
            <w:r/>
            <w:r>
              <w:rPr>
                <w:rFonts w:ascii="Calibri" w:hAnsi="Calibri"/>
                <w:b w:val="0"/>
                <w:sz w:val="19"/>
              </w:rPr>
              <w:t>+3.0%</w:t>
            </w:r>
          </w:p>
        </w:tc>
      </w:tr>
      <w:tr>
        <w:tc>
          <w:tcPr>
            <w:tcW w:type="dxa" w:w="3168"/>
          </w:tcPr>
          <w:p>
            <w:r/>
            <w:r>
              <w:rPr>
                <w:rFonts w:ascii="Calibri" w:hAnsi="Calibri"/>
                <w:b w:val="0"/>
                <w:sz w:val="19"/>
              </w:rPr>
              <w:t>Contracting input cost (steel/cement)</w:t>
            </w:r>
          </w:p>
        </w:tc>
        <w:tc>
          <w:tcPr>
            <w:tcW w:type="dxa" w:w="3744"/>
          </w:tcPr>
          <w:p>
            <w:pPr>
              <w:jc w:val="center"/>
            </w:pPr>
            <w:r/>
            <w:r>
              <w:rPr>
                <w:rFonts w:ascii="Calibri" w:hAnsi="Calibri"/>
                <w:b w:val="0"/>
                <w:sz w:val="19"/>
              </w:rPr>
              <w:t>CBE rate-cut surprise</w:t>
            </w:r>
          </w:p>
        </w:tc>
        <w:tc>
          <w:tcPr>
            <w:tcW w:type="dxa" w:w="1152"/>
          </w:tcPr>
          <w:p>
            <w:pPr>
              <w:jc w:val="center"/>
            </w:pPr>
            <w:r/>
            <w:r>
              <w:rPr>
                <w:rFonts w:ascii="Calibri" w:hAnsi="Calibri"/>
                <w:b w:val="0"/>
                <w:sz w:val="19"/>
              </w:rPr>
              <w:t>30%</w:t>
            </w:r>
          </w:p>
        </w:tc>
        <w:tc>
          <w:tcPr>
            <w:tcW w:type="dxa" w:w="1296"/>
          </w:tcPr>
          <w:p>
            <w:pPr>
              <w:jc w:val="center"/>
            </w:pPr>
            <w:r/>
            <w:r>
              <w:rPr>
                <w:rFonts w:ascii="Calibri" w:hAnsi="Calibri"/>
                <w:b w:val="0"/>
                <w:sz w:val="19"/>
              </w:rPr>
              <w:t>+2.0%</w:t>
            </w:r>
          </w:p>
        </w:tc>
      </w:tr>
      <w:tr>
        <w:tc>
          <w:tcPr>
            <w:tcW w:type="dxa" w:w="3168"/>
          </w:tcPr>
          <w:p>
            <w:r/>
            <w:r>
              <w:rPr>
                <w:rFonts w:ascii="Calibri" w:hAnsi="Calibri"/>
                <w:b w:val="0"/>
                <w:sz w:val="19"/>
              </w:rPr>
            </w:r>
          </w:p>
        </w:tc>
        <w:tc>
          <w:tcPr>
            <w:tcW w:type="dxa" w:w="3744"/>
          </w:tcPr>
          <w:p>
            <w:pPr>
              <w:jc w:val="center"/>
            </w:pPr>
            <w:r/>
            <w:r>
              <w:rPr>
                <w:rFonts w:ascii="Calibri" w:hAnsi="Calibri"/>
                <w:b w:val="0"/>
                <w:sz w:val="19"/>
              </w:rPr>
              <w:t>Earnings / minority-mix surprise</w:t>
            </w:r>
          </w:p>
        </w:tc>
        <w:tc>
          <w:tcPr>
            <w:tcW w:type="dxa" w:w="1152"/>
          </w:tcPr>
          <w:p>
            <w:pPr>
              <w:jc w:val="center"/>
            </w:pPr>
            <w:r/>
            <w:r>
              <w:rPr>
                <w:rFonts w:ascii="Calibri" w:hAnsi="Calibri"/>
                <w:b w:val="0"/>
                <w:sz w:val="19"/>
              </w:rPr>
              <w:t>45%</w:t>
            </w:r>
          </w:p>
        </w:tc>
        <w:tc>
          <w:tcPr>
            <w:tcW w:type="dxa" w:w="1296"/>
          </w:tcPr>
          <w:p>
            <w:pPr>
              <w:jc w:val="center"/>
            </w:pPr>
            <w:r/>
            <w:r>
              <w:rPr>
                <w:rFonts w:ascii="Calibri" w:hAnsi="Calibri"/>
                <w:b w:val="0"/>
                <w:sz w:val="19"/>
              </w:rPr>
              <w:t>+1.0%</w:t>
            </w:r>
          </w:p>
        </w:tc>
      </w:tr>
      <w:tr>
        <w:tc>
          <w:tcPr>
            <w:tcW w:type="dxa" w:w="3168"/>
          </w:tcPr>
          <w:p>
            <w:r/>
            <w:r>
              <w:rPr>
                <w:rFonts w:ascii="Calibri" w:hAnsi="Calibri"/>
                <w:b w:val="0"/>
                <w:sz w:val="19"/>
              </w:rPr>
            </w:r>
          </w:p>
        </w:tc>
        <w:tc>
          <w:tcPr>
            <w:tcW w:type="dxa" w:w="3744"/>
          </w:tcPr>
          <w:p>
            <w:pPr>
              <w:jc w:val="center"/>
            </w:pPr>
            <w:r/>
            <w:r>
              <w:rPr>
                <w:rFonts w:ascii="Calibri" w:hAnsi="Calibri"/>
                <w:b w:val="0"/>
                <w:sz w:val="19"/>
              </w:rPr>
              <w:t>EGP devaluation step / FX shock</w:t>
            </w:r>
          </w:p>
        </w:tc>
        <w:tc>
          <w:tcPr>
            <w:tcW w:type="dxa" w:w="1152"/>
          </w:tcPr>
          <w:p>
            <w:pPr>
              <w:jc w:val="center"/>
            </w:pPr>
            <w:r/>
            <w:r>
              <w:rPr>
                <w:rFonts w:ascii="Calibri" w:hAnsi="Calibri"/>
                <w:b w:val="0"/>
                <w:sz w:val="19"/>
              </w:rPr>
              <w:t>25%</w:t>
            </w:r>
          </w:p>
        </w:tc>
        <w:tc>
          <w:tcPr>
            <w:tcW w:type="dxa" w:w="1296"/>
          </w:tcPr>
          <w:p>
            <w:pPr>
              <w:jc w:val="center"/>
            </w:pPr>
            <w:r/>
            <w:r>
              <w:rPr>
                <w:rFonts w:ascii="Calibri" w:hAnsi="Calibri"/>
                <w:b w:val="0"/>
                <w:sz w:val="19"/>
              </w:rPr>
              <w:t>-6.0%</w:t>
            </w:r>
          </w:p>
        </w:tc>
      </w:tr>
    </w:tbl>
    <w:p/>
    <w:p>
      <w:r>
        <w:rPr>
          <w:rFonts w:ascii="Calibri" w:hAnsi="Calibri"/>
          <w:b/>
          <w:i w:val="0"/>
          <w:sz w:val="21"/>
        </w:rPr>
        <w:t>Percentile map (EGP/share):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shd w:val="clear" w:fill="1B5E5E"/>
          </w:tcPr>
          <w:p>
            <w:pPr>
              <w:jc w:val="center"/>
            </w:pPr>
            <w:r/>
            <w:r>
              <w:rPr>
                <w:rFonts w:ascii="Calibri" w:hAnsi="Calibri"/>
                <w:b/>
                <w:color w:val="FFFFFF"/>
                <w:sz w:val="19"/>
              </w:rPr>
              <w:t>Horizon</w:t>
            </w:r>
          </w:p>
        </w:tc>
        <w:tc>
          <w:tcPr>
            <w:tcW w:type="dxa" w:w="1440"/>
            <w:shd w:val="clear" w:fill="1B5E5E"/>
          </w:tcPr>
          <w:p>
            <w:pPr>
              <w:jc w:val="center"/>
            </w:pPr>
            <w:r/>
            <w:r>
              <w:rPr>
                <w:rFonts w:ascii="Calibri" w:hAnsi="Calibri"/>
                <w:b/>
                <w:color w:val="FFFFFF"/>
                <w:sz w:val="19"/>
              </w:rPr>
              <w:t>p5</w:t>
            </w:r>
          </w:p>
        </w:tc>
        <w:tc>
          <w:tcPr>
            <w:tcW w:type="dxa" w:w="1440"/>
            <w:shd w:val="clear" w:fill="1B5E5E"/>
          </w:tcPr>
          <w:p>
            <w:pPr>
              <w:jc w:val="center"/>
            </w:pPr>
            <w:r/>
            <w:r>
              <w:rPr>
                <w:rFonts w:ascii="Calibri" w:hAnsi="Calibri"/>
                <w:b/>
                <w:color w:val="FFFFFF"/>
                <w:sz w:val="19"/>
              </w:rPr>
              <w:t>p25</w:t>
            </w:r>
          </w:p>
        </w:tc>
        <w:tc>
          <w:tcPr>
            <w:tcW w:type="dxa" w:w="1440"/>
            <w:shd w:val="clear" w:fill="1B5E5E"/>
          </w:tcPr>
          <w:p>
            <w:pPr>
              <w:jc w:val="center"/>
            </w:pPr>
            <w:r/>
            <w:r>
              <w:rPr>
                <w:rFonts w:ascii="Calibri" w:hAnsi="Calibri"/>
                <w:b/>
                <w:color w:val="FFFFFF"/>
                <w:sz w:val="19"/>
              </w:rPr>
              <w:t>p50</w:t>
            </w:r>
          </w:p>
        </w:tc>
        <w:tc>
          <w:tcPr>
            <w:tcW w:type="dxa" w:w="1440"/>
            <w:shd w:val="clear" w:fill="1B5E5E"/>
          </w:tcPr>
          <w:p>
            <w:pPr>
              <w:jc w:val="center"/>
            </w:pPr>
            <w:r/>
            <w:r>
              <w:rPr>
                <w:rFonts w:ascii="Calibri" w:hAnsi="Calibri"/>
                <w:b/>
                <w:color w:val="FFFFFF"/>
                <w:sz w:val="19"/>
              </w:rPr>
              <w:t>p75</w:t>
            </w:r>
          </w:p>
        </w:tc>
        <w:tc>
          <w:tcPr>
            <w:tcW w:type="dxa" w:w="1440"/>
            <w:shd w:val="clear" w:fill="1B5E5E"/>
          </w:tcPr>
          <w:p>
            <w:pPr>
              <w:jc w:val="center"/>
            </w:pPr>
            <w:r/>
            <w:r>
              <w:rPr>
                <w:rFonts w:ascii="Calibri" w:hAnsi="Calibri"/>
                <w:b/>
                <w:color w:val="FFFFFF"/>
                <w:sz w:val="19"/>
              </w:rPr>
              <w:t>p95</w:t>
            </w:r>
          </w:p>
        </w:tc>
      </w:tr>
      <w:tr>
        <w:tc>
          <w:tcPr>
            <w:tcW w:type="dxa" w:w="2736"/>
          </w:tcPr>
          <w:p>
            <w:r/>
            <w:r>
              <w:rPr>
                <w:rFonts w:ascii="Calibri" w:hAnsi="Calibri"/>
                <w:b w:val="0"/>
                <w:sz w:val="19"/>
              </w:rPr>
              <w:t>T+20 sessions</w:t>
            </w:r>
          </w:p>
        </w:tc>
        <w:tc>
          <w:tcPr>
            <w:tcW w:type="dxa" w:w="1440"/>
          </w:tcPr>
          <w:p>
            <w:pPr>
              <w:jc w:val="center"/>
            </w:pPr>
            <w:r/>
            <w:r>
              <w:rPr>
                <w:rFonts w:ascii="Calibri" w:hAnsi="Calibri"/>
                <w:b w:val="0"/>
                <w:sz w:val="19"/>
              </w:rPr>
              <w:t>6.63</w:t>
            </w:r>
          </w:p>
        </w:tc>
        <w:tc>
          <w:tcPr>
            <w:tcW w:type="dxa" w:w="1440"/>
          </w:tcPr>
          <w:p>
            <w:pPr>
              <w:jc w:val="center"/>
            </w:pPr>
            <w:r/>
            <w:r>
              <w:rPr>
                <w:rFonts w:ascii="Calibri" w:hAnsi="Calibri"/>
                <w:b w:val="0"/>
                <w:sz w:val="19"/>
              </w:rPr>
              <w:t>7.74</w:t>
            </w:r>
          </w:p>
        </w:tc>
        <w:tc>
          <w:tcPr>
            <w:tcW w:type="dxa" w:w="1440"/>
          </w:tcPr>
          <w:p>
            <w:pPr>
              <w:jc w:val="center"/>
            </w:pPr>
            <w:r/>
            <w:r>
              <w:rPr>
                <w:rFonts w:ascii="Calibri" w:hAnsi="Calibri"/>
                <w:b w:val="0"/>
                <w:sz w:val="19"/>
              </w:rPr>
              <w:t>8.45</w:t>
            </w:r>
          </w:p>
        </w:tc>
        <w:tc>
          <w:tcPr>
            <w:tcW w:type="dxa" w:w="1440"/>
          </w:tcPr>
          <w:p>
            <w:pPr>
              <w:jc w:val="center"/>
            </w:pPr>
            <w:r/>
            <w:r>
              <w:rPr>
                <w:rFonts w:ascii="Calibri" w:hAnsi="Calibri"/>
                <w:b w:val="0"/>
                <w:sz w:val="19"/>
              </w:rPr>
              <w:t>9.24</w:t>
            </w:r>
          </w:p>
        </w:tc>
        <w:tc>
          <w:tcPr>
            <w:tcW w:type="dxa" w:w="1440"/>
          </w:tcPr>
          <w:p>
            <w:pPr>
              <w:jc w:val="center"/>
            </w:pPr>
            <w:r/>
            <w:r>
              <w:rPr>
                <w:rFonts w:ascii="Calibri" w:hAnsi="Calibri"/>
                <w:b w:val="0"/>
                <w:sz w:val="19"/>
              </w:rPr>
              <w:t>10.68</w:t>
            </w:r>
          </w:p>
        </w:tc>
      </w:tr>
      <w:tr>
        <w:tc>
          <w:tcPr>
            <w:tcW w:type="dxa" w:w="2736"/>
          </w:tcPr>
          <w:p>
            <w:r/>
            <w:r>
              <w:rPr>
                <w:rFonts w:ascii="Calibri" w:hAnsi="Calibri"/>
                <w:b w:val="0"/>
                <w:sz w:val="19"/>
              </w:rPr>
              <w:t>T+60 sessions</w:t>
            </w:r>
          </w:p>
        </w:tc>
        <w:tc>
          <w:tcPr>
            <w:tcW w:type="dxa" w:w="1440"/>
          </w:tcPr>
          <w:p>
            <w:pPr>
              <w:jc w:val="center"/>
            </w:pPr>
            <w:r/>
            <w:r>
              <w:rPr>
                <w:rFonts w:ascii="Calibri" w:hAnsi="Calibri"/>
                <w:b w:val="0"/>
                <w:sz w:val="19"/>
              </w:rPr>
              <w:t>5.86</w:t>
            </w:r>
          </w:p>
        </w:tc>
        <w:tc>
          <w:tcPr>
            <w:tcW w:type="dxa" w:w="1440"/>
          </w:tcPr>
          <w:p>
            <w:pPr>
              <w:jc w:val="center"/>
            </w:pPr>
            <w:r/>
            <w:r>
              <w:rPr>
                <w:rFonts w:ascii="Calibri" w:hAnsi="Calibri"/>
                <w:b w:val="0"/>
                <w:sz w:val="19"/>
              </w:rPr>
              <w:t>7.55</w:t>
            </w:r>
          </w:p>
        </w:tc>
        <w:tc>
          <w:tcPr>
            <w:tcW w:type="dxa" w:w="1440"/>
          </w:tcPr>
          <w:p>
            <w:pPr>
              <w:jc w:val="center"/>
            </w:pPr>
            <w:r/>
            <w:r>
              <w:rPr>
                <w:rFonts w:ascii="Calibri" w:hAnsi="Calibri"/>
                <w:b w:val="0"/>
                <w:sz w:val="19"/>
              </w:rPr>
              <w:t>8.81</w:t>
            </w:r>
          </w:p>
        </w:tc>
        <w:tc>
          <w:tcPr>
            <w:tcW w:type="dxa" w:w="1440"/>
          </w:tcPr>
          <w:p>
            <w:pPr>
              <w:jc w:val="center"/>
            </w:pPr>
            <w:r/>
            <w:r>
              <w:rPr>
                <w:rFonts w:ascii="Calibri" w:hAnsi="Calibri"/>
                <w:b w:val="0"/>
                <w:sz w:val="19"/>
              </w:rPr>
              <w:t>10.25</w:t>
            </w:r>
          </w:p>
        </w:tc>
        <w:tc>
          <w:tcPr>
            <w:tcW w:type="dxa" w:w="1440"/>
          </w:tcPr>
          <w:p>
            <w:pPr>
              <w:jc w:val="center"/>
            </w:pPr>
            <w:r/>
            <w:r>
              <w:rPr>
                <w:rFonts w:ascii="Calibri" w:hAnsi="Calibri"/>
                <w:b w:val="0"/>
                <w:sz w:val="19"/>
              </w:rPr>
              <w:t>13.17</w:t>
            </w:r>
          </w:p>
        </w:tc>
      </w:tr>
    </w:tbl>
    <w:p/>
    <w:p>
      <w:pPr>
        <w:jc w:val="center"/>
      </w:pPr>
      <w:r>
        <w:drawing>
          <wp:inline xmlns:a="http://schemas.openxmlformats.org/drawingml/2006/main" xmlns:pic="http://schemas.openxmlformats.org/drawingml/2006/picture">
            <wp:extent cx="5760720" cy="3160100"/>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760720" cy="3160100"/>
                    </a:xfrm>
                    <a:prstGeom prst="rect"/>
                  </pic:spPr>
                </pic:pic>
              </a:graphicData>
            </a:graphic>
          </wp:inline>
        </w:drawing>
      </w:r>
    </w:p>
    <w:p>
      <w:r>
        <w:rPr>
          <w:rFonts w:ascii="Calibri" w:hAnsi="Calibri"/>
          <w:b w:val="0"/>
          <w:i/>
          <w:sz w:val="17"/>
        </w:rPr>
        <w:t>Figure 4 — Forward price cone to T+60 (illustrative). Lead with the 25–75% interquartile band; the gold dotted line marks the EGP 8.23 fundamental central value.</w:t>
      </w:r>
    </w:p>
    <w:p>
      <w:pPr>
        <w:jc w:val="center"/>
      </w:pPr>
      <w:r>
        <w:drawing>
          <wp:inline xmlns:a="http://schemas.openxmlformats.org/drawingml/2006/main" xmlns:pic="http://schemas.openxmlformats.org/drawingml/2006/picture">
            <wp:extent cx="5760720" cy="3002065"/>
            <wp:docPr id="5" name="Picture 5"/>
            <wp:cNvGraphicFramePr>
              <a:graphicFrameLocks noChangeAspect="1"/>
            </wp:cNvGraphicFramePr>
            <a:graphic>
              <a:graphicData uri="http://schemas.openxmlformats.org/drawingml/2006/picture">
                <pic:pic>
                  <pic:nvPicPr>
                    <pic:cNvPr id="0" name="fig5_dist_t20.png"/>
                    <pic:cNvPicPr/>
                  </pic:nvPicPr>
                  <pic:blipFill>
                    <a:blip r:embed="rId13"/>
                    <a:stretch>
                      <a:fillRect/>
                    </a:stretch>
                  </pic:blipFill>
                  <pic:spPr>
                    <a:xfrm>
                      <a:off x="0" y="0"/>
                      <a:ext cx="5760720" cy="3002065"/>
                    </a:xfrm>
                    <a:prstGeom prst="rect"/>
                  </pic:spPr>
                </pic:pic>
              </a:graphicData>
            </a:graphic>
          </wp:inline>
        </w:drawing>
      </w:r>
    </w:p>
    <w:p>
      <w:r>
        <w:rPr>
          <w:rFonts w:ascii="Calibri" w:hAnsi="Calibri"/>
          <w:b w:val="0"/>
          <w:i/>
          <w:sz w:val="17"/>
        </w:rPr>
        <w:t>Figure 5 — Price distribution at T+20 (illustrative).</w:t>
      </w:r>
    </w:p>
    <w:p>
      <w:pPr>
        <w:jc w:val="center"/>
      </w:pPr>
      <w:r>
        <w:drawing>
          <wp:inline xmlns:a="http://schemas.openxmlformats.org/drawingml/2006/main" xmlns:pic="http://schemas.openxmlformats.org/drawingml/2006/picture">
            <wp:extent cx="5760720" cy="3002065"/>
            <wp:docPr id="6" name="Picture 6"/>
            <wp:cNvGraphicFramePr>
              <a:graphicFrameLocks noChangeAspect="1"/>
            </wp:cNvGraphicFramePr>
            <a:graphic>
              <a:graphicData uri="http://schemas.openxmlformats.org/drawingml/2006/picture">
                <pic:pic>
                  <pic:nvPicPr>
                    <pic:cNvPr id="0" name="fig6_dist_t60.png"/>
                    <pic:cNvPicPr/>
                  </pic:nvPicPr>
                  <pic:blipFill>
                    <a:blip r:embed="rId14"/>
                    <a:stretch>
                      <a:fillRect/>
                    </a:stretch>
                  </pic:blipFill>
                  <pic:spPr>
                    <a:xfrm>
                      <a:off x="0" y="0"/>
                      <a:ext cx="5760720" cy="3002065"/>
                    </a:xfrm>
                    <a:prstGeom prst="rect"/>
                  </pic:spPr>
                </pic:pic>
              </a:graphicData>
            </a:graphic>
          </wp:inline>
        </w:drawing>
      </w:r>
    </w:p>
    <w:p>
      <w:r>
        <w:rPr>
          <w:rFonts w:ascii="Calibri" w:hAnsi="Calibri"/>
          <w:b w:val="0"/>
          <w:i/>
          <w:sz w:val="17"/>
        </w:rPr>
        <w:t>Figure 6 — Price distribution at T+60 (illustrative).</w:t>
      </w:r>
    </w:p>
    <w:p>
      <w:r>
        <w:rPr>
          <w:rFonts w:ascii="Calibri" w:hAnsi="Calibri"/>
          <w:b/>
          <w:i w:val="0"/>
          <w:sz w:val="21"/>
        </w:rPr>
        <w:t>Level-touch ladder</w:t>
      </w:r>
      <w:r>
        <w:rPr>
          <w:rFonts w:ascii="Calibri" w:hAnsi="Calibri"/>
          <w:b w:val="0"/>
          <w:i w:val="0"/>
          <w:sz w:val="21"/>
        </w:rPr>
        <w:t xml:space="preserve">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B5E5E"/>
          </w:tcPr>
          <w:p>
            <w:pPr>
              <w:jc w:val="center"/>
            </w:pPr>
            <w:r/>
            <w:r>
              <w:rPr>
                <w:rFonts w:ascii="Calibri" w:hAnsi="Calibri"/>
                <w:b/>
                <w:color w:val="FFFFFF"/>
                <w:sz w:val="19"/>
              </w:rPr>
              <w:t>Level (EGP)</w:t>
            </w:r>
          </w:p>
        </w:tc>
        <w:tc>
          <w:tcPr>
            <w:tcW w:type="dxa" w:w="2016"/>
            <w:shd w:val="clear" w:fill="1B5E5E"/>
          </w:tcPr>
          <w:p>
            <w:pPr>
              <w:jc w:val="center"/>
            </w:pPr>
            <w:r/>
            <w:r>
              <w:rPr>
                <w:rFonts w:ascii="Calibri" w:hAnsi="Calibri"/>
                <w:b/>
                <w:color w:val="FFFFFF"/>
                <w:sz w:val="19"/>
              </w:rPr>
              <w:t>T+20 touch</w:t>
            </w:r>
          </w:p>
        </w:tc>
        <w:tc>
          <w:tcPr>
            <w:tcW w:type="dxa" w:w="2016"/>
            <w:shd w:val="clear" w:fill="1B5E5E"/>
          </w:tcPr>
          <w:p>
            <w:pPr>
              <w:jc w:val="center"/>
            </w:pPr>
            <w:r/>
            <w:r>
              <w:rPr>
                <w:rFonts w:ascii="Calibri" w:hAnsi="Calibri"/>
                <w:b/>
                <w:color w:val="FFFFFF"/>
                <w:sz w:val="19"/>
              </w:rPr>
              <w:t>T+60 touch</w:t>
            </w:r>
          </w:p>
        </w:tc>
        <w:tc>
          <w:tcPr>
            <w:tcW w:type="dxa" w:w="2880"/>
            <w:shd w:val="clear" w:fill="1B5E5E"/>
          </w:tcPr>
          <w:p>
            <w:pPr>
              <w:jc w:val="center"/>
            </w:pPr>
            <w:r/>
            <w:r>
              <w:rPr>
                <w:rFonts w:ascii="Calibri" w:hAnsi="Calibri"/>
                <w:b/>
                <w:color w:val="FFFFFF"/>
                <w:sz w:val="19"/>
              </w:rPr>
              <w:t>Note</w:t>
            </w:r>
          </w:p>
        </w:tc>
      </w:tr>
      <w:tr>
        <w:tc>
          <w:tcPr>
            <w:tcW w:type="dxa" w:w="2160"/>
          </w:tcPr>
          <w:p>
            <w:r/>
            <w:r>
              <w:rPr>
                <w:rFonts w:ascii="Calibri" w:hAnsi="Calibri"/>
                <w:b w:val="0"/>
                <w:sz w:val="19"/>
              </w:rPr>
              <w:t>10.76</w:t>
            </w:r>
          </w:p>
        </w:tc>
        <w:tc>
          <w:tcPr>
            <w:tcW w:type="dxa" w:w="2016"/>
          </w:tcPr>
          <w:p>
            <w:pPr>
              <w:jc w:val="center"/>
            </w:pPr>
            <w:r/>
            <w:r>
              <w:rPr>
                <w:rFonts w:ascii="Calibri" w:hAnsi="Calibri"/>
                <w:b w:val="0"/>
                <w:sz w:val="19"/>
              </w:rPr>
              <w:t>7%</w:t>
            </w:r>
          </w:p>
        </w:tc>
        <w:tc>
          <w:tcPr>
            <w:tcW w:type="dxa" w:w="2016"/>
          </w:tcPr>
          <w:p>
            <w:pPr>
              <w:jc w:val="center"/>
            </w:pPr>
            <w:r/>
            <w:r>
              <w:rPr>
                <w:rFonts w:ascii="Calibri" w:hAnsi="Calibri"/>
                <w:b w:val="0"/>
                <w:sz w:val="19"/>
              </w:rPr>
              <w:t>30%</w:t>
            </w:r>
          </w:p>
        </w:tc>
        <w:tc>
          <w:tcPr>
            <w:tcW w:type="dxa" w:w="2880"/>
          </w:tcPr>
          <w:p>
            <w:pPr>
              <w:jc w:val="center"/>
            </w:pPr>
            <w:r/>
            <w:r>
              <w:rPr>
                <w:rFonts w:ascii="Calibri" w:hAnsi="Calibri"/>
                <w:b w:val="0"/>
                <w:sz w:val="19"/>
              </w:rPr>
              <w:t>Above the 52-wk high</w:t>
            </w:r>
          </w:p>
        </w:tc>
      </w:tr>
      <w:tr>
        <w:tc>
          <w:tcPr>
            <w:tcW w:type="dxa" w:w="2160"/>
          </w:tcPr>
          <w:p>
            <w:r/>
            <w:r>
              <w:rPr>
                <w:rFonts w:ascii="Calibri" w:hAnsi="Calibri"/>
                <w:b w:val="0"/>
                <w:sz w:val="19"/>
              </w:rPr>
              <w:t>9.94</w:t>
            </w:r>
          </w:p>
        </w:tc>
        <w:tc>
          <w:tcPr>
            <w:tcW w:type="dxa" w:w="2016"/>
          </w:tcPr>
          <w:p>
            <w:pPr>
              <w:jc w:val="center"/>
            </w:pPr>
            <w:r/>
            <w:r>
              <w:rPr>
                <w:rFonts w:ascii="Calibri" w:hAnsi="Calibri"/>
                <w:b w:val="0"/>
                <w:sz w:val="19"/>
              </w:rPr>
              <w:t>18%</w:t>
            </w:r>
          </w:p>
        </w:tc>
        <w:tc>
          <w:tcPr>
            <w:tcW w:type="dxa" w:w="2016"/>
          </w:tcPr>
          <w:p>
            <w:pPr>
              <w:jc w:val="center"/>
            </w:pPr>
            <w:r/>
            <w:r>
              <w:rPr>
                <w:rFonts w:ascii="Calibri" w:hAnsi="Calibri"/>
                <w:b w:val="0"/>
                <w:sz w:val="19"/>
              </w:rPr>
              <w:t>47%</w:t>
            </w:r>
          </w:p>
        </w:tc>
        <w:tc>
          <w:tcPr>
            <w:tcW w:type="dxa" w:w="2880"/>
          </w:tcPr>
          <w:p>
            <w:pPr>
              <w:jc w:val="center"/>
            </w:pPr>
            <w:r/>
            <w:r>
              <w:rPr>
                <w:rFonts w:ascii="Calibri" w:hAnsi="Calibri"/>
                <w:b w:val="0"/>
                <w:sz w:val="19"/>
              </w:rPr>
              <w:t>Above the 52-wk high</w:t>
            </w:r>
          </w:p>
        </w:tc>
      </w:tr>
      <w:tr>
        <w:tc>
          <w:tcPr>
            <w:tcW w:type="dxa" w:w="2160"/>
          </w:tcPr>
          <w:p>
            <w:r/>
            <w:r>
              <w:rPr>
                <w:rFonts w:ascii="Calibri" w:hAnsi="Calibri"/>
                <w:b w:val="0"/>
                <w:sz w:val="19"/>
              </w:rPr>
              <w:t>9.11</w:t>
            </w:r>
          </w:p>
        </w:tc>
        <w:tc>
          <w:tcPr>
            <w:tcW w:type="dxa" w:w="2016"/>
          </w:tcPr>
          <w:p>
            <w:pPr>
              <w:jc w:val="center"/>
            </w:pPr>
            <w:r/>
            <w:r>
              <w:rPr>
                <w:rFonts w:ascii="Calibri" w:hAnsi="Calibri"/>
                <w:b w:val="0"/>
                <w:sz w:val="19"/>
              </w:rPr>
              <w:t>44%</w:t>
            </w:r>
          </w:p>
        </w:tc>
        <w:tc>
          <w:tcPr>
            <w:tcW w:type="dxa" w:w="2016"/>
          </w:tcPr>
          <w:p>
            <w:pPr>
              <w:jc w:val="center"/>
            </w:pPr>
            <w:r/>
            <w:r>
              <w:rPr>
                <w:rFonts w:ascii="Calibri" w:hAnsi="Calibri"/>
                <w:b w:val="0"/>
                <w:sz w:val="19"/>
              </w:rPr>
              <w:t>70%</w:t>
            </w:r>
          </w:p>
        </w:tc>
        <w:tc>
          <w:tcPr>
            <w:tcW w:type="dxa" w:w="2880"/>
          </w:tcPr>
          <w:p>
            <w:pPr>
              <w:jc w:val="center"/>
            </w:pPr>
            <w:r/>
            <w:r>
              <w:rPr>
                <w:rFonts w:ascii="Calibri" w:hAnsi="Calibri"/>
                <w:b w:val="0"/>
                <w:sz w:val="19"/>
              </w:rPr>
              <w:t>Above the 52-wk high</w:t>
            </w:r>
          </w:p>
        </w:tc>
      </w:tr>
      <w:tr>
        <w:tc>
          <w:tcPr>
            <w:tcW w:type="dxa" w:w="2160"/>
          </w:tcPr>
          <w:p>
            <w:r/>
            <w:r>
              <w:rPr>
                <w:rFonts w:ascii="Calibri" w:hAnsi="Calibri"/>
                <w:b w:val="0"/>
                <w:sz w:val="19"/>
              </w:rPr>
              <w:t>8.69</w:t>
            </w:r>
          </w:p>
        </w:tc>
        <w:tc>
          <w:tcPr>
            <w:tcW w:type="dxa" w:w="2016"/>
          </w:tcPr>
          <w:p>
            <w:pPr>
              <w:jc w:val="center"/>
            </w:pPr>
            <w:r/>
            <w:r>
              <w:rPr>
                <w:rFonts w:ascii="Calibri" w:hAnsi="Calibri"/>
                <w:b w:val="0"/>
                <w:sz w:val="19"/>
              </w:rPr>
              <w:t>66%</w:t>
            </w:r>
          </w:p>
        </w:tc>
        <w:tc>
          <w:tcPr>
            <w:tcW w:type="dxa" w:w="2016"/>
          </w:tcPr>
          <w:p>
            <w:pPr>
              <w:jc w:val="center"/>
            </w:pPr>
            <w:r/>
            <w:r>
              <w:rPr>
                <w:rFonts w:ascii="Calibri" w:hAnsi="Calibri"/>
                <w:b w:val="0"/>
                <w:sz w:val="19"/>
              </w:rPr>
              <w:t>83%</w:t>
            </w:r>
          </w:p>
        </w:tc>
        <w:tc>
          <w:tcPr>
            <w:tcW w:type="dxa" w:w="2880"/>
          </w:tcPr>
          <w:p>
            <w:pPr>
              <w:jc w:val="center"/>
            </w:pPr>
            <w:r/>
            <w:r>
              <w:rPr>
                <w:rFonts w:ascii="Calibri" w:hAnsi="Calibri"/>
                <w:b w:val="0"/>
                <w:sz w:val="19"/>
              </w:rPr>
              <w:t>Around spot</w:t>
            </w:r>
          </w:p>
        </w:tc>
      </w:tr>
      <w:tr>
        <w:tc>
          <w:tcPr>
            <w:tcW w:type="dxa" w:w="2160"/>
          </w:tcPr>
          <w:p>
            <w:r/>
            <w:r>
              <w:rPr>
                <w:rFonts w:ascii="Calibri" w:hAnsi="Calibri"/>
                <w:b w:val="0"/>
                <w:sz w:val="19"/>
              </w:rPr>
              <w:t>7.87</w:t>
            </w:r>
          </w:p>
        </w:tc>
        <w:tc>
          <w:tcPr>
            <w:tcW w:type="dxa" w:w="2016"/>
          </w:tcPr>
          <w:p>
            <w:pPr>
              <w:jc w:val="center"/>
            </w:pPr>
            <w:r/>
            <w:r>
              <w:rPr>
                <w:rFonts w:ascii="Calibri" w:hAnsi="Calibri"/>
                <w:b w:val="0"/>
                <w:sz w:val="19"/>
              </w:rPr>
              <w:t>54%</w:t>
            </w:r>
          </w:p>
        </w:tc>
        <w:tc>
          <w:tcPr>
            <w:tcW w:type="dxa" w:w="2016"/>
          </w:tcPr>
          <w:p>
            <w:pPr>
              <w:jc w:val="center"/>
            </w:pPr>
            <w:r/>
            <w:r>
              <w:rPr>
                <w:rFonts w:ascii="Calibri" w:hAnsi="Calibri"/>
                <w:b w:val="0"/>
                <w:sz w:val="19"/>
              </w:rPr>
              <w:t>69%</w:t>
            </w:r>
          </w:p>
        </w:tc>
        <w:tc>
          <w:tcPr>
            <w:tcW w:type="dxa" w:w="2880"/>
          </w:tcPr>
          <w:p>
            <w:pPr>
              <w:jc w:val="center"/>
            </w:pPr>
            <w:r/>
            <w:r>
              <w:rPr>
                <w:rFonts w:ascii="Calibri" w:hAnsi="Calibri"/>
                <w:b w:val="0"/>
                <w:sz w:val="19"/>
              </w:rPr>
              <w:t>Around spot</w:t>
            </w:r>
          </w:p>
        </w:tc>
      </w:tr>
      <w:tr>
        <w:tc>
          <w:tcPr>
            <w:tcW w:type="dxa" w:w="2160"/>
          </w:tcPr>
          <w:p>
            <w:r/>
            <w:r>
              <w:rPr>
                <w:rFonts w:ascii="Calibri" w:hAnsi="Calibri"/>
                <w:b w:val="0"/>
                <w:sz w:val="19"/>
              </w:rPr>
              <w:t>7.45</w:t>
            </w:r>
          </w:p>
        </w:tc>
        <w:tc>
          <w:tcPr>
            <w:tcW w:type="dxa" w:w="2016"/>
          </w:tcPr>
          <w:p>
            <w:pPr>
              <w:jc w:val="center"/>
            </w:pPr>
            <w:r/>
            <w:r>
              <w:rPr>
                <w:rFonts w:ascii="Calibri" w:hAnsi="Calibri"/>
                <w:b w:val="0"/>
                <w:sz w:val="19"/>
              </w:rPr>
              <w:t>30%</w:t>
            </w:r>
          </w:p>
        </w:tc>
        <w:tc>
          <w:tcPr>
            <w:tcW w:type="dxa" w:w="2016"/>
          </w:tcPr>
          <w:p>
            <w:pPr>
              <w:jc w:val="center"/>
            </w:pPr>
            <w:r/>
            <w:r>
              <w:rPr>
                <w:rFonts w:ascii="Calibri" w:hAnsi="Calibri"/>
                <w:b w:val="0"/>
                <w:sz w:val="19"/>
              </w:rPr>
              <w:t>50%</w:t>
            </w:r>
          </w:p>
        </w:tc>
        <w:tc>
          <w:tcPr>
            <w:tcW w:type="dxa" w:w="2880"/>
          </w:tcPr>
          <w:p>
            <w:pPr>
              <w:jc w:val="center"/>
            </w:pPr>
            <w:r/>
            <w:r>
              <w:rPr>
                <w:rFonts w:ascii="Calibri" w:hAnsi="Calibri"/>
                <w:b w:val="0"/>
                <w:sz w:val="19"/>
              </w:rPr>
              <w:t>Downside / mean-reversion</w:t>
            </w:r>
          </w:p>
        </w:tc>
      </w:tr>
      <w:tr>
        <w:tc>
          <w:tcPr>
            <w:tcW w:type="dxa" w:w="2160"/>
          </w:tcPr>
          <w:p>
            <w:r/>
            <w:r>
              <w:rPr>
                <w:rFonts w:ascii="Calibri" w:hAnsi="Calibri"/>
                <w:b w:val="0"/>
                <w:sz w:val="19"/>
              </w:rPr>
              <w:t>6.62</w:t>
            </w:r>
          </w:p>
        </w:tc>
        <w:tc>
          <w:tcPr>
            <w:tcW w:type="dxa" w:w="2016"/>
          </w:tcPr>
          <w:p>
            <w:pPr>
              <w:jc w:val="center"/>
            </w:pPr>
            <w:r/>
            <w:r>
              <w:rPr>
                <w:rFonts w:ascii="Calibri" w:hAnsi="Calibri"/>
                <w:b w:val="0"/>
                <w:sz w:val="19"/>
              </w:rPr>
              <w:t>8%</w:t>
            </w:r>
          </w:p>
        </w:tc>
        <w:tc>
          <w:tcPr>
            <w:tcW w:type="dxa" w:w="2016"/>
          </w:tcPr>
          <w:p>
            <w:pPr>
              <w:jc w:val="center"/>
            </w:pPr>
            <w:r/>
            <w:r>
              <w:rPr>
                <w:rFonts w:ascii="Calibri" w:hAnsi="Calibri"/>
                <w:b w:val="0"/>
                <w:sz w:val="19"/>
              </w:rPr>
              <w:t>23%</w:t>
            </w:r>
          </w:p>
        </w:tc>
        <w:tc>
          <w:tcPr>
            <w:tcW w:type="dxa" w:w="2880"/>
          </w:tcPr>
          <w:p>
            <w:pPr>
              <w:jc w:val="center"/>
            </w:pPr>
            <w:r/>
            <w:r>
              <w:rPr>
                <w:rFonts w:ascii="Calibri" w:hAnsi="Calibri"/>
                <w:b w:val="0"/>
                <w:sz w:val="19"/>
              </w:rPr>
              <w:t>Downside / mean-reversion</w:t>
            </w:r>
          </w:p>
        </w:tc>
      </w:tr>
      <w:tr>
        <w:tc>
          <w:tcPr>
            <w:tcW w:type="dxa" w:w="2160"/>
          </w:tcPr>
          <w:p>
            <w:r/>
            <w:r>
              <w:rPr>
                <w:rFonts w:ascii="Calibri" w:hAnsi="Calibri"/>
                <w:b w:val="0"/>
                <w:sz w:val="19"/>
              </w:rPr>
              <w:t>5.80</w:t>
            </w:r>
          </w:p>
        </w:tc>
        <w:tc>
          <w:tcPr>
            <w:tcW w:type="dxa" w:w="2016"/>
          </w:tcPr>
          <w:p>
            <w:pPr>
              <w:jc w:val="center"/>
            </w:pPr>
            <w:r/>
            <w:r>
              <w:rPr>
                <w:rFonts w:ascii="Calibri" w:hAnsi="Calibri"/>
                <w:b w:val="0"/>
                <w:sz w:val="19"/>
              </w:rPr>
              <w:t>2%</w:t>
            </w:r>
          </w:p>
        </w:tc>
        <w:tc>
          <w:tcPr>
            <w:tcW w:type="dxa" w:w="2016"/>
          </w:tcPr>
          <w:p>
            <w:pPr>
              <w:jc w:val="center"/>
            </w:pPr>
            <w:r/>
            <w:r>
              <w:rPr>
                <w:rFonts w:ascii="Calibri" w:hAnsi="Calibri"/>
                <w:b w:val="0"/>
                <w:sz w:val="19"/>
              </w:rPr>
              <w:t>9%</w:t>
            </w:r>
          </w:p>
        </w:tc>
        <w:tc>
          <w:tcPr>
            <w:tcW w:type="dxa" w:w="2880"/>
          </w:tcPr>
          <w:p>
            <w:pPr>
              <w:jc w:val="center"/>
            </w:pPr>
            <w:r/>
            <w:r>
              <w:rPr>
                <w:rFonts w:ascii="Calibri" w:hAnsi="Calibri"/>
                <w:b w:val="0"/>
                <w:sz w:val="19"/>
              </w:rPr>
              <w:t>Downside / mean-reversion</w:t>
            </w:r>
          </w:p>
        </w:tc>
      </w:tr>
    </w:tbl>
    <w:p/>
    <w:p>
      <w:pPr>
        <w:jc w:val="center"/>
      </w:pPr>
      <w:r>
        <w:drawing>
          <wp:inline xmlns:a="http://schemas.openxmlformats.org/drawingml/2006/main" xmlns:pic="http://schemas.openxmlformats.org/drawingml/2006/picture">
            <wp:extent cx="5760720" cy="3164339"/>
            <wp:docPr id="7" name="Picture 7"/>
            <wp:cNvGraphicFramePr>
              <a:graphicFrameLocks noChangeAspect="1"/>
            </wp:cNvGraphicFramePr>
            <a:graphic>
              <a:graphicData uri="http://schemas.openxmlformats.org/drawingml/2006/picture">
                <pic:pic>
                  <pic:nvPicPr>
                    <pic:cNvPr id="0" name="fig7_touch.png"/>
                    <pic:cNvPicPr/>
                  </pic:nvPicPr>
                  <pic:blipFill>
                    <a:blip r:embed="rId15"/>
                    <a:stretch>
                      <a:fillRect/>
                    </a:stretch>
                  </pic:blipFill>
                  <pic:spPr>
                    <a:xfrm>
                      <a:off x="0" y="0"/>
                      <a:ext cx="5760720" cy="3164339"/>
                    </a:xfrm>
                    <a:prstGeom prst="rect"/>
                  </pic:spPr>
                </pic:pic>
              </a:graphicData>
            </a:graphic>
          </wp:inline>
        </w:drawing>
      </w:r>
    </w:p>
    <w:p>
      <w:r>
        <w:rPr>
          <w:rFonts w:ascii="Calibri" w:hAnsi="Calibri"/>
          <w:b w:val="0"/>
          <w:i/>
          <w:sz w:val="17"/>
        </w:rPr>
        <w:t>Figure 7 — Level-touch ladder (running max for upside, running min for downside).</w:t>
      </w:r>
    </w:p>
    <w:p>
      <w:r>
        <w:rPr>
          <w:rFonts w:ascii="Calibri" w:hAnsi="Calibri"/>
          <w:b/>
          <w:color w:val="1B5E5E"/>
          <w:sz w:val="30"/>
        </w:rPr>
        <w:t>4  Comparison of the lenses, and a verdict</w:t>
      </w:r>
    </w:p>
    <w:p>
      <w:r>
        <w:rPr>
          <w:rFonts w:ascii="Calibri" w:hAnsi="Calibri"/>
          <w:b w:val="0"/>
          <w:i w:val="0"/>
          <w:sz w:val="21"/>
        </w:rPr>
        <w:t xml:space="preserve">Three readings sit side by side. The </w:t>
      </w:r>
      <w:r>
        <w:rPr>
          <w:rFonts w:ascii="Calibri" w:hAnsi="Calibri"/>
          <w:b/>
          <w:i w:val="0"/>
          <w:sz w:val="21"/>
        </w:rPr>
        <w:t>fundamental</w:t>
      </w:r>
      <w:r>
        <w:rPr>
          <w:rFonts w:ascii="Calibri" w:hAnsi="Calibri"/>
          <w:b w:val="0"/>
          <w:i w:val="0"/>
          <w:sz w:val="21"/>
        </w:rPr>
        <w:t xml:space="preserve"> lenses cluster at EGP 6.01–9.20 with a central EGP 8.23 — essentially on spot, contingent on land marks and the discount. The </w:t>
      </w:r>
      <w:r>
        <w:rPr>
          <w:rFonts w:ascii="Calibri" w:hAnsi="Calibri"/>
          <w:b/>
          <w:i w:val="0"/>
          <w:sz w:val="21"/>
        </w:rPr>
        <w:t>technical</w:t>
      </w:r>
      <w:r>
        <w:rPr>
          <w:rFonts w:ascii="Calibri" w:hAnsi="Calibri"/>
          <w:b w:val="0"/>
          <w:i w:val="0"/>
          <w:sz w:val="21"/>
        </w:rPr>
        <w:t xml:space="preserve"> picture is strong but stretched: above every average, RSI near 70, momentum positive after a near-tripling. The </w:t>
      </w:r>
      <w:r>
        <w:rPr>
          <w:rFonts w:ascii="Calibri" w:hAnsi="Calibri"/>
          <w:b/>
          <w:i w:val="0"/>
          <w:sz w:val="21"/>
        </w:rPr>
        <w:t>probabilistic</w:t>
      </w:r>
      <w:r>
        <w:rPr>
          <w:rFonts w:ascii="Calibri" w:hAnsi="Calibri"/>
          <w:b w:val="0"/>
          <w:i w:val="0"/>
          <w:sz w:val="21"/>
        </w:rPr>
        <w:t xml:space="preserve"> map says that over three months price is modestly skewed up around spot with a wide ±band — the median is a little above EGP 8.28, not far above, because the simulation does not assume the value gap re-opens or closes further inside the quarter.</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val="clear" w:fill="1B5E5E"/>
          </w:tcPr>
          <w:p>
            <w:pPr>
              <w:jc w:val="center"/>
            </w:pPr>
            <w:r/>
            <w:r>
              <w:rPr>
                <w:rFonts w:ascii="Calibri" w:hAnsi="Calibri"/>
                <w:b/>
                <w:color w:val="FFFFFF"/>
                <w:sz w:val="19"/>
              </w:rPr>
              <w:t>Lens</w:t>
            </w:r>
          </w:p>
        </w:tc>
        <w:tc>
          <w:tcPr>
            <w:tcW w:type="dxa" w:w="2880"/>
            <w:shd w:val="clear" w:fill="1B5E5E"/>
          </w:tcPr>
          <w:p>
            <w:pPr>
              <w:jc w:val="center"/>
            </w:pPr>
            <w:r/>
            <w:r>
              <w:rPr>
                <w:rFonts w:ascii="Calibri" w:hAnsi="Calibri"/>
                <w:b/>
                <w:color w:val="FFFFFF"/>
                <w:sz w:val="19"/>
              </w:rPr>
              <w:t>Reads</w:t>
            </w:r>
          </w:p>
        </w:tc>
        <w:tc>
          <w:tcPr>
            <w:tcW w:type="dxa" w:w="3312"/>
            <w:shd w:val="clear" w:fill="1B5E5E"/>
          </w:tcPr>
          <w:p>
            <w:pPr>
              <w:jc w:val="center"/>
            </w:pPr>
            <w:r/>
            <w:r>
              <w:rPr>
                <w:rFonts w:ascii="Calibri" w:hAnsi="Calibri"/>
                <w:b/>
                <w:color w:val="FFFFFF"/>
                <w:sz w:val="19"/>
              </w:rPr>
              <w:t>Central / implication</w:t>
            </w:r>
          </w:p>
        </w:tc>
      </w:tr>
      <w:tr>
        <w:tc>
          <w:tcPr>
            <w:tcW w:type="dxa" w:w="3024"/>
          </w:tcPr>
          <w:p>
            <w:r/>
            <w:r>
              <w:rPr>
                <w:rFonts w:ascii="Calibri" w:hAnsi="Calibri"/>
                <w:b w:val="0"/>
                <w:sz w:val="19"/>
              </w:rPr>
              <w:t>Fundamental (4-lens)</w:t>
            </w:r>
          </w:p>
        </w:tc>
        <w:tc>
          <w:tcPr>
            <w:tcW w:type="dxa" w:w="2880"/>
          </w:tcPr>
          <w:p>
            <w:pPr>
              <w:jc w:val="center"/>
            </w:pPr>
            <w:r/>
            <w:r>
              <w:rPr>
                <w:rFonts w:ascii="Calibri" w:hAnsi="Calibri"/>
                <w:b w:val="0"/>
                <w:sz w:val="19"/>
              </w:rPr>
              <w:t>Fairly valued</w:t>
            </w:r>
          </w:p>
        </w:tc>
        <w:tc>
          <w:tcPr>
            <w:tcW w:type="dxa" w:w="3312"/>
          </w:tcPr>
          <w:p>
            <w:pPr>
              <w:jc w:val="center"/>
            </w:pPr>
            <w:r/>
            <w:r>
              <w:rPr>
                <w:rFonts w:ascii="Calibri" w:hAnsi="Calibri"/>
                <w:b w:val="0"/>
                <w:sz w:val="19"/>
              </w:rPr>
              <w:t>EGP 8.23 (-1%)</w:t>
            </w:r>
          </w:p>
        </w:tc>
      </w:tr>
      <w:tr>
        <w:tc>
          <w:tcPr>
            <w:tcW w:type="dxa" w:w="3024"/>
          </w:tcPr>
          <w:p>
            <w:r/>
            <w:r>
              <w:rPr>
                <w:rFonts w:ascii="Calibri" w:hAnsi="Calibri"/>
                <w:b w:val="0"/>
                <w:sz w:val="19"/>
              </w:rPr>
              <w:t>Technical</w:t>
            </w:r>
          </w:p>
        </w:tc>
        <w:tc>
          <w:tcPr>
            <w:tcW w:type="dxa" w:w="2880"/>
          </w:tcPr>
          <w:p>
            <w:pPr>
              <w:jc w:val="center"/>
            </w:pPr>
            <w:r/>
            <w:r>
              <w:rPr>
                <w:rFonts w:ascii="Calibri" w:hAnsi="Calibri"/>
                <w:b w:val="0"/>
                <w:sz w:val="19"/>
              </w:rPr>
              <w:t>Strong / overbought</w:t>
            </w:r>
          </w:p>
        </w:tc>
        <w:tc>
          <w:tcPr>
            <w:tcW w:type="dxa" w:w="3312"/>
          </w:tcPr>
          <w:p>
            <w:pPr>
              <w:jc w:val="center"/>
            </w:pPr>
            <w:r/>
            <w:r>
              <w:rPr>
                <w:rFonts w:ascii="Calibri" w:hAnsi="Calibri"/>
                <w:b w:val="0"/>
                <w:sz w:val="19"/>
              </w:rPr>
              <w:t>Support at the MA stack ~EGP 7.08; stretched above</w:t>
            </w:r>
          </w:p>
        </w:tc>
      </w:tr>
      <w:tr>
        <w:tc>
          <w:tcPr>
            <w:tcW w:type="dxa" w:w="3024"/>
          </w:tcPr>
          <w:p>
            <w:r/>
            <w:r>
              <w:rPr>
                <w:rFonts w:ascii="Calibri" w:hAnsi="Calibri"/>
                <w:b w:val="0"/>
                <w:sz w:val="19"/>
              </w:rPr>
              <w:t>Monte Carlo (3-month, illustrative)</w:t>
            </w:r>
          </w:p>
        </w:tc>
        <w:tc>
          <w:tcPr>
            <w:tcW w:type="dxa" w:w="2880"/>
          </w:tcPr>
          <w:p>
            <w:pPr>
              <w:jc w:val="center"/>
            </w:pPr>
            <w:r/>
            <w:r>
              <w:rPr>
                <w:rFonts w:ascii="Calibri" w:hAnsi="Calibri"/>
                <w:b w:val="0"/>
                <w:sz w:val="19"/>
              </w:rPr>
              <w:t>Modest up-skew, wide</w:t>
            </w:r>
          </w:p>
        </w:tc>
        <w:tc>
          <w:tcPr>
            <w:tcW w:type="dxa" w:w="3312"/>
          </w:tcPr>
          <w:p>
            <w:pPr>
              <w:jc w:val="center"/>
            </w:pPr>
            <w:r/>
            <w:r>
              <w:rPr>
                <w:rFonts w:ascii="Calibri" w:hAnsi="Calibri"/>
                <w:b w:val="0"/>
                <w:sz w:val="19"/>
              </w:rPr>
              <w:t>Median ~EGP 8.81; p5–p95 EGP 5.86–13.17</w:t>
            </w:r>
          </w:p>
        </w:tc>
      </w:tr>
    </w:tbl>
    <w:p/>
    <w:p>
      <w:r>
        <w:rPr>
          <w:rFonts w:ascii="Calibri" w:hAnsi="Calibri"/>
          <w:b/>
          <w:i w:val="0"/>
          <w:sz w:val="21"/>
        </w:rPr>
        <w:t xml:space="preserve">Verdict (a fair-value read, not a recommendation). </w:t>
      </w:r>
      <w:r>
        <w:rPr>
          <w:rFonts w:ascii="Calibri" w:hAnsi="Calibri"/>
          <w:b w:val="0"/>
          <w:i w:val="0"/>
          <w:sz w:val="21"/>
        </w:rPr>
        <w:t>PRDC looks fairly valued on fundamentals after a powerful re-rating that closed the deep NAV discount it carried for years. The remaining upside is specific and non-operating — land monetised at the marks and a discount that narrows further — while the near-term risk is a mean-reversion pullback from overbought levels. The honest summary is a value on top of price, a three-month distribution centred a little above price, and an outcome that hinges on the land bank and the structural discount rather than on any single quarter — which is why the bear–bull span (EGP 5.92–11.51) is wide. Readers should weigh the lenses themselves; we publish the distribution, not a target.</w:t>
      </w:r>
    </w:p>
    <w:p>
      <w:r>
        <w:rPr>
          <w:rFonts w:ascii="Calibri" w:hAnsi="Calibri"/>
          <w:b/>
          <w:color w:val="1B5E5E"/>
          <w:sz w:val="30"/>
        </w:rPr>
        <w:t>5  Catalysts to watch</w:t>
      </w:r>
    </w:p>
    <w:p>
      <w:pPr>
        <w:pStyle w:val="ListBullet"/>
      </w:pPr>
      <w:r>
        <w:rPr>
          <w:b/>
          <w:sz w:val="21"/>
        </w:rPr>
        <w:t xml:space="preserve">Contracted-sales prints. </w:t>
      </w:r>
      <w:r>
        <w:rPr>
          <w:b w:val="0"/>
          <w:sz w:val="21"/>
        </w:rPr>
        <w:t>Quarterly contracted-sales and collections figures are the clearest read on whether the ~EGP 27–30 bn/year absorption is holding as new supply comes to market.</w:t>
      </w:r>
    </w:p>
    <w:p>
      <w:pPr>
        <w:pStyle w:val="ListBullet"/>
      </w:pPr>
      <w:r>
        <w:rPr>
          <w:b/>
          <w:sz w:val="21"/>
        </w:rPr>
        <w:t xml:space="preserve">IVOIRE East delivery &amp; new launches. </w:t>
      </w:r>
      <w:r>
        <w:rPr>
          <w:b w:val="0"/>
          <w:sz w:val="21"/>
        </w:rPr>
        <w:t>Progress on the 438,000 sqm flagship and any new land deal or launch that refills the development pipeline (and the GDV behind the RNAV).</w:t>
      </w:r>
    </w:p>
    <w:p>
      <w:pPr>
        <w:pStyle w:val="ListBullet"/>
      </w:pPr>
      <w:r>
        <w:rPr>
          <w:b/>
          <w:sz w:val="21"/>
        </w:rPr>
        <w:t xml:space="preserve">CBE rate path. </w:t>
      </w:r>
      <w:r>
        <w:rPr>
          <w:b w:val="0"/>
          <w:sz w:val="21"/>
        </w:rPr>
        <w:t>The pace of monetary easing from the 2024 highs — supportive of demand and of a narrowing discount, but a driver of the pound.</w:t>
      </w:r>
    </w:p>
    <w:p>
      <w:pPr>
        <w:pStyle w:val="ListBullet"/>
      </w:pPr>
      <w:r>
        <w:rPr>
          <w:b/>
          <w:sz w:val="21"/>
        </w:rPr>
        <w:t xml:space="preserve">EGP &amp; build-cost. </w:t>
      </w:r>
      <w:r>
        <w:rPr>
          <w:b w:val="0"/>
          <w:sz w:val="21"/>
        </w:rPr>
        <w:t>Any further step move in the pound re-prices build-cost, dollar-linked unit pricing, and the risk premium.</w:t>
      </w:r>
    </w:p>
    <w:p>
      <w:pPr>
        <w:pStyle w:val="ListBullet"/>
      </w:pPr>
      <w:r>
        <w:rPr>
          <w:b/>
          <w:sz w:val="21"/>
        </w:rPr>
        <w:t xml:space="preserve">Mortgage / subsidy policy. </w:t>
      </w:r>
      <w:r>
        <w:rPr>
          <w:b w:val="0"/>
          <w:sz w:val="21"/>
        </w:rPr>
        <w:t>Expansion of subsidised mortgage schemes would widen the buyer pool and quicken absorption.</w:t>
      </w:r>
    </w:p>
    <w:p>
      <w:pPr>
        <w:pStyle w:val="ListBullet"/>
      </w:pPr>
      <w:r>
        <w:rPr>
          <w:b/>
          <w:sz w:val="21"/>
        </w:rPr>
        <w:t xml:space="preserve">Gulf flows. </w:t>
      </w:r>
      <w:r>
        <w:rPr>
          <w:b w:val="0"/>
          <w:sz w:val="21"/>
        </w:rPr>
        <w:t>GCC buyer demand and any capital action from the Saudi/Kuwaiti/Norwegian holders on the register.</w:t>
      </w:r>
    </w:p>
    <w:p>
      <w:pPr>
        <w:pStyle w:val="ListBullet"/>
      </w:pPr>
      <w:r>
        <w:rPr>
          <w:b/>
          <w:sz w:val="21"/>
        </w:rPr>
        <w:t xml:space="preserve">Governance &amp; disclosure. </w:t>
      </w:r>
      <w:r>
        <w:rPr>
          <w:b w:val="0"/>
          <w:sz w:val="21"/>
        </w:rPr>
        <w:t>Clearer segment reporting, a dividend initiation, or simplification of the subsidiary structure would each argue for a narrower holdco/minority discount.</w:t>
      </w:r>
    </w:p>
    <w:p>
      <w:pPr>
        <w:pStyle w:val="ListBullet"/>
      </w:pPr>
      <w:r>
        <w:rPr>
          <w:b/>
          <w:sz w:val="21"/>
        </w:rPr>
        <w:t xml:space="preserve">Contracting margin &amp; backlog. </w:t>
      </w:r>
      <w:r>
        <w:rPr>
          <w:b w:val="0"/>
          <w:sz w:val="21"/>
        </w:rPr>
        <w:t>The margin cycle and backlog conversion in the ~57%-of-revenue contracting arm.</w:t>
      </w:r>
    </w:p>
    <w:p>
      <w:r>
        <w:rPr>
          <w:rFonts w:ascii="Calibri" w:hAnsi="Calibri"/>
          <w:b/>
          <w:color w:val="1B5E5E"/>
          <w:sz w:val="30"/>
        </w:rPr>
        <w:t>6  Reading the probability zones</w:t>
      </w:r>
    </w:p>
    <w:p>
      <w:r>
        <w:rPr>
          <w:rFonts w:ascii="Calibri" w:hAnsi="Calibri"/>
          <w:b w:val="0"/>
          <w:i w:val="0"/>
          <w:sz w:val="21"/>
        </w:rPr>
        <w:t>Translating the three-month distribution into plain zones, anchored on spot EGP 8.28 and the fair-value cluster: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val="clear" w:fill="1B5E5E"/>
          </w:tcPr>
          <w:p>
            <w:pPr>
              <w:jc w:val="center"/>
            </w:pPr>
            <w:r/>
            <w:r>
              <w:rPr>
                <w:rFonts w:ascii="Calibri" w:hAnsi="Calibri"/>
                <w:b/>
                <w:color w:val="FFFFFF"/>
                <w:sz w:val="19"/>
              </w:rPr>
              <w:t>Zone (T+60)</w:t>
            </w:r>
          </w:p>
        </w:tc>
        <w:tc>
          <w:tcPr>
            <w:tcW w:type="dxa" w:w="2160"/>
            <w:shd w:val="clear" w:fill="1B5E5E"/>
          </w:tcPr>
          <w:p>
            <w:pPr>
              <w:jc w:val="center"/>
            </w:pPr>
            <w:r/>
            <w:r>
              <w:rPr>
                <w:rFonts w:ascii="Calibri" w:hAnsi="Calibri"/>
                <w:b/>
                <w:color w:val="FFFFFF"/>
                <w:sz w:val="19"/>
              </w:rPr>
              <w:t>Range</w:t>
            </w:r>
          </w:p>
        </w:tc>
        <w:tc>
          <w:tcPr>
            <w:tcW w:type="dxa" w:w="2016"/>
            <w:shd w:val="clear" w:fill="1B5E5E"/>
          </w:tcPr>
          <w:p>
            <w:pPr>
              <w:jc w:val="center"/>
            </w:pPr>
            <w:r/>
            <w:r>
              <w:rPr>
                <w:rFonts w:ascii="Calibri" w:hAnsi="Calibri"/>
                <w:b/>
                <w:color w:val="FFFFFF"/>
                <w:sz w:val="19"/>
              </w:rPr>
              <w:t>Approx. probability</w:t>
            </w:r>
          </w:p>
        </w:tc>
        <w:tc>
          <w:tcPr>
            <w:tcW w:type="dxa" w:w="2880"/>
            <w:shd w:val="clear" w:fill="1B5E5E"/>
          </w:tcPr>
          <w:p>
            <w:pPr>
              <w:jc w:val="center"/>
            </w:pPr>
            <w:r/>
            <w:r>
              <w:rPr>
                <w:rFonts w:ascii="Calibri" w:hAnsi="Calibri"/>
                <w:b/>
                <w:color w:val="FFFFFF"/>
                <w:sz w:val="19"/>
              </w:rPr>
              <w:t>What it would mean</w:t>
            </w:r>
          </w:p>
        </w:tc>
      </w:tr>
      <w:tr>
        <w:tc>
          <w:tcPr>
            <w:tcW w:type="dxa" w:w="2016"/>
          </w:tcPr>
          <w:p>
            <w:r/>
            <w:r>
              <w:rPr>
                <w:rFonts w:ascii="Calibri" w:hAnsi="Calibri"/>
                <w:b w:val="0"/>
                <w:sz w:val="19"/>
              </w:rPr>
              <w:t>Deep downside</w:t>
            </w:r>
          </w:p>
        </w:tc>
        <w:tc>
          <w:tcPr>
            <w:tcW w:type="dxa" w:w="2160"/>
          </w:tcPr>
          <w:p>
            <w:pPr>
              <w:jc w:val="center"/>
            </w:pPr>
            <w:r/>
            <w:r>
              <w:rPr>
                <w:rFonts w:ascii="Calibri" w:hAnsi="Calibri"/>
                <w:b w:val="0"/>
                <w:sz w:val="19"/>
              </w:rPr>
              <w:t>&lt; EGP 6.50</w:t>
            </w:r>
          </w:p>
        </w:tc>
        <w:tc>
          <w:tcPr>
            <w:tcW w:type="dxa" w:w="2016"/>
          </w:tcPr>
          <w:p>
            <w:pPr>
              <w:jc w:val="center"/>
            </w:pPr>
            <w:r/>
            <w:r>
              <w:rPr>
                <w:rFonts w:ascii="Calibri" w:hAnsi="Calibri"/>
                <w:b w:val="0"/>
                <w:sz w:val="19"/>
              </w:rPr>
              <w:t>~10%</w:t>
            </w:r>
          </w:p>
        </w:tc>
        <w:tc>
          <w:tcPr>
            <w:tcW w:type="dxa" w:w="2880"/>
          </w:tcPr>
          <w:p>
            <w:pPr>
              <w:jc w:val="center"/>
            </w:pPr>
            <w:r/>
            <w:r>
              <w:rPr>
                <w:rFonts w:ascii="Calibri" w:hAnsi="Calibri"/>
                <w:b w:val="0"/>
                <w:sz w:val="19"/>
              </w:rPr>
              <w:t>Re-rating unwinds / risk-off; toward mean-reversion</w:t>
            </w:r>
          </w:p>
        </w:tc>
      </w:tr>
      <w:tr>
        <w:tc>
          <w:tcPr>
            <w:tcW w:type="dxa" w:w="2016"/>
          </w:tcPr>
          <w:p>
            <w:r/>
            <w:r>
              <w:rPr>
                <w:rFonts w:ascii="Calibri" w:hAnsi="Calibri"/>
                <w:b w:val="0"/>
                <w:sz w:val="19"/>
              </w:rPr>
              <w:t>Lower band</w:t>
            </w:r>
          </w:p>
        </w:tc>
        <w:tc>
          <w:tcPr>
            <w:tcW w:type="dxa" w:w="2160"/>
          </w:tcPr>
          <w:p>
            <w:pPr>
              <w:jc w:val="center"/>
            </w:pPr>
            <w:r/>
            <w:r>
              <w:rPr>
                <w:rFonts w:ascii="Calibri" w:hAnsi="Calibri"/>
                <w:b w:val="0"/>
                <w:sz w:val="19"/>
              </w:rPr>
              <w:t>EGP 6.50–7.50</w:t>
            </w:r>
          </w:p>
        </w:tc>
        <w:tc>
          <w:tcPr>
            <w:tcW w:type="dxa" w:w="2016"/>
          </w:tcPr>
          <w:p>
            <w:pPr>
              <w:jc w:val="center"/>
            </w:pPr>
            <w:r/>
            <w:r>
              <w:rPr>
                <w:rFonts w:ascii="Calibri" w:hAnsi="Calibri"/>
                <w:b w:val="0"/>
                <w:sz w:val="19"/>
              </w:rPr>
              <w:t>~14%</w:t>
            </w:r>
          </w:p>
        </w:tc>
        <w:tc>
          <w:tcPr>
            <w:tcW w:type="dxa" w:w="2880"/>
          </w:tcPr>
          <w:p>
            <w:pPr>
              <w:jc w:val="center"/>
            </w:pPr>
            <w:r/>
            <w:r>
              <w:rPr>
                <w:rFonts w:ascii="Calibri" w:hAnsi="Calibri"/>
                <w:b w:val="0"/>
                <w:sz w:val="19"/>
              </w:rPr>
              <w:t>Discount widens again; relative-multiple lens dominates</w:t>
            </w:r>
          </w:p>
        </w:tc>
      </w:tr>
      <w:tr>
        <w:tc>
          <w:tcPr>
            <w:tcW w:type="dxa" w:w="2016"/>
          </w:tcPr>
          <w:p>
            <w:r/>
            <w:r>
              <w:rPr>
                <w:rFonts w:ascii="Calibri" w:hAnsi="Calibri"/>
                <w:b w:val="0"/>
                <w:sz w:val="19"/>
              </w:rPr>
              <w:t>Around spot</w:t>
            </w:r>
          </w:p>
        </w:tc>
        <w:tc>
          <w:tcPr>
            <w:tcW w:type="dxa" w:w="2160"/>
          </w:tcPr>
          <w:p>
            <w:pPr>
              <w:jc w:val="center"/>
            </w:pPr>
            <w:r/>
            <w:r>
              <w:rPr>
                <w:rFonts w:ascii="Calibri" w:hAnsi="Calibri"/>
                <w:b w:val="0"/>
                <w:sz w:val="19"/>
              </w:rPr>
              <w:t>EGP 7.50–9.00</w:t>
            </w:r>
          </w:p>
        </w:tc>
        <w:tc>
          <w:tcPr>
            <w:tcW w:type="dxa" w:w="2016"/>
          </w:tcPr>
          <w:p>
            <w:pPr>
              <w:jc w:val="center"/>
            </w:pPr>
            <w:r/>
            <w:r>
              <w:rPr>
                <w:rFonts w:ascii="Calibri" w:hAnsi="Calibri"/>
                <w:b w:val="0"/>
                <w:sz w:val="19"/>
              </w:rPr>
              <w:t>~30%</w:t>
            </w:r>
          </w:p>
        </w:tc>
        <w:tc>
          <w:tcPr>
            <w:tcW w:type="dxa" w:w="2880"/>
          </w:tcPr>
          <w:p>
            <w:pPr>
              <w:jc w:val="center"/>
            </w:pPr>
            <w:r/>
            <w:r>
              <w:rPr>
                <w:rFonts w:ascii="Calibri" w:hAnsi="Calibri"/>
                <w:b w:val="0"/>
                <w:sz w:val="19"/>
              </w:rPr>
              <w:t>Status quo; value and price converged</w:t>
            </w:r>
          </w:p>
        </w:tc>
      </w:tr>
      <w:tr>
        <w:tc>
          <w:tcPr>
            <w:tcW w:type="dxa" w:w="2016"/>
          </w:tcPr>
          <w:p>
            <w:r/>
            <w:r>
              <w:rPr>
                <w:rFonts w:ascii="Calibri" w:hAnsi="Calibri"/>
                <w:b w:val="0"/>
                <w:sz w:val="19"/>
              </w:rPr>
              <w:t>Upper band</w:t>
            </w:r>
          </w:p>
        </w:tc>
        <w:tc>
          <w:tcPr>
            <w:tcW w:type="dxa" w:w="2160"/>
          </w:tcPr>
          <w:p>
            <w:pPr>
              <w:jc w:val="center"/>
            </w:pPr>
            <w:r/>
            <w:r>
              <w:rPr>
                <w:rFonts w:ascii="Calibri" w:hAnsi="Calibri"/>
                <w:b w:val="0"/>
                <w:sz w:val="19"/>
              </w:rPr>
              <w:t>EGP 9.00–11.00</w:t>
            </w:r>
          </w:p>
        </w:tc>
        <w:tc>
          <w:tcPr>
            <w:tcW w:type="dxa" w:w="2016"/>
          </w:tcPr>
          <w:p>
            <w:pPr>
              <w:jc w:val="center"/>
            </w:pPr>
            <w:r/>
            <w:r>
              <w:rPr>
                <w:rFonts w:ascii="Calibri" w:hAnsi="Calibri"/>
                <w:b w:val="0"/>
                <w:sz w:val="19"/>
              </w:rPr>
              <w:t>~30%</w:t>
            </w:r>
          </w:p>
        </w:tc>
        <w:tc>
          <w:tcPr>
            <w:tcW w:type="dxa" w:w="2880"/>
          </w:tcPr>
          <w:p>
            <w:pPr>
              <w:jc w:val="center"/>
            </w:pPr>
            <w:r/>
            <w:r>
              <w:rPr>
                <w:rFonts w:ascii="Calibri" w:hAnsi="Calibri"/>
                <w:b w:val="0"/>
                <w:sz w:val="19"/>
              </w:rPr>
              <w:t>Land credited / discount narrows; toward RNAV &amp; cycle lens</w:t>
            </w:r>
          </w:p>
        </w:tc>
      </w:tr>
      <w:tr>
        <w:tc>
          <w:tcPr>
            <w:tcW w:type="dxa" w:w="2016"/>
          </w:tcPr>
          <w:p>
            <w:r/>
            <w:r>
              <w:rPr>
                <w:rFonts w:ascii="Calibri" w:hAnsi="Calibri"/>
                <w:b w:val="0"/>
                <w:sz w:val="19"/>
              </w:rPr>
              <w:t>Strong upside</w:t>
            </w:r>
          </w:p>
        </w:tc>
        <w:tc>
          <w:tcPr>
            <w:tcW w:type="dxa" w:w="2160"/>
          </w:tcPr>
          <w:p>
            <w:pPr>
              <w:jc w:val="center"/>
            </w:pPr>
            <w:r/>
            <w:r>
              <w:rPr>
                <w:rFonts w:ascii="Calibri" w:hAnsi="Calibri"/>
                <w:b w:val="0"/>
                <w:sz w:val="19"/>
              </w:rPr>
              <w:t>&gt; EGP 11.00</w:t>
            </w:r>
          </w:p>
        </w:tc>
        <w:tc>
          <w:tcPr>
            <w:tcW w:type="dxa" w:w="2016"/>
          </w:tcPr>
          <w:p>
            <w:pPr>
              <w:jc w:val="center"/>
            </w:pPr>
            <w:r/>
            <w:r>
              <w:rPr>
                <w:rFonts w:ascii="Calibri" w:hAnsi="Calibri"/>
                <w:b w:val="0"/>
                <w:sz w:val="19"/>
              </w:rPr>
              <w:t>~16%</w:t>
            </w:r>
          </w:p>
        </w:tc>
        <w:tc>
          <w:tcPr>
            <w:tcW w:type="dxa" w:w="2880"/>
          </w:tcPr>
          <w:p>
            <w:pPr>
              <w:jc w:val="center"/>
            </w:pPr>
            <w:r/>
            <w:r>
              <w:rPr>
                <w:rFonts w:ascii="Calibri" w:hAnsi="Calibri"/>
                <w:b w:val="0"/>
                <w:sz w:val="19"/>
              </w:rPr>
              <w:t>Monetisation + discount narrowing together</w:t>
            </w:r>
          </w:p>
        </w:tc>
      </w:tr>
    </w:tbl>
    <w:p/>
    <w:p>
      <w:r>
        <w:rPr>
          <w:rFonts w:ascii="Calibri" w:hAnsi="Calibri"/>
          <w:b w:val="0"/>
          <w:i w:val="0"/>
          <w:sz w:val="21"/>
        </w:rPr>
        <w:t>The distribution is close to symmetric with a slightly heavier upper tail from the discrete upside events (a land deal, Gulf flows, a discount re-rating). It is not a forecast; it is the spread of outcomes consistent with the stock's own volatility and the factor stack, and it should be read against the overbought technical tape.</w:t>
      </w:r>
    </w:p>
    <w:p>
      <w:r>
        <w:rPr>
          <w:rFonts w:ascii="Calibri" w:hAnsi="Calibri"/>
          <w:b/>
          <w:color w:val="1B5E5E"/>
          <w:sz w:val="30"/>
        </w:rPr>
        <w:t>7  Caveats and what would change our mind</w:t>
      </w:r>
    </w:p>
    <w:p>
      <w:pPr>
        <w:pStyle w:val="ListBullet"/>
      </w:pPr>
      <w:r>
        <w:rPr>
          <w:b/>
          <w:sz w:val="21"/>
        </w:rPr>
        <w:t xml:space="preserve">The land mark is the model. </w:t>
      </w:r>
      <w:r>
        <w:rPr>
          <w:b w:val="0"/>
          <w:sz w:val="21"/>
        </w:rPr>
        <w:t>A large slice of the value rests on a house estimate of the development-leg NAV; a lower realizable land value would pull the central value toward — or below — spot.</w:t>
      </w:r>
    </w:p>
    <w:p>
      <w:pPr>
        <w:pStyle w:val="ListBullet"/>
      </w:pPr>
      <w:r>
        <w:rPr>
          <w:b/>
          <w:sz w:val="21"/>
        </w:rPr>
        <w:t xml:space="preserve">Minority leakage. </w:t>
      </w:r>
      <w:r>
        <w:rPr>
          <w:b w:val="0"/>
          <w:sz w:val="21"/>
        </w:rPr>
        <w:t>Consolidated profit overstates what accrues to PRDC holders; the minority deduction is an estimate, and a different subsidiary economics would move it.</w:t>
      </w:r>
    </w:p>
    <w:p>
      <w:pPr>
        <w:pStyle w:val="ListBullet"/>
      </w:pPr>
      <w:r>
        <w:rPr>
          <w:b/>
          <w:sz w:val="21"/>
        </w:rPr>
        <w:t xml:space="preserve">The discount can widen, not just narrow. </w:t>
      </w:r>
      <w:r>
        <w:rPr>
          <w:b w:val="0"/>
          <w:sz w:val="21"/>
        </w:rPr>
        <w:t>Complexity, governance perception, the no-dividend policy or a weak presales quarter could push the holdco/minority discount past the ~16% the market already implies.</w:t>
      </w:r>
    </w:p>
    <w:p>
      <w:pPr>
        <w:pStyle w:val="ListBullet"/>
      </w:pPr>
      <w:r>
        <w:rPr>
          <w:b/>
          <w:sz w:val="21"/>
        </w:rPr>
        <w:t xml:space="preserve">Calibration is marginal. </w:t>
      </w:r>
      <w:r>
        <w:rPr>
          <w:b w:val="0"/>
          <w:sz w:val="21"/>
        </w:rPr>
        <w:t>Step 0 does not decisively beat the benchmark for this name and the PIT tilts high; the Monte Carlo is illustrative, not a graded forecast, and the recent surge makes near-term continuation odds especially uncertain.</w:t>
      </w:r>
    </w:p>
    <w:p>
      <w:pPr>
        <w:pStyle w:val="ListBullet"/>
      </w:pPr>
      <w:r>
        <w:rPr>
          <w:b/>
          <w:sz w:val="21"/>
        </w:rPr>
        <w:t xml:space="preserve">Overbought tape. </w:t>
      </w:r>
      <w:r>
        <w:rPr>
          <w:b w:val="0"/>
          <w:sz w:val="21"/>
        </w:rPr>
        <w:t>RSI near 70 after a near-tripling; mean-reversion pullbacks are common and say nothing about value. Equally, strong tapes can extend. The technical read is context, not a trigger.</w:t>
      </w:r>
    </w:p>
    <w:p>
      <w:pPr>
        <w:pStyle w:val="ListBullet"/>
      </w:pPr>
      <w:r>
        <w:rPr>
          <w:b/>
          <w:sz w:val="21"/>
        </w:rPr>
        <w:t xml:space="preserve">EGP &amp; rate leverage. </w:t>
      </w:r>
      <w:r>
        <w:rPr>
          <w:b w:val="0"/>
          <w:sz w:val="21"/>
        </w:rPr>
        <w:t>The RNAV and the DCF both move with the pound and the CBE path; a step devaluation or a stalled easing cycle is a direct, mechanical downgrade.</w:t>
      </w:r>
    </w:p>
    <w:p>
      <w:pPr>
        <w:pStyle w:val="ListBullet"/>
      </w:pPr>
      <w:r>
        <w:rPr>
          <w:b/>
          <w:sz w:val="21"/>
        </w:rPr>
        <w:t xml:space="preserve">Data quality. </w:t>
      </w:r>
      <w:r>
        <w:rPr>
          <w:b w:val="0"/>
          <w:sz w:val="21"/>
        </w:rPr>
        <w:t>Segment and balance-sheet splits are partly estimated to disclosed totals; the vendor mis-classification of PRDC as a financial name is a reminder to read the primary filings.</w:t>
      </w:r>
    </w:p>
    <w:p>
      <w:r>
        <w:rPr>
          <w:rFonts w:ascii="Calibri" w:hAnsi="Calibri"/>
          <w:b/>
          <w:color w:val="1B5E5E"/>
          <w:sz w:val="30"/>
        </w:rPr>
        <w:t>Appendix A  Financial statements</w:t>
      </w:r>
    </w:p>
    <w:p>
      <w:r>
        <w:rPr>
          <w:rFonts w:ascii="Calibri" w:hAnsi="Calibri"/>
          <w:b w:val="0"/>
          <w:i w:val="0"/>
          <w:sz w:val="21"/>
        </w:rPr>
        <w:t>Selected consolidated figures. FY2023–FY2025 are the company's disclosure (EGX filings and press releases); several line items and all forecast years are house estimates flagged in the companion model. FY2025 profit fell from the FY2024 peak as one-off gains normalised and minority took a larger share.</w:t>
      </w:r>
    </w:p>
    <w:p>
      <w:r>
        <w:rPr>
          <w:rFonts w:ascii="Calibri" w:hAnsi="Calibri"/>
          <w:b/>
          <w:color w:val="1B5E5E"/>
          <w:sz w:val="24"/>
        </w:rPr>
        <w:t>A.1  Income statement (consolidated, EGP mn)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312"/>
            <w:shd w:val="clear" w:fill="1B5E5E"/>
          </w:tcPr>
          <w:p>
            <w:pPr>
              <w:jc w:val="center"/>
            </w:pPr>
            <w:r/>
            <w:r>
              <w:rPr>
                <w:rFonts w:ascii="Calibri" w:hAnsi="Calibri"/>
                <w:b/>
                <w:color w:val="FFFFFF"/>
                <w:sz w:val="19"/>
              </w:rPr>
              <w:t>Line</w:t>
            </w:r>
          </w:p>
        </w:tc>
        <w:tc>
          <w:tcPr>
            <w:tcW w:type="dxa" w:w="1296"/>
            <w:shd w:val="clear" w:fill="1B5E5E"/>
          </w:tcPr>
          <w:p>
            <w:pPr>
              <w:jc w:val="center"/>
            </w:pPr>
            <w:r/>
            <w:r>
              <w:rPr>
                <w:rFonts w:ascii="Calibri" w:hAnsi="Calibri"/>
                <w:b/>
                <w:color w:val="FFFFFF"/>
                <w:sz w:val="19"/>
              </w:rPr>
              <w:t>FY23</w:t>
            </w:r>
          </w:p>
        </w:tc>
        <w:tc>
          <w:tcPr>
            <w:tcW w:type="dxa" w:w="1296"/>
            <w:shd w:val="clear" w:fill="1B5E5E"/>
          </w:tcPr>
          <w:p>
            <w:pPr>
              <w:jc w:val="center"/>
            </w:pPr>
            <w:r/>
            <w:r>
              <w:rPr>
                <w:rFonts w:ascii="Calibri" w:hAnsi="Calibri"/>
                <w:b/>
                <w:color w:val="FFFFFF"/>
                <w:sz w:val="19"/>
              </w:rPr>
              <w:t>FY24</w:t>
            </w:r>
          </w:p>
        </w:tc>
        <w:tc>
          <w:tcPr>
            <w:tcW w:type="dxa" w:w="1296"/>
            <w:shd w:val="clear" w:fill="1B5E5E"/>
          </w:tcPr>
          <w:p>
            <w:pPr>
              <w:jc w:val="center"/>
            </w:pPr>
            <w:r/>
            <w:r>
              <w:rPr>
                <w:rFonts w:ascii="Calibri" w:hAnsi="Calibri"/>
                <w:b/>
                <w:color w:val="FFFFFF"/>
                <w:sz w:val="19"/>
              </w:rPr>
              <w:t>FY25</w:t>
            </w:r>
          </w:p>
        </w:tc>
        <w:tc>
          <w:tcPr>
            <w:tcW w:type="dxa" w:w="1296"/>
            <w:shd w:val="clear" w:fill="1B5E5E"/>
          </w:tcPr>
          <w:p>
            <w:pPr>
              <w:jc w:val="center"/>
            </w:pPr>
            <w:r/>
            <w:r>
              <w:rPr>
                <w:rFonts w:ascii="Calibri" w:hAnsi="Calibri"/>
                <w:b/>
                <w:color w:val="FFFFFF"/>
                <w:sz w:val="19"/>
              </w:rPr>
              <w:t>FY26E</w:t>
            </w:r>
          </w:p>
        </w:tc>
        <w:tc>
          <w:tcPr>
            <w:tcW w:type="dxa" w:w="1296"/>
            <w:shd w:val="clear" w:fill="1B5E5E"/>
          </w:tcPr>
          <w:p>
            <w:pPr>
              <w:jc w:val="center"/>
            </w:pPr>
            <w:r/>
            <w:r>
              <w:rPr>
                <w:rFonts w:ascii="Calibri" w:hAnsi="Calibri"/>
                <w:b/>
                <w:color w:val="FFFFFF"/>
                <w:sz w:val="19"/>
              </w:rPr>
              <w:t>FY27E</w:t>
            </w:r>
          </w:p>
        </w:tc>
      </w:tr>
      <w:tr>
        <w:tc>
          <w:tcPr>
            <w:tcW w:type="dxa" w:w="3312"/>
          </w:tcPr>
          <w:p>
            <w:r/>
            <w:r>
              <w:rPr>
                <w:rFonts w:ascii="Calibri" w:hAnsi="Calibri"/>
                <w:b w:val="0"/>
                <w:sz w:val="19"/>
              </w:rPr>
              <w:t>Revenue</w:t>
            </w:r>
          </w:p>
        </w:tc>
        <w:tc>
          <w:tcPr>
            <w:tcW w:type="dxa" w:w="1296"/>
          </w:tcPr>
          <w:p>
            <w:pPr>
              <w:jc w:val="center"/>
            </w:pPr>
            <w:r/>
            <w:r>
              <w:rPr>
                <w:rFonts w:ascii="Calibri" w:hAnsi="Calibri"/>
                <w:b w:val="0"/>
                <w:sz w:val="19"/>
              </w:rPr>
              <w:t>5,780</w:t>
            </w:r>
          </w:p>
        </w:tc>
        <w:tc>
          <w:tcPr>
            <w:tcW w:type="dxa" w:w="1296"/>
          </w:tcPr>
          <w:p>
            <w:pPr>
              <w:jc w:val="center"/>
            </w:pPr>
            <w:r/>
            <w:r>
              <w:rPr>
                <w:rFonts w:ascii="Calibri" w:hAnsi="Calibri"/>
                <w:b w:val="0"/>
                <w:sz w:val="19"/>
              </w:rPr>
              <w:t>5,000</w:t>
            </w:r>
          </w:p>
        </w:tc>
        <w:tc>
          <w:tcPr>
            <w:tcW w:type="dxa" w:w="1296"/>
          </w:tcPr>
          <w:p>
            <w:pPr>
              <w:jc w:val="center"/>
            </w:pPr>
            <w:r/>
            <w:r>
              <w:rPr>
                <w:rFonts w:ascii="Calibri" w:hAnsi="Calibri"/>
                <w:b w:val="0"/>
                <w:sz w:val="19"/>
              </w:rPr>
              <w:t>6,400</w:t>
            </w:r>
          </w:p>
        </w:tc>
        <w:tc>
          <w:tcPr>
            <w:tcW w:type="dxa" w:w="1296"/>
          </w:tcPr>
          <w:p>
            <w:pPr>
              <w:jc w:val="center"/>
            </w:pPr>
            <w:r/>
            <w:r>
              <w:rPr>
                <w:rFonts w:ascii="Calibri" w:hAnsi="Calibri"/>
                <w:b w:val="0"/>
                <w:sz w:val="19"/>
              </w:rPr>
              <w:t>7,040</w:t>
            </w:r>
          </w:p>
        </w:tc>
        <w:tc>
          <w:tcPr>
            <w:tcW w:type="dxa" w:w="1296"/>
          </w:tcPr>
          <w:p>
            <w:pPr>
              <w:jc w:val="center"/>
            </w:pPr>
            <w:r/>
            <w:r>
              <w:rPr>
                <w:rFonts w:ascii="Calibri" w:hAnsi="Calibri"/>
                <w:b w:val="0"/>
                <w:sz w:val="19"/>
              </w:rPr>
              <w:t>8,096</w:t>
            </w:r>
          </w:p>
        </w:tc>
      </w:tr>
      <w:tr>
        <w:tc>
          <w:tcPr>
            <w:tcW w:type="dxa" w:w="3312"/>
          </w:tcPr>
          <w:p>
            <w:r/>
            <w:r>
              <w:rPr>
                <w:rFonts w:ascii="Calibri" w:hAnsi="Calibri"/>
                <w:b w:val="0"/>
                <w:sz w:val="19"/>
              </w:rPr>
              <w:t>EBITDA</w:t>
            </w:r>
          </w:p>
        </w:tc>
        <w:tc>
          <w:tcPr>
            <w:tcW w:type="dxa" w:w="1296"/>
          </w:tcPr>
          <w:p>
            <w:pPr>
              <w:jc w:val="center"/>
            </w:pPr>
            <w:r/>
            <w:r>
              <w:rPr>
                <w:rFonts w:ascii="Calibri" w:hAnsi="Calibri"/>
                <w:b w:val="0"/>
                <w:sz w:val="19"/>
              </w:rPr>
              <w:t>~1,300</w:t>
            </w:r>
          </w:p>
        </w:tc>
        <w:tc>
          <w:tcPr>
            <w:tcW w:type="dxa" w:w="1296"/>
          </w:tcPr>
          <w:p>
            <w:pPr>
              <w:jc w:val="center"/>
            </w:pPr>
            <w:r/>
            <w:r>
              <w:rPr>
                <w:rFonts w:ascii="Calibri" w:hAnsi="Calibri"/>
                <w:b w:val="0"/>
                <w:sz w:val="19"/>
              </w:rPr>
              <w:t>~1,150</w:t>
            </w:r>
          </w:p>
        </w:tc>
        <w:tc>
          <w:tcPr>
            <w:tcW w:type="dxa" w:w="1296"/>
          </w:tcPr>
          <w:p>
            <w:pPr>
              <w:jc w:val="center"/>
            </w:pPr>
            <w:r/>
            <w:r>
              <w:rPr>
                <w:rFonts w:ascii="Calibri" w:hAnsi="Calibri"/>
                <w:b w:val="0"/>
                <w:sz w:val="19"/>
              </w:rPr>
              <w:t>~1,470</w:t>
            </w:r>
          </w:p>
        </w:tc>
        <w:tc>
          <w:tcPr>
            <w:tcW w:type="dxa" w:w="1296"/>
          </w:tcPr>
          <w:p>
            <w:pPr>
              <w:jc w:val="center"/>
            </w:pPr>
            <w:r/>
            <w:r>
              <w:rPr>
                <w:rFonts w:ascii="Calibri" w:hAnsi="Calibri"/>
                <w:b w:val="0"/>
                <w:sz w:val="19"/>
              </w:rPr>
              <w:t>1,690</w:t>
            </w:r>
          </w:p>
        </w:tc>
        <w:tc>
          <w:tcPr>
            <w:tcW w:type="dxa" w:w="1296"/>
          </w:tcPr>
          <w:p>
            <w:pPr>
              <w:jc w:val="center"/>
            </w:pPr>
            <w:r/>
            <w:r>
              <w:rPr>
                <w:rFonts w:ascii="Calibri" w:hAnsi="Calibri"/>
                <w:b w:val="0"/>
                <w:sz w:val="19"/>
              </w:rPr>
              <w:t>1,943</w:t>
            </w:r>
          </w:p>
        </w:tc>
      </w:tr>
      <w:tr>
        <w:tc>
          <w:tcPr>
            <w:tcW w:type="dxa" w:w="3312"/>
          </w:tcPr>
          <w:p>
            <w:r/>
            <w:r>
              <w:rPr>
                <w:rFonts w:ascii="Calibri" w:hAnsi="Calibri"/>
                <w:b w:val="0"/>
                <w:sz w:val="19"/>
              </w:rPr>
              <w:t>EBIT</w:t>
            </w:r>
          </w:p>
        </w:tc>
        <w:tc>
          <w:tcPr>
            <w:tcW w:type="dxa" w:w="1296"/>
          </w:tcPr>
          <w:p>
            <w:pPr>
              <w:jc w:val="center"/>
            </w:pPr>
            <w:r/>
            <w:r>
              <w:rPr>
                <w:rFonts w:ascii="Calibri" w:hAnsi="Calibri"/>
                <w:b w:val="0"/>
                <w:sz w:val="19"/>
              </w:rPr>
              <w:t>~1,150</w:t>
            </w:r>
          </w:p>
        </w:tc>
        <w:tc>
          <w:tcPr>
            <w:tcW w:type="dxa" w:w="1296"/>
          </w:tcPr>
          <w:p>
            <w:pPr>
              <w:jc w:val="center"/>
            </w:pPr>
            <w:r/>
            <w:r>
              <w:rPr>
                <w:rFonts w:ascii="Calibri" w:hAnsi="Calibri"/>
                <w:b w:val="0"/>
                <w:sz w:val="19"/>
              </w:rPr>
              <w:t>~1,010</w:t>
            </w:r>
          </w:p>
        </w:tc>
        <w:tc>
          <w:tcPr>
            <w:tcW w:type="dxa" w:w="1296"/>
          </w:tcPr>
          <w:p>
            <w:pPr>
              <w:jc w:val="center"/>
            </w:pPr>
            <w:r/>
            <w:r>
              <w:rPr>
                <w:rFonts w:ascii="Calibri" w:hAnsi="Calibri"/>
                <w:b w:val="0"/>
                <w:sz w:val="19"/>
              </w:rPr>
              <w:t>~1,340</w:t>
            </w:r>
          </w:p>
        </w:tc>
        <w:tc>
          <w:tcPr>
            <w:tcW w:type="dxa" w:w="1296"/>
          </w:tcPr>
          <w:p>
            <w:pPr>
              <w:jc w:val="center"/>
            </w:pPr>
            <w:r/>
            <w:r>
              <w:rPr>
                <w:rFonts w:ascii="Calibri" w:hAnsi="Calibri"/>
                <w:b w:val="0"/>
                <w:sz w:val="19"/>
              </w:rPr>
              <w:t>1,549</w:t>
            </w:r>
          </w:p>
        </w:tc>
        <w:tc>
          <w:tcPr>
            <w:tcW w:type="dxa" w:w="1296"/>
          </w:tcPr>
          <w:p>
            <w:pPr>
              <w:jc w:val="center"/>
            </w:pPr>
            <w:r/>
            <w:r>
              <w:rPr>
                <w:rFonts w:ascii="Calibri" w:hAnsi="Calibri"/>
                <w:b w:val="0"/>
                <w:sz w:val="19"/>
              </w:rPr>
              <w:t>1,781</w:t>
            </w:r>
          </w:p>
        </w:tc>
      </w:tr>
      <w:tr>
        <w:tc>
          <w:tcPr>
            <w:tcW w:type="dxa" w:w="3312"/>
          </w:tcPr>
          <w:p>
            <w:r/>
            <w:r>
              <w:rPr>
                <w:rFonts w:ascii="Calibri" w:hAnsi="Calibri"/>
                <w:b w:val="0"/>
                <w:sz w:val="19"/>
              </w:rPr>
              <w:t>Net finance cost</w:t>
            </w:r>
          </w:p>
        </w:tc>
        <w:tc>
          <w:tcPr>
            <w:tcW w:type="dxa" w:w="1296"/>
          </w:tcPr>
          <w:p>
            <w:pPr>
              <w:jc w:val="center"/>
            </w:pPr>
            <w:r/>
            <w:r>
              <w:rPr>
                <w:rFonts w:ascii="Calibri" w:hAnsi="Calibri"/>
                <w:b w:val="0"/>
                <w:sz w:val="19"/>
              </w:rPr>
              <w:t>(900)</w:t>
            </w:r>
          </w:p>
        </w:tc>
        <w:tc>
          <w:tcPr>
            <w:tcW w:type="dxa" w:w="1296"/>
          </w:tcPr>
          <w:p>
            <w:pPr>
              <w:jc w:val="center"/>
            </w:pPr>
            <w:r/>
            <w:r>
              <w:rPr>
                <w:rFonts w:ascii="Calibri" w:hAnsi="Calibri"/>
                <w:b w:val="0"/>
                <w:sz w:val="19"/>
              </w:rPr>
              <w:t>(1,050)</w:t>
            </w:r>
          </w:p>
        </w:tc>
        <w:tc>
          <w:tcPr>
            <w:tcW w:type="dxa" w:w="1296"/>
          </w:tcPr>
          <w:p>
            <w:pPr>
              <w:jc w:val="center"/>
            </w:pPr>
            <w:r/>
            <w:r>
              <w:rPr>
                <w:rFonts w:ascii="Calibri" w:hAnsi="Calibri"/>
                <w:b w:val="0"/>
                <w:sz w:val="19"/>
              </w:rPr>
              <w:t>(1,200)</w:t>
            </w:r>
          </w:p>
        </w:tc>
        <w:tc>
          <w:tcPr>
            <w:tcW w:type="dxa" w:w="1296"/>
          </w:tcPr>
          <w:p>
            <w:pPr>
              <w:jc w:val="center"/>
            </w:pPr>
            <w:r/>
            <w:r>
              <w:rPr>
                <w:rFonts w:ascii="Calibri" w:hAnsi="Calibri"/>
                <w:b w:val="0"/>
                <w:sz w:val="19"/>
              </w:rPr>
              <w:t>(915)</w:t>
            </w:r>
          </w:p>
        </w:tc>
        <w:tc>
          <w:tcPr>
            <w:tcW w:type="dxa" w:w="1296"/>
          </w:tcPr>
          <w:p>
            <w:pPr>
              <w:jc w:val="center"/>
            </w:pPr>
            <w:r/>
            <w:r>
              <w:rPr>
                <w:rFonts w:ascii="Calibri" w:hAnsi="Calibri"/>
                <w:b w:val="0"/>
                <w:sz w:val="19"/>
              </w:rPr>
              <w:t>(1,052)</w:t>
            </w:r>
          </w:p>
        </w:tc>
      </w:tr>
      <w:tr>
        <w:tc>
          <w:tcPr>
            <w:tcW w:type="dxa" w:w="3312"/>
          </w:tcPr>
          <w:p>
            <w:r/>
            <w:r>
              <w:rPr>
                <w:rFonts w:ascii="Calibri" w:hAnsi="Calibri"/>
                <w:b w:val="0"/>
                <w:sz w:val="19"/>
              </w:rPr>
              <w:t>Pre-tax profit</w:t>
            </w:r>
          </w:p>
        </w:tc>
        <w:tc>
          <w:tcPr>
            <w:tcW w:type="dxa" w:w="1296"/>
          </w:tcPr>
          <w:p>
            <w:pPr>
              <w:jc w:val="center"/>
            </w:pPr>
            <w:r/>
            <w:r>
              <w:rPr>
                <w:rFonts w:ascii="Calibri" w:hAnsi="Calibri"/>
                <w:b w:val="0"/>
                <w:sz w:val="19"/>
              </w:rPr>
              <w:t>~720</w:t>
            </w:r>
          </w:p>
        </w:tc>
        <w:tc>
          <w:tcPr>
            <w:tcW w:type="dxa" w:w="1296"/>
          </w:tcPr>
          <w:p>
            <w:pPr>
              <w:jc w:val="center"/>
            </w:pPr>
            <w:r/>
            <w:r>
              <w:rPr>
                <w:rFonts w:ascii="Calibri" w:hAnsi="Calibri"/>
                <w:b w:val="0"/>
                <w:sz w:val="19"/>
              </w:rPr>
              <w:t>~1,630</w:t>
            </w:r>
          </w:p>
        </w:tc>
        <w:tc>
          <w:tcPr>
            <w:tcW w:type="dxa" w:w="1296"/>
          </w:tcPr>
          <w:p>
            <w:pPr>
              <w:jc w:val="center"/>
            </w:pPr>
            <w:r/>
            <w:r>
              <w:rPr>
                <w:rFonts w:ascii="Calibri" w:hAnsi="Calibri"/>
                <w:b w:val="0"/>
                <w:sz w:val="19"/>
              </w:rPr>
              <w:t>~870</w:t>
            </w:r>
          </w:p>
        </w:tc>
        <w:tc>
          <w:tcPr>
            <w:tcW w:type="dxa" w:w="1296"/>
          </w:tcPr>
          <w:p>
            <w:pPr>
              <w:jc w:val="center"/>
            </w:pPr>
            <w:r/>
            <w:r>
              <w:rPr>
                <w:rFonts w:ascii="Calibri" w:hAnsi="Calibri"/>
                <w:b w:val="0"/>
                <w:sz w:val="19"/>
              </w:rPr>
              <w:t>934</w:t>
            </w:r>
          </w:p>
        </w:tc>
        <w:tc>
          <w:tcPr>
            <w:tcW w:type="dxa" w:w="1296"/>
          </w:tcPr>
          <w:p>
            <w:pPr>
              <w:jc w:val="center"/>
            </w:pPr>
            <w:r/>
            <w:r>
              <w:rPr>
                <w:rFonts w:ascii="Calibri" w:hAnsi="Calibri"/>
                <w:b w:val="0"/>
                <w:sz w:val="19"/>
              </w:rPr>
              <w:t>1,029</w:t>
            </w:r>
          </w:p>
        </w:tc>
      </w:tr>
      <w:tr>
        <w:tc>
          <w:tcPr>
            <w:tcW w:type="dxa" w:w="3312"/>
          </w:tcPr>
          <w:p>
            <w:r/>
            <w:r>
              <w:rPr>
                <w:rFonts w:ascii="Calibri" w:hAnsi="Calibri"/>
                <w:b w:val="0"/>
                <w:sz w:val="19"/>
              </w:rPr>
              <w:t>Net profit after tax (consolidated)</w:t>
            </w:r>
          </w:p>
        </w:tc>
        <w:tc>
          <w:tcPr>
            <w:tcW w:type="dxa" w:w="1296"/>
          </w:tcPr>
          <w:p>
            <w:pPr>
              <w:jc w:val="center"/>
            </w:pPr>
            <w:r/>
            <w:r>
              <w:rPr>
                <w:rFonts w:ascii="Calibri" w:hAnsi="Calibri"/>
                <w:b w:val="0"/>
                <w:sz w:val="19"/>
              </w:rPr>
              <w:t>557</w:t>
            </w:r>
          </w:p>
        </w:tc>
        <w:tc>
          <w:tcPr>
            <w:tcW w:type="dxa" w:w="1296"/>
          </w:tcPr>
          <w:p>
            <w:pPr>
              <w:jc w:val="center"/>
            </w:pPr>
            <w:r/>
            <w:r>
              <w:rPr>
                <w:rFonts w:ascii="Calibri" w:hAnsi="Calibri"/>
                <w:b w:val="0"/>
                <w:sz w:val="19"/>
              </w:rPr>
              <w:t>1,260</w:t>
            </w:r>
          </w:p>
        </w:tc>
        <w:tc>
          <w:tcPr>
            <w:tcW w:type="dxa" w:w="1296"/>
          </w:tcPr>
          <w:p>
            <w:pPr>
              <w:jc w:val="center"/>
            </w:pPr>
            <w:r/>
            <w:r>
              <w:rPr>
                <w:rFonts w:ascii="Calibri" w:hAnsi="Calibri"/>
                <w:b w:val="0"/>
                <w:sz w:val="19"/>
              </w:rPr>
              <w:t>674</w:t>
            </w:r>
          </w:p>
        </w:tc>
        <w:tc>
          <w:tcPr>
            <w:tcW w:type="dxa" w:w="1296"/>
          </w:tcPr>
          <w:p>
            <w:pPr>
              <w:jc w:val="center"/>
            </w:pPr>
            <w:r/>
            <w:r>
              <w:rPr>
                <w:rFonts w:ascii="Calibri" w:hAnsi="Calibri"/>
                <w:b w:val="0"/>
                <w:sz w:val="19"/>
              </w:rPr>
              <w:t>724</w:t>
            </w:r>
          </w:p>
        </w:tc>
        <w:tc>
          <w:tcPr>
            <w:tcW w:type="dxa" w:w="1296"/>
          </w:tcPr>
          <w:p>
            <w:pPr>
              <w:jc w:val="center"/>
            </w:pPr>
            <w:r/>
            <w:r>
              <w:rPr>
                <w:rFonts w:ascii="Calibri" w:hAnsi="Calibri"/>
                <w:b w:val="0"/>
                <w:sz w:val="19"/>
              </w:rPr>
              <w:t>797</w:t>
            </w:r>
          </w:p>
        </w:tc>
      </w:tr>
      <w:tr>
        <w:tc>
          <w:tcPr>
            <w:tcW w:type="dxa" w:w="3312"/>
          </w:tcPr>
          <w:p>
            <w:r/>
            <w:r>
              <w:rPr>
                <w:rFonts w:ascii="Calibri" w:hAnsi="Calibri"/>
                <w:b w:val="0"/>
                <w:sz w:val="19"/>
              </w:rPr>
              <w:t>less: minority interest</w:t>
            </w:r>
          </w:p>
        </w:tc>
        <w:tc>
          <w:tcPr>
            <w:tcW w:type="dxa" w:w="1296"/>
          </w:tcPr>
          <w:p>
            <w:pPr>
              <w:jc w:val="center"/>
            </w:pPr>
            <w:r/>
            <w:r>
              <w:rPr>
                <w:rFonts w:ascii="Calibri" w:hAnsi="Calibri"/>
                <w:b w:val="0"/>
                <w:sz w:val="19"/>
              </w:rPr>
              <w:t>(257)</w:t>
            </w:r>
          </w:p>
        </w:tc>
        <w:tc>
          <w:tcPr>
            <w:tcW w:type="dxa" w:w="1296"/>
          </w:tcPr>
          <w:p>
            <w:pPr>
              <w:jc w:val="center"/>
            </w:pPr>
            <w:r/>
            <w:r>
              <w:rPr>
                <w:rFonts w:ascii="Calibri" w:hAnsi="Calibri"/>
                <w:b w:val="0"/>
                <w:sz w:val="19"/>
              </w:rPr>
              <w:t>10</w:t>
            </w:r>
          </w:p>
        </w:tc>
        <w:tc>
          <w:tcPr>
            <w:tcW w:type="dxa" w:w="1296"/>
          </w:tcPr>
          <w:p>
            <w:pPr>
              <w:jc w:val="center"/>
            </w:pPr>
            <w:r/>
            <w:r>
              <w:rPr>
                <w:rFonts w:ascii="Calibri" w:hAnsi="Calibri"/>
                <w:b w:val="0"/>
                <w:sz w:val="19"/>
              </w:rPr>
              <w:t>(312)</w:t>
            </w:r>
          </w:p>
        </w:tc>
        <w:tc>
          <w:tcPr>
            <w:tcW w:type="dxa" w:w="1296"/>
          </w:tcPr>
          <w:p>
            <w:pPr>
              <w:jc w:val="center"/>
            </w:pPr>
            <w:r/>
            <w:r>
              <w:rPr>
                <w:rFonts w:ascii="Calibri" w:hAnsi="Calibri"/>
                <w:b w:val="0"/>
                <w:sz w:val="19"/>
              </w:rPr>
              <w:t>(217)</w:t>
            </w:r>
          </w:p>
        </w:tc>
        <w:tc>
          <w:tcPr>
            <w:tcW w:type="dxa" w:w="1296"/>
          </w:tcPr>
          <w:p>
            <w:pPr>
              <w:jc w:val="center"/>
            </w:pPr>
            <w:r/>
            <w:r>
              <w:rPr>
                <w:rFonts w:ascii="Calibri" w:hAnsi="Calibri"/>
                <w:b w:val="0"/>
                <w:sz w:val="19"/>
              </w:rPr>
              <w:t>(239)</w:t>
            </w:r>
          </w:p>
        </w:tc>
      </w:tr>
      <w:tr>
        <w:tc>
          <w:tcPr>
            <w:tcW w:type="dxa" w:w="3312"/>
          </w:tcPr>
          <w:p>
            <w:r/>
            <w:r>
              <w:rPr>
                <w:rFonts w:ascii="Calibri" w:hAnsi="Calibri"/>
                <w:b w:val="0"/>
                <w:sz w:val="19"/>
              </w:rPr>
              <w:t>Attributable to parent</w:t>
            </w:r>
          </w:p>
        </w:tc>
        <w:tc>
          <w:tcPr>
            <w:tcW w:type="dxa" w:w="1296"/>
          </w:tcPr>
          <w:p>
            <w:pPr>
              <w:jc w:val="center"/>
            </w:pPr>
            <w:r/>
            <w:r>
              <w:rPr>
                <w:rFonts w:ascii="Calibri" w:hAnsi="Calibri"/>
                <w:b w:val="0"/>
                <w:sz w:val="19"/>
              </w:rPr>
              <w:t>~300</w:t>
            </w:r>
          </w:p>
        </w:tc>
        <w:tc>
          <w:tcPr>
            <w:tcW w:type="dxa" w:w="1296"/>
          </w:tcPr>
          <w:p>
            <w:pPr>
              <w:jc w:val="center"/>
            </w:pPr>
            <w:r/>
            <w:r>
              <w:rPr>
                <w:rFonts w:ascii="Calibri" w:hAnsi="Calibri"/>
                <w:b w:val="0"/>
                <w:sz w:val="19"/>
              </w:rPr>
              <w:t>~1,270</w:t>
            </w:r>
          </w:p>
        </w:tc>
        <w:tc>
          <w:tcPr>
            <w:tcW w:type="dxa" w:w="1296"/>
          </w:tcPr>
          <w:p>
            <w:pPr>
              <w:jc w:val="center"/>
            </w:pPr>
            <w:r/>
            <w:r>
              <w:rPr>
                <w:rFonts w:ascii="Calibri" w:hAnsi="Calibri"/>
                <w:b w:val="0"/>
                <w:sz w:val="19"/>
              </w:rPr>
              <w:t>~362</w:t>
            </w:r>
          </w:p>
        </w:tc>
        <w:tc>
          <w:tcPr>
            <w:tcW w:type="dxa" w:w="1296"/>
          </w:tcPr>
          <w:p>
            <w:pPr>
              <w:jc w:val="center"/>
            </w:pPr>
            <w:r/>
            <w:r>
              <w:rPr>
                <w:rFonts w:ascii="Calibri" w:hAnsi="Calibri"/>
                <w:b w:val="0"/>
                <w:sz w:val="19"/>
              </w:rPr>
              <w:t>506</w:t>
            </w:r>
          </w:p>
        </w:tc>
        <w:tc>
          <w:tcPr>
            <w:tcW w:type="dxa" w:w="1296"/>
          </w:tcPr>
          <w:p>
            <w:pPr>
              <w:jc w:val="center"/>
            </w:pPr>
            <w:r/>
            <w:r>
              <w:rPr>
                <w:rFonts w:ascii="Calibri" w:hAnsi="Calibri"/>
                <w:b w:val="0"/>
                <w:sz w:val="19"/>
              </w:rPr>
              <w:t>558</w:t>
            </w:r>
          </w:p>
        </w:tc>
      </w:tr>
    </w:tbl>
    <w:p>
      <w:r>
        <w:rPr>
          <w:rFonts w:ascii="Calibri" w:hAnsi="Calibri"/>
          <w:b w:val="0"/>
          <w:i/>
          <w:sz w:val="17"/>
        </w:rPr>
        <w:t>FY23–FY25 are disclosed/derived; the exceptional-item swing (a large FY24 gain, partly reversing in FY25) makes year-to-year comparison noisy — shown for scale as much as trend.</w:t>
      </w:r>
    </w:p>
    <w:p/>
    <w:p>
      <w:r>
        <w:rPr>
          <w:rFonts w:ascii="Calibri" w:hAnsi="Calibri"/>
          <w:b/>
          <w:color w:val="1B5E5E"/>
          <w:sz w:val="24"/>
        </w:rPr>
        <w:t>A.2  Balance sheet (consolidated, EGP mn)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shd w:val="clear" w:fill="1B5E5E"/>
          </w:tcPr>
          <w:p>
            <w:pPr>
              <w:jc w:val="center"/>
            </w:pPr>
            <w:r/>
            <w:r>
              <w:rPr>
                <w:rFonts w:ascii="Calibri" w:hAnsi="Calibri"/>
                <w:b/>
                <w:color w:val="FFFFFF"/>
                <w:sz w:val="19"/>
              </w:rPr>
              <w:t>Line</w:t>
            </w:r>
          </w:p>
        </w:tc>
        <w:tc>
          <w:tcPr>
            <w:tcW w:type="dxa" w:w="1584"/>
            <w:shd w:val="clear" w:fill="1B5E5E"/>
          </w:tcPr>
          <w:p>
            <w:pPr>
              <w:jc w:val="center"/>
            </w:pPr>
            <w:r/>
            <w:r>
              <w:rPr>
                <w:rFonts w:ascii="Calibri" w:hAnsi="Calibri"/>
                <w:b/>
                <w:color w:val="FFFFFF"/>
                <w:sz w:val="19"/>
              </w:rPr>
              <w:t>FY23</w:t>
            </w:r>
          </w:p>
        </w:tc>
        <w:tc>
          <w:tcPr>
            <w:tcW w:type="dxa" w:w="1584"/>
            <w:shd w:val="clear" w:fill="1B5E5E"/>
          </w:tcPr>
          <w:p>
            <w:pPr>
              <w:jc w:val="center"/>
            </w:pPr>
            <w:r/>
            <w:r>
              <w:rPr>
                <w:rFonts w:ascii="Calibri" w:hAnsi="Calibri"/>
                <w:b/>
                <w:color w:val="FFFFFF"/>
                <w:sz w:val="19"/>
              </w:rPr>
              <w:t>FY24</w:t>
            </w:r>
          </w:p>
        </w:tc>
        <w:tc>
          <w:tcPr>
            <w:tcW w:type="dxa" w:w="1584"/>
            <w:shd w:val="clear" w:fill="1B5E5E"/>
          </w:tcPr>
          <w:p>
            <w:pPr>
              <w:jc w:val="center"/>
            </w:pPr>
            <w:r/>
            <w:r>
              <w:rPr>
                <w:rFonts w:ascii="Calibri" w:hAnsi="Calibri"/>
                <w:b/>
                <w:color w:val="FFFFFF"/>
                <w:sz w:val="19"/>
              </w:rPr>
              <w:t>FY25</w:t>
            </w:r>
          </w:p>
        </w:tc>
      </w:tr>
      <w:tr>
        <w:tc>
          <w:tcPr>
            <w:tcW w:type="dxa" w:w="3744"/>
          </w:tcPr>
          <w:p>
            <w:r/>
            <w:r>
              <w:rPr>
                <w:rFonts w:ascii="Calibri" w:hAnsi="Calibri"/>
                <w:b w:val="0"/>
                <w:sz w:val="19"/>
              </w:rPr>
              <w:t>Cash &amp; equivalents</w:t>
            </w:r>
          </w:p>
        </w:tc>
        <w:tc>
          <w:tcPr>
            <w:tcW w:type="dxa" w:w="1584"/>
          </w:tcPr>
          <w:p>
            <w:pPr>
              <w:jc w:val="center"/>
            </w:pPr>
            <w:r/>
            <w:r>
              <w:rPr>
                <w:rFonts w:ascii="Calibri" w:hAnsi="Calibri"/>
                <w:b w:val="0"/>
                <w:sz w:val="19"/>
              </w:rPr>
              <w:t>4,200</w:t>
            </w:r>
          </w:p>
        </w:tc>
        <w:tc>
          <w:tcPr>
            <w:tcW w:type="dxa" w:w="1584"/>
          </w:tcPr>
          <w:p>
            <w:pPr>
              <w:jc w:val="center"/>
            </w:pPr>
            <w:r/>
            <w:r>
              <w:rPr>
                <w:rFonts w:ascii="Calibri" w:hAnsi="Calibri"/>
                <w:b w:val="0"/>
                <w:sz w:val="19"/>
              </w:rPr>
              <w:t>5,000</w:t>
            </w:r>
          </w:p>
        </w:tc>
        <w:tc>
          <w:tcPr>
            <w:tcW w:type="dxa" w:w="1584"/>
          </w:tcPr>
          <w:p>
            <w:pPr>
              <w:jc w:val="center"/>
            </w:pPr>
            <w:r/>
            <w:r>
              <w:rPr>
                <w:rFonts w:ascii="Calibri" w:hAnsi="Calibri"/>
                <w:b w:val="0"/>
                <w:sz w:val="19"/>
              </w:rPr>
              <w:t>5,600</w:t>
            </w:r>
          </w:p>
        </w:tc>
      </w:tr>
      <w:tr>
        <w:tc>
          <w:tcPr>
            <w:tcW w:type="dxa" w:w="3744"/>
          </w:tcPr>
          <w:p>
            <w:r/>
            <w:r>
              <w:rPr>
                <w:rFonts w:ascii="Calibri" w:hAnsi="Calibri"/>
                <w:b w:val="0"/>
                <w:sz w:val="19"/>
              </w:rPr>
              <w:t>Trade &amp; installment receivables</w:t>
            </w:r>
          </w:p>
        </w:tc>
        <w:tc>
          <w:tcPr>
            <w:tcW w:type="dxa" w:w="1584"/>
          </w:tcPr>
          <w:p>
            <w:pPr>
              <w:jc w:val="center"/>
            </w:pPr>
            <w:r/>
            <w:r>
              <w:rPr>
                <w:rFonts w:ascii="Calibri" w:hAnsi="Calibri"/>
                <w:b w:val="0"/>
                <w:sz w:val="19"/>
              </w:rPr>
              <w:t>8,000</w:t>
            </w:r>
          </w:p>
        </w:tc>
        <w:tc>
          <w:tcPr>
            <w:tcW w:type="dxa" w:w="1584"/>
          </w:tcPr>
          <w:p>
            <w:pPr>
              <w:jc w:val="center"/>
            </w:pPr>
            <w:r/>
            <w:r>
              <w:rPr>
                <w:rFonts w:ascii="Calibri" w:hAnsi="Calibri"/>
                <w:b w:val="0"/>
                <w:sz w:val="19"/>
              </w:rPr>
              <w:t>9,500</w:t>
            </w:r>
          </w:p>
        </w:tc>
        <w:tc>
          <w:tcPr>
            <w:tcW w:type="dxa" w:w="1584"/>
          </w:tcPr>
          <w:p>
            <w:pPr>
              <w:jc w:val="center"/>
            </w:pPr>
            <w:r/>
            <w:r>
              <w:rPr>
                <w:rFonts w:ascii="Calibri" w:hAnsi="Calibri"/>
                <w:b w:val="0"/>
                <w:sz w:val="19"/>
              </w:rPr>
              <w:t>11,000</w:t>
            </w:r>
          </w:p>
        </w:tc>
      </w:tr>
      <w:tr>
        <w:tc>
          <w:tcPr>
            <w:tcW w:type="dxa" w:w="3744"/>
          </w:tcPr>
          <w:p>
            <w:r/>
            <w:r>
              <w:rPr>
                <w:rFonts w:ascii="Calibri" w:hAnsi="Calibri"/>
                <w:b w:val="0"/>
                <w:sz w:val="19"/>
              </w:rPr>
              <w:t>Development inventory / WIP &amp; land</w:t>
            </w:r>
          </w:p>
        </w:tc>
        <w:tc>
          <w:tcPr>
            <w:tcW w:type="dxa" w:w="1584"/>
          </w:tcPr>
          <w:p>
            <w:pPr>
              <w:jc w:val="center"/>
            </w:pPr>
            <w:r/>
            <w:r>
              <w:rPr>
                <w:rFonts w:ascii="Calibri" w:hAnsi="Calibri"/>
                <w:b w:val="0"/>
                <w:sz w:val="19"/>
              </w:rPr>
              <w:t>26,000</w:t>
            </w:r>
          </w:p>
        </w:tc>
        <w:tc>
          <w:tcPr>
            <w:tcW w:type="dxa" w:w="1584"/>
          </w:tcPr>
          <w:p>
            <w:pPr>
              <w:jc w:val="center"/>
            </w:pPr>
            <w:r/>
            <w:r>
              <w:rPr>
                <w:rFonts w:ascii="Calibri" w:hAnsi="Calibri"/>
                <w:b w:val="0"/>
                <w:sz w:val="19"/>
              </w:rPr>
              <w:t>30,000</w:t>
            </w:r>
          </w:p>
        </w:tc>
        <w:tc>
          <w:tcPr>
            <w:tcW w:type="dxa" w:w="1584"/>
          </w:tcPr>
          <w:p>
            <w:pPr>
              <w:jc w:val="center"/>
            </w:pPr>
            <w:r/>
            <w:r>
              <w:rPr>
                <w:rFonts w:ascii="Calibri" w:hAnsi="Calibri"/>
                <w:b w:val="0"/>
                <w:sz w:val="19"/>
              </w:rPr>
              <w:t>33,000</w:t>
            </w:r>
          </w:p>
        </w:tc>
      </w:tr>
      <w:tr>
        <w:tc>
          <w:tcPr>
            <w:tcW w:type="dxa" w:w="3744"/>
          </w:tcPr>
          <w:p>
            <w:r/>
            <w:r>
              <w:rPr>
                <w:rFonts w:ascii="Calibri" w:hAnsi="Calibri"/>
                <w:b w:val="0"/>
                <w:sz w:val="19"/>
              </w:rPr>
              <w:t>Investment property &amp; PP&amp;E</w:t>
            </w:r>
          </w:p>
        </w:tc>
        <w:tc>
          <w:tcPr>
            <w:tcW w:type="dxa" w:w="1584"/>
          </w:tcPr>
          <w:p>
            <w:pPr>
              <w:jc w:val="center"/>
            </w:pPr>
            <w:r/>
            <w:r>
              <w:rPr>
                <w:rFonts w:ascii="Calibri" w:hAnsi="Calibri"/>
                <w:b w:val="0"/>
                <w:sz w:val="19"/>
              </w:rPr>
              <w:t>4,500</w:t>
            </w:r>
          </w:p>
        </w:tc>
        <w:tc>
          <w:tcPr>
            <w:tcW w:type="dxa" w:w="1584"/>
          </w:tcPr>
          <w:p>
            <w:pPr>
              <w:jc w:val="center"/>
            </w:pPr>
            <w:r/>
            <w:r>
              <w:rPr>
                <w:rFonts w:ascii="Calibri" w:hAnsi="Calibri"/>
                <w:b w:val="0"/>
                <w:sz w:val="19"/>
              </w:rPr>
              <w:t>5,000</w:t>
            </w:r>
          </w:p>
        </w:tc>
        <w:tc>
          <w:tcPr>
            <w:tcW w:type="dxa" w:w="1584"/>
          </w:tcPr>
          <w:p>
            <w:pPr>
              <w:jc w:val="center"/>
            </w:pPr>
            <w:r/>
            <w:r>
              <w:rPr>
                <w:rFonts w:ascii="Calibri" w:hAnsi="Calibri"/>
                <w:b w:val="0"/>
                <w:sz w:val="19"/>
              </w:rPr>
              <w:t>5,300</w:t>
            </w:r>
          </w:p>
        </w:tc>
      </w:tr>
      <w:tr>
        <w:tc>
          <w:tcPr>
            <w:tcW w:type="dxa" w:w="3744"/>
          </w:tcPr>
          <w:p>
            <w:r/>
            <w:r>
              <w:rPr>
                <w:rFonts w:ascii="Calibri" w:hAnsi="Calibri"/>
                <w:b w:val="0"/>
                <w:sz w:val="19"/>
              </w:rPr>
              <w:t>Total assets</w:t>
            </w:r>
          </w:p>
        </w:tc>
        <w:tc>
          <w:tcPr>
            <w:tcW w:type="dxa" w:w="1584"/>
          </w:tcPr>
          <w:p>
            <w:pPr>
              <w:jc w:val="center"/>
            </w:pPr>
            <w:r/>
            <w:r>
              <w:rPr>
                <w:rFonts w:ascii="Calibri" w:hAnsi="Calibri"/>
                <w:b w:val="0"/>
                <w:sz w:val="19"/>
              </w:rPr>
              <w:t>~47,000</w:t>
            </w:r>
          </w:p>
        </w:tc>
        <w:tc>
          <w:tcPr>
            <w:tcW w:type="dxa" w:w="1584"/>
          </w:tcPr>
          <w:p>
            <w:pPr>
              <w:jc w:val="center"/>
            </w:pPr>
            <w:r/>
            <w:r>
              <w:rPr>
                <w:rFonts w:ascii="Calibri" w:hAnsi="Calibri"/>
                <w:b w:val="0"/>
                <w:sz w:val="19"/>
              </w:rPr>
              <w:t>~54,000</w:t>
            </w:r>
          </w:p>
        </w:tc>
        <w:tc>
          <w:tcPr>
            <w:tcW w:type="dxa" w:w="1584"/>
          </w:tcPr>
          <w:p>
            <w:pPr>
              <w:jc w:val="center"/>
            </w:pPr>
            <w:r/>
            <w:r>
              <w:rPr>
                <w:rFonts w:ascii="Calibri" w:hAnsi="Calibri"/>
                <w:b w:val="0"/>
                <w:sz w:val="19"/>
              </w:rPr>
              <w:t>~59,500</w:t>
            </w:r>
          </w:p>
        </w:tc>
      </w:tr>
      <w:tr>
        <w:tc>
          <w:tcPr>
            <w:tcW w:type="dxa" w:w="3744"/>
          </w:tcPr>
          <w:p>
            <w:r/>
            <w:r>
              <w:rPr>
                <w:rFonts w:ascii="Calibri" w:hAnsi="Calibri"/>
                <w:b w:val="0"/>
                <w:sz w:val="19"/>
              </w:rPr>
              <w:t>Borrowings (financial debt)</w:t>
            </w:r>
          </w:p>
        </w:tc>
        <w:tc>
          <w:tcPr>
            <w:tcW w:type="dxa" w:w="1584"/>
          </w:tcPr>
          <w:p>
            <w:pPr>
              <w:jc w:val="center"/>
            </w:pPr>
            <w:r/>
            <w:r>
              <w:rPr>
                <w:rFonts w:ascii="Calibri" w:hAnsi="Calibri"/>
                <w:b w:val="0"/>
                <w:sz w:val="19"/>
              </w:rPr>
              <w:t>9,000</w:t>
            </w:r>
          </w:p>
        </w:tc>
        <w:tc>
          <w:tcPr>
            <w:tcW w:type="dxa" w:w="1584"/>
          </w:tcPr>
          <w:p>
            <w:pPr>
              <w:jc w:val="center"/>
            </w:pPr>
            <w:r/>
            <w:r>
              <w:rPr>
                <w:rFonts w:ascii="Calibri" w:hAnsi="Calibri"/>
                <w:b w:val="0"/>
                <w:sz w:val="19"/>
              </w:rPr>
              <w:t>10,000</w:t>
            </w:r>
          </w:p>
        </w:tc>
        <w:tc>
          <w:tcPr>
            <w:tcW w:type="dxa" w:w="1584"/>
          </w:tcPr>
          <w:p>
            <w:pPr>
              <w:jc w:val="center"/>
            </w:pPr>
            <w:r/>
            <w:r>
              <w:rPr>
                <w:rFonts w:ascii="Calibri" w:hAnsi="Calibri"/>
                <w:b w:val="0"/>
                <w:sz w:val="19"/>
              </w:rPr>
              <w:t>10,600</w:t>
            </w:r>
          </w:p>
        </w:tc>
      </w:tr>
      <w:tr>
        <w:tc>
          <w:tcPr>
            <w:tcW w:type="dxa" w:w="3744"/>
          </w:tcPr>
          <w:p>
            <w:r/>
            <w:r>
              <w:rPr>
                <w:rFonts w:ascii="Calibri" w:hAnsi="Calibri"/>
                <w:b w:val="0"/>
                <w:sz w:val="19"/>
              </w:rPr>
              <w:t>Customer advances / deferred revenue</w:t>
            </w:r>
          </w:p>
        </w:tc>
        <w:tc>
          <w:tcPr>
            <w:tcW w:type="dxa" w:w="1584"/>
          </w:tcPr>
          <w:p>
            <w:pPr>
              <w:jc w:val="center"/>
            </w:pPr>
            <w:r/>
            <w:r>
              <w:rPr>
                <w:rFonts w:ascii="Calibri" w:hAnsi="Calibri"/>
                <w:b w:val="0"/>
                <w:sz w:val="19"/>
              </w:rPr>
              <w:t>16,000</w:t>
            </w:r>
          </w:p>
        </w:tc>
        <w:tc>
          <w:tcPr>
            <w:tcW w:type="dxa" w:w="1584"/>
          </w:tcPr>
          <w:p>
            <w:pPr>
              <w:jc w:val="center"/>
            </w:pPr>
            <w:r/>
            <w:r>
              <w:rPr>
                <w:rFonts w:ascii="Calibri" w:hAnsi="Calibri"/>
                <w:b w:val="0"/>
                <w:sz w:val="19"/>
              </w:rPr>
              <w:t>19,000</w:t>
            </w:r>
          </w:p>
        </w:tc>
        <w:tc>
          <w:tcPr>
            <w:tcW w:type="dxa" w:w="1584"/>
          </w:tcPr>
          <w:p>
            <w:pPr>
              <w:jc w:val="center"/>
            </w:pPr>
            <w:r/>
            <w:r>
              <w:rPr>
                <w:rFonts w:ascii="Calibri" w:hAnsi="Calibri"/>
                <w:b w:val="0"/>
                <w:sz w:val="19"/>
              </w:rPr>
              <w:t>21,000</w:t>
            </w:r>
          </w:p>
        </w:tc>
      </w:tr>
      <w:tr>
        <w:tc>
          <w:tcPr>
            <w:tcW w:type="dxa" w:w="3744"/>
          </w:tcPr>
          <w:p>
            <w:r/>
            <w:r>
              <w:rPr>
                <w:rFonts w:ascii="Calibri" w:hAnsi="Calibri"/>
                <w:b w:val="0"/>
                <w:sz w:val="19"/>
              </w:rPr>
              <w:t>Minority interest</w:t>
            </w:r>
          </w:p>
        </w:tc>
        <w:tc>
          <w:tcPr>
            <w:tcW w:type="dxa" w:w="1584"/>
          </w:tcPr>
          <w:p>
            <w:pPr>
              <w:jc w:val="center"/>
            </w:pPr>
            <w:r/>
            <w:r>
              <w:rPr>
                <w:rFonts w:ascii="Calibri" w:hAnsi="Calibri"/>
                <w:b w:val="0"/>
                <w:sz w:val="19"/>
              </w:rPr>
              <w:t>6,000</w:t>
            </w:r>
          </w:p>
        </w:tc>
        <w:tc>
          <w:tcPr>
            <w:tcW w:type="dxa" w:w="1584"/>
          </w:tcPr>
          <w:p>
            <w:pPr>
              <w:jc w:val="center"/>
            </w:pPr>
            <w:r/>
            <w:r>
              <w:rPr>
                <w:rFonts w:ascii="Calibri" w:hAnsi="Calibri"/>
                <w:b w:val="0"/>
                <w:sz w:val="19"/>
              </w:rPr>
              <w:t>6,800</w:t>
            </w:r>
          </w:p>
        </w:tc>
        <w:tc>
          <w:tcPr>
            <w:tcW w:type="dxa" w:w="1584"/>
          </w:tcPr>
          <w:p>
            <w:pPr>
              <w:jc w:val="center"/>
            </w:pPr>
            <w:r/>
            <w:r>
              <w:rPr>
                <w:rFonts w:ascii="Calibri" w:hAnsi="Calibri"/>
                <w:b w:val="0"/>
                <w:sz w:val="19"/>
              </w:rPr>
              <w:t>7,000</w:t>
            </w:r>
          </w:p>
        </w:tc>
      </w:tr>
      <w:tr>
        <w:tc>
          <w:tcPr>
            <w:tcW w:type="dxa" w:w="3744"/>
          </w:tcPr>
          <w:p>
            <w:r/>
            <w:r>
              <w:rPr>
                <w:rFonts w:ascii="Calibri" w:hAnsi="Calibri"/>
                <w:b w:val="0"/>
                <w:sz w:val="19"/>
              </w:rPr>
              <w:t>Equity attributable to parent</w:t>
            </w:r>
          </w:p>
        </w:tc>
        <w:tc>
          <w:tcPr>
            <w:tcW w:type="dxa" w:w="1584"/>
          </w:tcPr>
          <w:p>
            <w:pPr>
              <w:jc w:val="center"/>
            </w:pPr>
            <w:r/>
            <w:r>
              <w:rPr>
                <w:rFonts w:ascii="Calibri" w:hAnsi="Calibri"/>
                <w:b w:val="0"/>
                <w:sz w:val="19"/>
              </w:rPr>
              <w:t>~12,000</w:t>
            </w:r>
          </w:p>
        </w:tc>
        <w:tc>
          <w:tcPr>
            <w:tcW w:type="dxa" w:w="1584"/>
          </w:tcPr>
          <w:p>
            <w:pPr>
              <w:jc w:val="center"/>
            </w:pPr>
            <w:r/>
            <w:r>
              <w:rPr>
                <w:rFonts w:ascii="Calibri" w:hAnsi="Calibri"/>
                <w:b w:val="0"/>
                <w:sz w:val="19"/>
              </w:rPr>
              <w:t>~13,500</w:t>
            </w:r>
          </w:p>
        </w:tc>
        <w:tc>
          <w:tcPr>
            <w:tcW w:type="dxa" w:w="1584"/>
          </w:tcPr>
          <w:p>
            <w:pPr>
              <w:jc w:val="center"/>
            </w:pPr>
            <w:r/>
            <w:r>
              <w:rPr>
                <w:rFonts w:ascii="Calibri" w:hAnsi="Calibri"/>
                <w:b w:val="0"/>
                <w:sz w:val="19"/>
              </w:rPr>
              <w:t>~14,600</w:t>
            </w:r>
          </w:p>
        </w:tc>
      </w:tr>
    </w:tbl>
    <w:p>
      <w:r>
        <w:rPr>
          <w:rFonts w:ascii="Calibri" w:hAnsi="Calibri"/>
          <w:b w:val="0"/>
          <w:i/>
          <w:sz w:val="17"/>
        </w:rPr>
        <w:t>Total assets ~EGP 54 bn and attributable equity ~EGP 13.5 bn are H1-2024 disclosure anchors; intervening splits are estimated to balance to disclosed totals.</w:t>
      </w:r>
    </w:p>
    <w:p/>
    <w:p>
      <w:r>
        <w:rPr>
          <w:rFonts w:ascii="Calibri" w:hAnsi="Calibri"/>
          <w:b/>
          <w:color w:val="1B5E5E"/>
          <w:sz w:val="24"/>
        </w:rPr>
        <w:t>A.3  Cash flow &amp; operating markers (EGP mn / units)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shd w:val="clear" w:fill="1B5E5E"/>
          </w:tcPr>
          <w:p>
            <w:pPr>
              <w:jc w:val="center"/>
            </w:pPr>
            <w:r/>
            <w:r>
              <w:rPr>
                <w:rFonts w:ascii="Calibri" w:hAnsi="Calibri"/>
                <w:b/>
                <w:color w:val="FFFFFF"/>
                <w:sz w:val="19"/>
              </w:rPr>
              <w:t>Marker</w:t>
            </w:r>
          </w:p>
        </w:tc>
        <w:tc>
          <w:tcPr>
            <w:tcW w:type="dxa" w:w="1584"/>
            <w:shd w:val="clear" w:fill="1B5E5E"/>
          </w:tcPr>
          <w:p>
            <w:pPr>
              <w:jc w:val="center"/>
            </w:pPr>
            <w:r/>
            <w:r>
              <w:rPr>
                <w:rFonts w:ascii="Calibri" w:hAnsi="Calibri"/>
                <w:b/>
                <w:color w:val="FFFFFF"/>
                <w:sz w:val="19"/>
              </w:rPr>
              <w:t>FY23</w:t>
            </w:r>
          </w:p>
        </w:tc>
        <w:tc>
          <w:tcPr>
            <w:tcW w:type="dxa" w:w="1584"/>
            <w:shd w:val="clear" w:fill="1B5E5E"/>
          </w:tcPr>
          <w:p>
            <w:pPr>
              <w:jc w:val="center"/>
            </w:pPr>
            <w:r/>
            <w:r>
              <w:rPr>
                <w:rFonts w:ascii="Calibri" w:hAnsi="Calibri"/>
                <w:b/>
                <w:color w:val="FFFFFF"/>
                <w:sz w:val="19"/>
              </w:rPr>
              <w:t>FY24</w:t>
            </w:r>
          </w:p>
        </w:tc>
        <w:tc>
          <w:tcPr>
            <w:tcW w:type="dxa" w:w="1584"/>
            <w:shd w:val="clear" w:fill="1B5E5E"/>
          </w:tcPr>
          <w:p>
            <w:pPr>
              <w:jc w:val="center"/>
            </w:pPr>
            <w:r/>
            <w:r>
              <w:rPr>
                <w:rFonts w:ascii="Calibri" w:hAnsi="Calibri"/>
                <w:b/>
                <w:color w:val="FFFFFF"/>
                <w:sz w:val="19"/>
              </w:rPr>
              <w:t>FY25</w:t>
            </w:r>
          </w:p>
        </w:tc>
      </w:tr>
      <w:tr>
        <w:tc>
          <w:tcPr>
            <w:tcW w:type="dxa" w:w="3744"/>
          </w:tcPr>
          <w:p>
            <w:r/>
            <w:r>
              <w:rPr>
                <w:rFonts w:ascii="Calibri" w:hAnsi="Calibri"/>
                <w:b w:val="0"/>
                <w:sz w:val="19"/>
              </w:rPr>
              <w:t>Contracted (presales) sales</w:t>
            </w:r>
          </w:p>
        </w:tc>
        <w:tc>
          <w:tcPr>
            <w:tcW w:type="dxa" w:w="1584"/>
          </w:tcPr>
          <w:p>
            <w:pPr>
              <w:jc w:val="center"/>
            </w:pPr>
            <w:r/>
            <w:r>
              <w:rPr>
                <w:rFonts w:ascii="Calibri" w:hAnsi="Calibri"/>
                <w:b w:val="0"/>
                <w:sz w:val="19"/>
              </w:rPr>
              <w:t>~18,000</w:t>
            </w:r>
          </w:p>
        </w:tc>
        <w:tc>
          <w:tcPr>
            <w:tcW w:type="dxa" w:w="1584"/>
          </w:tcPr>
          <w:p>
            <w:pPr>
              <w:jc w:val="center"/>
            </w:pPr>
            <w:r/>
            <w:r>
              <w:rPr>
                <w:rFonts w:ascii="Calibri" w:hAnsi="Calibri"/>
                <w:b w:val="0"/>
                <w:sz w:val="19"/>
              </w:rPr>
              <w:t>~30,000</w:t>
            </w:r>
          </w:p>
        </w:tc>
        <w:tc>
          <w:tcPr>
            <w:tcW w:type="dxa" w:w="1584"/>
          </w:tcPr>
          <w:p>
            <w:pPr>
              <w:jc w:val="center"/>
            </w:pPr>
            <w:r/>
            <w:r>
              <w:rPr>
                <w:rFonts w:ascii="Calibri" w:hAnsi="Calibri"/>
                <w:b w:val="0"/>
                <w:sz w:val="19"/>
              </w:rPr>
              <w:t>~27,000</w:t>
            </w:r>
          </w:p>
        </w:tc>
      </w:tr>
      <w:tr>
        <w:tc>
          <w:tcPr>
            <w:tcW w:type="dxa" w:w="3744"/>
          </w:tcPr>
          <w:p>
            <w:r/>
            <w:r>
              <w:rPr>
                <w:rFonts w:ascii="Calibri" w:hAnsi="Calibri"/>
                <w:b w:val="0"/>
                <w:sz w:val="19"/>
              </w:rPr>
              <w:t>Contracting backlog</w:t>
            </w:r>
          </w:p>
        </w:tc>
        <w:tc>
          <w:tcPr>
            <w:tcW w:type="dxa" w:w="1584"/>
          </w:tcPr>
          <w:p>
            <w:pPr>
              <w:jc w:val="center"/>
            </w:pPr>
            <w:r/>
            <w:r>
              <w:rPr>
                <w:rFonts w:ascii="Calibri" w:hAnsi="Calibri"/>
                <w:b w:val="0"/>
                <w:sz w:val="19"/>
              </w:rPr>
              <w:t>~6,000</w:t>
            </w:r>
          </w:p>
        </w:tc>
        <w:tc>
          <w:tcPr>
            <w:tcW w:type="dxa" w:w="1584"/>
          </w:tcPr>
          <w:p>
            <w:pPr>
              <w:jc w:val="center"/>
            </w:pPr>
            <w:r/>
            <w:r>
              <w:rPr>
                <w:rFonts w:ascii="Calibri" w:hAnsi="Calibri"/>
                <w:b w:val="0"/>
                <w:sz w:val="19"/>
              </w:rPr>
              <w:t>~7,000</w:t>
            </w:r>
          </w:p>
        </w:tc>
        <w:tc>
          <w:tcPr>
            <w:tcW w:type="dxa" w:w="1584"/>
          </w:tcPr>
          <w:p>
            <w:pPr>
              <w:jc w:val="center"/>
            </w:pPr>
            <w:r/>
            <w:r>
              <w:rPr>
                <w:rFonts w:ascii="Calibri" w:hAnsi="Calibri"/>
                <w:b w:val="0"/>
                <w:sz w:val="19"/>
              </w:rPr>
              <w:t>~7,500</w:t>
            </w:r>
          </w:p>
        </w:tc>
      </w:tr>
      <w:tr>
        <w:tc>
          <w:tcPr>
            <w:tcW w:type="dxa" w:w="3744"/>
          </w:tcPr>
          <w:p>
            <w:r/>
            <w:r>
              <w:rPr>
                <w:rFonts w:ascii="Calibri" w:hAnsi="Calibri"/>
                <w:b w:val="0"/>
                <w:sz w:val="19"/>
              </w:rPr>
              <w:t>Gross margin</w:t>
            </w:r>
          </w:p>
        </w:tc>
        <w:tc>
          <w:tcPr>
            <w:tcW w:type="dxa" w:w="1584"/>
          </w:tcPr>
          <w:p>
            <w:pPr>
              <w:jc w:val="center"/>
            </w:pPr>
            <w:r/>
            <w:r>
              <w:rPr>
                <w:rFonts w:ascii="Calibri" w:hAnsi="Calibri"/>
                <w:b w:val="0"/>
                <w:sz w:val="19"/>
              </w:rPr>
              <w:t>~30%</w:t>
            </w:r>
          </w:p>
        </w:tc>
        <w:tc>
          <w:tcPr>
            <w:tcW w:type="dxa" w:w="1584"/>
          </w:tcPr>
          <w:p>
            <w:pPr>
              <w:jc w:val="center"/>
            </w:pPr>
            <w:r/>
            <w:r>
              <w:rPr>
                <w:rFonts w:ascii="Calibri" w:hAnsi="Calibri"/>
                <w:b w:val="0"/>
                <w:sz w:val="19"/>
              </w:rPr>
              <w:t>~30%</w:t>
            </w:r>
          </w:p>
        </w:tc>
        <w:tc>
          <w:tcPr>
            <w:tcW w:type="dxa" w:w="1584"/>
          </w:tcPr>
          <w:p>
            <w:pPr>
              <w:jc w:val="center"/>
            </w:pPr>
            <w:r/>
            <w:r>
              <w:rPr>
                <w:rFonts w:ascii="Calibri" w:hAnsi="Calibri"/>
                <w:b w:val="0"/>
                <w:sz w:val="19"/>
              </w:rPr>
              <w:t>~29%</w:t>
            </w:r>
          </w:p>
        </w:tc>
      </w:tr>
      <w:tr>
        <w:tc>
          <w:tcPr>
            <w:tcW w:type="dxa" w:w="3744"/>
          </w:tcPr>
          <w:p>
            <w:r/>
            <w:r>
              <w:rPr>
                <w:rFonts w:ascii="Calibri" w:hAnsi="Calibri"/>
                <w:b w:val="0"/>
                <w:sz w:val="19"/>
              </w:rPr>
              <w:t>Operating cash (indirect, est.)</w:t>
            </w:r>
          </w:p>
        </w:tc>
        <w:tc>
          <w:tcPr>
            <w:tcW w:type="dxa" w:w="1584"/>
          </w:tcPr>
          <w:p>
            <w:pPr>
              <w:jc w:val="center"/>
            </w:pPr>
            <w:r/>
            <w:r>
              <w:rPr>
                <w:rFonts w:ascii="Calibri" w:hAnsi="Calibri"/>
                <w:b w:val="0"/>
                <w:sz w:val="19"/>
              </w:rPr>
              <w:t>~1,100</w:t>
            </w:r>
          </w:p>
        </w:tc>
        <w:tc>
          <w:tcPr>
            <w:tcW w:type="dxa" w:w="1584"/>
          </w:tcPr>
          <w:p>
            <w:pPr>
              <w:jc w:val="center"/>
            </w:pPr>
            <w:r/>
            <w:r>
              <w:rPr>
                <w:rFonts w:ascii="Calibri" w:hAnsi="Calibri"/>
                <w:b w:val="0"/>
                <w:sz w:val="19"/>
              </w:rPr>
              <w:t>~1,600</w:t>
            </w:r>
          </w:p>
        </w:tc>
        <w:tc>
          <w:tcPr>
            <w:tcW w:type="dxa" w:w="1584"/>
          </w:tcPr>
          <w:p>
            <w:pPr>
              <w:jc w:val="center"/>
            </w:pPr>
            <w:r/>
            <w:r>
              <w:rPr>
                <w:rFonts w:ascii="Calibri" w:hAnsi="Calibri"/>
                <w:b w:val="0"/>
                <w:sz w:val="19"/>
              </w:rPr>
              <w:t>~1,300</w:t>
            </w:r>
          </w:p>
        </w:tc>
      </w:tr>
      <w:tr>
        <w:tc>
          <w:tcPr>
            <w:tcW w:type="dxa" w:w="3744"/>
          </w:tcPr>
          <w:p>
            <w:r/>
            <w:r>
              <w:rPr>
                <w:rFonts w:ascii="Calibri" w:hAnsi="Calibri"/>
                <w:b w:val="0"/>
                <w:sz w:val="19"/>
              </w:rPr>
              <w:t>Dividend</w:t>
            </w:r>
          </w:p>
        </w:tc>
        <w:tc>
          <w:tcPr>
            <w:tcW w:type="dxa" w:w="1584"/>
          </w:tcPr>
          <w:p>
            <w:pPr>
              <w:jc w:val="center"/>
            </w:pPr>
            <w:r/>
            <w:r>
              <w:rPr>
                <w:rFonts w:ascii="Calibri" w:hAnsi="Calibri"/>
                <w:b w:val="0"/>
                <w:sz w:val="19"/>
              </w:rPr>
              <w:t>0</w:t>
            </w:r>
          </w:p>
        </w:tc>
        <w:tc>
          <w:tcPr>
            <w:tcW w:type="dxa" w:w="1584"/>
          </w:tcPr>
          <w:p>
            <w:pPr>
              <w:jc w:val="center"/>
            </w:pPr>
            <w:r/>
            <w:r>
              <w:rPr>
                <w:rFonts w:ascii="Calibri" w:hAnsi="Calibri"/>
                <w:b w:val="0"/>
                <w:sz w:val="19"/>
              </w:rPr>
              <w:t>0</w:t>
            </w:r>
          </w:p>
        </w:tc>
        <w:tc>
          <w:tcPr>
            <w:tcW w:type="dxa" w:w="1584"/>
          </w:tcPr>
          <w:p>
            <w:pPr>
              <w:jc w:val="center"/>
            </w:pPr>
            <w:r/>
            <w:r>
              <w:rPr>
                <w:rFonts w:ascii="Calibri" w:hAnsi="Calibri"/>
                <w:b w:val="0"/>
                <w:sz w:val="19"/>
              </w:rPr>
              <w:t>0</w:t>
            </w:r>
          </w:p>
        </w:tc>
      </w:tr>
    </w:tbl>
    <w:p>
      <w:r>
        <w:rPr>
          <w:rFonts w:ascii="Calibri" w:hAnsi="Calibri"/>
          <w:b w:val="0"/>
          <w:i/>
          <w:sz w:val="17"/>
        </w:rPr>
        <w:t>Source: company quarterly and full-year results FY2023–FY2025; figures rounded, several approximate.</w:t>
      </w:r>
    </w:p>
    <w:p/>
    <w:p>
      <w:r>
        <w:rPr>
          <w:rFonts w:ascii="Calibri" w:hAnsi="Calibri"/>
          <w:b/>
          <w:color w:val="1B5E5E"/>
          <w:sz w:val="30"/>
        </w:rPr>
        <w:t>Appendix B  Step 0 — calibration backtest</w:t>
      </w:r>
    </w:p>
    <w:p>
      <w:r>
        <w:rPr>
          <w:rFonts w:ascii="Calibri" w:hAnsi="Calibri"/>
          <w:b w:val="0"/>
          <w:i w:val="0"/>
          <w:sz w:val="21"/>
        </w:rPr>
        <w:t>Before any forecast we test the Monte Carlo lens on PRDC's own ~five years of history: at each origin, using only data to that date, we generate a three-month-ahead distribution with the YZ-HAR engine (unit-variance t(5), EGX-developer secular drift floored at zero) and score it against a naïve benchmark — a zero-drift random-walk lognormal cone at spot and trailing realized vol — by CRPS skill (1 − CRPS/CRPS_benchmark; must be &gt; 0). A PIT histogram and interval-coverage table are produced as diagnostics only.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3312"/>
            <w:shd w:val="clear" w:fill="1B5E5E"/>
          </w:tcPr>
          <w:p>
            <w:pPr>
              <w:jc w:val="center"/>
            </w:pPr>
            <w:r/>
            <w:r>
              <w:rPr>
                <w:rFonts w:ascii="Calibri" w:hAnsi="Calibri"/>
                <w:b/>
                <w:color w:val="FFFFFF"/>
                <w:sz w:val="19"/>
              </w:rPr>
              <w:t>Window scheme</w:t>
            </w:r>
          </w:p>
        </w:tc>
        <w:tc>
          <w:tcPr>
            <w:tcW w:type="dxa" w:w="720"/>
            <w:shd w:val="clear" w:fill="1B5E5E"/>
          </w:tcPr>
          <w:p>
            <w:pPr>
              <w:jc w:val="center"/>
            </w:pPr>
            <w:r/>
            <w:r>
              <w:rPr>
                <w:rFonts w:ascii="Calibri" w:hAnsi="Calibri"/>
                <w:b/>
                <w:color w:val="FFFFFF"/>
                <w:sz w:val="19"/>
              </w:rPr>
              <w:t>n</w:t>
            </w:r>
          </w:p>
        </w:tc>
        <w:tc>
          <w:tcPr>
            <w:tcW w:type="dxa" w:w="1440"/>
            <w:shd w:val="clear" w:fill="1B5E5E"/>
          </w:tcPr>
          <w:p>
            <w:pPr>
              <w:jc w:val="center"/>
            </w:pPr>
            <w:r/>
            <w:r>
              <w:rPr>
                <w:rFonts w:ascii="Calibri" w:hAnsi="Calibri"/>
                <w:b/>
                <w:color w:val="FFFFFF"/>
                <w:sz w:val="19"/>
              </w:rPr>
              <w:t>CRPS skill</w:t>
            </w:r>
          </w:p>
        </w:tc>
        <w:tc>
          <w:tcPr>
            <w:tcW w:type="dxa" w:w="1008"/>
            <w:shd w:val="clear" w:fill="1B5E5E"/>
          </w:tcPr>
          <w:p>
            <w:pPr>
              <w:jc w:val="center"/>
            </w:pPr>
            <w:r/>
            <w:r>
              <w:rPr>
                <w:rFonts w:ascii="Calibri" w:hAnsi="Calibri"/>
                <w:b/>
                <w:color w:val="FFFFFF"/>
                <w:sz w:val="19"/>
              </w:rPr>
              <w:t>50%</w:t>
            </w:r>
          </w:p>
        </w:tc>
        <w:tc>
          <w:tcPr>
            <w:tcW w:type="dxa" w:w="1008"/>
            <w:shd w:val="clear" w:fill="1B5E5E"/>
          </w:tcPr>
          <w:p>
            <w:pPr>
              <w:jc w:val="center"/>
            </w:pPr>
            <w:r/>
            <w:r>
              <w:rPr>
                <w:rFonts w:ascii="Calibri" w:hAnsi="Calibri"/>
                <w:b/>
                <w:color w:val="FFFFFF"/>
                <w:sz w:val="19"/>
              </w:rPr>
              <w:t>80%</w:t>
            </w:r>
          </w:p>
        </w:tc>
        <w:tc>
          <w:tcPr>
            <w:tcW w:type="dxa" w:w="1008"/>
            <w:shd w:val="clear" w:fill="1B5E5E"/>
          </w:tcPr>
          <w:p>
            <w:pPr>
              <w:jc w:val="center"/>
            </w:pPr>
            <w:r/>
            <w:r>
              <w:rPr>
                <w:rFonts w:ascii="Calibri" w:hAnsi="Calibri"/>
                <w:b/>
                <w:color w:val="FFFFFF"/>
                <w:sz w:val="19"/>
              </w:rPr>
              <w:t>90%</w:t>
            </w:r>
          </w:p>
        </w:tc>
        <w:tc>
          <w:tcPr>
            <w:tcW w:type="dxa" w:w="1296"/>
            <w:shd w:val="clear" w:fill="1B5E5E"/>
          </w:tcPr>
          <w:p>
            <w:pPr>
              <w:jc w:val="center"/>
            </w:pPr>
            <w:r/>
            <w:r>
              <w:rPr>
                <w:rFonts w:ascii="Calibri" w:hAnsi="Calibri"/>
                <w:b/>
                <w:color w:val="FFFFFF"/>
                <w:sz w:val="19"/>
              </w:rPr>
              <w:t>PIT mean</w:t>
            </w:r>
          </w:p>
        </w:tc>
      </w:tr>
      <w:tr>
        <w:tc>
          <w:tcPr>
            <w:tcW w:type="dxa" w:w="3312"/>
          </w:tcPr>
          <w:p>
            <w:r/>
            <w:r>
              <w:rPr>
                <w:rFonts w:ascii="Calibri" w:hAnsi="Calibri"/>
                <w:b w:val="0"/>
                <w:sz w:val="19"/>
              </w:rPr>
              <w:t>Non-overlapping (step 63d)</w:t>
            </w:r>
          </w:p>
        </w:tc>
        <w:tc>
          <w:tcPr>
            <w:tcW w:type="dxa" w:w="720"/>
          </w:tcPr>
          <w:p>
            <w:pPr>
              <w:jc w:val="center"/>
            </w:pPr>
            <w:r/>
            <w:r>
              <w:rPr>
                <w:rFonts w:ascii="Calibri" w:hAnsi="Calibri"/>
                <w:b w:val="0"/>
                <w:sz w:val="19"/>
              </w:rPr>
              <w:t>14</w:t>
            </w:r>
          </w:p>
        </w:tc>
        <w:tc>
          <w:tcPr>
            <w:tcW w:type="dxa" w:w="1440"/>
          </w:tcPr>
          <w:p>
            <w:pPr>
              <w:jc w:val="center"/>
            </w:pPr>
            <w:r/>
            <w:r>
              <w:rPr>
                <w:rFonts w:ascii="Calibri" w:hAnsi="Calibri"/>
                <w:b w:val="0"/>
                <w:sz w:val="19"/>
              </w:rPr>
              <w:t>-0.016</w:t>
            </w:r>
          </w:p>
        </w:tc>
        <w:tc>
          <w:tcPr>
            <w:tcW w:type="dxa" w:w="1008"/>
          </w:tcPr>
          <w:p>
            <w:pPr>
              <w:jc w:val="center"/>
            </w:pPr>
            <w:r/>
            <w:r>
              <w:rPr>
                <w:rFonts w:ascii="Calibri" w:hAnsi="Calibri"/>
                <w:b w:val="0"/>
                <w:sz w:val="19"/>
              </w:rPr>
              <w:t>57%</w:t>
            </w:r>
          </w:p>
        </w:tc>
        <w:tc>
          <w:tcPr>
            <w:tcW w:type="dxa" w:w="1008"/>
          </w:tcPr>
          <w:p>
            <w:pPr>
              <w:jc w:val="center"/>
            </w:pPr>
            <w:r/>
            <w:r>
              <w:rPr>
                <w:rFonts w:ascii="Calibri" w:hAnsi="Calibri"/>
                <w:b w:val="0"/>
                <w:sz w:val="19"/>
              </w:rPr>
              <w:t>64%</w:t>
            </w:r>
          </w:p>
        </w:tc>
        <w:tc>
          <w:tcPr>
            <w:tcW w:type="dxa" w:w="1008"/>
          </w:tcPr>
          <w:p>
            <w:pPr>
              <w:jc w:val="center"/>
            </w:pPr>
            <w:r/>
            <w:r>
              <w:rPr>
                <w:rFonts w:ascii="Calibri" w:hAnsi="Calibri"/>
                <w:b w:val="0"/>
                <w:sz w:val="19"/>
              </w:rPr>
              <w:t>71%</w:t>
            </w:r>
          </w:p>
        </w:tc>
        <w:tc>
          <w:tcPr>
            <w:tcW w:type="dxa" w:w="1296"/>
          </w:tcPr>
          <w:p>
            <w:pPr>
              <w:jc w:val="center"/>
            </w:pPr>
            <w:r/>
            <w:r>
              <w:rPr>
                <w:rFonts w:ascii="Calibri" w:hAnsi="Calibri"/>
                <w:b w:val="0"/>
                <w:sz w:val="19"/>
              </w:rPr>
              <w:t>0.65</w:t>
            </w:r>
          </w:p>
        </w:tc>
      </w:tr>
      <w:tr>
        <w:tc>
          <w:tcPr>
            <w:tcW w:type="dxa" w:w="3312"/>
          </w:tcPr>
          <w:p>
            <w:r/>
            <w:r>
              <w:rPr>
                <w:rFonts w:ascii="Calibri" w:hAnsi="Calibri"/>
                <w:b w:val="0"/>
                <w:sz w:val="19"/>
              </w:rPr>
              <w:t>Monthly origins (step 21d)</w:t>
            </w:r>
          </w:p>
        </w:tc>
        <w:tc>
          <w:tcPr>
            <w:tcW w:type="dxa" w:w="720"/>
          </w:tcPr>
          <w:p>
            <w:pPr>
              <w:jc w:val="center"/>
            </w:pPr>
            <w:r/>
            <w:r>
              <w:rPr>
                <w:rFonts w:ascii="Calibri" w:hAnsi="Calibri"/>
                <w:b w:val="0"/>
                <w:sz w:val="19"/>
              </w:rPr>
              <w:t>40</w:t>
            </w:r>
          </w:p>
        </w:tc>
        <w:tc>
          <w:tcPr>
            <w:tcW w:type="dxa" w:w="1440"/>
          </w:tcPr>
          <w:p>
            <w:pPr>
              <w:jc w:val="center"/>
            </w:pPr>
            <w:r/>
            <w:r>
              <w:rPr>
                <w:rFonts w:ascii="Calibri" w:hAnsi="Calibri"/>
                <w:b w:val="0"/>
                <w:sz w:val="19"/>
              </w:rPr>
              <w:t>+0.013</w:t>
            </w:r>
          </w:p>
        </w:tc>
        <w:tc>
          <w:tcPr>
            <w:tcW w:type="dxa" w:w="1008"/>
          </w:tcPr>
          <w:p>
            <w:pPr>
              <w:jc w:val="center"/>
            </w:pPr>
            <w:r/>
            <w:r>
              <w:rPr>
                <w:rFonts w:ascii="Calibri" w:hAnsi="Calibri"/>
                <w:b w:val="0"/>
                <w:sz w:val="19"/>
              </w:rPr>
              <w:t>60%</w:t>
            </w:r>
          </w:p>
        </w:tc>
        <w:tc>
          <w:tcPr>
            <w:tcW w:type="dxa" w:w="1008"/>
          </w:tcPr>
          <w:p>
            <w:pPr>
              <w:jc w:val="center"/>
            </w:pPr>
            <w:r/>
            <w:r>
              <w:rPr>
                <w:rFonts w:ascii="Calibri" w:hAnsi="Calibri"/>
                <w:b w:val="0"/>
                <w:sz w:val="19"/>
              </w:rPr>
              <w:t>82%</w:t>
            </w:r>
          </w:p>
        </w:tc>
        <w:tc>
          <w:tcPr>
            <w:tcW w:type="dxa" w:w="1008"/>
          </w:tcPr>
          <w:p>
            <w:pPr>
              <w:jc w:val="center"/>
            </w:pPr>
            <w:r/>
            <w:r>
              <w:rPr>
                <w:rFonts w:ascii="Calibri" w:hAnsi="Calibri"/>
                <w:b w:val="0"/>
                <w:sz w:val="19"/>
              </w:rPr>
              <w:t>88%</w:t>
            </w:r>
          </w:p>
        </w:tc>
        <w:tc>
          <w:tcPr>
            <w:tcW w:type="dxa" w:w="1296"/>
          </w:tcPr>
          <w:p>
            <w:pPr>
              <w:jc w:val="center"/>
            </w:pPr>
            <w:r/>
            <w:r>
              <w:rPr>
                <w:rFonts w:ascii="Calibri" w:hAnsi="Calibri"/>
                <w:b w:val="0"/>
                <w:sz w:val="19"/>
              </w:rPr>
              <w:t>0.63</w:t>
            </w:r>
          </w:p>
        </w:tc>
      </w:tr>
      <w:tr>
        <w:tc>
          <w:tcPr>
            <w:tcW w:type="dxa" w:w="3312"/>
          </w:tcPr>
          <w:p>
            <w:r/>
            <w:r>
              <w:rPr>
                <w:rFonts w:ascii="Calibri" w:hAnsi="Calibri"/>
                <w:b w:val="0"/>
                <w:sz w:val="19"/>
              </w:rPr>
              <w:t>Fortnightly (step 10d)</w:t>
            </w:r>
          </w:p>
        </w:tc>
        <w:tc>
          <w:tcPr>
            <w:tcW w:type="dxa" w:w="720"/>
          </w:tcPr>
          <w:p>
            <w:pPr>
              <w:jc w:val="center"/>
            </w:pPr>
            <w:r/>
            <w:r>
              <w:rPr>
                <w:rFonts w:ascii="Calibri" w:hAnsi="Calibri"/>
                <w:b w:val="0"/>
                <w:sz w:val="19"/>
              </w:rPr>
              <w:t>83</w:t>
            </w:r>
          </w:p>
        </w:tc>
        <w:tc>
          <w:tcPr>
            <w:tcW w:type="dxa" w:w="1440"/>
          </w:tcPr>
          <w:p>
            <w:pPr>
              <w:jc w:val="center"/>
            </w:pPr>
            <w:r/>
            <w:r>
              <w:rPr>
                <w:rFonts w:ascii="Calibri" w:hAnsi="Calibri"/>
                <w:b w:val="0"/>
                <w:sz w:val="19"/>
              </w:rPr>
              <w:t>+0.020</w:t>
            </w:r>
          </w:p>
        </w:tc>
        <w:tc>
          <w:tcPr>
            <w:tcW w:type="dxa" w:w="1008"/>
          </w:tcPr>
          <w:p>
            <w:pPr>
              <w:jc w:val="center"/>
            </w:pPr>
            <w:r/>
            <w:r>
              <w:rPr>
                <w:rFonts w:ascii="Calibri" w:hAnsi="Calibri"/>
                <w:b w:val="0"/>
                <w:sz w:val="19"/>
              </w:rPr>
              <w:t>61%</w:t>
            </w:r>
          </w:p>
        </w:tc>
        <w:tc>
          <w:tcPr>
            <w:tcW w:type="dxa" w:w="1008"/>
          </w:tcPr>
          <w:p>
            <w:pPr>
              <w:jc w:val="center"/>
            </w:pPr>
            <w:r/>
            <w:r>
              <w:rPr>
                <w:rFonts w:ascii="Calibri" w:hAnsi="Calibri"/>
                <w:b w:val="0"/>
                <w:sz w:val="19"/>
              </w:rPr>
              <w:t>81%</w:t>
            </w:r>
          </w:p>
        </w:tc>
        <w:tc>
          <w:tcPr>
            <w:tcW w:type="dxa" w:w="1008"/>
          </w:tcPr>
          <w:p>
            <w:pPr>
              <w:jc w:val="center"/>
            </w:pPr>
            <w:r/>
            <w:r>
              <w:rPr>
                <w:rFonts w:ascii="Calibri" w:hAnsi="Calibri"/>
                <w:b w:val="0"/>
                <w:sz w:val="19"/>
              </w:rPr>
              <w:t>90%</w:t>
            </w:r>
          </w:p>
        </w:tc>
        <w:tc>
          <w:tcPr>
            <w:tcW w:type="dxa" w:w="1296"/>
          </w:tcPr>
          <w:p>
            <w:pPr>
              <w:jc w:val="center"/>
            </w:pPr>
            <w:r/>
            <w:r>
              <w:rPr>
                <w:rFonts w:ascii="Calibri" w:hAnsi="Calibri"/>
                <w:b w:val="0"/>
                <w:sz w:val="19"/>
              </w:rPr>
              <w:t>0.60</w:t>
            </w:r>
          </w:p>
        </w:tc>
      </w:tr>
      <w:tr>
        <w:tc>
          <w:tcPr>
            <w:tcW w:type="dxa" w:w="3312"/>
          </w:tcPr>
          <w:p>
            <w:r/>
            <w:r>
              <w:rPr>
                <w:rFonts w:ascii="Calibri" w:hAnsi="Calibri"/>
                <w:b w:val="0"/>
                <w:sz w:val="19"/>
              </w:rPr>
              <w:t>Target</w:t>
            </w:r>
          </w:p>
        </w:tc>
        <w:tc>
          <w:tcPr>
            <w:tcW w:type="dxa" w:w="720"/>
          </w:tcPr>
          <w:p>
            <w:pPr>
              <w:jc w:val="center"/>
            </w:pPr>
            <w:r/>
            <w:r>
              <w:rPr>
                <w:rFonts w:ascii="Calibri" w:hAnsi="Calibri"/>
                <w:b w:val="0"/>
                <w:sz w:val="19"/>
              </w:rPr>
              <w:t>—</w:t>
            </w:r>
          </w:p>
        </w:tc>
        <w:tc>
          <w:tcPr>
            <w:tcW w:type="dxa" w:w="1440"/>
          </w:tcPr>
          <w:p>
            <w:pPr>
              <w:jc w:val="center"/>
            </w:pPr>
            <w:r/>
            <w:r>
              <w:rPr>
                <w:rFonts w:ascii="Calibri" w:hAnsi="Calibri"/>
                <w:b w:val="0"/>
                <w:sz w:val="19"/>
              </w:rPr>
              <w:t>&gt; 0</w:t>
            </w:r>
          </w:p>
        </w:tc>
        <w:tc>
          <w:tcPr>
            <w:tcW w:type="dxa" w:w="1008"/>
          </w:tcPr>
          <w:p>
            <w:pPr>
              <w:jc w:val="center"/>
            </w:pPr>
            <w:r/>
            <w:r>
              <w:rPr>
                <w:rFonts w:ascii="Calibri" w:hAnsi="Calibri"/>
                <w:b w:val="0"/>
                <w:sz w:val="19"/>
              </w:rPr>
              <w:t>50%</w:t>
            </w:r>
          </w:p>
        </w:tc>
        <w:tc>
          <w:tcPr>
            <w:tcW w:type="dxa" w:w="1008"/>
          </w:tcPr>
          <w:p>
            <w:pPr>
              <w:jc w:val="center"/>
            </w:pPr>
            <w:r/>
            <w:r>
              <w:rPr>
                <w:rFonts w:ascii="Calibri" w:hAnsi="Calibri"/>
                <w:b w:val="0"/>
                <w:sz w:val="19"/>
              </w:rPr>
              <w:t>80%</w:t>
            </w:r>
          </w:p>
        </w:tc>
        <w:tc>
          <w:tcPr>
            <w:tcW w:type="dxa" w:w="1008"/>
          </w:tcPr>
          <w:p>
            <w:pPr>
              <w:jc w:val="center"/>
            </w:pPr>
            <w:r/>
            <w:r>
              <w:rPr>
                <w:rFonts w:ascii="Calibri" w:hAnsi="Calibri"/>
                <w:b w:val="0"/>
                <w:sz w:val="19"/>
              </w:rPr>
              <w:t>90%</w:t>
            </w:r>
          </w:p>
        </w:tc>
        <w:tc>
          <w:tcPr>
            <w:tcW w:type="dxa" w:w="1296"/>
          </w:tcPr>
          <w:p>
            <w:pPr>
              <w:jc w:val="center"/>
            </w:pPr>
            <w:r/>
            <w:r>
              <w:rPr>
                <w:rFonts w:ascii="Calibri" w:hAnsi="Calibri"/>
                <w:b w:val="0"/>
                <w:sz w:val="19"/>
              </w:rPr>
              <w:t>0.50</w:t>
            </w:r>
          </w:p>
        </w:tc>
      </w:tr>
    </w:tbl>
    <w:p/>
    <w:p>
      <w:pPr>
        <w:jc w:val="center"/>
      </w:pPr>
      <w:r>
        <w:drawing>
          <wp:inline xmlns:a="http://schemas.openxmlformats.org/drawingml/2006/main" xmlns:pic="http://schemas.openxmlformats.org/drawingml/2006/picture">
            <wp:extent cx="5760720" cy="2427211"/>
            <wp:docPr id="8" name="Picture 8"/>
            <wp:cNvGraphicFramePr>
              <a:graphicFrameLocks noChangeAspect="1"/>
            </wp:cNvGraphicFramePr>
            <a:graphic>
              <a:graphicData uri="http://schemas.openxmlformats.org/drawingml/2006/picture">
                <pic:pic>
                  <pic:nvPicPr>
                    <pic:cNvPr id="0" name="figB_calibration.png"/>
                    <pic:cNvPicPr/>
                  </pic:nvPicPr>
                  <pic:blipFill>
                    <a:blip r:embed="rId16"/>
                    <a:stretch>
                      <a:fillRect/>
                    </a:stretch>
                  </pic:blipFill>
                  <pic:spPr>
                    <a:xfrm>
                      <a:off x="0" y="0"/>
                      <a:ext cx="5760720" cy="2427211"/>
                    </a:xfrm>
                    <a:prstGeom prst="rect"/>
                  </pic:spPr>
                </pic:pic>
              </a:graphicData>
            </a:graphic>
          </wp:inline>
        </w:drawing>
      </w:r>
    </w:p>
    <w:p>
      <w:r>
        <w:rPr>
          <w:rFonts w:ascii="Calibri" w:hAnsi="Calibri"/>
          <w:b w:val="0"/>
          <w:i/>
          <w:sz w:val="17"/>
        </w:rPr>
        <w:t>Figure B-1 — Calibration backtest: PIT histogram (monthly origins) and interval coverage versus target.</w:t>
      </w:r>
    </w:p>
    <w:p>
      <w:r>
        <w:rPr>
          <w:rFonts w:ascii="Calibri" w:hAnsi="Calibri"/>
          <w:b/>
          <w:i w:val="0"/>
          <w:sz w:val="21"/>
        </w:rPr>
        <w:t xml:space="preserve">The honest result is marginal. </w:t>
      </w:r>
      <w:r>
        <w:rPr>
          <w:rFonts w:ascii="Calibri" w:hAnsi="Calibri"/>
          <w:b w:val="0"/>
          <w:i w:val="0"/>
          <w:sz w:val="21"/>
        </w:rPr>
        <w:t>The engine earns a small positive CRPS skill on the overlapping monthly (+1.3%) and fortnightly (+2.0%) schemes but is fractionally negative on the cleanest, autocorrelation-free non-overlapping windows (−1.6%, n = 14), and the PIT is tilted high (~0.60–0.65) — realized prices landed systematically above the forecast median. The cause is specific and instructive: PRDC spent most of the sample rangebound below its 2021 listing level before a sharp 2026 breakout that no past-only price model could have anticipated, so any principled drift under-predicts the realized upside. Per the house protocol we flag this rather than force a pass: the lens is roughly at parity with the benchmark, not decisively ahead, so the §3 Monte Carlo is presented as an illustrative price map, and the recent surge should temper any near-term directional reading of it.</w:t>
      </w:r>
    </w:p>
    <w:p>
      <w:r>
        <w:rPr>
          <w:rFonts w:ascii="Calibri" w:hAnsi="Calibri"/>
          <w:b/>
          <w:color w:val="1B5E5E"/>
          <w:sz w:val="30"/>
        </w:rPr>
        <w:t>Appendix C  Peer set, sector structure, and risks</w:t>
      </w:r>
    </w:p>
    <w:p>
      <w:r>
        <w:rPr>
          <w:rFonts w:ascii="Calibri" w:hAnsi="Calibri"/>
          <w:b w:val="0"/>
          <w:i w:val="0"/>
          <w:sz w:val="21"/>
        </w:rPr>
        <w:t>PRDC's cleanest comparables are the listed EGX developers, though its large contracting arm and majority-owned listed subsidiary make it a hybrid.</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val="clear" w:fill="1B5E5E"/>
          </w:tcPr>
          <w:p>
            <w:pPr>
              <w:jc w:val="center"/>
            </w:pPr>
            <w:r/>
            <w:r>
              <w:rPr>
                <w:rFonts w:ascii="Calibri" w:hAnsi="Calibri"/>
                <w:b/>
                <w:color w:val="FFFFFF"/>
                <w:sz w:val="19"/>
              </w:rPr>
              <w:t>Peer</w:t>
            </w:r>
          </w:p>
        </w:tc>
        <w:tc>
          <w:tcPr>
            <w:tcW w:type="dxa" w:w="3312"/>
            <w:shd w:val="clear" w:fill="1B5E5E"/>
          </w:tcPr>
          <w:p>
            <w:pPr>
              <w:jc w:val="center"/>
            </w:pPr>
            <w:r/>
            <w:r>
              <w:rPr>
                <w:rFonts w:ascii="Calibri" w:hAnsi="Calibri"/>
                <w:b/>
                <w:color w:val="FFFFFF"/>
                <w:sz w:val="19"/>
              </w:rPr>
              <w:t>Closest basis</w:t>
            </w:r>
          </w:p>
        </w:tc>
        <w:tc>
          <w:tcPr>
            <w:tcW w:type="dxa" w:w="2880"/>
            <w:shd w:val="clear" w:fill="1B5E5E"/>
          </w:tcPr>
          <w:p>
            <w:pPr>
              <w:jc w:val="center"/>
            </w:pPr>
            <w:r/>
            <w:r>
              <w:rPr>
                <w:rFonts w:ascii="Calibri" w:hAnsi="Calibri"/>
                <w:b/>
                <w:color w:val="FFFFFF"/>
                <w:sz w:val="19"/>
              </w:rPr>
              <w:t>Typical valuation</w:t>
            </w:r>
          </w:p>
        </w:tc>
      </w:tr>
      <w:tr>
        <w:tc>
          <w:tcPr>
            <w:tcW w:type="dxa" w:w="3024"/>
          </w:tcPr>
          <w:p>
            <w:r/>
            <w:r>
              <w:rPr>
                <w:rFonts w:ascii="Calibri" w:hAnsi="Calibri"/>
                <w:b w:val="0"/>
                <w:sz w:val="19"/>
              </w:rPr>
              <w:t>TMG Holding (TMGH)</w:t>
            </w:r>
          </w:p>
        </w:tc>
        <w:tc>
          <w:tcPr>
            <w:tcW w:type="dxa" w:w="3312"/>
          </w:tcPr>
          <w:p>
            <w:pPr>
              <w:jc w:val="center"/>
            </w:pPr>
            <w:r/>
            <w:r>
              <w:rPr>
                <w:rFonts w:ascii="Calibri" w:hAnsi="Calibri"/>
                <w:b w:val="0"/>
                <w:sz w:val="19"/>
              </w:rPr>
              <w:t>Presales-driven P/NAV</w:t>
            </w:r>
          </w:p>
        </w:tc>
        <w:tc>
          <w:tcPr>
            <w:tcW w:type="dxa" w:w="2880"/>
          </w:tcPr>
          <w:p>
            <w:pPr>
              <w:jc w:val="center"/>
            </w:pPr>
            <w:r/>
            <w:r>
              <w:rPr>
                <w:rFonts w:ascii="Calibri" w:hAnsi="Calibri"/>
                <w:b w:val="0"/>
                <w:sz w:val="19"/>
              </w:rPr>
              <w:t>P/NAV; sector bellwether</w:t>
            </w:r>
          </w:p>
        </w:tc>
      </w:tr>
      <w:tr>
        <w:tc>
          <w:tcPr>
            <w:tcW w:type="dxa" w:w="3024"/>
          </w:tcPr>
          <w:p>
            <w:r/>
            <w:r>
              <w:rPr>
                <w:rFonts w:ascii="Calibri" w:hAnsi="Calibri"/>
                <w:b w:val="0"/>
                <w:sz w:val="19"/>
              </w:rPr>
              <w:t>Palm Hills (PHDC)</w:t>
            </w:r>
          </w:p>
        </w:tc>
        <w:tc>
          <w:tcPr>
            <w:tcW w:type="dxa" w:w="3312"/>
          </w:tcPr>
          <w:p>
            <w:pPr>
              <w:jc w:val="center"/>
            </w:pPr>
            <w:r/>
            <w:r>
              <w:rPr>
                <w:rFonts w:ascii="Calibri" w:hAnsi="Calibri"/>
                <w:b w:val="0"/>
                <w:sz w:val="19"/>
              </w:rPr>
              <w:t>RNAV / P/B</w:t>
            </w:r>
          </w:p>
        </w:tc>
        <w:tc>
          <w:tcPr>
            <w:tcW w:type="dxa" w:w="2880"/>
          </w:tcPr>
          <w:p>
            <w:pPr>
              <w:jc w:val="center"/>
            </w:pPr>
            <w:r/>
            <w:r>
              <w:rPr>
                <w:rFonts w:ascii="Calibri" w:hAnsi="Calibri"/>
                <w:b w:val="0"/>
                <w:sz w:val="19"/>
              </w:rPr>
              <w:t>Mid-cap developer</w:t>
            </w:r>
          </w:p>
        </w:tc>
      </w:tr>
      <w:tr>
        <w:tc>
          <w:tcPr>
            <w:tcW w:type="dxa" w:w="3024"/>
          </w:tcPr>
          <w:p>
            <w:r/>
            <w:r>
              <w:rPr>
                <w:rFonts w:ascii="Calibri" w:hAnsi="Calibri"/>
                <w:b w:val="0"/>
                <w:sz w:val="19"/>
              </w:rPr>
              <w:t>Emaar Misr (EMFD)</w:t>
            </w:r>
          </w:p>
        </w:tc>
        <w:tc>
          <w:tcPr>
            <w:tcW w:type="dxa" w:w="3312"/>
          </w:tcPr>
          <w:p>
            <w:pPr>
              <w:jc w:val="center"/>
            </w:pPr>
            <w:r/>
            <w:r>
              <w:rPr>
                <w:rFonts w:ascii="Calibri" w:hAnsi="Calibri"/>
                <w:b w:val="0"/>
                <w:sz w:val="19"/>
              </w:rPr>
              <w:t>RNAV + cap-rate mix</w:t>
            </w:r>
          </w:p>
        </w:tc>
        <w:tc>
          <w:tcPr>
            <w:tcW w:type="dxa" w:w="2880"/>
          </w:tcPr>
          <w:p>
            <w:pPr>
              <w:jc w:val="center"/>
            </w:pPr>
            <w:r/>
            <w:r>
              <w:rPr>
                <w:rFonts w:ascii="Calibri" w:hAnsi="Calibri"/>
                <w:b w:val="0"/>
                <w:sz w:val="19"/>
              </w:rPr>
              <w:t>Development + recurring</w:t>
            </w:r>
          </w:p>
        </w:tc>
      </w:tr>
      <w:tr>
        <w:tc>
          <w:tcPr>
            <w:tcW w:type="dxa" w:w="3024"/>
          </w:tcPr>
          <w:p>
            <w:r/>
            <w:r>
              <w:rPr>
                <w:rFonts w:ascii="Calibri" w:hAnsi="Calibri"/>
                <w:b w:val="0"/>
                <w:sz w:val="19"/>
              </w:rPr>
              <w:t>Heliopolis Housing (HELI)</w:t>
            </w:r>
          </w:p>
        </w:tc>
        <w:tc>
          <w:tcPr>
            <w:tcW w:type="dxa" w:w="3312"/>
          </w:tcPr>
          <w:p>
            <w:pPr>
              <w:jc w:val="center"/>
            </w:pPr>
            <w:r/>
            <w:r>
              <w:rPr>
                <w:rFonts w:ascii="Calibri" w:hAnsi="Calibri"/>
                <w:b w:val="0"/>
                <w:sz w:val="19"/>
              </w:rPr>
              <w:t>Land-monetisation NAV</w:t>
            </w:r>
          </w:p>
        </w:tc>
        <w:tc>
          <w:tcPr>
            <w:tcW w:type="dxa" w:w="2880"/>
          </w:tcPr>
          <w:p>
            <w:pPr>
              <w:jc w:val="center"/>
            </w:pPr>
            <w:r/>
            <w:r>
              <w:rPr>
                <w:rFonts w:ascii="Calibri" w:hAnsi="Calibri"/>
                <w:b w:val="0"/>
                <w:sz w:val="19"/>
              </w:rPr>
              <w:t>Land-rich, deep-value</w:t>
            </w:r>
          </w:p>
        </w:tc>
      </w:tr>
      <w:tr>
        <w:tc>
          <w:tcPr>
            <w:tcW w:type="dxa" w:w="3024"/>
          </w:tcPr>
          <w:p>
            <w:r/>
            <w:r>
              <w:rPr>
                <w:rFonts w:ascii="Calibri" w:hAnsi="Calibri"/>
                <w:b w:val="0"/>
                <w:sz w:val="19"/>
              </w:rPr>
              <w:t>SODIC (OCDI)</w:t>
            </w:r>
          </w:p>
        </w:tc>
        <w:tc>
          <w:tcPr>
            <w:tcW w:type="dxa" w:w="3312"/>
          </w:tcPr>
          <w:p>
            <w:pPr>
              <w:jc w:val="center"/>
            </w:pPr>
            <w:r/>
            <w:r>
              <w:rPr>
                <w:rFonts w:ascii="Calibri" w:hAnsi="Calibri"/>
                <w:b w:val="0"/>
                <w:sz w:val="19"/>
              </w:rPr>
              <w:t>RNAV</w:t>
            </w:r>
          </w:p>
        </w:tc>
        <w:tc>
          <w:tcPr>
            <w:tcW w:type="dxa" w:w="2880"/>
          </w:tcPr>
          <w:p>
            <w:pPr>
              <w:jc w:val="center"/>
            </w:pPr>
            <w:r/>
            <w:r>
              <w:rPr>
                <w:rFonts w:ascii="Calibri" w:hAnsi="Calibri"/>
                <w:b w:val="0"/>
                <w:sz w:val="19"/>
              </w:rPr>
              <w:t>New-Cairo / coast developer</w:t>
            </w:r>
          </w:p>
        </w:tc>
      </w:tr>
    </w:tbl>
    <w:p/>
    <w:p>
      <w:r>
        <w:rPr>
          <w:rFonts w:ascii="Calibri" w:hAnsi="Calibri"/>
          <w:b/>
          <w:i w:val="0"/>
          <w:sz w:val="21"/>
        </w:rPr>
        <w:t xml:space="preserve">Sector structure. </w:t>
      </w:r>
      <w:r>
        <w:rPr>
          <w:rFonts w:ascii="Calibri" w:hAnsi="Calibri"/>
          <w:b w:val="0"/>
          <w:i w:val="0"/>
          <w:sz w:val="21"/>
        </w:rPr>
        <w:t xml:space="preserve">Egypt's residential market is in an inflation-driven presales boom: negative real rates for much of the period have made property the household inflation hedge, off-plan penetration is high, and developers with land and a launch machine have compounded contracted sales. The swing macro variables are the CBE rate path, the pound, and mortgage/subsidy policy. </w:t>
      </w:r>
      <w:r>
        <w:rPr>
          <w:rFonts w:ascii="Calibri" w:hAnsi="Calibri"/>
          <w:b/>
          <w:i w:val="0"/>
          <w:sz w:val="21"/>
        </w:rPr>
        <w:t xml:space="preserve">Principal risks: </w:t>
      </w:r>
      <w:r>
        <w:rPr>
          <w:rFonts w:ascii="Calibri" w:hAnsi="Calibri"/>
          <w:b w:val="0"/>
          <w:i w:val="0"/>
          <w:sz w:val="21"/>
        </w:rPr>
        <w:t>a lower realizable land value; a wider holdco/minority discount; an EGP step devaluation; a stall in presales absorption if affordability breaks; thin free cash while the pipeline builds; and the data-quality/governance overhang implied by the vendor mis-classification and the no-dividend policy.</w:t>
      </w:r>
    </w:p>
    <w:p>
      <w:r>
        <w:rPr>
          <w:rFonts w:ascii="Calibri" w:hAnsi="Calibri"/>
          <w:b/>
          <w:color w:val="1B5E5E"/>
          <w:sz w:val="30"/>
        </w:rPr>
        <w:t>About this series</w:t>
      </w:r>
    </w:p>
    <w:p>
      <w:r>
        <w:rPr>
          <w:rFonts w:ascii="Calibri" w:hAnsi="Calibri"/>
          <w:b w:val="0"/>
          <w:i w:val="0"/>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r>
        <w:rPr>
          <w:rFonts w:ascii="Calibri" w:hAnsi="Calibri"/>
          <w:b/>
          <w:color w:val="1B5E5E"/>
          <w:sz w:val="30"/>
        </w:rPr>
        <w:t>Disclosure &amp; Disclaimer</w:t>
      </w:r>
    </w:p>
    <w:p>
      <w:r>
        <w:rPr>
          <w:b/>
          <w:i/>
          <w:sz w:val="18"/>
        </w:rPr>
        <w:t xml:space="preserve">Not investment advice. </w:t>
      </w:r>
      <w:r>
        <w:rPr>
          <w:i/>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r>
        <w:rPr>
          <w:b/>
          <w:i/>
          <w:sz w:val="18"/>
        </w:rPr>
        <w:t xml:space="preserve">No licence; no advisory relationship. </w:t>
      </w:r>
      <w:r>
        <w:rPr>
          <w:i/>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r>
        <w:rPr>
          <w:b/>
          <w:i/>
          <w:sz w:val="18"/>
        </w:rPr>
        <w:t xml:space="preserve">Holdings disclosure. </w:t>
      </w:r>
      <w:r>
        <w:rPr>
          <w:i/>
          <w:sz w:val="18"/>
        </w:rPr>
        <w:t>The preparer may hold, and may in the future take or dispose of, a position in the security discussed in this report, and may transact at any time without notice. This is a potential conflict of interest you should weigh.</w:t>
      </w:r>
    </w:p>
    <w:p>
      <w:r>
        <w:rPr>
          <w:b/>
          <w:i/>
          <w:sz w:val="18"/>
        </w:rPr>
        <w:t xml:space="preserve">Sources &amp; accuracy. </w:t>
      </w:r>
      <w:r>
        <w:rPr>
          <w:i/>
          <w:sz w:val="18"/>
        </w:rPr>
        <w:t>Reported financial and operating figures are drawn from the company's public disclosure and other public sources believed reliable but not independently verified; they may contain errors or be superseded. Forward-looking inputs — the SOTP/RNAV marks, the land value, the holdco/minority discount, projections, multiples, the DCF and Monte-Carlo factor probabilities — are the preparer's own judgments and are inherently uncertain.</w:t>
      </w:r>
    </w:p>
    <w:p>
      <w:r>
        <w:rPr>
          <w:b/>
          <w:i/>
          <w:sz w:val="18"/>
        </w:rPr>
        <w:t xml:space="preserve">Forward-looking statements. </w:t>
      </w:r>
      <w:r>
        <w:rPr>
          <w:i/>
          <w:sz w:val="18"/>
        </w:rPr>
        <w:t>Any statements about the future are estimates subject to risks and uncertainties; actual results may differ materially. The Monte Carlo models price, not value, encodes subjective probabilities for events that have not occurred, and for this name did not decisively beat its benchmark in backtest (Appendix B).</w:t>
      </w:r>
    </w:p>
    <w:p>
      <w:r>
        <w:rPr>
          <w:b/>
          <w:i/>
          <w:sz w:val="18"/>
        </w:rPr>
        <w:t xml:space="preserve">No reliance; your responsibility. </w:t>
      </w:r>
      <w:r>
        <w:rPr>
          <w:i/>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r>
        <w:rPr>
          <w:b/>
          <w:i/>
          <w:sz w:val="18"/>
        </w:rPr>
        <w:t xml:space="preserve">Currency &amp; figures. </w:t>
      </w:r>
      <w:r>
        <w:rPr>
          <w:i/>
          <w:sz w:val="18"/>
        </w:rPr>
        <w:t>Figures are in Egyptian pounds (EGP); mn denotes million and bn billion. Rounding may cause totals to differ slightly. Spot price and market data are as of 6 July 2026 and change continuously.</w:t>
      </w:r>
    </w:p>
    <w:p>
      <w:r>
        <w:rPr>
          <w:i/>
          <w:color w:val="1B5E5E"/>
          <w:sz w:val="17"/>
        </w:rPr>
        <w:t>TESTAHIL · Independent Valuation Study · Educational Analysis · Pioneers Properties for Urban Development (EGX: PRDC) · edition 06-07-2026 · reporting currency EGP</w:t>
      </w:r>
    </w:p>
    <w:p>
      <w:r>
        <w:br w:type="page"/>
      </w:r>
    </w:p>
    <w:p>
      <w:r>
        <w:rPr>
          <w:rFonts w:ascii="Calibri" w:hAnsi="Calibri"/>
          <w:b/>
          <w:color w:val="1B5E5E"/>
          <w:sz w:val="30"/>
        </w:rPr>
        <w:t>Appendix D  Three experts value Pioneers Properties</w:t>
      </w:r>
    </w:p>
    <w:p>
      <w:r>
        <w:rPr>
          <w:rFonts w:ascii="Calibri" w:hAnsi="Calibri"/>
          <w:b w:val="0"/>
          <w:i w:val="0"/>
          <w:sz w:val="21"/>
        </w:rPr>
        <w:t>A single model is one mind. To pressure-test the read we convene three analysts who genuinely disagree — not on the arithmetic but on which arithmetic matters. Each is given the same disclosure and the same spot price of EGP 8.28 and asked, independently, what a share is worth and why. They are labelled Expert 1, 2 and 3; their methods, not their names, are what matter. Where they converge, confidence rises; where they diverge, the divergence itself locates the real question.</w:t>
      </w:r>
    </w:p>
    <w:p>
      <w:r>
        <w:rPr>
          <w:rFonts w:ascii="Calibri" w:hAnsi="Calibri"/>
          <w:b/>
          <w:color w:val="1B5E5E"/>
          <w:sz w:val="24"/>
        </w:rPr>
        <w:t>Expert 1 — the balance-sheet realist (RNAV &amp; cash-conversion)</w:t>
      </w:r>
    </w:p>
    <w:p>
      <w:r>
        <w:rPr>
          <w:rFonts w:ascii="Calibri" w:hAnsi="Calibri"/>
          <w:b/>
          <w:i w:val="0"/>
          <w:sz w:val="21"/>
        </w:rPr>
        <w:t xml:space="preserve">Worldview. </w:t>
      </w:r>
      <w:r>
        <w:rPr>
          <w:rFonts w:ascii="Calibri" w:hAnsi="Calibri"/>
          <w:b w:val="0"/>
          <w:i w:val="0"/>
          <w:sz w:val="21"/>
        </w:rPr>
        <w:t>The balance sheet is the truth and everything else is a story. A company is worth what its assets would fetch, marked conservatively, net of every claim that ranks ahead of the ordinary shareholder — debt, minorities, and the friction of actually turning bricks and land into distributable cash. For a developer that last point is decisive: booked profit is an accounting event; free cash is a fact, and the two diverge whenever collections lag, launches stall, or working capital swells. So this expert starts from the sum-of-the-parts, then haircuts the development mark for realizability and applies a cash-conversion overlay — what fraction of reported development profit has historically become free cash.</w:t>
      </w:r>
    </w:p>
    <w:p>
      <w:r>
        <w:rPr>
          <w:rFonts w:ascii="Calibri" w:hAnsi="Calibri"/>
          <w:b/>
          <w:i w:val="0"/>
          <w:sz w:val="21"/>
        </w:rPr>
        <w:t xml:space="preserve">When it works, and when it fails. </w:t>
      </w:r>
      <w:r>
        <w:rPr>
          <w:rFonts w:ascii="Calibri" w:hAnsi="Calibri"/>
          <w:b w:val="0"/>
          <w:i w:val="0"/>
          <w:sz w:val="21"/>
        </w:rPr>
        <w:t>This lens is at its best on asset-heavy names trading below book, where the market has mispriced the discount and a patient re-mark is the whole thesis — precisely PRDC's situation for years. It fails in the other direction: it is static, it under-credits the franchise value of a developer that keeps selling out launches, and in a genuine boom it will look too cautious because it refuses to extrapolate cyclical earnings power into perpetuity.</w:t>
      </w:r>
    </w:p>
    <w:p>
      <w:r>
        <w:rPr>
          <w:rFonts w:ascii="Calibri" w:hAnsi="Calibri"/>
          <w:b/>
          <w:i w:val="0"/>
          <w:sz w:val="21"/>
        </w:rPr>
        <w:t xml:space="preserve">Workings. </w:t>
      </w:r>
      <w:r>
        <w:rPr>
          <w:rFonts w:ascii="Calibri" w:hAnsi="Calibri"/>
          <w:b w:val="0"/>
          <w:i w:val="0"/>
          <w:sz w:val="21"/>
        </w:rPr>
        <w:t>Take the SOTP asset value, haircut the development leg for execution and collection risk, keep the other legs, then run the standard bridge (less net debt, less minority, less a modest residual discount) and cross-check that the implied free cash supports the mark.</w:t>
      </w:r>
    </w:p>
    <w:tbl>
      <w:tblPr>
        <w:tblStyle w:val="TableGrid"/>
        <w:tblW w:type="auto" w:w="0"/>
        <w:jc w:val="center"/>
        <w:tblLook w:firstColumn="1" w:firstRow="1" w:lastColumn="0" w:lastRow="0" w:noHBand="0" w:noVBand="1" w:val="04A0"/>
      </w:tblPr>
      <w:tblGrid>
        <w:gridCol w:w="4968"/>
        <w:gridCol w:w="4968"/>
      </w:tblGrid>
      <w:tr>
        <w:tc>
          <w:tcPr>
            <w:tcW w:type="dxa" w:w="5472"/>
            <w:shd w:val="clear" w:fill="1B5E5E"/>
          </w:tcPr>
          <w:p>
            <w:pPr>
              <w:jc w:val="center"/>
            </w:pPr>
            <w:r/>
            <w:r>
              <w:rPr>
                <w:rFonts w:ascii="Calibri" w:hAnsi="Calibri"/>
                <w:b/>
                <w:color w:val="FFFFFF"/>
                <w:sz w:val="19"/>
              </w:rPr>
              <w:t>Expert 1 workings (EGP mn)</w:t>
            </w:r>
          </w:p>
        </w:tc>
        <w:tc>
          <w:tcPr>
            <w:tcW w:type="dxa" w:w="2016"/>
            <w:shd w:val="clear" w:fill="1B5E5E"/>
          </w:tcPr>
          <w:p>
            <w:pPr>
              <w:jc w:val="center"/>
            </w:pPr>
            <w:r/>
            <w:r>
              <w:rPr>
                <w:rFonts w:ascii="Calibri" w:hAnsi="Calibri"/>
                <w:b/>
                <w:color w:val="FFFFFF"/>
                <w:sz w:val="19"/>
              </w:rPr>
              <w:t>Value</w:t>
            </w:r>
          </w:p>
        </w:tc>
      </w:tr>
      <w:tr>
        <w:tc>
          <w:tcPr>
            <w:tcW w:type="dxa" w:w="5472"/>
          </w:tcPr>
          <w:p>
            <w:r/>
            <w:r>
              <w:rPr>
                <w:rFonts w:ascii="Calibri" w:hAnsi="Calibri"/>
                <w:b w:val="0"/>
                <w:sz w:val="19"/>
              </w:rPr>
              <w:t>Development leg — reported RNAV mark</w:t>
            </w:r>
          </w:p>
        </w:tc>
        <w:tc>
          <w:tcPr>
            <w:tcW w:type="dxa" w:w="2016"/>
          </w:tcPr>
          <w:p>
            <w:pPr>
              <w:jc w:val="center"/>
            </w:pPr>
            <w:r/>
            <w:r>
              <w:rPr>
                <w:rFonts w:ascii="Calibri" w:hAnsi="Calibri"/>
                <w:b w:val="0"/>
                <w:sz w:val="19"/>
              </w:rPr>
              <w:t>15,000</w:t>
            </w:r>
          </w:p>
        </w:tc>
      </w:tr>
      <w:tr>
        <w:tc>
          <w:tcPr>
            <w:tcW w:type="dxa" w:w="5472"/>
          </w:tcPr>
          <w:p>
            <w:r/>
            <w:r>
              <w:rPr>
                <w:rFonts w:ascii="Calibri" w:hAnsi="Calibri"/>
                <w:b w:val="0"/>
                <w:sz w:val="19"/>
              </w:rPr>
              <w:t xml:space="preserve">  less realizability haircut (−15%)</w:t>
            </w:r>
          </w:p>
        </w:tc>
        <w:tc>
          <w:tcPr>
            <w:tcW w:type="dxa" w:w="2016"/>
          </w:tcPr>
          <w:p>
            <w:pPr>
              <w:jc w:val="center"/>
            </w:pPr>
            <w:r/>
            <w:r>
              <w:rPr>
                <w:rFonts w:ascii="Calibri" w:hAnsi="Calibri"/>
                <w:b w:val="0"/>
                <w:sz w:val="19"/>
              </w:rPr>
              <w:t>(2,250)</w:t>
            </w:r>
          </w:p>
        </w:tc>
      </w:tr>
      <w:tr>
        <w:tc>
          <w:tcPr>
            <w:tcW w:type="dxa" w:w="5472"/>
          </w:tcPr>
          <w:p>
            <w:r/>
            <w:r>
              <w:rPr>
                <w:rFonts w:ascii="Calibri" w:hAnsi="Calibri"/>
                <w:b w:val="0"/>
                <w:sz w:val="19"/>
              </w:rPr>
              <w:t>Development leg — realizable</w:t>
            </w:r>
          </w:p>
        </w:tc>
        <w:tc>
          <w:tcPr>
            <w:tcW w:type="dxa" w:w="2016"/>
          </w:tcPr>
          <w:p>
            <w:pPr>
              <w:jc w:val="center"/>
            </w:pPr>
            <w:r/>
            <w:r>
              <w:rPr>
                <w:rFonts w:ascii="Calibri" w:hAnsi="Calibri"/>
                <w:b w:val="0"/>
                <w:sz w:val="19"/>
              </w:rPr>
              <w:t>12,750</w:t>
            </w:r>
          </w:p>
        </w:tc>
      </w:tr>
      <w:tr>
        <w:tc>
          <w:tcPr>
            <w:tcW w:type="dxa" w:w="5472"/>
          </w:tcPr>
          <w:p>
            <w:r/>
            <w:r>
              <w:rPr>
                <w:rFonts w:ascii="Calibri" w:hAnsi="Calibri"/>
                <w:b w:val="0"/>
                <w:sz w:val="19"/>
              </w:rPr>
              <w:t>+ contracting + rental + retail</w:t>
            </w:r>
          </w:p>
        </w:tc>
        <w:tc>
          <w:tcPr>
            <w:tcW w:type="dxa" w:w="2016"/>
          </w:tcPr>
          <w:p>
            <w:pPr>
              <w:jc w:val="center"/>
            </w:pPr>
            <w:r/>
            <w:r>
              <w:rPr>
                <w:rFonts w:ascii="Calibri" w:hAnsi="Calibri"/>
                <w:b w:val="0"/>
                <w:sz w:val="19"/>
              </w:rPr>
              <w:t>3,300</w:t>
            </w:r>
          </w:p>
        </w:tc>
      </w:tr>
      <w:tr>
        <w:tc>
          <w:tcPr>
            <w:tcW w:type="dxa" w:w="5472"/>
          </w:tcPr>
          <w:p>
            <w:r/>
            <w:r>
              <w:rPr>
                <w:rFonts w:ascii="Calibri" w:hAnsi="Calibri"/>
                <w:b w:val="0"/>
                <w:sz w:val="19"/>
              </w:rPr>
              <w:t>Σ realizable asset value</w:t>
            </w:r>
          </w:p>
        </w:tc>
        <w:tc>
          <w:tcPr>
            <w:tcW w:type="dxa" w:w="2016"/>
          </w:tcPr>
          <w:p>
            <w:pPr>
              <w:jc w:val="center"/>
            </w:pPr>
            <w:r/>
            <w:r>
              <w:rPr>
                <w:rFonts w:ascii="Calibri" w:hAnsi="Calibri"/>
                <w:b w:val="0"/>
                <w:sz w:val="19"/>
              </w:rPr>
              <w:t>16,050</w:t>
            </w:r>
          </w:p>
        </w:tc>
      </w:tr>
      <w:tr>
        <w:tc>
          <w:tcPr>
            <w:tcW w:type="dxa" w:w="5472"/>
          </w:tcPr>
          <w:p>
            <w:r/>
            <w:r>
              <w:rPr>
                <w:rFonts w:ascii="Calibri" w:hAnsi="Calibri"/>
                <w:b w:val="0"/>
                <w:sz w:val="19"/>
              </w:rPr>
              <w:t>less net debt + minority</w:t>
            </w:r>
          </w:p>
        </w:tc>
        <w:tc>
          <w:tcPr>
            <w:tcW w:type="dxa" w:w="2016"/>
          </w:tcPr>
          <w:p>
            <w:pPr>
              <w:jc w:val="center"/>
            </w:pPr>
            <w:r/>
            <w:r>
              <w:rPr>
                <w:rFonts w:ascii="Calibri" w:hAnsi="Calibri"/>
                <w:b w:val="0"/>
                <w:sz w:val="19"/>
              </w:rPr>
              <w:t>(8,000)</w:t>
            </w:r>
          </w:p>
        </w:tc>
      </w:tr>
      <w:tr>
        <w:tc>
          <w:tcPr>
            <w:tcW w:type="dxa" w:w="5472"/>
          </w:tcPr>
          <w:p>
            <w:r/>
            <w:r>
              <w:rPr>
                <w:rFonts w:ascii="Calibri" w:hAnsi="Calibri"/>
                <w:b w:val="0"/>
                <w:sz w:val="19"/>
              </w:rPr>
              <w:t>less residual discount (~7%)</w:t>
            </w:r>
          </w:p>
        </w:tc>
        <w:tc>
          <w:tcPr>
            <w:tcW w:type="dxa" w:w="2016"/>
          </w:tcPr>
          <w:p>
            <w:pPr>
              <w:jc w:val="center"/>
            </w:pPr>
            <w:r/>
            <w:r>
              <w:rPr>
                <w:rFonts w:ascii="Calibri" w:hAnsi="Calibri"/>
                <w:b w:val="0"/>
                <w:sz w:val="19"/>
              </w:rPr>
              <w:t>(560)</w:t>
            </w:r>
          </w:p>
        </w:tc>
      </w:tr>
      <w:tr>
        <w:tc>
          <w:tcPr>
            <w:tcW w:type="dxa" w:w="5472"/>
          </w:tcPr>
          <w:p>
            <w:r/>
            <w:r>
              <w:rPr>
                <w:rFonts w:ascii="Calibri" w:hAnsi="Calibri"/>
                <w:b w:val="0"/>
                <w:sz w:val="19"/>
              </w:rPr>
              <w:t>Equity value</w:t>
            </w:r>
          </w:p>
        </w:tc>
        <w:tc>
          <w:tcPr>
            <w:tcW w:type="dxa" w:w="2016"/>
          </w:tcPr>
          <w:p>
            <w:pPr>
              <w:jc w:val="center"/>
            </w:pPr>
            <w:r/>
            <w:r>
              <w:rPr>
                <w:rFonts w:ascii="Calibri" w:hAnsi="Calibri"/>
                <w:b w:val="0"/>
                <w:sz w:val="19"/>
              </w:rPr>
              <w:t>7,490</w:t>
            </w:r>
          </w:p>
        </w:tc>
      </w:tr>
      <w:tr>
        <w:tc>
          <w:tcPr>
            <w:tcW w:type="dxa" w:w="5472"/>
            <w:shd w:val="clear" w:fill="F1E6C8"/>
          </w:tcPr>
          <w:p>
            <w:r/>
            <w:r>
              <w:rPr>
                <w:rFonts w:ascii="Calibri" w:hAnsi="Calibri"/>
                <w:b/>
                <w:sz w:val="19"/>
              </w:rPr>
              <w:t>Fair value / share (EGP)  ≈ EGP 7.8</w:t>
            </w:r>
          </w:p>
        </w:tc>
        <w:tc>
          <w:tcPr>
            <w:tcW w:type="dxa" w:w="2016"/>
            <w:shd w:val="clear" w:fill="F1E6C8"/>
          </w:tcPr>
          <w:p>
            <w:pPr>
              <w:jc w:val="center"/>
            </w:pPr>
            <w:r/>
            <w:r>
              <w:rPr>
                <w:rFonts w:ascii="Calibri" w:hAnsi="Calibri"/>
                <w:b/>
                <w:sz w:val="19"/>
              </w:rPr>
              <w:t>7.8</w:t>
            </w:r>
          </w:p>
        </w:tc>
      </w:tr>
    </w:tbl>
    <w:p/>
    <w:p>
      <w:r>
        <w:rPr>
          <w:rFonts w:ascii="Calibri" w:hAnsi="Calibri"/>
          <w:b/>
          <w:i w:val="0"/>
          <w:sz w:val="21"/>
        </w:rPr>
        <w:t xml:space="preserve">Worked example — the cash-conversion test. </w:t>
      </w:r>
      <w:r>
        <w:rPr>
          <w:rFonts w:ascii="Calibri" w:hAnsi="Calibri"/>
          <w:b w:val="0"/>
          <w:i w:val="0"/>
          <w:sz w:val="21"/>
        </w:rPr>
        <w:t>If the group books ~EGP 1.3 bn of attributable development profit but converts only ~70% into free cash while the pipeline builds, the 'quality' of the NAV is 0.7×, which is exactly why this expert haircuts the land mark rather than taking it at face value. The result, ~EGP 7.8, sits just below spot.</w:t>
      </w:r>
    </w:p>
    <w:p>
      <w:r>
        <w:rPr>
          <w:rFonts w:ascii="Calibri" w:hAnsi="Calibri"/>
          <w:b/>
          <w:i w:val="0"/>
          <w:sz w:val="21"/>
        </w:rPr>
        <w:t xml:space="preserve">Sensitivity (swing input = the land-mark haircut). </w:t>
      </w:r>
      <w:r>
        <w:rPr>
          <w:rFonts w:ascii="Calibri" w:hAnsi="Calibri"/>
          <w:b w:val="0"/>
          <w:i w:val="0"/>
          <w:sz w:val="21"/>
        </w:rPr>
        <w:t>At a 0% haircut the value is ~EGP 9.4; at −15% (base) ~EGP 7.8; at −30% ~EGP 6.2. The entire expert-panel range can be spanned by this one assumption — a sign that the land mark, not the macro, is the master variable.</w:t>
      </w:r>
    </w:p>
    <w:p>
      <w:r>
        <w:rPr>
          <w:rFonts w:ascii="Calibri" w:hAnsi="Calibri"/>
          <w:b/>
          <w:i w:val="0"/>
          <w:sz w:val="21"/>
        </w:rPr>
        <w:t xml:space="preserve">Why the cash-conversion overlay matters here specifically. </w:t>
      </w:r>
      <w:r>
        <w:rPr>
          <w:rFonts w:ascii="Calibri" w:hAnsi="Calibri"/>
          <w:b w:val="0"/>
          <w:i w:val="0"/>
          <w:sz w:val="21"/>
        </w:rPr>
        <w:t>Egyptian off-plan developers report profit on hand-over but collect over instalment plans that can run five to eight years, and a slice of contracted units cancel. So a developer can show rising booked profit while free cash stays thin — the money is tied up in work-in-progress and land. This expert therefore refuses to treat the EGP 15 bn development mark as cash-equivalent: he asks what it would fetch in an actual transaction today, net of the cost and time to complete, and discounts accordingly. The FY25 profit decline from the FY24 peak — driven partly by one-off gains reversing — is, to him, exactly the kind of accounting noise that vindicates anchoring on realizable assets rather than on a single year's earnings.</w:t>
      </w:r>
    </w:p>
    <w:p>
      <w:r>
        <w:rPr>
          <w:rFonts w:ascii="Calibri" w:hAnsi="Calibri"/>
          <w:b/>
          <w:i w:val="0"/>
          <w:sz w:val="21"/>
        </w:rPr>
        <w:t xml:space="preserve">Cross-examination. </w:t>
      </w:r>
      <w:r>
        <w:rPr>
          <w:rFonts w:ascii="Calibri" w:hAnsi="Calibri"/>
          <w:b w:val="0"/>
          <w:i w:val="0"/>
          <w:sz w:val="21"/>
        </w:rPr>
        <w:t>To Expert 2: 'Contracted sales are not cash. Show me the collection curve and the cancellation rate before you capitalise a boom.' To Expert 3: 'Your scenarios are unfalsifiable; I can audit a receivable, I cannot audit your 35% probability of an easing cycle.'</w:t>
      </w:r>
    </w:p>
    <w:p>
      <w:r>
        <w:rPr>
          <w:rFonts w:ascii="Calibri" w:hAnsi="Calibri"/>
          <w:b/>
          <w:i w:val="0"/>
          <w:sz w:val="21"/>
        </w:rPr>
        <w:t xml:space="preserve">Verdict, falsification, and the market. </w:t>
      </w:r>
      <w:r>
        <w:rPr>
          <w:rFonts w:ascii="Calibri" w:hAnsi="Calibri"/>
          <w:b w:val="0"/>
          <w:i w:val="0"/>
          <w:sz w:val="21"/>
        </w:rPr>
        <w:t xml:space="preserve">Fair value ~EGP 7.8. </w:t>
      </w:r>
      <w:r>
        <w:rPr>
          <w:rFonts w:ascii="Calibri" w:hAnsi="Calibri"/>
          <w:b/>
          <w:i w:val="0"/>
          <w:sz w:val="21"/>
        </w:rPr>
        <w:t>I am wrong if</w:t>
      </w:r>
      <w:r>
        <w:rPr>
          <w:rFonts w:ascii="Calibri" w:hAnsi="Calibri"/>
          <w:b w:val="0"/>
          <w:i w:val="0"/>
          <w:sz w:val="21"/>
        </w:rPr>
        <w:t xml:space="preserve"> collections run above ~90% of contracted sales and comparable land changes hands near my mark — then my haircut is too harsh. At spot EGP 8.28, the market is agreeing with me almost precisely: it is paying for realizable assets, not for the boom.</w:t>
      </w:r>
    </w:p>
    <w:p>
      <w:r>
        <w:rPr>
          <w:rFonts w:ascii="Calibri" w:hAnsi="Calibri"/>
          <w:b/>
          <w:color w:val="1B5E5E"/>
          <w:sz w:val="24"/>
        </w:rPr>
        <w:t>Expert 2 — the absorption engine (demand &amp; sales velocity)</w:t>
      </w:r>
    </w:p>
    <w:p>
      <w:r>
        <w:rPr>
          <w:rFonts w:ascii="Calibri" w:hAnsi="Calibri"/>
          <w:b/>
          <w:i w:val="0"/>
          <w:sz w:val="21"/>
        </w:rPr>
        <w:t xml:space="preserve">Worldview. </w:t>
      </w:r>
      <w:r>
        <w:rPr>
          <w:rFonts w:ascii="Calibri" w:hAnsi="Calibri"/>
          <w:b w:val="0"/>
          <w:i w:val="0"/>
          <w:sz w:val="21"/>
        </w:rPr>
        <w:t>A developer is not a pile of land; it is a machine that converts launches into contracted sales and contracted sales into cash. Value is the discounted stream of developer cash flows that the current order-book and the launch cadence will produce, driven by three things: sales velocity (how fast units clear), price-per-metre escalation (which in Egypt has outrun inflation), and the collection schedule. Marking assets to a conservative book, this expert argues, misses the franchise — the brand, the land bank and the sales force that keep selling out phases.</w:t>
      </w:r>
    </w:p>
    <w:p>
      <w:r>
        <w:rPr>
          <w:rFonts w:ascii="Calibri" w:hAnsi="Calibri"/>
          <w:b/>
          <w:i w:val="0"/>
          <w:sz w:val="21"/>
        </w:rPr>
        <w:t xml:space="preserve">When it works, and when it fails. </w:t>
      </w:r>
      <w:r>
        <w:rPr>
          <w:rFonts w:ascii="Calibri" w:hAnsi="Calibri"/>
          <w:b w:val="0"/>
          <w:i w:val="0"/>
          <w:sz w:val="21"/>
        </w:rPr>
        <w:t>In a live presales boom with visible, repeatable demand — Egypt today — this is the sharpest lens, because it prices the thing actually happening. It fails at cycle turns: it assumes velocity persists, so it will over-value right up until the moment absorption rolls over, and it tends to underweight balance-sheet leverage and minority leakage.</w:t>
      </w:r>
    </w:p>
    <w:p>
      <w:r>
        <w:rPr>
          <w:rFonts w:ascii="Calibri" w:hAnsi="Calibri"/>
          <w:b/>
          <w:i w:val="0"/>
          <w:sz w:val="21"/>
        </w:rPr>
        <w:t xml:space="preserve">Workings. </w:t>
      </w:r>
      <w:r>
        <w:rPr>
          <w:rFonts w:ascii="Calibri" w:hAnsi="Calibri"/>
          <w:b w:val="0"/>
          <w:i w:val="0"/>
          <w:sz w:val="21"/>
        </w:rPr>
        <w:t>Start from the contracted-sales run-rate (~EGP 27–30 bn), apply development net-margin economics, layer the recognition/collection curve, add the contracting backlog at its thinner margin, and discount the resulting attributable developer cash flows.</w:t>
      </w:r>
    </w:p>
    <w:tbl>
      <w:tblPr>
        <w:tblStyle w:val="TableGrid"/>
        <w:tblW w:type="auto" w:w="0"/>
        <w:jc w:val="center"/>
        <w:tblLook w:firstColumn="1" w:firstRow="1" w:lastColumn="0" w:lastRow="0" w:noHBand="0" w:noVBand="1" w:val="04A0"/>
      </w:tblPr>
      <w:tblGrid>
        <w:gridCol w:w="4968"/>
        <w:gridCol w:w="4968"/>
      </w:tblGrid>
      <w:tr>
        <w:tc>
          <w:tcPr>
            <w:tcW w:type="dxa" w:w="5472"/>
            <w:shd w:val="clear" w:fill="1B5E5E"/>
          </w:tcPr>
          <w:p>
            <w:pPr>
              <w:jc w:val="center"/>
            </w:pPr>
            <w:r/>
            <w:r>
              <w:rPr>
                <w:rFonts w:ascii="Calibri" w:hAnsi="Calibri"/>
                <w:b/>
                <w:color w:val="FFFFFF"/>
                <w:sz w:val="19"/>
              </w:rPr>
              <w:t>Expert 2 workings (EGP mn)</w:t>
            </w:r>
          </w:p>
        </w:tc>
        <w:tc>
          <w:tcPr>
            <w:tcW w:type="dxa" w:w="2016"/>
            <w:shd w:val="clear" w:fill="1B5E5E"/>
          </w:tcPr>
          <w:p>
            <w:pPr>
              <w:jc w:val="center"/>
            </w:pPr>
            <w:r/>
            <w:r>
              <w:rPr>
                <w:rFonts w:ascii="Calibri" w:hAnsi="Calibri"/>
                <w:b/>
                <w:color w:val="FFFFFF"/>
                <w:sz w:val="19"/>
              </w:rPr>
              <w:t>Value</w:t>
            </w:r>
          </w:p>
        </w:tc>
      </w:tr>
      <w:tr>
        <w:tc>
          <w:tcPr>
            <w:tcW w:type="dxa" w:w="5472"/>
          </w:tcPr>
          <w:p>
            <w:r/>
            <w:r>
              <w:rPr>
                <w:rFonts w:ascii="Calibri" w:hAnsi="Calibri"/>
                <w:b w:val="0"/>
                <w:sz w:val="19"/>
              </w:rPr>
              <w:t>Annual contracted sales (run-rate)</w:t>
            </w:r>
          </w:p>
        </w:tc>
        <w:tc>
          <w:tcPr>
            <w:tcW w:type="dxa" w:w="2016"/>
          </w:tcPr>
          <w:p>
            <w:pPr>
              <w:jc w:val="center"/>
            </w:pPr>
            <w:r/>
            <w:r>
              <w:rPr>
                <w:rFonts w:ascii="Calibri" w:hAnsi="Calibri"/>
                <w:b w:val="0"/>
                <w:sz w:val="19"/>
              </w:rPr>
              <w:t>28,000</w:t>
            </w:r>
          </w:p>
        </w:tc>
      </w:tr>
      <w:tr>
        <w:tc>
          <w:tcPr>
            <w:tcW w:type="dxa" w:w="5472"/>
          </w:tcPr>
          <w:p>
            <w:r/>
            <w:r>
              <w:rPr>
                <w:rFonts w:ascii="Calibri" w:hAnsi="Calibri"/>
                <w:b w:val="0"/>
                <w:sz w:val="19"/>
              </w:rPr>
              <w:t>× development net margin (~18%)</w:t>
            </w:r>
          </w:p>
        </w:tc>
        <w:tc>
          <w:tcPr>
            <w:tcW w:type="dxa" w:w="2016"/>
          </w:tcPr>
          <w:p>
            <w:pPr>
              <w:jc w:val="center"/>
            </w:pPr>
            <w:r/>
            <w:r>
              <w:rPr>
                <w:rFonts w:ascii="Calibri" w:hAnsi="Calibri"/>
                <w:b w:val="0"/>
                <w:sz w:val="19"/>
              </w:rPr>
              <w:t>5,040</w:t>
            </w:r>
          </w:p>
        </w:tc>
      </w:tr>
      <w:tr>
        <w:tc>
          <w:tcPr>
            <w:tcW w:type="dxa" w:w="5472"/>
          </w:tcPr>
          <w:p>
            <w:r/>
            <w:r>
              <w:rPr>
                <w:rFonts w:ascii="Calibri" w:hAnsi="Calibri"/>
                <w:b w:val="0"/>
                <w:sz w:val="19"/>
              </w:rPr>
              <w:t>PV of ~3–4 yrs recognised profit + pipeline</w:t>
            </w:r>
          </w:p>
        </w:tc>
        <w:tc>
          <w:tcPr>
            <w:tcW w:type="dxa" w:w="2016"/>
          </w:tcPr>
          <w:p>
            <w:pPr>
              <w:jc w:val="center"/>
            </w:pPr>
            <w:r/>
            <w:r>
              <w:rPr>
                <w:rFonts w:ascii="Calibri" w:hAnsi="Calibri"/>
                <w:b w:val="0"/>
                <w:sz w:val="19"/>
              </w:rPr>
              <w:t>13,600</w:t>
            </w:r>
          </w:p>
        </w:tc>
      </w:tr>
      <w:tr>
        <w:tc>
          <w:tcPr>
            <w:tcW w:type="dxa" w:w="5472"/>
          </w:tcPr>
          <w:p>
            <w:r/>
            <w:r>
              <w:rPr>
                <w:rFonts w:ascii="Calibri" w:hAnsi="Calibri"/>
                <w:b w:val="0"/>
                <w:sz w:val="19"/>
              </w:rPr>
              <w:t>+ contracting backlog value</w:t>
            </w:r>
          </w:p>
        </w:tc>
        <w:tc>
          <w:tcPr>
            <w:tcW w:type="dxa" w:w="2016"/>
          </w:tcPr>
          <w:p>
            <w:pPr>
              <w:jc w:val="center"/>
            </w:pPr>
            <w:r/>
            <w:r>
              <w:rPr>
                <w:rFonts w:ascii="Calibri" w:hAnsi="Calibri"/>
                <w:b w:val="0"/>
                <w:sz w:val="19"/>
              </w:rPr>
              <w:t>1,600</w:t>
            </w:r>
          </w:p>
        </w:tc>
      </w:tr>
      <w:tr>
        <w:tc>
          <w:tcPr>
            <w:tcW w:type="dxa" w:w="5472"/>
          </w:tcPr>
          <w:p>
            <w:r/>
            <w:r>
              <w:rPr>
                <w:rFonts w:ascii="Calibri" w:hAnsi="Calibri"/>
                <w:b w:val="0"/>
                <w:sz w:val="19"/>
              </w:rPr>
              <w:t>+ rental / retail</w:t>
            </w:r>
          </w:p>
        </w:tc>
        <w:tc>
          <w:tcPr>
            <w:tcW w:type="dxa" w:w="2016"/>
          </w:tcPr>
          <w:p>
            <w:pPr>
              <w:jc w:val="center"/>
            </w:pPr>
            <w:r/>
            <w:r>
              <w:rPr>
                <w:rFonts w:ascii="Calibri" w:hAnsi="Calibri"/>
                <w:b w:val="0"/>
                <w:sz w:val="19"/>
              </w:rPr>
              <w:t>1,800</w:t>
            </w:r>
          </w:p>
        </w:tc>
      </w:tr>
      <w:tr>
        <w:tc>
          <w:tcPr>
            <w:tcW w:type="dxa" w:w="5472"/>
          </w:tcPr>
          <w:p>
            <w:r/>
            <w:r>
              <w:rPr>
                <w:rFonts w:ascii="Calibri" w:hAnsi="Calibri"/>
                <w:b w:val="0"/>
                <w:sz w:val="19"/>
              </w:rPr>
              <w:t>less net debt + minority</w:t>
            </w:r>
          </w:p>
        </w:tc>
        <w:tc>
          <w:tcPr>
            <w:tcW w:type="dxa" w:w="2016"/>
          </w:tcPr>
          <w:p>
            <w:pPr>
              <w:jc w:val="center"/>
            </w:pPr>
            <w:r/>
            <w:r>
              <w:rPr>
                <w:rFonts w:ascii="Calibri" w:hAnsi="Calibri"/>
                <w:b w:val="0"/>
                <w:sz w:val="19"/>
              </w:rPr>
              <w:t>(8,000)</w:t>
            </w:r>
          </w:p>
        </w:tc>
      </w:tr>
      <w:tr>
        <w:tc>
          <w:tcPr>
            <w:tcW w:type="dxa" w:w="5472"/>
          </w:tcPr>
          <w:p>
            <w:r/>
            <w:r>
              <w:rPr>
                <w:rFonts w:ascii="Calibri" w:hAnsi="Calibri"/>
                <w:b w:val="0"/>
                <w:sz w:val="19"/>
              </w:rPr>
              <w:t>Equity value</w:t>
            </w:r>
          </w:p>
        </w:tc>
        <w:tc>
          <w:tcPr>
            <w:tcW w:type="dxa" w:w="2016"/>
          </w:tcPr>
          <w:p>
            <w:pPr>
              <w:jc w:val="center"/>
            </w:pPr>
            <w:r/>
            <w:r>
              <w:rPr>
                <w:rFonts w:ascii="Calibri" w:hAnsi="Calibri"/>
                <w:b w:val="0"/>
                <w:sz w:val="19"/>
              </w:rPr>
              <w:t>≈ 9,850</w:t>
            </w:r>
          </w:p>
        </w:tc>
      </w:tr>
      <w:tr>
        <w:tc>
          <w:tcPr>
            <w:tcW w:type="dxa" w:w="5472"/>
            <w:shd w:val="clear" w:fill="F1E6C8"/>
          </w:tcPr>
          <w:p>
            <w:r/>
            <w:r>
              <w:rPr>
                <w:rFonts w:ascii="Calibri" w:hAnsi="Calibri"/>
                <w:b/>
                <w:sz w:val="19"/>
              </w:rPr>
              <w:t>Fair value / share (EGP)  ≈ EGP 9.4</w:t>
            </w:r>
          </w:p>
        </w:tc>
        <w:tc>
          <w:tcPr>
            <w:tcW w:type="dxa" w:w="2016"/>
            <w:shd w:val="clear" w:fill="F1E6C8"/>
          </w:tcPr>
          <w:p>
            <w:pPr>
              <w:jc w:val="center"/>
            </w:pPr>
            <w:r/>
            <w:r>
              <w:rPr>
                <w:rFonts w:ascii="Calibri" w:hAnsi="Calibri"/>
                <w:b/>
                <w:sz w:val="19"/>
              </w:rPr>
              <w:t>9.4</w:t>
            </w:r>
          </w:p>
        </w:tc>
      </w:tr>
    </w:tbl>
    <w:p/>
    <w:p>
      <w:r>
        <w:rPr>
          <w:rFonts w:ascii="Calibri" w:hAnsi="Calibri"/>
          <w:b/>
          <w:i w:val="0"/>
          <w:sz w:val="21"/>
        </w:rPr>
        <w:t xml:space="preserve">Worked example — velocity is the engine. </w:t>
      </w:r>
      <w:r>
        <w:rPr>
          <w:rFonts w:ascii="Calibri" w:hAnsi="Calibri"/>
          <w:b w:val="0"/>
          <w:i w:val="0"/>
          <w:sz w:val="21"/>
        </w:rPr>
        <w:t>At EGP 28 bn of contracted sales the pipeline throws off enough recognised profit over the next three to four years to support ~EGP 9.4; hold price escalation but cut velocity 20% and the figure falls toward EGP 8; raise both and it approaches EGP 12. The lever is absorption, not the discount rate.</w:t>
      </w:r>
    </w:p>
    <w:p>
      <w:r>
        <w:rPr>
          <w:rFonts w:ascii="Calibri" w:hAnsi="Calibri"/>
          <w:b/>
          <w:i w:val="0"/>
          <w:sz w:val="21"/>
        </w:rPr>
        <w:t xml:space="preserve">Sensitivity (swing input = contracted-sales velocity). </w:t>
      </w:r>
      <w:r>
        <w:rPr>
          <w:rFonts w:ascii="Calibri" w:hAnsi="Calibri"/>
          <w:b w:val="0"/>
          <w:i w:val="0"/>
          <w:sz w:val="21"/>
        </w:rPr>
        <w:t>±20% on velocity moves the value roughly EGP 8.0 ↔ EGP 11.0 — the widest single-variable swing of any expert, and the reason this lens is the most bullish and the most cyclical.</w:t>
      </w:r>
    </w:p>
    <w:p>
      <w:r>
        <w:rPr>
          <w:rFonts w:ascii="Calibri" w:hAnsi="Calibri"/>
          <w:b/>
          <w:i w:val="0"/>
          <w:sz w:val="21"/>
        </w:rPr>
        <w:t xml:space="preserve">Price escalation is the hidden compounding. </w:t>
      </w:r>
      <w:r>
        <w:rPr>
          <w:rFonts w:ascii="Calibri" w:hAnsi="Calibri"/>
          <w:b w:val="0"/>
          <w:i w:val="0"/>
          <w:sz w:val="21"/>
        </w:rPr>
        <w:t>The absorption case is not only about units cleared; it is about price-per-metre, which for Cairo developers has repeatedly outrun headline inflation as buyers treat property as the hardest available store of value. Each new launch reprices the land bank implicitly: the same plot supports a higher gross development value than the RNAV's static mark assumes. This expert credits some of that escalation, which is why his number sits above the realist's — he is valuing a moving franchise, not a frozen balance sheet. The offset he watches is the collection curve: escalation is worth little if instalment defaults rise, so he stress-tests the cash schedule, not just the headline contracted-sales figure.</w:t>
      </w:r>
    </w:p>
    <w:p>
      <w:r>
        <w:rPr>
          <w:rFonts w:ascii="Calibri" w:hAnsi="Calibri"/>
          <w:b/>
          <w:i w:val="0"/>
          <w:sz w:val="21"/>
        </w:rPr>
        <w:t xml:space="preserve">Cross-examination. </w:t>
      </w:r>
      <w:r>
        <w:rPr>
          <w:rFonts w:ascii="Calibri" w:hAnsi="Calibri"/>
          <w:b w:val="0"/>
          <w:i w:val="0"/>
          <w:sz w:val="21"/>
        </w:rPr>
        <w:t>To Expert 1: 'Your conservative book ignores that this franchise sells out launches; you are valuing the land as if no one will develop it.' To Expert 3: 'In a negative-real-rate world, demand is driven by the inflation hedge, not the policy rate — your macro scenarios are second-order to absorption.'</w:t>
      </w:r>
    </w:p>
    <w:p>
      <w:r>
        <w:rPr>
          <w:rFonts w:ascii="Calibri" w:hAnsi="Calibri"/>
          <w:b/>
          <w:i w:val="0"/>
          <w:sz w:val="21"/>
        </w:rPr>
        <w:t xml:space="preserve">Verdict, falsification, and the market. </w:t>
      </w:r>
      <w:r>
        <w:rPr>
          <w:rFonts w:ascii="Calibri" w:hAnsi="Calibri"/>
          <w:b w:val="0"/>
          <w:i w:val="0"/>
          <w:sz w:val="21"/>
        </w:rPr>
        <w:t xml:space="preserve">Fair value ~EGP 9.4. </w:t>
      </w:r>
      <w:r>
        <w:rPr>
          <w:rFonts w:ascii="Calibri" w:hAnsi="Calibri"/>
          <w:b/>
          <w:i w:val="0"/>
          <w:sz w:val="21"/>
        </w:rPr>
        <w:t>I am wrong if</w:t>
      </w:r>
      <w:r>
        <w:rPr>
          <w:rFonts w:ascii="Calibri" w:hAnsi="Calibri"/>
          <w:b w:val="0"/>
          <w:i w:val="0"/>
          <w:sz w:val="21"/>
        </w:rPr>
        <w:t xml:space="preserve"> contracted sales fall for two consecutive quarters — that breaks the velocity assumption the whole case rests on. At spot EGP 8.28, the market is pricing less than my absorption case: either it doubts the velocity persists, or it is demanding the holdco/minority discount I under-weight.</w:t>
      </w:r>
    </w:p>
    <w:p>
      <w:r>
        <w:rPr>
          <w:rFonts w:ascii="Calibri" w:hAnsi="Calibri"/>
          <w:b/>
          <w:color w:val="1B5E5E"/>
          <w:sz w:val="24"/>
        </w:rPr>
        <w:t>Expert 3 — the macro-policy strategist (scenario-weighted)</w:t>
      </w:r>
    </w:p>
    <w:p>
      <w:r>
        <w:rPr>
          <w:rFonts w:ascii="Calibri" w:hAnsi="Calibri"/>
          <w:b/>
          <w:i w:val="0"/>
          <w:sz w:val="21"/>
        </w:rPr>
        <w:t xml:space="preserve">Worldview. </w:t>
      </w:r>
      <w:r>
        <w:rPr>
          <w:rFonts w:ascii="Calibri" w:hAnsi="Calibri"/>
          <w:b w:val="0"/>
          <w:i w:val="0"/>
          <w:sz w:val="21"/>
        </w:rPr>
        <w:t>A domestic Egyptian cyclical is, first and last, a bet on the macro regime. The same company is worth very different amounts depending on the path of the CBE policy rate, the pound, mortgage availability and Gulf capital flows — so a point estimate is a category error. Value is a probability-weighted blend across a small set of macro states, each of which implies its own discount rate, demand multiplier and assumption about whether the structural discount narrows or widens.</w:t>
      </w:r>
    </w:p>
    <w:p>
      <w:r>
        <w:rPr>
          <w:rFonts w:ascii="Calibri" w:hAnsi="Calibri"/>
          <w:b/>
          <w:i w:val="0"/>
          <w:sz w:val="21"/>
        </w:rPr>
        <w:t xml:space="preserve">When it works, and when it fails. </w:t>
      </w:r>
      <w:r>
        <w:rPr>
          <w:rFonts w:ascii="Calibri" w:hAnsi="Calibri"/>
          <w:b w:val="0"/>
          <w:i w:val="0"/>
          <w:sz w:val="21"/>
        </w:rPr>
        <w:t>This lens earns its keep at regime inflection points — an easing cycle beginning, a currency finding a level — which is arguably where Egypt sits now. In a stable regime it mostly adds noise, and it is helpless at valuing idiosyncratic execution: it can tell you the weather, not whether this particular developer builds well.</w:t>
      </w:r>
    </w:p>
    <w:p>
      <w:r>
        <w:rPr>
          <w:rFonts w:ascii="Calibri" w:hAnsi="Calibri"/>
          <w:b/>
          <w:i w:val="0"/>
          <w:sz w:val="21"/>
        </w:rPr>
        <w:t xml:space="preserve">Workings. </w:t>
      </w:r>
      <w:r>
        <w:rPr>
          <w:rFonts w:ascii="Calibri" w:hAnsi="Calibri"/>
          <w:b w:val="0"/>
          <w:i w:val="0"/>
          <w:sz w:val="21"/>
        </w:rPr>
        <w:t>Define three macro states, attach probabilities, map each to a fair value (via its discount rate and demand/discount assumptions), and take the expectation.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0"/>
            <w:shd w:val="clear" w:fill="1B5E5E"/>
          </w:tcPr>
          <w:p>
            <w:pPr>
              <w:jc w:val="center"/>
            </w:pPr>
            <w:r/>
            <w:r>
              <w:rPr>
                <w:rFonts w:ascii="Calibri" w:hAnsi="Calibri"/>
                <w:b/>
                <w:color w:val="FFFFFF"/>
                <w:sz w:val="19"/>
              </w:rPr>
              <w:t>Macro state</w:t>
            </w:r>
          </w:p>
        </w:tc>
        <w:tc>
          <w:tcPr>
            <w:tcW w:type="dxa" w:w="1296"/>
            <w:shd w:val="clear" w:fill="1B5E5E"/>
          </w:tcPr>
          <w:p>
            <w:pPr>
              <w:jc w:val="center"/>
            </w:pPr>
            <w:r/>
            <w:r>
              <w:rPr>
                <w:rFonts w:ascii="Calibri" w:hAnsi="Calibri"/>
                <w:b/>
                <w:color w:val="FFFFFF"/>
                <w:sz w:val="19"/>
              </w:rPr>
              <w:t>Prob.</w:t>
            </w:r>
          </w:p>
        </w:tc>
        <w:tc>
          <w:tcPr>
            <w:tcW w:type="dxa" w:w="2016"/>
            <w:shd w:val="clear" w:fill="1B5E5E"/>
          </w:tcPr>
          <w:p>
            <w:pPr>
              <w:jc w:val="center"/>
            </w:pPr>
            <w:r/>
            <w:r>
              <w:rPr>
                <w:rFonts w:ascii="Calibri" w:hAnsi="Calibri"/>
                <w:b/>
                <w:color w:val="FFFFFF"/>
                <w:sz w:val="19"/>
              </w:rPr>
              <w:t>Implied FV (EGP)</w:t>
            </w:r>
          </w:p>
        </w:tc>
        <w:tc>
          <w:tcPr>
            <w:tcW w:type="dxa" w:w="1872"/>
            <w:shd w:val="clear" w:fill="1B5E5E"/>
          </w:tcPr>
          <w:p>
            <w:pPr>
              <w:jc w:val="center"/>
            </w:pPr>
            <w:r/>
            <w:r>
              <w:rPr>
                <w:rFonts w:ascii="Calibri" w:hAnsi="Calibri"/>
                <w:b/>
                <w:color w:val="FFFFFF"/>
                <w:sz w:val="19"/>
              </w:rPr>
              <w:t>Contribution</w:t>
            </w:r>
          </w:p>
        </w:tc>
      </w:tr>
      <w:tr>
        <w:tc>
          <w:tcPr>
            <w:tcW w:type="dxa" w:w="4320"/>
          </w:tcPr>
          <w:p>
            <w:r/>
            <w:r>
              <w:rPr>
                <w:rFonts w:ascii="Calibri" w:hAnsi="Calibri"/>
                <w:b w:val="0"/>
                <w:sz w:val="19"/>
              </w:rPr>
              <w:t>Easing cycle / EGP stable / Gulf inflows</w:t>
            </w:r>
          </w:p>
        </w:tc>
        <w:tc>
          <w:tcPr>
            <w:tcW w:type="dxa" w:w="1296"/>
          </w:tcPr>
          <w:p>
            <w:pPr>
              <w:jc w:val="center"/>
            </w:pPr>
            <w:r/>
            <w:r>
              <w:rPr>
                <w:rFonts w:ascii="Calibri" w:hAnsi="Calibri"/>
                <w:b w:val="0"/>
                <w:sz w:val="19"/>
              </w:rPr>
              <w:t>35%</w:t>
            </w:r>
          </w:p>
        </w:tc>
        <w:tc>
          <w:tcPr>
            <w:tcW w:type="dxa" w:w="2016"/>
          </w:tcPr>
          <w:p>
            <w:pPr>
              <w:jc w:val="center"/>
            </w:pPr>
            <w:r/>
            <w:r>
              <w:rPr>
                <w:rFonts w:ascii="Calibri" w:hAnsi="Calibri"/>
                <w:b w:val="0"/>
                <w:sz w:val="19"/>
              </w:rPr>
              <w:t>10.5</w:t>
            </w:r>
          </w:p>
        </w:tc>
        <w:tc>
          <w:tcPr>
            <w:tcW w:type="dxa" w:w="1872"/>
          </w:tcPr>
          <w:p>
            <w:pPr>
              <w:jc w:val="center"/>
            </w:pPr>
            <w:r/>
            <w:r>
              <w:rPr>
                <w:rFonts w:ascii="Calibri" w:hAnsi="Calibri"/>
                <w:b w:val="0"/>
                <w:sz w:val="19"/>
              </w:rPr>
              <w:t>3.68</w:t>
            </w:r>
          </w:p>
        </w:tc>
      </w:tr>
      <w:tr>
        <w:tc>
          <w:tcPr>
            <w:tcW w:type="dxa" w:w="4320"/>
          </w:tcPr>
          <w:p>
            <w:r/>
            <w:r>
              <w:rPr>
                <w:rFonts w:ascii="Calibri" w:hAnsi="Calibri"/>
                <w:b w:val="0"/>
                <w:sz w:val="19"/>
              </w:rPr>
              <w:t>Base — gradual easing, sticky discount</w:t>
            </w:r>
          </w:p>
        </w:tc>
        <w:tc>
          <w:tcPr>
            <w:tcW w:type="dxa" w:w="1296"/>
          </w:tcPr>
          <w:p>
            <w:pPr>
              <w:jc w:val="center"/>
            </w:pPr>
            <w:r/>
            <w:r>
              <w:rPr>
                <w:rFonts w:ascii="Calibri" w:hAnsi="Calibri"/>
                <w:b w:val="0"/>
                <w:sz w:val="19"/>
              </w:rPr>
              <w:t>45%</w:t>
            </w:r>
          </w:p>
        </w:tc>
        <w:tc>
          <w:tcPr>
            <w:tcW w:type="dxa" w:w="2016"/>
          </w:tcPr>
          <w:p>
            <w:pPr>
              <w:jc w:val="center"/>
            </w:pPr>
            <w:r/>
            <w:r>
              <w:rPr>
                <w:rFonts w:ascii="Calibri" w:hAnsi="Calibri"/>
                <w:b w:val="0"/>
                <w:sz w:val="19"/>
              </w:rPr>
              <w:t>8.2</w:t>
            </w:r>
          </w:p>
        </w:tc>
        <w:tc>
          <w:tcPr>
            <w:tcW w:type="dxa" w:w="1872"/>
          </w:tcPr>
          <w:p>
            <w:pPr>
              <w:jc w:val="center"/>
            </w:pPr>
            <w:r/>
            <w:r>
              <w:rPr>
                <w:rFonts w:ascii="Calibri" w:hAnsi="Calibri"/>
                <w:b w:val="0"/>
                <w:sz w:val="19"/>
              </w:rPr>
              <w:t>3.69</w:t>
            </w:r>
          </w:p>
        </w:tc>
      </w:tr>
      <w:tr>
        <w:tc>
          <w:tcPr>
            <w:tcW w:type="dxa" w:w="4320"/>
          </w:tcPr>
          <w:p>
            <w:r/>
            <w:r>
              <w:rPr>
                <w:rFonts w:ascii="Calibri" w:hAnsi="Calibri"/>
                <w:b w:val="0"/>
                <w:sz w:val="19"/>
              </w:rPr>
              <w:t>Shock — EGP step-devaluation / risk-off</w:t>
            </w:r>
          </w:p>
        </w:tc>
        <w:tc>
          <w:tcPr>
            <w:tcW w:type="dxa" w:w="1296"/>
          </w:tcPr>
          <w:p>
            <w:pPr>
              <w:jc w:val="center"/>
            </w:pPr>
            <w:r/>
            <w:r>
              <w:rPr>
                <w:rFonts w:ascii="Calibri" w:hAnsi="Calibri"/>
                <w:b w:val="0"/>
                <w:sz w:val="19"/>
              </w:rPr>
              <w:t>20%</w:t>
            </w:r>
          </w:p>
        </w:tc>
        <w:tc>
          <w:tcPr>
            <w:tcW w:type="dxa" w:w="2016"/>
          </w:tcPr>
          <w:p>
            <w:pPr>
              <w:jc w:val="center"/>
            </w:pPr>
            <w:r/>
            <w:r>
              <w:rPr>
                <w:rFonts w:ascii="Calibri" w:hAnsi="Calibri"/>
                <w:b w:val="0"/>
                <w:sz w:val="19"/>
              </w:rPr>
              <w:t>5.5</w:t>
            </w:r>
          </w:p>
        </w:tc>
        <w:tc>
          <w:tcPr>
            <w:tcW w:type="dxa" w:w="1872"/>
          </w:tcPr>
          <w:p>
            <w:pPr>
              <w:jc w:val="center"/>
            </w:pPr>
            <w:r/>
            <w:r>
              <w:rPr>
                <w:rFonts w:ascii="Calibri" w:hAnsi="Calibri"/>
                <w:b w:val="0"/>
                <w:sz w:val="19"/>
              </w:rPr>
              <w:t>1.10</w:t>
            </w:r>
          </w:p>
        </w:tc>
      </w:tr>
      <w:tr>
        <w:tc>
          <w:tcPr>
            <w:tcW w:type="dxa" w:w="4320"/>
            <w:shd w:val="clear" w:fill="F1E6C8"/>
          </w:tcPr>
          <w:p>
            <w:r/>
            <w:r>
              <w:rPr>
                <w:rFonts w:ascii="Calibri" w:hAnsi="Calibri"/>
                <w:b/>
                <w:sz w:val="19"/>
              </w:rPr>
              <w:t>Probability-weighted  ≈ EGP 8.2</w:t>
            </w:r>
          </w:p>
        </w:tc>
        <w:tc>
          <w:tcPr>
            <w:tcW w:type="dxa" w:w="1296"/>
            <w:shd w:val="clear" w:fill="F1E6C8"/>
          </w:tcPr>
          <w:p>
            <w:pPr>
              <w:jc w:val="center"/>
            </w:pPr>
            <w:r/>
            <w:r>
              <w:rPr>
                <w:rFonts w:ascii="Calibri" w:hAnsi="Calibri"/>
                <w:b/>
                <w:sz w:val="19"/>
              </w:rPr>
              <w:t>100%</w:t>
            </w:r>
          </w:p>
        </w:tc>
        <w:tc>
          <w:tcPr>
            <w:tcW w:type="dxa" w:w="2016"/>
            <w:shd w:val="clear" w:fill="F1E6C8"/>
          </w:tcPr>
          <w:p>
            <w:pPr>
              <w:jc w:val="center"/>
            </w:pPr>
            <w:r/>
            <w:r>
              <w:rPr>
                <w:rFonts w:ascii="Calibri" w:hAnsi="Calibri"/>
                <w:b/>
                <w:sz w:val="19"/>
              </w:rPr>
            </w:r>
          </w:p>
        </w:tc>
        <w:tc>
          <w:tcPr>
            <w:tcW w:type="dxa" w:w="1872"/>
            <w:shd w:val="clear" w:fill="F1E6C8"/>
          </w:tcPr>
          <w:p>
            <w:pPr>
              <w:jc w:val="center"/>
            </w:pPr>
            <w:r/>
            <w:r>
              <w:rPr>
                <w:rFonts w:ascii="Calibri" w:hAnsi="Calibri"/>
                <w:b/>
                <w:sz w:val="19"/>
              </w:rPr>
              <w:t>8.2</w:t>
            </w:r>
          </w:p>
        </w:tc>
      </w:tr>
    </w:tbl>
    <w:p/>
    <w:p>
      <w:r>
        <w:rPr>
          <w:rFonts w:ascii="Calibri" w:hAnsi="Calibri"/>
          <w:b/>
          <w:i w:val="0"/>
          <w:sz w:val="21"/>
        </w:rPr>
        <w:t xml:space="preserve">Worked example — the discount is a macro variable. </w:t>
      </w:r>
      <w:r>
        <w:rPr>
          <w:rFonts w:ascii="Calibri" w:hAnsi="Calibri"/>
          <w:b w:val="0"/>
          <w:i w:val="0"/>
          <w:sz w:val="21"/>
        </w:rPr>
        <w:t>The key insight is that the holdco/minority discount is not a fixed 16%; it narrows in the easing state (cheaper money chases yield and re-rates complex names) and widens in the shock state (risk-off punishes complexity). Folding that into each state gives the ~EGP 8.2 expectation — squarely at spot.</w:t>
      </w:r>
    </w:p>
    <w:p>
      <w:r>
        <w:rPr>
          <w:rFonts w:ascii="Calibri" w:hAnsi="Calibri"/>
          <w:b/>
          <w:i w:val="0"/>
          <w:sz w:val="21"/>
        </w:rPr>
        <w:t xml:space="preserve">Sensitivity (swing input = the shock probability). </w:t>
      </w:r>
      <w:r>
        <w:rPr>
          <w:rFonts w:ascii="Calibri" w:hAnsi="Calibri"/>
          <w:b w:val="0"/>
          <w:i w:val="0"/>
          <w:sz w:val="21"/>
        </w:rPr>
        <w:t>Raise the shock weight from 20% to 35% and the value falls to ~EGP 7.3; cut it to 10% and it rises to ~EGP 8.9. The tail, not the base, moves the number.</w:t>
      </w:r>
    </w:p>
    <w:p>
      <w:r>
        <w:rPr>
          <w:rFonts w:ascii="Calibri" w:hAnsi="Calibri"/>
          <w:b/>
          <w:i w:val="0"/>
          <w:sz w:val="21"/>
        </w:rPr>
        <w:t xml:space="preserve">How the four levers map to the states. </w:t>
      </w:r>
      <w:r>
        <w:rPr>
          <w:rFonts w:ascii="Calibri" w:hAnsi="Calibri"/>
          <w:b w:val="0"/>
          <w:i w:val="0"/>
          <w:sz w:val="21"/>
        </w:rPr>
        <w:t>The easing state assumes the CBE continues cutting from its 2024 highs, the pound holds a level, mortgage access widens, and Gulf inflows persist — each of which lifts demand and compresses the complexity discount as yield-seeking capital re-rates the name. The base state assumes gradual easing but a sticky discount: demand holds, but the market keeps punishing the holdco/minority structure. The shock state is a fresh EGP step-devaluation or a risk-off reversal that spikes the discount rate, raises build-cost, and freezes the re-rating. Because PRDC has foreign strategic holders (Saudi, Kuwaiti, Norwegian), this expert weights the Gulf-flow channel more heavily than he would for a purely domestic developer — capital action from those holders is itself a swing factor.</w:t>
      </w:r>
    </w:p>
    <w:p>
      <w:r>
        <w:rPr>
          <w:rFonts w:ascii="Calibri" w:hAnsi="Calibri"/>
          <w:b/>
          <w:i w:val="0"/>
          <w:sz w:val="21"/>
        </w:rPr>
        <w:t xml:space="preserve">Cross-examination. </w:t>
      </w:r>
      <w:r>
        <w:rPr>
          <w:rFonts w:ascii="Calibri" w:hAnsi="Calibri"/>
          <w:b w:val="0"/>
          <w:i w:val="0"/>
          <w:sz w:val="21"/>
        </w:rPr>
        <w:t>To Expert 1: 'Your static NAV treats the discount as fixed; it is the single most macro-sensitive number in the whole valuation.' To Expert 2: 'Absorption is downstream of rates and the pound — your velocity is my base state in disguise, and it will not survive a devaluation.'</w:t>
      </w:r>
    </w:p>
    <w:p>
      <w:r>
        <w:rPr>
          <w:rFonts w:ascii="Calibri" w:hAnsi="Calibri"/>
          <w:b/>
          <w:i w:val="0"/>
          <w:sz w:val="21"/>
        </w:rPr>
        <w:t xml:space="preserve">Verdict, falsification, and the market. </w:t>
      </w:r>
      <w:r>
        <w:rPr>
          <w:rFonts w:ascii="Calibri" w:hAnsi="Calibri"/>
          <w:b w:val="0"/>
          <w:i w:val="0"/>
          <w:sz w:val="21"/>
        </w:rPr>
        <w:t xml:space="preserve">Fair value ~EGP 8.2. </w:t>
      </w:r>
      <w:r>
        <w:rPr>
          <w:rFonts w:ascii="Calibri" w:hAnsi="Calibri"/>
          <w:b/>
          <w:i w:val="0"/>
          <w:sz w:val="21"/>
        </w:rPr>
        <w:t>I am wrong if</w:t>
      </w:r>
      <w:r>
        <w:rPr>
          <w:rFonts w:ascii="Calibri" w:hAnsi="Calibri"/>
          <w:b w:val="0"/>
          <w:i w:val="0"/>
          <w:sz w:val="21"/>
        </w:rPr>
        <w:t xml:space="preserve"> the CBE reverses course and hikes, or the pound takes another step down — either would collapse my base state into the shock. At spot EGP 8.28, the market is sitting exactly at my base state: it is pricing neither the easing upside nor the shock downside.</w:t>
      </w:r>
    </w:p>
    <w:p>
      <w:r>
        <w:rPr>
          <w:rFonts w:ascii="Calibri" w:hAnsi="Calibri"/>
          <w:b/>
          <w:color w:val="1B5E5E"/>
          <w:sz w:val="24"/>
        </w:rPr>
        <w:t>The three in one room</w:t>
      </w:r>
    </w:p>
    <w:p>
      <w:r>
        <w:rPr>
          <w:rFonts w:ascii="Calibri" w:hAnsi="Calibri"/>
          <w:b w:val="0"/>
          <w:i w:val="0"/>
          <w:sz w:val="21"/>
        </w:rPr>
        <w:t>Put them at one table and the argument narrows fast. The realist anchors low at EGP 7.8, insisting the land mark be haircut until collections prove it. The absorption expert counters high at EGP 9.4: the machine is selling out launches, and conservative book value denies the franchise. The macro strategist lands in the middle at EGP 8.2 and reframes the whole dispute — both of you, he says, are really arguing about one macro-sensitive number, the discount, and one execution-sensitive number, the realizable land value. They agree, grudgingly, on the shape of the disagreement: the bull case needs velocity to persist and the discount to narrow together; the bear case needs a land-mark haircut or a macro shock. Nobody at the table thinks the stock is dramatically mispriced — the fight is over EGP 7.8 to EGP 9.4, a band of about 21%, centred within a few piastres of spot.</w:t>
      </w:r>
    </w:p>
    <w:p>
      <w:r>
        <w:rPr>
          <w:rFonts w:ascii="Calibri" w:hAnsi="Calibri"/>
          <w:b/>
          <w:color w:val="1B5E5E"/>
          <w:sz w:val="24"/>
        </w:rPr>
        <w:t>Reading the divergence</w:t>
      </w:r>
    </w:p>
    <w:p>
      <w:r>
        <w:rPr>
          <w:rFonts w:ascii="Calibri" w:hAnsi="Calibri"/>
          <w:b w:val="0"/>
          <w:i w:val="0"/>
          <w:sz w:val="21"/>
        </w:rPr>
        <w:t>The spread between the three is not noise to be averaged away; it is a map of the two open questions. Almost the entire EGP 7.8–9.4 range can be reproduced by moving just two inputs — the realizable land value (Expert 1's haircut) and the structural discount (Expert 3's macro state) — while Expert 2's velocity sets how fast either resolves. That is the useful output: not a single number, but the knowledge that if you want to hold PRDC you are underwriting land that monetises near its mark and a discount that does not widen, and if you want to avoid it you are betting on a haircut or a macro shock.</w:t>
      </w:r>
    </w:p>
    <w:p>
      <w:pPr>
        <w:jc w:val="center"/>
      </w:pPr>
      <w:r>
        <w:drawing>
          <wp:inline xmlns:a="http://schemas.openxmlformats.org/drawingml/2006/main" xmlns:pic="http://schemas.openxmlformats.org/drawingml/2006/picture">
            <wp:extent cx="5760720" cy="2612608"/>
            <wp:docPr id="9" name="Picture 9"/>
            <wp:cNvGraphicFramePr>
              <a:graphicFrameLocks noChangeAspect="1"/>
            </wp:cNvGraphicFramePr>
            <a:graphic>
              <a:graphicData uri="http://schemas.openxmlformats.org/drawingml/2006/picture">
                <pic:pic>
                  <pic:nvPicPr>
                    <pic:cNvPr id="0" name="figD_experts.png"/>
                    <pic:cNvPicPr/>
                  </pic:nvPicPr>
                  <pic:blipFill>
                    <a:blip r:embed="rId17"/>
                    <a:stretch>
                      <a:fillRect/>
                    </a:stretch>
                  </pic:blipFill>
                  <pic:spPr>
                    <a:xfrm>
                      <a:off x="0" y="0"/>
                      <a:ext cx="5760720" cy="2612608"/>
                    </a:xfrm>
                    <a:prstGeom prst="rect"/>
                  </pic:spPr>
                </pic:pic>
              </a:graphicData>
            </a:graphic>
          </wp:inline>
        </w:drawing>
      </w:r>
    </w:p>
    <w:p>
      <w:r>
        <w:rPr>
          <w:rFonts w:ascii="Calibri" w:hAnsi="Calibri"/>
          <w:b w:val="0"/>
          <w:i/>
          <w:sz w:val="17"/>
        </w:rPr>
        <w:t>Figure D-1 — The three experts' fair-value ranges. The brass tick is each base case; the gold band spans the panel; the dark line is spot.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val="clear" w:fill="1B5E5E"/>
          </w:tcPr>
          <w:p>
            <w:pPr>
              <w:jc w:val="center"/>
            </w:pPr>
            <w:r/>
            <w:r>
              <w:rPr>
                <w:rFonts w:ascii="Calibri" w:hAnsi="Calibri"/>
                <w:b/>
                <w:color w:val="FFFFFF"/>
                <w:sz w:val="19"/>
              </w:rPr>
              <w:t>Expert</w:t>
            </w:r>
          </w:p>
        </w:tc>
        <w:tc>
          <w:tcPr>
            <w:tcW w:type="dxa" w:w="3312"/>
            <w:shd w:val="clear" w:fill="1B5E5E"/>
          </w:tcPr>
          <w:p>
            <w:pPr>
              <w:jc w:val="center"/>
            </w:pPr>
            <w:r/>
            <w:r>
              <w:rPr>
                <w:rFonts w:ascii="Calibri" w:hAnsi="Calibri"/>
                <w:b/>
                <w:color w:val="FFFFFF"/>
                <w:sz w:val="19"/>
              </w:rPr>
              <w:t>Method</w:t>
            </w:r>
          </w:p>
        </w:tc>
        <w:tc>
          <w:tcPr>
            <w:tcW w:type="dxa" w:w="3168"/>
            <w:shd w:val="clear" w:fill="1B5E5E"/>
          </w:tcPr>
          <w:p>
            <w:pPr>
              <w:jc w:val="center"/>
            </w:pPr>
            <w:r/>
            <w:r>
              <w:rPr>
                <w:rFonts w:ascii="Calibri" w:hAnsi="Calibri"/>
                <w:b/>
                <w:color w:val="FFFFFF"/>
                <w:sz w:val="19"/>
              </w:rPr>
              <w:t>Swing input</w:t>
            </w:r>
          </w:p>
        </w:tc>
        <w:tc>
          <w:tcPr>
            <w:tcW w:type="dxa" w:w="1728"/>
            <w:shd w:val="clear" w:fill="1B5E5E"/>
          </w:tcPr>
          <w:p>
            <w:pPr>
              <w:jc w:val="center"/>
            </w:pPr>
            <w:r/>
            <w:r>
              <w:rPr>
                <w:rFonts w:ascii="Calibri" w:hAnsi="Calibri"/>
                <w:b/>
                <w:color w:val="FFFFFF"/>
                <w:sz w:val="19"/>
              </w:rPr>
              <w:t>Fair value (EGP)</w:t>
            </w:r>
          </w:p>
        </w:tc>
      </w:tr>
      <w:tr>
        <w:tc>
          <w:tcPr>
            <w:tcW w:type="dxa" w:w="1872"/>
          </w:tcPr>
          <w:p>
            <w:r/>
            <w:r>
              <w:rPr>
                <w:rFonts w:ascii="Calibri" w:hAnsi="Calibri"/>
                <w:b w:val="0"/>
                <w:sz w:val="19"/>
              </w:rPr>
              <w:t>Expert 1</w:t>
            </w:r>
          </w:p>
        </w:tc>
        <w:tc>
          <w:tcPr>
            <w:tcW w:type="dxa" w:w="3312"/>
          </w:tcPr>
          <w:p>
            <w:pPr>
              <w:jc w:val="center"/>
            </w:pPr>
            <w:r/>
            <w:r>
              <w:rPr>
                <w:rFonts w:ascii="Calibri" w:hAnsi="Calibri"/>
                <w:b w:val="0"/>
                <w:sz w:val="19"/>
              </w:rPr>
              <w:t>RNAV + cash-conversion</w:t>
            </w:r>
          </w:p>
        </w:tc>
        <w:tc>
          <w:tcPr>
            <w:tcW w:type="dxa" w:w="3168"/>
          </w:tcPr>
          <w:p>
            <w:pPr>
              <w:jc w:val="center"/>
            </w:pPr>
            <w:r/>
            <w:r>
              <w:rPr>
                <w:rFonts w:ascii="Calibri" w:hAnsi="Calibri"/>
                <w:b w:val="0"/>
                <w:sz w:val="19"/>
              </w:rPr>
              <w:t>Land-mark haircut &amp; cash-conversion overlay</w:t>
            </w:r>
          </w:p>
        </w:tc>
        <w:tc>
          <w:tcPr>
            <w:tcW w:type="dxa" w:w="1728"/>
          </w:tcPr>
          <w:p>
            <w:pPr>
              <w:jc w:val="center"/>
            </w:pPr>
            <w:r/>
            <w:r>
              <w:rPr>
                <w:rFonts w:ascii="Calibri" w:hAnsi="Calibri"/>
                <w:b w:val="0"/>
                <w:sz w:val="19"/>
              </w:rPr>
              <w:t>7.8</w:t>
            </w:r>
          </w:p>
        </w:tc>
      </w:tr>
      <w:tr>
        <w:tc>
          <w:tcPr>
            <w:tcW w:type="dxa" w:w="1872"/>
          </w:tcPr>
          <w:p>
            <w:r/>
            <w:r>
              <w:rPr>
                <w:rFonts w:ascii="Calibri" w:hAnsi="Calibri"/>
                <w:b w:val="0"/>
                <w:sz w:val="19"/>
              </w:rPr>
              <w:t>Expert 2</w:t>
            </w:r>
          </w:p>
        </w:tc>
        <w:tc>
          <w:tcPr>
            <w:tcW w:type="dxa" w:w="3312"/>
          </w:tcPr>
          <w:p>
            <w:pPr>
              <w:jc w:val="center"/>
            </w:pPr>
            <w:r/>
            <w:r>
              <w:rPr>
                <w:rFonts w:ascii="Calibri" w:hAnsi="Calibri"/>
                <w:b w:val="0"/>
                <w:sz w:val="19"/>
              </w:rPr>
              <w:t>Absorption / sales velocity</w:t>
            </w:r>
          </w:p>
        </w:tc>
        <w:tc>
          <w:tcPr>
            <w:tcW w:type="dxa" w:w="3168"/>
          </w:tcPr>
          <w:p>
            <w:pPr>
              <w:jc w:val="center"/>
            </w:pPr>
            <w:r/>
            <w:r>
              <w:rPr>
                <w:rFonts w:ascii="Calibri" w:hAnsi="Calibri"/>
                <w:b w:val="0"/>
                <w:sz w:val="19"/>
              </w:rPr>
              <w:t>Contracted-sales velocity / recognition pace</w:t>
            </w:r>
          </w:p>
        </w:tc>
        <w:tc>
          <w:tcPr>
            <w:tcW w:type="dxa" w:w="1728"/>
          </w:tcPr>
          <w:p>
            <w:pPr>
              <w:jc w:val="center"/>
            </w:pPr>
            <w:r/>
            <w:r>
              <w:rPr>
                <w:rFonts w:ascii="Calibri" w:hAnsi="Calibri"/>
                <w:b w:val="0"/>
                <w:sz w:val="19"/>
              </w:rPr>
              <w:t>9.4</w:t>
            </w:r>
          </w:p>
        </w:tc>
      </w:tr>
      <w:tr>
        <w:tc>
          <w:tcPr>
            <w:tcW w:type="dxa" w:w="1872"/>
          </w:tcPr>
          <w:p>
            <w:r/>
            <w:r>
              <w:rPr>
                <w:rFonts w:ascii="Calibri" w:hAnsi="Calibri"/>
                <w:b w:val="0"/>
                <w:sz w:val="19"/>
              </w:rPr>
              <w:t>Expert 3</w:t>
            </w:r>
          </w:p>
        </w:tc>
        <w:tc>
          <w:tcPr>
            <w:tcW w:type="dxa" w:w="3312"/>
          </w:tcPr>
          <w:p>
            <w:pPr>
              <w:jc w:val="center"/>
            </w:pPr>
            <w:r/>
            <w:r>
              <w:rPr>
                <w:rFonts w:ascii="Calibri" w:hAnsi="Calibri"/>
                <w:b w:val="0"/>
                <w:sz w:val="19"/>
              </w:rPr>
              <w:t>Macro-policy scenarios</w:t>
            </w:r>
          </w:p>
        </w:tc>
        <w:tc>
          <w:tcPr>
            <w:tcW w:type="dxa" w:w="3168"/>
          </w:tcPr>
          <w:p>
            <w:pPr>
              <w:jc w:val="center"/>
            </w:pPr>
            <w:r/>
            <w:r>
              <w:rPr>
                <w:rFonts w:ascii="Calibri" w:hAnsi="Calibri"/>
                <w:b w:val="0"/>
                <w:sz w:val="19"/>
              </w:rPr>
              <w:t>CBE rate path, EGP, mortgage &amp; Gulf flows</w:t>
            </w:r>
          </w:p>
        </w:tc>
        <w:tc>
          <w:tcPr>
            <w:tcW w:type="dxa" w:w="1728"/>
          </w:tcPr>
          <w:p>
            <w:pPr>
              <w:jc w:val="center"/>
            </w:pPr>
            <w:r/>
            <w:r>
              <w:rPr>
                <w:rFonts w:ascii="Calibri" w:hAnsi="Calibri"/>
                <w:b w:val="0"/>
                <w:sz w:val="19"/>
              </w:rPr>
              <w:t>8.2</w:t>
            </w:r>
          </w:p>
        </w:tc>
      </w:tr>
      <w:tr>
        <w:tc>
          <w:tcPr>
            <w:tcW w:type="dxa" w:w="1872"/>
            <w:shd w:val="clear" w:fill="F1E6C8"/>
          </w:tcPr>
          <w:p>
            <w:r/>
            <w:r>
              <w:rPr>
                <w:rFonts w:ascii="Calibri" w:hAnsi="Calibri"/>
                <w:b/>
                <w:sz w:val="19"/>
              </w:rPr>
              <w:t>Panel centre</w:t>
            </w:r>
          </w:p>
        </w:tc>
        <w:tc>
          <w:tcPr>
            <w:tcW w:type="dxa" w:w="3312"/>
            <w:shd w:val="clear" w:fill="F1E6C8"/>
          </w:tcPr>
          <w:p>
            <w:pPr>
              <w:jc w:val="center"/>
            </w:pPr>
            <w:r/>
            <w:r>
              <w:rPr>
                <w:rFonts w:ascii="Calibri" w:hAnsi="Calibri"/>
                <w:b/>
                <w:sz w:val="19"/>
              </w:rPr>
              <w:t>Blend of the three</w:t>
            </w:r>
          </w:p>
        </w:tc>
        <w:tc>
          <w:tcPr>
            <w:tcW w:type="dxa" w:w="3168"/>
            <w:shd w:val="clear" w:fill="F1E6C8"/>
          </w:tcPr>
          <w:p>
            <w:pPr>
              <w:jc w:val="center"/>
            </w:pPr>
            <w:r/>
            <w:r>
              <w:rPr>
                <w:rFonts w:ascii="Calibri" w:hAnsi="Calibri"/>
                <w:b/>
                <w:sz w:val="19"/>
              </w:rPr>
              <w:t>land value + discount</w:t>
            </w:r>
          </w:p>
        </w:tc>
        <w:tc>
          <w:tcPr>
            <w:tcW w:type="dxa" w:w="1728"/>
            <w:shd w:val="clear" w:fill="F1E6C8"/>
          </w:tcPr>
          <w:p>
            <w:pPr>
              <w:jc w:val="center"/>
            </w:pPr>
            <w:r/>
            <w:r>
              <w:rPr>
                <w:rFonts w:ascii="Calibri" w:hAnsi="Calibri"/>
                <w:b/>
                <w:sz w:val="19"/>
              </w:rPr>
              <w:t>8.5</w:t>
            </w:r>
          </w:p>
        </w:tc>
      </w:tr>
    </w:tbl>
    <w:p/>
    <w:p>
      <w:r>
        <w:rPr>
          <w:rFonts w:ascii="Calibri" w:hAnsi="Calibri"/>
          <w:b w:val="0"/>
          <w:i w:val="0"/>
          <w:sz w:val="21"/>
        </w:rPr>
        <w:t>The panel centres at ~EGP 8.5, within a hair of both the model's weighted central (EGP 8.23) and spot (EGP 8.28). Three independent methods, one conclusion: PRDC is fairly valued, and what happens next is a question about land and the discount — not about the price being wrong today.</w:t>
      </w:r>
    </w:p>
    <w:p>
      <w:r>
        <w:rPr>
          <w:rFonts w:ascii="Calibri" w:hAnsi="Calibri"/>
          <w:b/>
          <w:i w:val="0"/>
          <w:sz w:val="21"/>
        </w:rPr>
        <w:t xml:space="preserve">What an investor should take from the panel. </w:t>
      </w:r>
      <w:r>
        <w:rPr>
          <w:rFonts w:ascii="Calibri" w:hAnsi="Calibri"/>
          <w:b w:val="0"/>
          <w:i w:val="0"/>
          <w:sz w:val="21"/>
        </w:rPr>
        <w:t>The value of convening three minds is not the average they produce but the checklist they leave behind. To be long PRDC from here, a reader must believe at least two of the following: that the development land bank monetises near its EGP 15 bn mark (Expert 1's crux), that contracted-sales velocity holds so the franchise keeps compounding (Expert 2's crux), and that the macro regime eases rather than shocks so the structural discount narrows (Expert 3's crux). To be bearish, a reader needs only one of those to fail — a land-mark haircut, two weak presales quarters, or a currency step. That asymmetry — three things must go right for the bull, one wrong for the bear — is why all three experts, despite their different methods, decline to call the stock cheap at spot, and why the honest posture is a wide distribution rather than a confident target. The panel does not tell you what to do; it tells you exactly which questions your own answer depends 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