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7632"/>
            <w:shd w:val="clear" w:fill="1C3A36"/>
          </w:tcPr>
          <w:p>
            <w:pPr>
              <w:spacing w:after="20" w:before="20"/>
              <w:jc w:val="left"/>
            </w:pPr>
            <w:r/>
            <w:r>
              <w:rPr>
                <w:rFonts w:ascii="Calibri" w:hAnsi="Calibri"/>
                <w:b/>
                <w:i w:val="0"/>
                <w:color w:val="FFFFFF"/>
                <w:sz w:val="18"/>
              </w:rPr>
              <w:t>Testahil  ·  Independent Valuation Study — Educational Analysis</w:t>
            </w:r>
          </w:p>
        </w:tc>
        <w:tc>
          <w:tcPr>
            <w:tcW w:type="dxa" w:w="2448"/>
            <w:shd w:val="clear" w:fill="1C3A36"/>
          </w:tcPr>
          <w:p>
            <w:pPr>
              <w:spacing w:after="20" w:before="20"/>
              <w:jc w:val="right"/>
            </w:pPr>
            <w:r/>
            <w:r>
              <w:rPr>
                <w:rFonts w:ascii="Calibri" w:hAnsi="Calibri"/>
                <w:b w:val="0"/>
                <w:i w:val="0"/>
                <w:color w:val="FFFFFF"/>
                <w:sz w:val="18"/>
              </w:rPr>
              <w:t>Not investment advice</w:t>
            </w:r>
          </w:p>
        </w:tc>
      </w:tr>
    </w:tbl>
    <w:p>
      <w:pPr>
        <w:spacing w:before="120"/>
      </w:pPr>
      <w:r>
        <w:rPr>
          <w:b/>
          <w:color w:val="1C3A36"/>
          <w:sz w:val="26"/>
        </w:rPr>
        <w:t>Independent Valuation Study — Educational Analysis</w:t>
      </w:r>
    </w:p>
    <w:p>
      <w:r>
        <w:rPr>
          <w:b/>
          <w:color w:val="1C3A36"/>
          <w:sz w:val="34"/>
        </w:rPr>
        <w:t>QNB Group  (QSE: QNBK)</w:t>
      </w:r>
    </w:p>
    <w:p>
      <w:r>
        <w:rPr>
          <w:i/>
          <w:color w:val="667070"/>
          <w:sz w:val="21"/>
        </w:rPr>
        <w:t>Fundamental analysis · Technical analysis · Monte Carlo simulation — one integrated read</w:t>
      </w:r>
    </w:p>
    <w:p>
      <w:pPr>
        <w:spacing w:after="120" w:line="259" w:lineRule="auto"/>
      </w:pPr>
      <w:r>
        <w:rPr>
          <w:rFonts w:ascii="Calibri" w:hAnsi="Calibri"/>
          <w:b/>
          <w:i w:val="0"/>
          <w:color w:val="20302C"/>
          <w:sz w:val="20"/>
        </w:rPr>
        <w:t>Anchor:</w:t>
      </w:r>
      <w:r>
        <w:rPr>
          <w:rFonts w:ascii="Calibri" w:hAnsi="Calibri"/>
          <w:b w:val="0"/>
          <w:i w:val="0"/>
          <w:color w:val="20302C"/>
          <w:sz w:val="20"/>
        </w:rPr>
        <w:t xml:space="preserve"> QAR 17.54 (05 Jul 2026 close) · 9.113 bn shares · market cap ≈ QAR 160 bn (≈ USD 44 bn) · the largest bank in the Middle East and Africa by assets (QAR 1,391 bn), 50%-owned by the Qatar Investment Authority · prices and probabilities computed 05 Jul 2026 from the attached daily history · primary lens: a two-stage dividend discount model · the swing factors are the post-Pillar-Two tax step, the 2026 rate-cut path through net interest margin, and how much of QNB's excess capital is returned.</w:t>
      </w:r>
    </w:p>
    <w:tbl>
      <w:tblPr>
        <w:tblStyle w:val="TableGrid"/>
        <w:tblW w:type="auto" w:w="0"/>
        <w:tblLook w:firstColumn="1" w:firstRow="1" w:lastColumn="0" w:lastRow="0" w:noHBand="0" w:noVBand="1" w:val="04A0"/>
      </w:tblPr>
      <w:tblGrid>
        <w:gridCol w:w="9936"/>
      </w:tblGrid>
      <w:tr>
        <w:tc>
          <w:tcPr>
            <w:tcW w:type="dxa" w:w="9936"/>
            <w:shd w:val="clear" w:fill="F2ECDD"/>
          </w:tcPr>
          <w:p>
            <w:pPr>
              <w:spacing w:after="20" w:before="20"/>
              <w:jc w:val="left"/>
            </w:pPr>
            <w:r/>
            <w:r>
              <w:rPr>
                <w:rFonts w:ascii="Calibri" w:hAnsi="Calibri"/>
                <w:b w:val="0"/>
                <w:i w:val="0"/>
                <w:color w:val="20302C"/>
                <w:sz w:val="18"/>
              </w:rPr>
              <w:t>READ FIRST — what this document is, and is not.  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 including the Qatar Financial Markets Authority — holds no brokerage or advisory authorisation, manages no money, and accepts no fees, funds or clients. See the Disclosure &amp; Disclaimer at the end. All values are model outputs presented as ranges and distributions because no single number should be relied on. Reported financials are the company's own disclosure (FY2025 results, 13 January 2026); forward-looking inputs — the earnings path, the payout and capital-return assumptions, the cost of equity, the multiples, the dividend-discount and FCFE models, and the Monte-Carlo factor probabilities — are the preparer's judgments and are flagged throughout. Consult a licensed financial advisor before any investment decision.</w:t>
            </w:r>
          </w:p>
        </w:tc>
      </w:tr>
    </w:tbl>
    <w:p>
      <w:pPr>
        <w:spacing w:before="240" w:after="80"/>
        <w:pBdr>
          <w:bottom w:val="single" w:sz="6" w:space="2" w:color="C0A45F"/>
        </w:pBdr>
      </w:pPr>
      <w:r>
        <w:rPr>
          <w:rFonts w:ascii="Calibri" w:hAnsi="Calibri"/>
          <w:b/>
          <w:color w:val="2E6E68"/>
          <w:sz w:val="30"/>
        </w:rPr>
        <w:t>Headline</w:t>
      </w:r>
    </w:p>
    <w:p>
      <w:pPr>
        <w:spacing w:after="120" w:line="259" w:lineRule="auto"/>
      </w:pPr>
      <w:r>
        <w:rPr>
          <w:rFonts w:ascii="Calibri" w:hAnsi="Calibri"/>
          <w:b/>
          <w:i w:val="0"/>
          <w:color w:val="20302C"/>
          <w:sz w:val="21"/>
        </w:rPr>
        <w:t>The model's read: fairly valued, with a modest premium to price that rests on QNB returning more of its excess capital as the rate cycle turns.</w:t>
      </w:r>
      <w:r>
        <w:rPr>
          <w:rFonts w:ascii="Calibri" w:hAnsi="Calibri"/>
          <w:b w:val="0"/>
          <w:i w:val="0"/>
          <w:color w:val="20302C"/>
          <w:sz w:val="21"/>
        </w:rPr>
        <w:t xml:space="preserve">  At QAR 17.54 the shares sit about 7% below our weighted central estimate of QAR 18.8. The four lenses cluster tightly: a two-stage dividend discount model on the actual payout lands at QAR 18.7 (+6%), a distributable-capital (FCFE) model at QAR 20.2, a P/B–RoTE relative read at QAR 18.2, and a through-cycle normalized-earnings read at QAR 17.6 — the floor. The whole answer turns on three things. First, the </w:t>
      </w:r>
      <w:r>
        <w:rPr>
          <w:rFonts w:ascii="Calibri" w:hAnsi="Calibri"/>
          <w:b/>
          <w:i w:val="0"/>
          <w:color w:val="20302C"/>
          <w:sz w:val="21"/>
        </w:rPr>
        <w:t>global-minimum-tax step</w:t>
      </w:r>
      <w:r>
        <w:rPr>
          <w:rFonts w:ascii="Calibri" w:hAnsi="Calibri"/>
          <w:b w:val="0"/>
          <w:i w:val="0"/>
          <w:color w:val="20302C"/>
          <w:sz w:val="21"/>
        </w:rPr>
        <w:t xml:space="preserve">: 2025 net profit rose only 1.7% even as pre-tax profit rose ~10%, because Pillar Two lifted QNB's effective tax rate from near-zero to ~15% — a permanent haircut to post-tax returns. Second, the </w:t>
      </w:r>
      <w:r>
        <w:rPr>
          <w:rFonts w:ascii="Calibri" w:hAnsi="Calibri"/>
          <w:b/>
          <w:i w:val="0"/>
          <w:color w:val="20302C"/>
          <w:sz w:val="21"/>
        </w:rPr>
        <w:t>2026 rate-cut path</w:t>
      </w:r>
      <w:r>
        <w:rPr>
          <w:rFonts w:ascii="Calibri" w:hAnsi="Calibri"/>
          <w:b w:val="0"/>
          <w:i w:val="0"/>
          <w:color w:val="20302C"/>
          <w:sz w:val="21"/>
        </w:rPr>
        <w:t xml:space="preserve">: as the QCB follows the Fed lower (the riyal is pegged), net interest margin compresses before volume growth offsets it. Third, and the source of the upside, the </w:t>
      </w:r>
      <w:r>
        <w:rPr>
          <w:rFonts w:ascii="Calibri" w:hAnsi="Calibri"/>
          <w:b/>
          <w:i w:val="0"/>
          <w:color w:val="20302C"/>
          <w:sz w:val="21"/>
        </w:rPr>
        <w:t>excess-capital question</w:t>
      </w:r>
      <w:r>
        <w:rPr>
          <w:rFonts w:ascii="Calibri" w:hAnsi="Calibri"/>
          <w:b w:val="0"/>
          <w:i w:val="0"/>
          <w:color w:val="20302C"/>
          <w:sz w:val="21"/>
        </w:rPr>
        <w:t>: QNB runs a 19.3% capital ratio and pays out only ~42% of earnings; the QAR 2.1bn buyback and rising interim dividends suggest a gradual return of that surplus, which is the gap between the actual-policy DDM (+6%) and the full-capacity FCFE read (+26%). Technically the tape is the mirror image of the fundamentals — below every major moving average, RSI in the high-30s, MACD below signal — so price and value are pulling gently apart. Over three months the Monte Carlo places the 5th–95th band at roughly QAR 14.0–20.9, with the median at spot.</w:t>
      </w:r>
    </w:p>
    <w:p>
      <w:pPr>
        <w:spacing w:before="240" w:after="80"/>
        <w:pBdr>
          <w:bottom w:val="single" w:sz="6" w:space="2" w:color="C0A45F"/>
        </w:pBdr>
      </w:pPr>
      <w:r>
        <w:rPr>
          <w:rFonts w:ascii="Calibri" w:hAnsi="Calibri"/>
          <w:b/>
          <w:color w:val="2E6E68"/>
          <w:sz w:val="30"/>
        </w:rPr>
        <w:t>Valuation summary — every read at a glance</w:t>
      </w:r>
    </w:p>
    <w:p>
      <w:pPr>
        <w:spacing w:after="120" w:line="259" w:lineRule="auto"/>
      </w:pPr>
      <w:r>
        <w:rPr>
          <w:rFonts w:ascii="Calibri" w:hAnsi="Calibri"/>
          <w:b w:val="0"/>
          <w:i w:val="0"/>
          <w:color w:val="20302C"/>
          <w:sz w:val="2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736"/>
            <w:shd w:val="clear" w:fill="1C3A36"/>
          </w:tcPr>
          <w:p>
            <w:pPr>
              <w:spacing w:after="20" w:before="20"/>
              <w:jc w:val="left"/>
            </w:pPr>
            <w:r/>
            <w:r>
              <w:rPr>
                <w:rFonts w:ascii="Calibri" w:hAnsi="Calibri"/>
                <w:b/>
                <w:i w:val="0"/>
                <w:color w:val="FFFFFF"/>
                <w:sz w:val="18"/>
              </w:rPr>
              <w:t>Lens / read</w:t>
            </w:r>
          </w:p>
        </w:tc>
        <w:tc>
          <w:tcPr>
            <w:tcW w:type="dxa" w:w="3024"/>
            <w:shd w:val="clear" w:fill="1C3A36"/>
          </w:tcPr>
          <w:p>
            <w:pPr>
              <w:spacing w:after="20" w:before="20"/>
              <w:jc w:val="right"/>
            </w:pPr>
            <w:r/>
            <w:r>
              <w:rPr>
                <w:rFonts w:ascii="Calibri" w:hAnsi="Calibri"/>
                <w:b/>
                <w:i w:val="0"/>
                <w:color w:val="FFFFFF"/>
                <w:sz w:val="18"/>
              </w:rPr>
              <w:t>What it measures</w:t>
            </w:r>
          </w:p>
        </w:tc>
        <w:tc>
          <w:tcPr>
            <w:tcW w:type="dxa" w:w="2520"/>
            <w:shd w:val="clear" w:fill="1C3A36"/>
          </w:tcPr>
          <w:p>
            <w:pPr>
              <w:spacing w:after="20" w:before="20"/>
              <w:jc w:val="right"/>
            </w:pPr>
            <w:r/>
            <w:r>
              <w:rPr>
                <w:rFonts w:ascii="Calibri" w:hAnsi="Calibri"/>
                <w:b/>
                <w:i w:val="0"/>
                <w:color w:val="FFFFFF"/>
                <w:sz w:val="18"/>
              </w:rPr>
              <w:t>Output</w:t>
            </w:r>
          </w:p>
        </w:tc>
        <w:tc>
          <w:tcPr>
            <w:tcW w:type="dxa" w:w="1944"/>
            <w:shd w:val="clear" w:fill="1C3A36"/>
          </w:tcPr>
          <w:p>
            <w:pPr>
              <w:spacing w:after="20" w:before="20"/>
              <w:jc w:val="right"/>
            </w:pPr>
            <w:r/>
            <w:r>
              <w:rPr>
                <w:rFonts w:ascii="Calibri" w:hAnsi="Calibri"/>
                <w:b/>
                <w:i w:val="0"/>
                <w:color w:val="FFFFFF"/>
                <w:sz w:val="18"/>
              </w:rPr>
              <w:t>Takeaway</w:t>
            </w:r>
          </w:p>
        </w:tc>
      </w:tr>
      <w:tr>
        <w:tc>
          <w:tcPr>
            <w:tcW w:type="dxa" w:w="1944"/>
            <w:gridSpan w:val="4"/>
            <w:shd w:val="clear" w:fill="DCEAE8"/>
          </w:tcPr>
          <w:p>
            <w:pPr>
              <w:spacing w:after="20" w:before="20"/>
              <w:jc w:val="left"/>
            </w:pPr>
            <w:r/>
            <w:r>
              <w:rPr>
                <w:rFonts w:ascii="Calibri" w:hAnsi="Calibri"/>
                <w:b/>
                <w:i w:val="0"/>
                <w:color w:val="1C3A36"/>
                <w:sz w:val="18"/>
              </w:rPr>
              <w:t>FUNDAMENTAL — what the business is worth (the anchor)</w:t>
            </w:r>
          </w:p>
        </w:tc>
      </w:tr>
      <w:tr>
        <w:tc>
          <w:tcPr>
            <w:tcW w:type="dxa" w:w="2736"/>
          </w:tcPr>
          <w:p>
            <w:pPr>
              <w:spacing w:after="20" w:before="20"/>
              <w:jc w:val="left"/>
            </w:pPr>
            <w:r/>
            <w:r>
              <w:rPr>
                <w:rFonts w:ascii="Calibri" w:hAnsi="Calibri"/>
                <w:b w:val="0"/>
                <w:i w:val="0"/>
                <w:color w:val="20302C"/>
                <w:sz w:val="18"/>
              </w:rPr>
              <w:t>Dividend discount model (primary)</w:t>
            </w:r>
          </w:p>
        </w:tc>
        <w:tc>
          <w:tcPr>
            <w:tcW w:type="dxa" w:w="3024"/>
          </w:tcPr>
          <w:p>
            <w:pPr>
              <w:spacing w:after="20" w:before="20"/>
              <w:jc w:val="right"/>
            </w:pPr>
            <w:r/>
            <w:r>
              <w:rPr>
                <w:rFonts w:ascii="Calibri" w:hAnsi="Calibri"/>
                <w:b w:val="0"/>
                <w:i w:val="0"/>
                <w:color w:val="20302C"/>
                <w:sz w:val="18"/>
              </w:rPr>
              <w:t>PV of dividends on actual policy</w:t>
            </w:r>
          </w:p>
        </w:tc>
        <w:tc>
          <w:tcPr>
            <w:tcW w:type="dxa" w:w="2520"/>
          </w:tcPr>
          <w:p>
            <w:pPr>
              <w:spacing w:after="20" w:before="20"/>
              <w:jc w:val="right"/>
            </w:pPr>
            <w:r/>
            <w:r>
              <w:rPr>
                <w:rFonts w:ascii="Calibri" w:hAnsi="Calibri"/>
                <w:b w:val="0"/>
                <w:i w:val="0"/>
                <w:color w:val="20302C"/>
                <w:sz w:val="18"/>
              </w:rPr>
              <w:t>QAR 18.7</w:t>
            </w:r>
          </w:p>
        </w:tc>
        <w:tc>
          <w:tcPr>
            <w:tcW w:type="dxa" w:w="1944"/>
          </w:tcPr>
          <w:p>
            <w:pPr>
              <w:spacing w:after="20" w:before="20"/>
              <w:jc w:val="right"/>
            </w:pPr>
            <w:r/>
            <w:r>
              <w:rPr>
                <w:rFonts w:ascii="Calibri" w:hAnsi="Calibri"/>
                <w:b w:val="0"/>
                <w:i w:val="0"/>
                <w:color w:val="20302C"/>
                <w:sz w:val="18"/>
              </w:rPr>
              <w:t>+6% vs spot</w:t>
            </w:r>
          </w:p>
        </w:tc>
      </w:tr>
      <w:tr>
        <w:tc>
          <w:tcPr>
            <w:tcW w:type="dxa" w:w="2736"/>
          </w:tcPr>
          <w:p>
            <w:pPr>
              <w:spacing w:after="20" w:before="20"/>
              <w:jc w:val="left"/>
            </w:pPr>
            <w:r/>
            <w:r>
              <w:rPr>
                <w:rFonts w:ascii="Calibri" w:hAnsi="Calibri"/>
                <w:b w:val="0"/>
                <w:i w:val="0"/>
                <w:color w:val="20302C"/>
                <w:sz w:val="18"/>
              </w:rPr>
              <w:t>FCFE / distributable capital</w:t>
            </w:r>
          </w:p>
        </w:tc>
        <w:tc>
          <w:tcPr>
            <w:tcW w:type="dxa" w:w="3024"/>
          </w:tcPr>
          <w:p>
            <w:pPr>
              <w:spacing w:after="20" w:before="20"/>
              <w:jc w:val="right"/>
            </w:pPr>
            <w:r/>
            <w:r>
              <w:rPr>
                <w:rFonts w:ascii="Calibri" w:hAnsi="Calibri"/>
                <w:b w:val="0"/>
                <w:i w:val="0"/>
                <w:color w:val="20302C"/>
                <w:sz w:val="18"/>
              </w:rPr>
              <w:t>Discounted distributable earnings</w:t>
            </w:r>
          </w:p>
        </w:tc>
        <w:tc>
          <w:tcPr>
            <w:tcW w:type="dxa" w:w="2520"/>
          </w:tcPr>
          <w:p>
            <w:pPr>
              <w:spacing w:after="20" w:before="20"/>
              <w:jc w:val="right"/>
            </w:pPr>
            <w:r/>
            <w:r>
              <w:rPr>
                <w:rFonts w:ascii="Calibri" w:hAnsi="Calibri"/>
                <w:b w:val="0"/>
                <w:i w:val="0"/>
                <w:color w:val="20302C"/>
                <w:sz w:val="18"/>
              </w:rPr>
              <w:t>QAR 20.2</w:t>
            </w:r>
          </w:p>
        </w:tc>
        <w:tc>
          <w:tcPr>
            <w:tcW w:type="dxa" w:w="1944"/>
          </w:tcPr>
          <w:p>
            <w:pPr>
              <w:spacing w:after="20" w:before="20"/>
              <w:jc w:val="right"/>
            </w:pPr>
            <w:r/>
            <w:r>
              <w:rPr>
                <w:rFonts w:ascii="Calibri" w:hAnsi="Calibri"/>
                <w:b w:val="0"/>
                <w:i w:val="0"/>
                <w:color w:val="20302C"/>
                <w:sz w:val="18"/>
              </w:rPr>
              <w:t>+15%</w:t>
            </w:r>
          </w:p>
        </w:tc>
      </w:tr>
      <w:tr>
        <w:tc>
          <w:tcPr>
            <w:tcW w:type="dxa" w:w="2736"/>
          </w:tcPr>
          <w:p>
            <w:pPr>
              <w:spacing w:after="20" w:before="20"/>
              <w:jc w:val="left"/>
            </w:pPr>
            <w:r/>
            <w:r>
              <w:rPr>
                <w:rFonts w:ascii="Calibri" w:hAnsi="Calibri"/>
                <w:b w:val="0"/>
                <w:i w:val="0"/>
                <w:color w:val="20302C"/>
                <w:sz w:val="18"/>
              </w:rPr>
              <w:t>Relative multiples</w:t>
            </w:r>
          </w:p>
        </w:tc>
        <w:tc>
          <w:tcPr>
            <w:tcW w:type="dxa" w:w="3024"/>
          </w:tcPr>
          <w:p>
            <w:pPr>
              <w:spacing w:after="20" w:before="20"/>
              <w:jc w:val="right"/>
            </w:pPr>
            <w:r/>
            <w:r>
              <w:rPr>
                <w:rFonts w:ascii="Calibri" w:hAnsi="Calibri"/>
                <w:b w:val="0"/>
                <w:i w:val="0"/>
                <w:color w:val="20302C"/>
                <w:sz w:val="18"/>
              </w:rPr>
              <w:t>Justified P/B–RoTE + peer</w:t>
            </w:r>
          </w:p>
        </w:tc>
        <w:tc>
          <w:tcPr>
            <w:tcW w:type="dxa" w:w="2520"/>
          </w:tcPr>
          <w:p>
            <w:pPr>
              <w:spacing w:after="20" w:before="20"/>
              <w:jc w:val="right"/>
            </w:pPr>
            <w:r/>
            <w:r>
              <w:rPr>
                <w:rFonts w:ascii="Calibri" w:hAnsi="Calibri"/>
                <w:b w:val="0"/>
                <w:i w:val="0"/>
                <w:color w:val="20302C"/>
                <w:sz w:val="18"/>
              </w:rPr>
              <w:t>QAR 18.2</w:t>
            </w:r>
          </w:p>
        </w:tc>
        <w:tc>
          <w:tcPr>
            <w:tcW w:type="dxa" w:w="1944"/>
          </w:tcPr>
          <w:p>
            <w:pPr>
              <w:spacing w:after="20" w:before="20"/>
              <w:jc w:val="right"/>
            </w:pPr>
            <w:r/>
            <w:r>
              <w:rPr>
                <w:rFonts w:ascii="Calibri" w:hAnsi="Calibri"/>
                <w:b w:val="0"/>
                <w:i w:val="0"/>
                <w:color w:val="20302C"/>
                <w:sz w:val="18"/>
              </w:rPr>
              <w:t>+4%</w:t>
            </w:r>
          </w:p>
        </w:tc>
      </w:tr>
      <w:tr>
        <w:tc>
          <w:tcPr>
            <w:tcW w:type="dxa" w:w="2736"/>
          </w:tcPr>
          <w:p>
            <w:pPr>
              <w:spacing w:after="20" w:before="20"/>
              <w:jc w:val="left"/>
            </w:pPr>
            <w:r/>
            <w:r>
              <w:rPr>
                <w:rFonts w:ascii="Calibri" w:hAnsi="Calibri"/>
                <w:b w:val="0"/>
                <w:i w:val="0"/>
                <w:color w:val="20302C"/>
                <w:sz w:val="18"/>
              </w:rPr>
              <w:t>Normalized earnings</w:t>
            </w:r>
          </w:p>
        </w:tc>
        <w:tc>
          <w:tcPr>
            <w:tcW w:type="dxa" w:w="3024"/>
          </w:tcPr>
          <w:p>
            <w:pPr>
              <w:spacing w:after="20" w:before="20"/>
              <w:jc w:val="right"/>
            </w:pPr>
            <w:r/>
            <w:r>
              <w:rPr>
                <w:rFonts w:ascii="Calibri" w:hAnsi="Calibri"/>
                <w:b w:val="0"/>
                <w:i w:val="0"/>
                <w:color w:val="20302C"/>
                <w:sz w:val="18"/>
              </w:rPr>
              <w:t>Through-cycle RoTE power</w:t>
            </w:r>
          </w:p>
        </w:tc>
        <w:tc>
          <w:tcPr>
            <w:tcW w:type="dxa" w:w="2520"/>
          </w:tcPr>
          <w:p>
            <w:pPr>
              <w:spacing w:after="20" w:before="20"/>
              <w:jc w:val="right"/>
            </w:pPr>
            <w:r/>
            <w:r>
              <w:rPr>
                <w:rFonts w:ascii="Calibri" w:hAnsi="Calibri"/>
                <w:b w:val="0"/>
                <w:i w:val="0"/>
                <w:color w:val="20302C"/>
                <w:sz w:val="18"/>
              </w:rPr>
              <w:t>QAR 17.6</w:t>
            </w:r>
          </w:p>
        </w:tc>
        <w:tc>
          <w:tcPr>
            <w:tcW w:type="dxa" w:w="1944"/>
          </w:tcPr>
          <w:p>
            <w:pPr>
              <w:spacing w:after="20" w:before="20"/>
              <w:jc w:val="right"/>
            </w:pPr>
            <w:r/>
            <w:r>
              <w:rPr>
                <w:rFonts w:ascii="Calibri" w:hAnsi="Calibri"/>
                <w:b w:val="0"/>
                <w:i w:val="0"/>
                <w:color w:val="20302C"/>
                <w:sz w:val="18"/>
              </w:rPr>
              <w:t>+0% · the floor</w:t>
            </w:r>
          </w:p>
        </w:tc>
      </w:tr>
      <w:tr>
        <w:tc>
          <w:tcPr>
            <w:tcW w:type="dxa" w:w="2736"/>
            <w:shd w:val="clear" w:fill="F2ECDD"/>
          </w:tcPr>
          <w:p>
            <w:pPr>
              <w:spacing w:after="20" w:before="20"/>
              <w:jc w:val="left"/>
            </w:pPr>
            <w:r/>
            <w:r>
              <w:rPr>
                <w:rFonts w:ascii="Calibri" w:hAnsi="Calibri"/>
                <w:b/>
                <w:i w:val="0"/>
                <w:color w:val="20302C"/>
                <w:sz w:val="18"/>
              </w:rPr>
              <w:t>Weighted central</w:t>
            </w:r>
          </w:p>
        </w:tc>
        <w:tc>
          <w:tcPr>
            <w:tcW w:type="dxa" w:w="3024"/>
            <w:shd w:val="clear" w:fill="F2ECDD"/>
          </w:tcPr>
          <w:p>
            <w:pPr>
              <w:spacing w:after="20" w:before="20"/>
              <w:jc w:val="right"/>
            </w:pPr>
            <w:r/>
            <w:r>
              <w:rPr>
                <w:rFonts w:ascii="Calibri" w:hAnsi="Calibri"/>
                <w:b/>
                <w:i w:val="0"/>
                <w:color w:val="20302C"/>
                <w:sz w:val="18"/>
              </w:rPr>
              <w:t>Blend 40 / 25 / 15 / 20</w:t>
            </w:r>
          </w:p>
        </w:tc>
        <w:tc>
          <w:tcPr>
            <w:tcW w:type="dxa" w:w="2520"/>
            <w:shd w:val="clear" w:fill="F2ECDD"/>
          </w:tcPr>
          <w:p>
            <w:pPr>
              <w:spacing w:after="20" w:before="20"/>
              <w:jc w:val="right"/>
            </w:pPr>
            <w:r/>
            <w:r>
              <w:rPr>
                <w:rFonts w:ascii="Calibri" w:hAnsi="Calibri"/>
                <w:b/>
                <w:i w:val="0"/>
                <w:color w:val="20302C"/>
                <w:sz w:val="18"/>
              </w:rPr>
              <w:t>QAR 18.8</w:t>
            </w:r>
          </w:p>
        </w:tc>
        <w:tc>
          <w:tcPr>
            <w:tcW w:type="dxa" w:w="1944"/>
            <w:shd w:val="clear" w:fill="F2ECDD"/>
          </w:tcPr>
          <w:p>
            <w:pPr>
              <w:spacing w:after="20" w:before="20"/>
              <w:jc w:val="right"/>
            </w:pPr>
            <w:r/>
            <w:r>
              <w:rPr>
                <w:rFonts w:ascii="Calibri" w:hAnsi="Calibri"/>
                <w:b/>
                <w:i w:val="0"/>
                <w:color w:val="20302C"/>
                <w:sz w:val="18"/>
              </w:rPr>
              <w:t>+7% vs QAR 17.54</w:t>
            </w:r>
          </w:p>
        </w:tc>
      </w:tr>
      <w:tr>
        <w:tc>
          <w:tcPr>
            <w:tcW w:type="dxa" w:w="1944"/>
            <w:gridSpan w:val="4"/>
            <w:shd w:val="clear" w:fill="DCEAE8"/>
          </w:tcPr>
          <w:p>
            <w:pPr>
              <w:spacing w:after="20" w:before="20"/>
              <w:jc w:val="left"/>
            </w:pPr>
            <w:r/>
            <w:r>
              <w:rPr>
                <w:rFonts w:ascii="Calibri" w:hAnsi="Calibri"/>
                <w:b/>
                <w:i w:val="0"/>
                <w:color w:val="1C3A36"/>
                <w:sz w:val="18"/>
              </w:rPr>
              <w:t>TECHNICAL — what the tape is doing (timing, not value)</w:t>
            </w:r>
          </w:p>
        </w:tc>
      </w:tr>
      <w:tr>
        <w:tc>
          <w:tcPr>
            <w:tcW w:type="dxa" w:w="2736"/>
          </w:tcPr>
          <w:p>
            <w:pPr>
              <w:spacing w:after="20" w:before="20"/>
              <w:jc w:val="left"/>
            </w:pPr>
            <w:r/>
            <w:r>
              <w:rPr>
                <w:rFonts w:ascii="Calibri" w:hAnsi="Calibri"/>
                <w:b w:val="0"/>
                <w:i w:val="0"/>
                <w:color w:val="20302C"/>
                <w:sz w:val="18"/>
              </w:rPr>
              <w:t>Trend &amp; momentum</w:t>
            </w:r>
          </w:p>
        </w:tc>
        <w:tc>
          <w:tcPr>
            <w:tcW w:type="dxa" w:w="3024"/>
          </w:tcPr>
          <w:p>
            <w:pPr>
              <w:spacing w:after="20" w:before="20"/>
              <w:jc w:val="right"/>
            </w:pPr>
            <w:r/>
            <w:r>
              <w:rPr>
                <w:rFonts w:ascii="Calibri" w:hAnsi="Calibri"/>
                <w:b w:val="0"/>
                <w:i w:val="0"/>
                <w:color w:val="20302C"/>
                <w:sz w:val="18"/>
              </w:rPr>
              <w:t>Price vs 20/50/100/200-day</w:t>
            </w:r>
          </w:p>
        </w:tc>
        <w:tc>
          <w:tcPr>
            <w:tcW w:type="dxa" w:w="2520"/>
          </w:tcPr>
          <w:p>
            <w:pPr>
              <w:spacing w:after="20" w:before="20"/>
              <w:jc w:val="right"/>
            </w:pPr>
            <w:r/>
            <w:r>
              <w:rPr>
                <w:rFonts w:ascii="Calibri" w:hAnsi="Calibri"/>
                <w:b w:val="0"/>
                <w:i w:val="0"/>
                <w:color w:val="20302C"/>
                <w:sz w:val="18"/>
              </w:rPr>
              <w:t>Below all four</w:t>
            </w:r>
          </w:p>
        </w:tc>
        <w:tc>
          <w:tcPr>
            <w:tcW w:type="dxa" w:w="1944"/>
          </w:tcPr>
          <w:p>
            <w:pPr>
              <w:spacing w:after="20" w:before="20"/>
              <w:jc w:val="right"/>
            </w:pPr>
            <w:r/>
            <w:r>
              <w:rPr>
                <w:rFonts w:ascii="Calibri" w:hAnsi="Calibri"/>
                <w:b w:val="0"/>
                <w:i w:val="0"/>
                <w:color w:val="20302C"/>
                <w:sz w:val="18"/>
              </w:rPr>
              <w:t>Weak, corrective</w:t>
            </w:r>
          </w:p>
        </w:tc>
      </w:tr>
      <w:tr>
        <w:tc>
          <w:tcPr>
            <w:tcW w:type="dxa" w:w="2736"/>
          </w:tcPr>
          <w:p>
            <w:pPr>
              <w:spacing w:after="20" w:before="20"/>
              <w:jc w:val="left"/>
            </w:pPr>
            <w:r/>
            <w:r>
              <w:rPr>
                <w:rFonts w:ascii="Calibri" w:hAnsi="Calibri"/>
                <w:b w:val="0"/>
                <w:i w:val="0"/>
                <w:color w:val="20302C"/>
                <w:sz w:val="18"/>
              </w:rPr>
              <w:t>Momentum / range</w:t>
            </w:r>
          </w:p>
        </w:tc>
        <w:tc>
          <w:tcPr>
            <w:tcW w:type="dxa" w:w="3024"/>
          </w:tcPr>
          <w:p>
            <w:pPr>
              <w:spacing w:after="20" w:before="20"/>
              <w:jc w:val="right"/>
            </w:pPr>
            <w:r/>
            <w:r>
              <w:rPr>
                <w:rFonts w:ascii="Calibri" w:hAnsi="Calibri"/>
                <w:b w:val="0"/>
                <w:i w:val="0"/>
                <w:color w:val="20302C"/>
                <w:sz w:val="18"/>
              </w:rPr>
              <w:t>RSI · MACD · 52-week range</w:t>
            </w:r>
          </w:p>
        </w:tc>
        <w:tc>
          <w:tcPr>
            <w:tcW w:type="dxa" w:w="2520"/>
          </w:tcPr>
          <w:p>
            <w:pPr>
              <w:spacing w:after="20" w:before="20"/>
              <w:jc w:val="right"/>
            </w:pPr>
            <w:r/>
            <w:r>
              <w:rPr>
                <w:rFonts w:ascii="Calibri" w:hAnsi="Calibri"/>
                <w:b w:val="0"/>
                <w:i w:val="0"/>
                <w:color w:val="20302C"/>
                <w:sz w:val="18"/>
              </w:rPr>
              <w:t>RSI 38 · MACD -0.04h · QAR 16.7–20.4</w:t>
            </w:r>
          </w:p>
        </w:tc>
        <w:tc>
          <w:tcPr>
            <w:tcW w:type="dxa" w:w="1944"/>
          </w:tcPr>
          <w:p>
            <w:pPr>
              <w:spacing w:after="20" w:before="20"/>
              <w:jc w:val="right"/>
            </w:pPr>
            <w:r/>
            <w:r>
              <w:rPr>
                <w:rFonts w:ascii="Calibri" w:hAnsi="Calibri"/>
                <w:b w:val="0"/>
                <w:i w:val="0"/>
                <w:color w:val="20302C"/>
                <w:sz w:val="18"/>
              </w:rPr>
              <w:t>Soft</w:t>
            </w:r>
          </w:p>
        </w:tc>
      </w:tr>
      <w:tr>
        <w:tc>
          <w:tcPr>
            <w:tcW w:type="dxa" w:w="1944"/>
            <w:gridSpan w:val="4"/>
            <w:shd w:val="clear" w:fill="DCEAE8"/>
          </w:tcPr>
          <w:p>
            <w:pPr>
              <w:spacing w:after="20" w:before="20"/>
              <w:jc w:val="left"/>
            </w:pPr>
            <w:r/>
            <w:r>
              <w:rPr>
                <w:rFonts w:ascii="Calibri" w:hAnsi="Calibri"/>
                <w:b/>
                <w:i w:val="0"/>
                <w:color w:val="1C3A36"/>
                <w:sz w:val="18"/>
              </w:rPr>
              <w:t>MONTE CARLO — where price could go in 3 months (paths from spot)</w:t>
            </w:r>
          </w:p>
        </w:tc>
      </w:tr>
      <w:tr>
        <w:tc>
          <w:tcPr>
            <w:tcW w:type="dxa" w:w="2736"/>
          </w:tcPr>
          <w:p>
            <w:pPr>
              <w:spacing w:after="20" w:before="20"/>
              <w:jc w:val="left"/>
            </w:pPr>
            <w:r/>
            <w:r>
              <w:rPr>
                <w:rFonts w:ascii="Calibri" w:hAnsi="Calibri"/>
                <w:b w:val="0"/>
                <w:i w:val="0"/>
                <w:color w:val="20302C"/>
                <w:sz w:val="18"/>
              </w:rPr>
              <w:t>T+20 sessions</w:t>
            </w:r>
          </w:p>
        </w:tc>
        <w:tc>
          <w:tcPr>
            <w:tcW w:type="dxa" w:w="3024"/>
          </w:tcPr>
          <w:p>
            <w:pPr>
              <w:spacing w:after="20" w:before="20"/>
              <w:jc w:val="right"/>
            </w:pPr>
            <w:r/>
            <w:r>
              <w:rPr>
                <w:rFonts w:ascii="Calibri" w:hAnsi="Calibri"/>
                <w:b w:val="0"/>
                <w:i w:val="0"/>
                <w:color w:val="20302C"/>
                <w:sz w:val="18"/>
              </w:rPr>
              <w:t>50,000 paths · 16 factors</w:t>
            </w:r>
          </w:p>
        </w:tc>
        <w:tc>
          <w:tcPr>
            <w:tcW w:type="dxa" w:w="2520"/>
          </w:tcPr>
          <w:p>
            <w:pPr>
              <w:spacing w:after="20" w:before="20"/>
              <w:jc w:val="right"/>
            </w:pPr>
            <w:r/>
            <w:r>
              <w:rPr>
                <w:rFonts w:ascii="Calibri" w:hAnsi="Calibri"/>
                <w:b w:val="0"/>
                <w:i w:val="0"/>
                <w:color w:val="20302C"/>
                <w:sz w:val="18"/>
              </w:rPr>
              <w:t>p5 15.3 · p50 17.5 · p95 19.6</w:t>
            </w:r>
          </w:p>
        </w:tc>
        <w:tc>
          <w:tcPr>
            <w:tcW w:type="dxa" w:w="1944"/>
          </w:tcPr>
          <w:p>
            <w:pPr>
              <w:spacing w:after="20" w:before="20"/>
              <w:jc w:val="right"/>
            </w:pPr>
            <w:r/>
            <w:r>
              <w:rPr>
                <w:rFonts w:ascii="Calibri" w:hAnsi="Calibri"/>
                <w:b w:val="0"/>
                <w:i w:val="0"/>
                <w:color w:val="20302C"/>
                <w:sz w:val="18"/>
              </w:rPr>
              <w:t>Median ≈ spot</w:t>
            </w:r>
          </w:p>
        </w:tc>
      </w:tr>
      <w:tr>
        <w:tc>
          <w:tcPr>
            <w:tcW w:type="dxa" w:w="2736"/>
          </w:tcPr>
          <w:p>
            <w:pPr>
              <w:spacing w:after="20" w:before="20"/>
              <w:jc w:val="left"/>
            </w:pPr>
            <w:r/>
            <w:r>
              <w:rPr>
                <w:rFonts w:ascii="Calibri" w:hAnsi="Calibri"/>
                <w:b w:val="0"/>
                <w:i w:val="0"/>
                <w:color w:val="20302C"/>
                <w:sz w:val="18"/>
              </w:rPr>
              <w:t>T+60 sessions</w:t>
            </w:r>
          </w:p>
        </w:tc>
        <w:tc>
          <w:tcPr>
            <w:tcW w:type="dxa" w:w="3024"/>
          </w:tcPr>
          <w:p>
            <w:pPr>
              <w:spacing w:after="20" w:before="20"/>
              <w:jc w:val="right"/>
            </w:pPr>
            <w:r/>
            <w:r>
              <w:rPr>
                <w:rFonts w:ascii="Calibri" w:hAnsi="Calibri"/>
                <w:b w:val="0"/>
                <w:i w:val="0"/>
                <w:color w:val="20302C"/>
                <w:sz w:val="18"/>
              </w:rPr>
              <w:t>same engine, longer horizon</w:t>
            </w:r>
          </w:p>
        </w:tc>
        <w:tc>
          <w:tcPr>
            <w:tcW w:type="dxa" w:w="2520"/>
          </w:tcPr>
          <w:p>
            <w:pPr>
              <w:spacing w:after="20" w:before="20"/>
              <w:jc w:val="right"/>
            </w:pPr>
            <w:r/>
            <w:r>
              <w:rPr>
                <w:rFonts w:ascii="Calibri" w:hAnsi="Calibri"/>
                <w:b w:val="0"/>
                <w:i w:val="0"/>
                <w:color w:val="20302C"/>
                <w:sz w:val="18"/>
              </w:rPr>
              <w:t>p5 14.0 · p50 17.2 · p95 20.9</w:t>
            </w:r>
          </w:p>
        </w:tc>
        <w:tc>
          <w:tcPr>
            <w:tcW w:type="dxa" w:w="1944"/>
          </w:tcPr>
          <w:p>
            <w:pPr>
              <w:spacing w:after="20" w:before="20"/>
              <w:jc w:val="right"/>
            </w:pPr>
            <w:r/>
            <w:r>
              <w:rPr>
                <w:rFonts w:ascii="Calibri" w:hAnsi="Calibri"/>
                <w:b w:val="0"/>
                <w:i w:val="0"/>
                <w:color w:val="20302C"/>
                <w:sz w:val="18"/>
              </w:rPr>
              <w:t>Wide, mild left tail</w:t>
            </w:r>
          </w:p>
        </w:tc>
      </w:tr>
      <w:tr>
        <w:tc>
          <w:tcPr>
            <w:tcW w:type="dxa" w:w="1944"/>
            <w:gridSpan w:val="4"/>
            <w:shd w:val="clear" w:fill="DCEAE8"/>
          </w:tcPr>
          <w:p>
            <w:pPr>
              <w:spacing w:after="20" w:before="20"/>
              <w:jc w:val="left"/>
            </w:pPr>
            <w:r/>
            <w:r>
              <w:rPr>
                <w:rFonts w:ascii="Calibri" w:hAnsi="Calibri"/>
                <w:b/>
                <w:i w:val="0"/>
                <w:color w:val="1C3A36"/>
                <w:sz w:val="18"/>
              </w:rPr>
              <w:t>EXPERT PANEL — three independent methods (Appendix D)</w:t>
            </w:r>
          </w:p>
        </w:tc>
      </w:tr>
      <w:tr>
        <w:tc>
          <w:tcPr>
            <w:tcW w:type="dxa" w:w="2736"/>
          </w:tcPr>
          <w:p>
            <w:pPr>
              <w:spacing w:after="20" w:before="20"/>
              <w:jc w:val="left"/>
            </w:pPr>
            <w:r/>
            <w:r>
              <w:rPr>
                <w:rFonts w:ascii="Calibri" w:hAnsi="Calibri"/>
                <w:b w:val="0"/>
                <w:i w:val="0"/>
                <w:color w:val="20302C"/>
                <w:sz w:val="18"/>
              </w:rPr>
              <w:t>Expert 1 — capital &amp; returns</w:t>
            </w:r>
          </w:p>
        </w:tc>
        <w:tc>
          <w:tcPr>
            <w:tcW w:type="dxa" w:w="3024"/>
          </w:tcPr>
          <w:p>
            <w:pPr>
              <w:spacing w:after="20" w:before="20"/>
              <w:jc w:val="right"/>
            </w:pPr>
            <w:r/>
            <w:r>
              <w:rPr>
                <w:rFonts w:ascii="Calibri" w:hAnsi="Calibri"/>
                <w:b w:val="0"/>
                <w:i w:val="0"/>
                <w:color w:val="20302C"/>
                <w:sz w:val="18"/>
              </w:rPr>
              <w:t>DDM / P-B on RoTE vs Ke</w:t>
            </w:r>
          </w:p>
        </w:tc>
        <w:tc>
          <w:tcPr>
            <w:tcW w:type="dxa" w:w="2520"/>
          </w:tcPr>
          <w:p>
            <w:pPr>
              <w:spacing w:after="20" w:before="20"/>
              <w:jc w:val="right"/>
            </w:pPr>
            <w:r/>
            <w:r>
              <w:rPr>
                <w:rFonts w:ascii="Calibri" w:hAnsi="Calibri"/>
                <w:b w:val="0"/>
                <w:i w:val="0"/>
                <w:color w:val="20302C"/>
                <w:sz w:val="18"/>
              </w:rPr>
              <w:t>QAR 18.7</w:t>
            </w:r>
          </w:p>
        </w:tc>
        <w:tc>
          <w:tcPr>
            <w:tcW w:type="dxa" w:w="1944"/>
          </w:tcPr>
          <w:p>
            <w:pPr>
              <w:spacing w:after="20" w:before="20"/>
              <w:jc w:val="right"/>
            </w:pPr>
            <w:r/>
            <w:r>
              <w:rPr>
                <w:rFonts w:ascii="Calibri" w:hAnsi="Calibri"/>
                <w:b w:val="0"/>
                <w:i w:val="0"/>
                <w:color w:val="20302C"/>
                <w:sz w:val="18"/>
              </w:rPr>
              <w:t>The anchor</w:t>
            </w:r>
          </w:p>
        </w:tc>
      </w:tr>
      <w:tr>
        <w:tc>
          <w:tcPr>
            <w:tcW w:type="dxa" w:w="2736"/>
          </w:tcPr>
          <w:p>
            <w:pPr>
              <w:spacing w:after="20" w:before="20"/>
              <w:jc w:val="left"/>
            </w:pPr>
            <w:r/>
            <w:r>
              <w:rPr>
                <w:rFonts w:ascii="Calibri" w:hAnsi="Calibri"/>
                <w:b w:val="0"/>
                <w:i w:val="0"/>
                <w:color w:val="20302C"/>
                <w:sz w:val="18"/>
              </w:rPr>
              <w:t>Expert 2 — credit cycle</w:t>
            </w:r>
          </w:p>
        </w:tc>
        <w:tc>
          <w:tcPr>
            <w:tcW w:type="dxa" w:w="3024"/>
          </w:tcPr>
          <w:p>
            <w:pPr>
              <w:spacing w:after="20" w:before="20"/>
              <w:jc w:val="right"/>
            </w:pPr>
            <w:r/>
            <w:r>
              <w:rPr>
                <w:rFonts w:ascii="Calibri" w:hAnsi="Calibri"/>
                <w:b w:val="0"/>
                <w:i w:val="0"/>
                <w:color w:val="20302C"/>
                <w:sz w:val="18"/>
              </w:rPr>
              <w:t>Through-cycle cost of risk</w:t>
            </w:r>
          </w:p>
        </w:tc>
        <w:tc>
          <w:tcPr>
            <w:tcW w:type="dxa" w:w="2520"/>
          </w:tcPr>
          <w:p>
            <w:pPr>
              <w:spacing w:after="20" w:before="20"/>
              <w:jc w:val="right"/>
            </w:pPr>
            <w:r/>
            <w:r>
              <w:rPr>
                <w:rFonts w:ascii="Calibri" w:hAnsi="Calibri"/>
                <w:b w:val="0"/>
                <w:i w:val="0"/>
                <w:color w:val="20302C"/>
                <w:sz w:val="18"/>
              </w:rPr>
              <w:t>QAR 16.9</w:t>
            </w:r>
          </w:p>
        </w:tc>
        <w:tc>
          <w:tcPr>
            <w:tcW w:type="dxa" w:w="1944"/>
          </w:tcPr>
          <w:p>
            <w:pPr>
              <w:spacing w:after="20" w:before="20"/>
              <w:jc w:val="right"/>
            </w:pPr>
            <w:r/>
            <w:r>
              <w:rPr>
                <w:rFonts w:ascii="Calibri" w:hAnsi="Calibri"/>
                <w:b w:val="0"/>
                <w:i w:val="0"/>
                <w:color w:val="20302C"/>
                <w:sz w:val="18"/>
              </w:rPr>
              <w:t>Most conservative</w:t>
            </w:r>
          </w:p>
        </w:tc>
      </w:tr>
      <w:tr>
        <w:tc>
          <w:tcPr>
            <w:tcW w:type="dxa" w:w="2736"/>
          </w:tcPr>
          <w:p>
            <w:pPr>
              <w:spacing w:after="20" w:before="20"/>
              <w:jc w:val="left"/>
            </w:pPr>
            <w:r/>
            <w:r>
              <w:rPr>
                <w:rFonts w:ascii="Calibri" w:hAnsi="Calibri"/>
                <w:b w:val="0"/>
                <w:i w:val="0"/>
                <w:color w:val="20302C"/>
                <w:sz w:val="18"/>
              </w:rPr>
              <w:t>Expert 3 — macro-policy</w:t>
            </w:r>
          </w:p>
        </w:tc>
        <w:tc>
          <w:tcPr>
            <w:tcW w:type="dxa" w:w="3024"/>
          </w:tcPr>
          <w:p>
            <w:pPr>
              <w:spacing w:after="20" w:before="20"/>
              <w:jc w:val="right"/>
            </w:pPr>
            <w:r/>
            <w:r>
              <w:rPr>
                <w:rFonts w:ascii="Calibri" w:hAnsi="Calibri"/>
                <w:b w:val="0"/>
                <w:i w:val="0"/>
                <w:color w:val="20302C"/>
                <w:sz w:val="18"/>
              </w:rPr>
              <w:t>LNG / rates / capital return</w:t>
            </w:r>
          </w:p>
        </w:tc>
        <w:tc>
          <w:tcPr>
            <w:tcW w:type="dxa" w:w="2520"/>
          </w:tcPr>
          <w:p>
            <w:pPr>
              <w:spacing w:after="20" w:before="20"/>
              <w:jc w:val="right"/>
            </w:pPr>
            <w:r/>
            <w:r>
              <w:rPr>
                <w:rFonts w:ascii="Calibri" w:hAnsi="Calibri"/>
                <w:b w:val="0"/>
                <w:i w:val="0"/>
                <w:color w:val="20302C"/>
                <w:sz w:val="18"/>
              </w:rPr>
              <w:t>QAR 20.4</w:t>
            </w:r>
          </w:p>
        </w:tc>
        <w:tc>
          <w:tcPr>
            <w:tcW w:type="dxa" w:w="1944"/>
          </w:tcPr>
          <w:p>
            <w:pPr>
              <w:spacing w:after="20" w:before="20"/>
              <w:jc w:val="right"/>
            </w:pPr>
            <w:r/>
            <w:r>
              <w:rPr>
                <w:rFonts w:ascii="Calibri" w:hAnsi="Calibri"/>
                <w:b w:val="0"/>
                <w:i w:val="0"/>
                <w:color w:val="20302C"/>
                <w:sz w:val="18"/>
              </w:rPr>
              <w:t>Most bullish</w:t>
            </w:r>
          </w:p>
        </w:tc>
      </w:tr>
      <w:tr>
        <w:tc>
          <w:tcPr>
            <w:tcW w:type="dxa" w:w="2736"/>
            <w:shd w:val="clear" w:fill="F2ECDD"/>
          </w:tcPr>
          <w:p>
            <w:pPr>
              <w:spacing w:after="20" w:before="20"/>
              <w:jc w:val="left"/>
            </w:pPr>
            <w:r/>
            <w:r>
              <w:rPr>
                <w:rFonts w:ascii="Calibri" w:hAnsi="Calibri"/>
                <w:b/>
                <w:i w:val="0"/>
                <w:color w:val="20302C"/>
                <w:sz w:val="18"/>
              </w:rPr>
              <w:t>Panel range</w:t>
            </w:r>
          </w:p>
        </w:tc>
        <w:tc>
          <w:tcPr>
            <w:tcW w:type="dxa" w:w="3024"/>
            <w:shd w:val="clear" w:fill="F2ECDD"/>
          </w:tcPr>
          <w:p>
            <w:pPr>
              <w:spacing w:after="20" w:before="20"/>
              <w:jc w:val="right"/>
            </w:pPr>
            <w:r/>
            <w:r>
              <w:rPr>
                <w:rFonts w:ascii="Calibri" w:hAnsi="Calibri"/>
                <w:b/>
                <w:i w:val="0"/>
                <w:color w:val="20302C"/>
                <w:sz w:val="18"/>
              </w:rPr>
              <w:t>Spread = tax &amp; credit vs LNG</w:t>
            </w:r>
          </w:p>
        </w:tc>
        <w:tc>
          <w:tcPr>
            <w:tcW w:type="dxa" w:w="2520"/>
            <w:shd w:val="clear" w:fill="F2ECDD"/>
          </w:tcPr>
          <w:p>
            <w:pPr>
              <w:spacing w:after="20" w:before="20"/>
              <w:jc w:val="right"/>
            </w:pPr>
            <w:r/>
            <w:r>
              <w:rPr>
                <w:rFonts w:ascii="Calibri" w:hAnsi="Calibri"/>
                <w:b/>
                <w:i w:val="0"/>
                <w:color w:val="20302C"/>
                <w:sz w:val="18"/>
              </w:rPr>
              <w:t>QAR 16.9–20.4</w:t>
            </w:r>
          </w:p>
        </w:tc>
        <w:tc>
          <w:tcPr>
            <w:tcW w:type="dxa" w:w="1944"/>
            <w:shd w:val="clear" w:fill="F2ECDD"/>
          </w:tcPr>
          <w:p>
            <w:pPr>
              <w:spacing w:after="20" w:before="20"/>
              <w:jc w:val="right"/>
            </w:pPr>
            <w:r/>
            <w:r>
              <w:rPr>
                <w:rFonts w:ascii="Calibri" w:hAnsi="Calibri"/>
                <w:b/>
                <w:i w:val="0"/>
                <w:color w:val="20302C"/>
                <w:sz w:val="18"/>
              </w:rPr>
              <w:t>Centres ≈ QAR 18.7</w:t>
            </w:r>
          </w:p>
        </w:tc>
      </w:tr>
    </w:tbl>
    <w:p>
      <w:pPr>
        <w:spacing w:after="120" w:line="259" w:lineRule="auto"/>
      </w:pPr>
      <w:r>
        <w:rPr>
          <w:rFonts w:ascii="Calibri" w:hAnsi="Calibri"/>
          <w:b/>
          <w:i w:val="0"/>
          <w:color w:val="20302C"/>
          <w:sz w:val="20"/>
        </w:rPr>
        <w:t>Bottom line.</w:t>
      </w:r>
      <w:r>
        <w:rPr>
          <w:rFonts w:ascii="Calibri" w:hAnsi="Calibri"/>
          <w:b w:val="0"/>
          <w:i w:val="0"/>
          <w:color w:val="20302C"/>
          <w:sz w:val="20"/>
        </w:rPr>
        <w:t xml:space="preserve"> Every read points the same way on value and disagrees only on magnitude. The fundamental central sits near QAR 18.8 — about 7% above the QAR 17.54 spot — the three experts span QAR 16.9–20.4, and each turns on a single question: whether QNB's post-tax through-cycle return justifies a premium to its book, and whether the surplus capital is returned. The market prices QNB at ~1.48× book, which — solved back through the same model — implies a cost of equity of ~11.3%, a meaningful risk premium over our 10.5% base for the emerging-market (Türkiye, Egypt) and concentration risks. The three-month distribution centres on price, not fair value, because the simulation does not assume the gap closes inside the quarter.</w:t>
      </w:r>
    </w:p>
    <w:p>
      <w:pPr>
        <w:spacing w:before="240" w:after="80"/>
        <w:pBdr>
          <w:bottom w:val="single" w:sz="6" w:space="2" w:color="C0A45F"/>
        </w:pBdr>
      </w:pPr>
      <w:r>
        <w:rPr>
          <w:rFonts w:ascii="Calibri" w:hAnsi="Calibri"/>
          <w:b/>
          <w:color w:val="2E6E68"/>
          <w:sz w:val="30"/>
        </w:rPr>
        <w:t>Company overview — QNB Group at a glance</w:t>
      </w:r>
    </w:p>
    <w:tbl>
      <w:tblPr>
        <w:tblStyle w:val="TableGrid"/>
        <w:tblW w:type="auto" w:w="0"/>
        <w:jc w:val="center"/>
        <w:tblLook w:firstColumn="1" w:firstRow="1" w:lastColumn="0" w:lastRow="0" w:noHBand="0" w:noVBand="1" w:val="04A0"/>
      </w:tblPr>
      <w:tblGrid>
        <w:gridCol w:w="4968"/>
        <w:gridCol w:w="4968"/>
      </w:tblGrid>
      <w:tr>
        <w:tc>
          <w:tcPr>
            <w:tcW w:type="dxa" w:w="3312"/>
            <w:shd w:val="clear" w:fill="1C3A36"/>
          </w:tcPr>
          <w:p>
            <w:pPr>
              <w:spacing w:after="20" w:before="20"/>
              <w:jc w:val="left"/>
            </w:pPr>
            <w:r/>
            <w:r>
              <w:rPr>
                <w:rFonts w:ascii="Calibri" w:hAnsi="Calibri"/>
                <w:b/>
                <w:i w:val="0"/>
                <w:color w:val="FFFFFF"/>
                <w:sz w:val="18"/>
              </w:rPr>
              <w:t>Item</w:t>
            </w:r>
          </w:p>
        </w:tc>
        <w:tc>
          <w:tcPr>
            <w:tcW w:type="dxa" w:w="6768"/>
            <w:shd w:val="clear" w:fill="1C3A36"/>
          </w:tcPr>
          <w:p>
            <w:pPr>
              <w:spacing w:after="20" w:before="20"/>
              <w:jc w:val="right"/>
            </w:pPr>
            <w:r/>
            <w:r>
              <w:rPr>
                <w:rFonts w:ascii="Calibri" w:hAnsi="Calibri"/>
                <w:b/>
                <w:i w:val="0"/>
                <w:color w:val="FFFFFF"/>
                <w:sz w:val="18"/>
              </w:rPr>
              <w:t>Value</w:t>
            </w:r>
          </w:p>
        </w:tc>
      </w:tr>
      <w:tr>
        <w:tc>
          <w:tcPr>
            <w:tcW w:type="dxa" w:w="3312"/>
          </w:tcPr>
          <w:p>
            <w:pPr>
              <w:spacing w:after="20" w:before="20"/>
              <w:jc w:val="left"/>
            </w:pPr>
            <w:r/>
            <w:r>
              <w:rPr>
                <w:rFonts w:ascii="Calibri" w:hAnsi="Calibri"/>
                <w:b w:val="0"/>
                <w:i w:val="0"/>
                <w:color w:val="20302C"/>
                <w:sz w:val="18"/>
              </w:rPr>
              <w:t>Listed entity</w:t>
            </w:r>
          </w:p>
        </w:tc>
        <w:tc>
          <w:tcPr>
            <w:tcW w:type="dxa" w:w="6768"/>
          </w:tcPr>
          <w:p>
            <w:pPr>
              <w:spacing w:after="20" w:before="20"/>
              <w:jc w:val="right"/>
            </w:pPr>
            <w:r/>
            <w:r>
              <w:rPr>
                <w:rFonts w:ascii="Calibri" w:hAnsi="Calibri"/>
                <w:b w:val="0"/>
                <w:i w:val="0"/>
                <w:color w:val="20302C"/>
                <w:sz w:val="18"/>
              </w:rPr>
              <w:t>QNB Group Q.P.S.C. (QSE: QNBK; Doha)</w:t>
            </w:r>
          </w:p>
        </w:tc>
      </w:tr>
      <w:tr>
        <w:tc>
          <w:tcPr>
            <w:tcW w:type="dxa" w:w="3312"/>
          </w:tcPr>
          <w:p>
            <w:pPr>
              <w:spacing w:after="20" w:before="20"/>
              <w:jc w:val="left"/>
            </w:pPr>
            <w:r/>
            <w:r>
              <w:rPr>
                <w:rFonts w:ascii="Calibri" w:hAnsi="Calibri"/>
                <w:b w:val="0"/>
                <w:i w:val="0"/>
                <w:color w:val="20302C"/>
                <w:sz w:val="18"/>
              </w:rPr>
              <w:t>What it is</w:t>
            </w:r>
          </w:p>
        </w:tc>
        <w:tc>
          <w:tcPr>
            <w:tcW w:type="dxa" w:w="6768"/>
          </w:tcPr>
          <w:p>
            <w:pPr>
              <w:spacing w:after="20" w:before="20"/>
              <w:jc w:val="right"/>
            </w:pPr>
            <w:r/>
            <w:r>
              <w:rPr>
                <w:rFonts w:ascii="Calibri" w:hAnsi="Calibri"/>
                <w:b w:val="0"/>
                <w:i w:val="0"/>
                <w:color w:val="20302C"/>
                <w:sz w:val="18"/>
              </w:rPr>
              <w:t>Largest bank in the Middle East &amp; Africa by assets; ~50% owned by the Qatar Investment Authority (sovereign wealth fund)</w:t>
            </w:r>
          </w:p>
        </w:tc>
      </w:tr>
      <w:tr>
        <w:tc>
          <w:tcPr>
            <w:tcW w:type="dxa" w:w="3312"/>
          </w:tcPr>
          <w:p>
            <w:pPr>
              <w:spacing w:after="20" w:before="20"/>
              <w:jc w:val="left"/>
            </w:pPr>
            <w:r/>
            <w:r>
              <w:rPr>
                <w:rFonts w:ascii="Calibri" w:hAnsi="Calibri"/>
                <w:b w:val="0"/>
                <w:i w:val="0"/>
                <w:color w:val="20302C"/>
                <w:sz w:val="18"/>
              </w:rPr>
              <w:t>Footprint</w:t>
            </w:r>
          </w:p>
        </w:tc>
        <w:tc>
          <w:tcPr>
            <w:tcW w:type="dxa" w:w="6768"/>
          </w:tcPr>
          <w:p>
            <w:pPr>
              <w:spacing w:after="20" w:before="20"/>
              <w:jc w:val="right"/>
            </w:pPr>
            <w:r/>
            <w:r>
              <w:rPr>
                <w:rFonts w:ascii="Calibri" w:hAnsi="Calibri"/>
                <w:b w:val="0"/>
                <w:i w:val="0"/>
                <w:color w:val="20302C"/>
                <w:sz w:val="18"/>
              </w:rPr>
              <w:t>~28 countries, ~900 locations, ~31,000 staff; core Qatar plus QNB Finansbank (Türkiye) and QNB Alahli (Egypt)</w:t>
            </w:r>
          </w:p>
        </w:tc>
      </w:tr>
      <w:tr>
        <w:tc>
          <w:tcPr>
            <w:tcW w:type="dxa" w:w="3312"/>
          </w:tcPr>
          <w:p>
            <w:pPr>
              <w:spacing w:after="20" w:before="20"/>
              <w:jc w:val="left"/>
            </w:pPr>
            <w:r/>
            <w:r>
              <w:rPr>
                <w:rFonts w:ascii="Calibri" w:hAnsi="Calibri"/>
                <w:b w:val="0"/>
                <w:i w:val="0"/>
                <w:color w:val="20302C"/>
                <w:sz w:val="18"/>
              </w:rPr>
              <w:t>Spot / date</w:t>
            </w:r>
          </w:p>
        </w:tc>
        <w:tc>
          <w:tcPr>
            <w:tcW w:type="dxa" w:w="6768"/>
          </w:tcPr>
          <w:p>
            <w:pPr>
              <w:spacing w:after="20" w:before="20"/>
              <w:jc w:val="right"/>
            </w:pPr>
            <w:r/>
            <w:r>
              <w:rPr>
                <w:rFonts w:ascii="Calibri" w:hAnsi="Calibri"/>
                <w:b w:val="0"/>
                <w:i w:val="0"/>
                <w:color w:val="20302C"/>
                <w:sz w:val="18"/>
              </w:rPr>
              <w:t>QAR 17.54 · 05 Jul 2026 close</w:t>
            </w:r>
          </w:p>
        </w:tc>
      </w:tr>
      <w:tr>
        <w:tc>
          <w:tcPr>
            <w:tcW w:type="dxa" w:w="3312"/>
          </w:tcPr>
          <w:p>
            <w:pPr>
              <w:spacing w:after="20" w:before="20"/>
              <w:jc w:val="left"/>
            </w:pPr>
            <w:r/>
            <w:r>
              <w:rPr>
                <w:rFonts w:ascii="Calibri" w:hAnsi="Calibri"/>
                <w:b w:val="0"/>
                <w:i w:val="0"/>
                <w:color w:val="20302C"/>
                <w:sz w:val="18"/>
              </w:rPr>
              <w:t>Shares · market cap</w:t>
            </w:r>
          </w:p>
        </w:tc>
        <w:tc>
          <w:tcPr>
            <w:tcW w:type="dxa" w:w="6768"/>
          </w:tcPr>
          <w:p>
            <w:pPr>
              <w:spacing w:after="20" w:before="20"/>
              <w:jc w:val="right"/>
            </w:pPr>
            <w:r/>
            <w:r>
              <w:rPr>
                <w:rFonts w:ascii="Calibri" w:hAnsi="Calibri"/>
                <w:b w:val="0"/>
                <w:i w:val="0"/>
                <w:color w:val="20302C"/>
                <w:sz w:val="18"/>
              </w:rPr>
              <w:t>9.113 bn · QAR 160 bn (≈ USD 44 bn)</w:t>
            </w:r>
          </w:p>
        </w:tc>
      </w:tr>
      <w:tr>
        <w:tc>
          <w:tcPr>
            <w:tcW w:type="dxa" w:w="3312"/>
          </w:tcPr>
          <w:p>
            <w:pPr>
              <w:spacing w:after="20" w:before="20"/>
              <w:jc w:val="left"/>
            </w:pPr>
            <w:r/>
            <w:r>
              <w:rPr>
                <w:rFonts w:ascii="Calibri" w:hAnsi="Calibri"/>
                <w:b w:val="0"/>
                <w:i w:val="0"/>
                <w:color w:val="20302C"/>
                <w:sz w:val="18"/>
              </w:rPr>
              <w:t>FY25 net profit / EPS</w:t>
            </w:r>
          </w:p>
        </w:tc>
        <w:tc>
          <w:tcPr>
            <w:tcW w:type="dxa" w:w="6768"/>
          </w:tcPr>
          <w:p>
            <w:pPr>
              <w:spacing w:after="20" w:before="20"/>
              <w:jc w:val="right"/>
            </w:pPr>
            <w:r/>
            <w:r>
              <w:rPr>
                <w:rFonts w:ascii="Calibri" w:hAnsi="Calibri"/>
                <w:b w:val="0"/>
                <w:i w:val="0"/>
                <w:color w:val="20302C"/>
                <w:sz w:val="18"/>
              </w:rPr>
              <w:t>QAR 17.0 bn (+1.7%) · EPS QAR 1.74</w:t>
            </w:r>
          </w:p>
        </w:tc>
      </w:tr>
      <w:tr>
        <w:tc>
          <w:tcPr>
            <w:tcW w:type="dxa" w:w="3312"/>
          </w:tcPr>
          <w:p>
            <w:pPr>
              <w:spacing w:after="20" w:before="20"/>
              <w:jc w:val="left"/>
            </w:pPr>
            <w:r/>
            <w:r>
              <w:rPr>
                <w:rFonts w:ascii="Calibri" w:hAnsi="Calibri"/>
                <w:b w:val="0"/>
                <w:i w:val="0"/>
                <w:color w:val="20302C"/>
                <w:sz w:val="18"/>
              </w:rPr>
              <w:t>FY25 operating income</w:t>
            </w:r>
          </w:p>
        </w:tc>
        <w:tc>
          <w:tcPr>
            <w:tcW w:type="dxa" w:w="6768"/>
          </w:tcPr>
          <w:p>
            <w:pPr>
              <w:spacing w:after="20" w:before="20"/>
              <w:jc w:val="right"/>
            </w:pPr>
            <w:r/>
            <w:r>
              <w:rPr>
                <w:rFonts w:ascii="Calibri" w:hAnsi="Calibri"/>
                <w:b w:val="0"/>
                <w:i w:val="0"/>
                <w:color w:val="20302C"/>
                <w:sz w:val="18"/>
              </w:rPr>
              <w:t>QAR 44.8 bn (+8%)</w:t>
            </w:r>
          </w:p>
        </w:tc>
      </w:tr>
      <w:tr>
        <w:tc>
          <w:tcPr>
            <w:tcW w:type="dxa" w:w="3312"/>
          </w:tcPr>
          <w:p>
            <w:pPr>
              <w:spacing w:after="20" w:before="20"/>
              <w:jc w:val="left"/>
            </w:pPr>
            <w:r/>
            <w:r>
              <w:rPr>
                <w:rFonts w:ascii="Calibri" w:hAnsi="Calibri"/>
                <w:b w:val="0"/>
                <w:i w:val="0"/>
                <w:color w:val="20302C"/>
                <w:sz w:val="18"/>
              </w:rPr>
              <w:t>Total assets / loans / deposits</w:t>
            </w:r>
          </w:p>
        </w:tc>
        <w:tc>
          <w:tcPr>
            <w:tcW w:type="dxa" w:w="6768"/>
          </w:tcPr>
          <w:p>
            <w:pPr>
              <w:spacing w:after="20" w:before="20"/>
              <w:jc w:val="right"/>
            </w:pPr>
            <w:r/>
            <w:r>
              <w:rPr>
                <w:rFonts w:ascii="Calibri" w:hAnsi="Calibri"/>
                <w:b w:val="0"/>
                <w:i w:val="0"/>
                <w:color w:val="20302C"/>
                <w:sz w:val="18"/>
              </w:rPr>
              <w:t>QAR 1,391 / 1,018 / 955 bn</w:t>
            </w:r>
          </w:p>
        </w:tc>
      </w:tr>
      <w:tr>
        <w:tc>
          <w:tcPr>
            <w:tcW w:type="dxa" w:w="3312"/>
          </w:tcPr>
          <w:p>
            <w:pPr>
              <w:spacing w:after="20" w:before="20"/>
              <w:jc w:val="left"/>
            </w:pPr>
            <w:r/>
            <w:r>
              <w:rPr>
                <w:rFonts w:ascii="Calibri" w:hAnsi="Calibri"/>
                <w:b w:val="0"/>
                <w:i w:val="0"/>
                <w:color w:val="20302C"/>
                <w:sz w:val="18"/>
              </w:rPr>
              <w:t>Capital / asset quality</w:t>
            </w:r>
          </w:p>
        </w:tc>
        <w:tc>
          <w:tcPr>
            <w:tcW w:type="dxa" w:w="6768"/>
          </w:tcPr>
          <w:p>
            <w:pPr>
              <w:spacing w:after="20" w:before="20"/>
              <w:jc w:val="right"/>
            </w:pPr>
            <w:r/>
            <w:r>
              <w:rPr>
                <w:rFonts w:ascii="Calibri" w:hAnsi="Calibri"/>
                <w:b w:val="0"/>
                <w:i w:val="0"/>
                <w:color w:val="20302C"/>
                <w:sz w:val="18"/>
              </w:rPr>
              <w:t>CAR 19.3% · NPL 2.6% · coverage 100%</w:t>
            </w:r>
          </w:p>
        </w:tc>
      </w:tr>
      <w:tr>
        <w:tc>
          <w:tcPr>
            <w:tcW w:type="dxa" w:w="3312"/>
          </w:tcPr>
          <w:p>
            <w:pPr>
              <w:spacing w:after="20" w:before="20"/>
              <w:jc w:val="left"/>
            </w:pPr>
            <w:r/>
            <w:r>
              <w:rPr>
                <w:rFonts w:ascii="Calibri" w:hAnsi="Calibri"/>
                <w:b w:val="0"/>
                <w:i w:val="0"/>
                <w:color w:val="20302C"/>
                <w:sz w:val="18"/>
              </w:rPr>
              <w:t>Efficiency / margin</w:t>
            </w:r>
          </w:p>
        </w:tc>
        <w:tc>
          <w:tcPr>
            <w:tcW w:type="dxa" w:w="6768"/>
          </w:tcPr>
          <w:p>
            <w:pPr>
              <w:spacing w:after="20" w:before="20"/>
              <w:jc w:val="right"/>
            </w:pPr>
            <w:r/>
            <w:r>
              <w:rPr>
                <w:rFonts w:ascii="Calibri" w:hAnsi="Calibri"/>
                <w:b w:val="0"/>
                <w:i w:val="0"/>
                <w:color w:val="20302C"/>
                <w:sz w:val="18"/>
              </w:rPr>
              <w:t>Cost/income 23.3% · NIM ~2.6% · cost of risk ~85–90 bps</w:t>
            </w:r>
          </w:p>
        </w:tc>
      </w:tr>
      <w:tr>
        <w:tc>
          <w:tcPr>
            <w:tcW w:type="dxa" w:w="3312"/>
          </w:tcPr>
          <w:p>
            <w:pPr>
              <w:spacing w:after="20" w:before="20"/>
              <w:jc w:val="left"/>
            </w:pPr>
            <w:r/>
            <w:r>
              <w:rPr>
                <w:rFonts w:ascii="Calibri" w:hAnsi="Calibri"/>
                <w:b w:val="0"/>
                <w:i w:val="0"/>
                <w:color w:val="20302C"/>
                <w:sz w:val="18"/>
              </w:rPr>
              <w:t>Dividend</w:t>
            </w:r>
          </w:p>
        </w:tc>
        <w:tc>
          <w:tcPr>
            <w:tcW w:type="dxa" w:w="6768"/>
          </w:tcPr>
          <w:p>
            <w:pPr>
              <w:spacing w:after="20" w:before="20"/>
              <w:jc w:val="right"/>
            </w:pPr>
            <w:r/>
            <w:r>
              <w:rPr>
                <w:rFonts w:ascii="Calibri" w:hAnsi="Calibri"/>
                <w:b w:val="0"/>
                <w:i w:val="0"/>
                <w:color w:val="20302C"/>
                <w:sz w:val="18"/>
              </w:rPr>
              <w:t>DPS QAR 0.725 (FY25) · yield 4.1% · 22-year track record</w:t>
            </w:r>
          </w:p>
        </w:tc>
      </w:tr>
      <w:tr>
        <w:tc>
          <w:tcPr>
            <w:tcW w:type="dxa" w:w="3312"/>
          </w:tcPr>
          <w:p>
            <w:pPr>
              <w:spacing w:after="20" w:before="20"/>
              <w:jc w:val="left"/>
            </w:pPr>
            <w:r/>
            <w:r>
              <w:rPr>
                <w:rFonts w:ascii="Calibri" w:hAnsi="Calibri"/>
                <w:b w:val="0"/>
                <w:i w:val="0"/>
                <w:color w:val="20302C"/>
                <w:sz w:val="18"/>
              </w:rPr>
              <w:t>Valuation now</w:t>
            </w:r>
          </w:p>
        </w:tc>
        <w:tc>
          <w:tcPr>
            <w:tcW w:type="dxa" w:w="6768"/>
          </w:tcPr>
          <w:p>
            <w:pPr>
              <w:spacing w:after="20" w:before="20"/>
              <w:jc w:val="right"/>
            </w:pPr>
            <w:r/>
            <w:r>
              <w:rPr>
                <w:rFonts w:ascii="Calibri" w:hAnsi="Calibri"/>
                <w:b w:val="0"/>
                <w:i w:val="0"/>
                <w:color w:val="20302C"/>
                <w:sz w:val="18"/>
              </w:rPr>
              <w:t>P/E 10.1× · P/B 1.48× · RoTE ~16%</w:t>
            </w:r>
          </w:p>
        </w:tc>
      </w:tr>
      <w:tr>
        <w:tc>
          <w:tcPr>
            <w:tcW w:type="dxa" w:w="3312"/>
          </w:tcPr>
          <w:p>
            <w:pPr>
              <w:spacing w:after="20" w:before="20"/>
              <w:jc w:val="left"/>
            </w:pPr>
            <w:r/>
            <w:r>
              <w:rPr>
                <w:rFonts w:ascii="Calibri" w:hAnsi="Calibri"/>
                <w:b w:val="0"/>
                <w:i w:val="0"/>
                <w:color w:val="20302C"/>
                <w:sz w:val="18"/>
              </w:rPr>
              <w:t>Chairman · Group CEO</w:t>
            </w:r>
          </w:p>
        </w:tc>
        <w:tc>
          <w:tcPr>
            <w:tcW w:type="dxa" w:w="6768"/>
          </w:tcPr>
          <w:p>
            <w:pPr>
              <w:spacing w:after="20" w:before="20"/>
              <w:jc w:val="right"/>
            </w:pPr>
            <w:r/>
            <w:r>
              <w:rPr>
                <w:rFonts w:ascii="Calibri" w:hAnsi="Calibri"/>
                <w:b w:val="0"/>
                <w:i w:val="0"/>
                <w:color w:val="20302C"/>
                <w:sz w:val="18"/>
              </w:rPr>
              <w:t>Sheikh Bandar bin Mohammed bin Saoud Al Thani · Abdulla Mubarak Al Khalifa</w:t>
            </w:r>
          </w:p>
        </w:tc>
      </w:tr>
    </w:tbl>
    <w:p>
      <w:pPr>
        <w:spacing w:after="160" w:before="40"/>
      </w:pPr>
      <w:r>
        <w:rPr>
          <w:rFonts w:ascii="Calibri" w:hAnsi="Calibri"/>
          <w:i/>
          <w:color w:val="667070"/>
          <w:sz w:val="17"/>
        </w:rPr>
        <w:t>Source: QNB Group FY2023–FY2025 results (qnb.com), Qatar Stock Exchange disclosures, exchange data. Values rounded; equity split (AT1/NCI) and per-share book are the preparer's reconstruction.</w:t>
      </w:r>
    </w:p>
    <w:p>
      <w:pPr>
        <w:spacing w:before="240" w:after="80"/>
        <w:pBdr>
          <w:bottom w:val="single" w:sz="6" w:space="2" w:color="C0A45F"/>
        </w:pBdr>
      </w:pPr>
      <w:r>
        <w:rPr>
          <w:rFonts w:ascii="Calibri" w:hAnsi="Calibri"/>
          <w:b/>
          <w:color w:val="2E6E68"/>
          <w:sz w:val="30"/>
        </w:rPr>
        <w:t>1  Fundamental valuation</w:t>
      </w:r>
    </w:p>
    <w:p>
      <w:pPr>
        <w:spacing w:after="120" w:line="259" w:lineRule="auto"/>
      </w:pPr>
      <w:r>
        <w:rPr>
          <w:rFonts w:ascii="Calibri" w:hAnsi="Calibri"/>
          <w:b w:val="0"/>
          <w:i w:val="0"/>
          <w:color w:val="20302C"/>
          <w:sz w:val="21"/>
        </w:rPr>
        <w:t xml:space="preserve">We value QNB as a bank, and for a bank the natural anchor is the stream of cash it can return to owners, discounted at the cost of equity. Our primary lens is therefore a </w:t>
      </w:r>
      <w:r>
        <w:rPr>
          <w:rFonts w:ascii="Calibri" w:hAnsi="Calibri"/>
          <w:b/>
          <w:i w:val="0"/>
          <w:color w:val="20302C"/>
          <w:sz w:val="21"/>
        </w:rPr>
        <w:t>two-stage dividend discount model</w:t>
      </w:r>
      <w:r>
        <w:rPr>
          <w:rFonts w:ascii="Calibri" w:hAnsi="Calibri"/>
          <w:b w:val="0"/>
          <w:i w:val="0"/>
          <w:color w:val="20302C"/>
          <w:sz w:val="21"/>
        </w:rPr>
        <w:t>; three cross-checks complete the set — a distributable-capital (FCFE) model that asks what QNB could pay if it distributed its full surplus, a relative P/B–RoTE read against Gulf peers, and a through-cycle normalized-earnings-power read. The weights and the football field are in §1.5; the swing factors — the Pillar-Two tax step, the rate-cut margin path and the excess-capital question — are dissected in §1.7, the macro backdrop in §1.8, and the sensitivity grid in §1.9. Two clocks are kept apart throughout: the ~12-month risk-adjusted fair value on QNB's actual dividend policy, and the higher ceiling implied by returning its full distributable capacity — the second is a multi-year outcome, never a near-term target.</w:t>
      </w:r>
    </w:p>
    <w:p>
      <w:pPr>
        <w:spacing w:before="180" w:after="40"/>
      </w:pPr>
      <w:r>
        <w:rPr>
          <w:rFonts w:ascii="Calibri" w:hAnsi="Calibri"/>
          <w:b/>
          <w:color w:val="1C3A36"/>
          <w:sz w:val="24"/>
        </w:rPr>
        <w:t>1.1  Two-stage dividend discount model — the primary lens</w:t>
      </w:r>
    </w:p>
    <w:p>
      <w:pPr>
        <w:spacing w:after="120" w:line="259" w:lineRule="auto"/>
      </w:pPr>
      <w:r>
        <w:rPr>
          <w:rFonts w:ascii="Calibri" w:hAnsi="Calibri"/>
          <w:b w:val="0"/>
          <w:i w:val="0"/>
          <w:color w:val="20302C"/>
          <w:sz w:val="21"/>
        </w:rPr>
        <w:t>We grow FY25 EPS of QAR 1.74 at 4% in FY26 — deliberately muted for the rate-cut margin drag and the first full year of Pillar-Two tax — then re-accelerating to 5–7% as loan growth (2025: +12%) compounds and the buyback shrinks the share count. The payout rises gently from 43% toward 47%, and we apply a conservative 60% terminal payout. Every dividend is discounted at a cost of equity Ke = rf + β·ERP = 4.5% + 1.10·5.5% = 10.5%, and the terminal value capitalizes year-5 earnings at (Ke − g) with g = 4.8%.</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2736"/>
            <w:shd w:val="clear" w:fill="1C3A36"/>
          </w:tcPr>
          <w:p>
            <w:pPr>
              <w:spacing w:after="20" w:before="20"/>
              <w:jc w:val="left"/>
            </w:pPr>
            <w:r/>
            <w:r>
              <w:rPr>
                <w:rFonts w:ascii="Calibri" w:hAnsi="Calibri"/>
                <w:b/>
                <w:i w:val="0"/>
                <w:color w:val="FFFFFF"/>
                <w:sz w:val="18"/>
              </w:rPr>
              <w:t>Line</w:t>
            </w:r>
          </w:p>
        </w:tc>
        <w:tc>
          <w:tcPr>
            <w:tcW w:type="dxa" w:w="1224"/>
            <w:shd w:val="clear" w:fill="1C3A36"/>
          </w:tcPr>
          <w:p>
            <w:pPr>
              <w:spacing w:after="20" w:before="20"/>
              <w:jc w:val="right"/>
            </w:pPr>
            <w:r/>
            <w:r>
              <w:rPr>
                <w:rFonts w:ascii="Calibri" w:hAnsi="Calibri"/>
                <w:b/>
                <w:i w:val="0"/>
                <w:color w:val="FFFFFF"/>
                <w:sz w:val="18"/>
              </w:rPr>
              <w:t>FY25</w:t>
            </w:r>
          </w:p>
        </w:tc>
        <w:tc>
          <w:tcPr>
            <w:tcW w:type="dxa" w:w="1224"/>
            <w:shd w:val="clear" w:fill="1C3A36"/>
          </w:tcPr>
          <w:p>
            <w:pPr>
              <w:spacing w:after="20" w:before="20"/>
              <w:jc w:val="right"/>
            </w:pPr>
            <w:r/>
            <w:r>
              <w:rPr>
                <w:rFonts w:ascii="Calibri" w:hAnsi="Calibri"/>
                <w:b/>
                <w:i w:val="0"/>
                <w:color w:val="FFFFFF"/>
                <w:sz w:val="18"/>
              </w:rPr>
              <w:t>FY26E</w:t>
            </w:r>
          </w:p>
        </w:tc>
        <w:tc>
          <w:tcPr>
            <w:tcW w:type="dxa" w:w="1224"/>
            <w:shd w:val="clear" w:fill="1C3A36"/>
          </w:tcPr>
          <w:p>
            <w:pPr>
              <w:spacing w:after="20" w:before="20"/>
              <w:jc w:val="right"/>
            </w:pPr>
            <w:r/>
            <w:r>
              <w:rPr>
                <w:rFonts w:ascii="Calibri" w:hAnsi="Calibri"/>
                <w:b/>
                <w:i w:val="0"/>
                <w:color w:val="FFFFFF"/>
                <w:sz w:val="18"/>
              </w:rPr>
              <w:t>FY27E</w:t>
            </w:r>
          </w:p>
        </w:tc>
        <w:tc>
          <w:tcPr>
            <w:tcW w:type="dxa" w:w="1224"/>
            <w:shd w:val="clear" w:fill="1C3A36"/>
          </w:tcPr>
          <w:p>
            <w:pPr>
              <w:spacing w:after="20" w:before="20"/>
              <w:jc w:val="right"/>
            </w:pPr>
            <w:r/>
            <w:r>
              <w:rPr>
                <w:rFonts w:ascii="Calibri" w:hAnsi="Calibri"/>
                <w:b/>
                <w:i w:val="0"/>
                <w:color w:val="FFFFFF"/>
                <w:sz w:val="18"/>
              </w:rPr>
              <w:t>FY28E</w:t>
            </w:r>
          </w:p>
        </w:tc>
        <w:tc>
          <w:tcPr>
            <w:tcW w:type="dxa" w:w="1224"/>
            <w:shd w:val="clear" w:fill="1C3A36"/>
          </w:tcPr>
          <w:p>
            <w:pPr>
              <w:spacing w:after="20" w:before="20"/>
              <w:jc w:val="right"/>
            </w:pPr>
            <w:r/>
            <w:r>
              <w:rPr>
                <w:rFonts w:ascii="Calibri" w:hAnsi="Calibri"/>
                <w:b/>
                <w:i w:val="0"/>
                <w:color w:val="FFFFFF"/>
                <w:sz w:val="18"/>
              </w:rPr>
              <w:t>FY29E</w:t>
            </w:r>
          </w:p>
        </w:tc>
        <w:tc>
          <w:tcPr>
            <w:tcW w:type="dxa" w:w="1224"/>
            <w:shd w:val="clear" w:fill="1C3A36"/>
          </w:tcPr>
          <w:p>
            <w:pPr>
              <w:spacing w:after="20" w:before="20"/>
              <w:jc w:val="right"/>
            </w:pPr>
            <w:r/>
            <w:r>
              <w:rPr>
                <w:rFonts w:ascii="Calibri" w:hAnsi="Calibri"/>
                <w:b/>
                <w:i w:val="0"/>
                <w:color w:val="FFFFFF"/>
                <w:sz w:val="18"/>
              </w:rPr>
              <w:t>FY30E</w:t>
            </w:r>
          </w:p>
        </w:tc>
      </w:tr>
      <w:tr>
        <w:tc>
          <w:tcPr>
            <w:tcW w:type="dxa" w:w="2736"/>
          </w:tcPr>
          <w:p>
            <w:pPr>
              <w:spacing w:after="20" w:before="20"/>
              <w:jc w:val="left"/>
            </w:pPr>
            <w:r/>
            <w:r>
              <w:rPr>
                <w:rFonts w:ascii="Calibri" w:hAnsi="Calibri"/>
                <w:b w:val="0"/>
                <w:i w:val="0"/>
                <w:color w:val="20302C"/>
                <w:sz w:val="18"/>
              </w:rPr>
              <w:t>EPS (QAR)</w:t>
            </w:r>
          </w:p>
        </w:tc>
        <w:tc>
          <w:tcPr>
            <w:tcW w:type="dxa" w:w="1224"/>
          </w:tcPr>
          <w:p>
            <w:pPr>
              <w:spacing w:after="20" w:before="20"/>
              <w:jc w:val="right"/>
            </w:pPr>
            <w:r/>
            <w:r>
              <w:rPr>
                <w:rFonts w:ascii="Calibri" w:hAnsi="Calibri"/>
                <w:b w:val="0"/>
                <w:i w:val="0"/>
                <w:color w:val="20302C"/>
                <w:sz w:val="18"/>
              </w:rPr>
              <w:t>1.74</w:t>
            </w:r>
          </w:p>
        </w:tc>
        <w:tc>
          <w:tcPr>
            <w:tcW w:type="dxa" w:w="1224"/>
          </w:tcPr>
          <w:p>
            <w:pPr>
              <w:spacing w:after="20" w:before="20"/>
              <w:jc w:val="right"/>
            </w:pPr>
            <w:r/>
            <w:r>
              <w:rPr>
                <w:rFonts w:ascii="Calibri" w:hAnsi="Calibri"/>
                <w:b w:val="0"/>
                <w:i w:val="0"/>
                <w:color w:val="20302C"/>
                <w:sz w:val="18"/>
              </w:rPr>
              <w:t>1.81</w:t>
            </w:r>
          </w:p>
        </w:tc>
        <w:tc>
          <w:tcPr>
            <w:tcW w:type="dxa" w:w="1224"/>
          </w:tcPr>
          <w:p>
            <w:pPr>
              <w:spacing w:after="20" w:before="20"/>
              <w:jc w:val="right"/>
            </w:pPr>
            <w:r/>
            <w:r>
              <w:rPr>
                <w:rFonts w:ascii="Calibri" w:hAnsi="Calibri"/>
                <w:b w:val="0"/>
                <w:i w:val="0"/>
                <w:color w:val="20302C"/>
                <w:sz w:val="18"/>
              </w:rPr>
              <w:t>1.91</w:t>
            </w:r>
          </w:p>
        </w:tc>
        <w:tc>
          <w:tcPr>
            <w:tcW w:type="dxa" w:w="1224"/>
          </w:tcPr>
          <w:p>
            <w:pPr>
              <w:spacing w:after="20" w:before="20"/>
              <w:jc w:val="right"/>
            </w:pPr>
            <w:r/>
            <w:r>
              <w:rPr>
                <w:rFonts w:ascii="Calibri" w:hAnsi="Calibri"/>
                <w:b w:val="0"/>
                <w:i w:val="0"/>
                <w:color w:val="20302C"/>
                <w:sz w:val="18"/>
              </w:rPr>
              <w:t>2.03</w:t>
            </w:r>
          </w:p>
        </w:tc>
        <w:tc>
          <w:tcPr>
            <w:tcW w:type="dxa" w:w="1224"/>
          </w:tcPr>
          <w:p>
            <w:pPr>
              <w:spacing w:after="20" w:before="20"/>
              <w:jc w:val="right"/>
            </w:pPr>
            <w:r/>
            <w:r>
              <w:rPr>
                <w:rFonts w:ascii="Calibri" w:hAnsi="Calibri"/>
                <w:b w:val="0"/>
                <w:i w:val="0"/>
                <w:color w:val="20302C"/>
                <w:sz w:val="18"/>
              </w:rPr>
              <w:t>2.18</w:t>
            </w:r>
          </w:p>
        </w:tc>
        <w:tc>
          <w:tcPr>
            <w:tcW w:type="dxa" w:w="1224"/>
          </w:tcPr>
          <w:p>
            <w:pPr>
              <w:spacing w:after="20" w:before="20"/>
              <w:jc w:val="right"/>
            </w:pPr>
            <w:r/>
            <w:r>
              <w:rPr>
                <w:rFonts w:ascii="Calibri" w:hAnsi="Calibri"/>
                <w:b w:val="0"/>
                <w:i w:val="0"/>
                <w:color w:val="20302C"/>
                <w:sz w:val="18"/>
              </w:rPr>
              <w:t>2.33</w:t>
            </w:r>
          </w:p>
        </w:tc>
      </w:tr>
      <w:tr>
        <w:tc>
          <w:tcPr>
            <w:tcW w:type="dxa" w:w="2736"/>
          </w:tcPr>
          <w:p>
            <w:pPr>
              <w:spacing w:after="20" w:before="20"/>
              <w:jc w:val="left"/>
            </w:pPr>
            <w:r/>
            <w:r>
              <w:rPr>
                <w:rFonts w:ascii="Calibri" w:hAnsi="Calibri"/>
                <w:b w:val="0"/>
                <w:i w:val="0"/>
                <w:color w:val="20302C"/>
                <w:sz w:val="18"/>
              </w:rPr>
              <w:t>Payout ratio</w:t>
            </w:r>
          </w:p>
        </w:tc>
        <w:tc>
          <w:tcPr>
            <w:tcW w:type="dxa" w:w="1224"/>
          </w:tcPr>
          <w:p>
            <w:pPr>
              <w:spacing w:after="20" w:before="20"/>
              <w:jc w:val="right"/>
            </w:pPr>
            <w:r/>
            <w:r>
              <w:rPr>
                <w:rFonts w:ascii="Calibri" w:hAnsi="Calibri"/>
                <w:b w:val="0"/>
                <w:i w:val="0"/>
                <w:color w:val="20302C"/>
                <w:sz w:val="18"/>
              </w:rPr>
              <w:t>41.7%</w:t>
            </w:r>
          </w:p>
        </w:tc>
        <w:tc>
          <w:tcPr>
            <w:tcW w:type="dxa" w:w="1224"/>
          </w:tcPr>
          <w:p>
            <w:pPr>
              <w:spacing w:after="20" w:before="20"/>
              <w:jc w:val="right"/>
            </w:pPr>
            <w:r/>
            <w:r>
              <w:rPr>
                <w:rFonts w:ascii="Calibri" w:hAnsi="Calibri"/>
                <w:b w:val="0"/>
                <w:i w:val="0"/>
                <w:color w:val="20302C"/>
                <w:sz w:val="18"/>
              </w:rPr>
              <w:t>43%</w:t>
            </w:r>
          </w:p>
        </w:tc>
        <w:tc>
          <w:tcPr>
            <w:tcW w:type="dxa" w:w="1224"/>
          </w:tcPr>
          <w:p>
            <w:pPr>
              <w:spacing w:after="20" w:before="20"/>
              <w:jc w:val="right"/>
            </w:pPr>
            <w:r/>
            <w:r>
              <w:rPr>
                <w:rFonts w:ascii="Calibri" w:hAnsi="Calibri"/>
                <w:b w:val="0"/>
                <w:i w:val="0"/>
                <w:color w:val="20302C"/>
                <w:sz w:val="18"/>
              </w:rPr>
              <w:t>44%</w:t>
            </w:r>
          </w:p>
        </w:tc>
        <w:tc>
          <w:tcPr>
            <w:tcW w:type="dxa" w:w="1224"/>
          </w:tcPr>
          <w:p>
            <w:pPr>
              <w:spacing w:after="20" w:before="20"/>
              <w:jc w:val="right"/>
            </w:pPr>
            <w:r/>
            <w:r>
              <w:rPr>
                <w:rFonts w:ascii="Calibri" w:hAnsi="Calibri"/>
                <w:b w:val="0"/>
                <w:i w:val="0"/>
                <w:color w:val="20302C"/>
                <w:sz w:val="18"/>
              </w:rPr>
              <w:t>45%</w:t>
            </w:r>
          </w:p>
        </w:tc>
        <w:tc>
          <w:tcPr>
            <w:tcW w:type="dxa" w:w="1224"/>
          </w:tcPr>
          <w:p>
            <w:pPr>
              <w:spacing w:after="20" w:before="20"/>
              <w:jc w:val="right"/>
            </w:pPr>
            <w:r/>
            <w:r>
              <w:rPr>
                <w:rFonts w:ascii="Calibri" w:hAnsi="Calibri"/>
                <w:b w:val="0"/>
                <w:i w:val="0"/>
                <w:color w:val="20302C"/>
                <w:sz w:val="18"/>
              </w:rPr>
              <w:t>46%</w:t>
            </w:r>
          </w:p>
        </w:tc>
        <w:tc>
          <w:tcPr>
            <w:tcW w:type="dxa" w:w="1224"/>
          </w:tcPr>
          <w:p>
            <w:pPr>
              <w:spacing w:after="20" w:before="20"/>
              <w:jc w:val="right"/>
            </w:pPr>
            <w:r/>
            <w:r>
              <w:rPr>
                <w:rFonts w:ascii="Calibri" w:hAnsi="Calibri"/>
                <w:b w:val="0"/>
                <w:i w:val="0"/>
                <w:color w:val="20302C"/>
                <w:sz w:val="18"/>
              </w:rPr>
              <w:t>47%</w:t>
            </w:r>
          </w:p>
        </w:tc>
      </w:tr>
      <w:tr>
        <w:tc>
          <w:tcPr>
            <w:tcW w:type="dxa" w:w="2736"/>
          </w:tcPr>
          <w:p>
            <w:pPr>
              <w:spacing w:after="20" w:before="20"/>
              <w:jc w:val="left"/>
            </w:pPr>
            <w:r/>
            <w:r>
              <w:rPr>
                <w:rFonts w:ascii="Calibri" w:hAnsi="Calibri"/>
                <w:b w:val="0"/>
                <w:i w:val="0"/>
                <w:color w:val="20302C"/>
                <w:sz w:val="18"/>
              </w:rPr>
              <w:t>DPS (QAR)</w:t>
            </w:r>
          </w:p>
        </w:tc>
        <w:tc>
          <w:tcPr>
            <w:tcW w:type="dxa" w:w="1224"/>
          </w:tcPr>
          <w:p>
            <w:pPr>
              <w:spacing w:after="20" w:before="20"/>
              <w:jc w:val="right"/>
            </w:pPr>
            <w:r/>
            <w:r>
              <w:rPr>
                <w:rFonts w:ascii="Calibri" w:hAnsi="Calibri"/>
                <w:b w:val="0"/>
                <w:i w:val="0"/>
                <w:color w:val="20302C"/>
                <w:sz w:val="18"/>
              </w:rPr>
              <w:t>0.725</w:t>
            </w:r>
          </w:p>
        </w:tc>
        <w:tc>
          <w:tcPr>
            <w:tcW w:type="dxa" w:w="1224"/>
          </w:tcPr>
          <w:p>
            <w:pPr>
              <w:spacing w:after="20" w:before="20"/>
              <w:jc w:val="right"/>
            </w:pPr>
            <w:r/>
            <w:r>
              <w:rPr>
                <w:rFonts w:ascii="Calibri" w:hAnsi="Calibri"/>
                <w:b w:val="0"/>
                <w:i w:val="0"/>
                <w:color w:val="20302C"/>
                <w:sz w:val="18"/>
              </w:rPr>
              <w:t>0.778</w:t>
            </w:r>
          </w:p>
        </w:tc>
        <w:tc>
          <w:tcPr>
            <w:tcW w:type="dxa" w:w="1224"/>
          </w:tcPr>
          <w:p>
            <w:pPr>
              <w:spacing w:after="20" w:before="20"/>
              <w:jc w:val="right"/>
            </w:pPr>
            <w:r/>
            <w:r>
              <w:rPr>
                <w:rFonts w:ascii="Calibri" w:hAnsi="Calibri"/>
                <w:b w:val="0"/>
                <w:i w:val="0"/>
                <w:color w:val="20302C"/>
                <w:sz w:val="18"/>
              </w:rPr>
              <w:t>0.840</w:t>
            </w:r>
          </w:p>
        </w:tc>
        <w:tc>
          <w:tcPr>
            <w:tcW w:type="dxa" w:w="1224"/>
          </w:tcPr>
          <w:p>
            <w:pPr>
              <w:spacing w:after="20" w:before="20"/>
              <w:jc w:val="right"/>
            </w:pPr>
            <w:r/>
            <w:r>
              <w:rPr>
                <w:rFonts w:ascii="Calibri" w:hAnsi="Calibri"/>
                <w:b w:val="0"/>
                <w:i w:val="0"/>
                <w:color w:val="20302C"/>
                <w:sz w:val="18"/>
              </w:rPr>
              <w:t>0.915</w:t>
            </w:r>
          </w:p>
        </w:tc>
        <w:tc>
          <w:tcPr>
            <w:tcW w:type="dxa" w:w="1224"/>
          </w:tcPr>
          <w:p>
            <w:pPr>
              <w:spacing w:after="20" w:before="20"/>
              <w:jc w:val="right"/>
            </w:pPr>
            <w:r/>
            <w:r>
              <w:rPr>
                <w:rFonts w:ascii="Calibri" w:hAnsi="Calibri"/>
                <w:b w:val="0"/>
                <w:i w:val="0"/>
                <w:color w:val="20302C"/>
                <w:sz w:val="18"/>
              </w:rPr>
              <w:t>1.001</w:t>
            </w:r>
          </w:p>
        </w:tc>
        <w:tc>
          <w:tcPr>
            <w:tcW w:type="dxa" w:w="1224"/>
          </w:tcPr>
          <w:p>
            <w:pPr>
              <w:spacing w:after="20" w:before="20"/>
              <w:jc w:val="right"/>
            </w:pPr>
            <w:r/>
            <w:r>
              <w:rPr>
                <w:rFonts w:ascii="Calibri" w:hAnsi="Calibri"/>
                <w:b w:val="0"/>
                <w:i w:val="0"/>
                <w:color w:val="20302C"/>
                <w:sz w:val="18"/>
              </w:rPr>
              <w:t>1.094</w:t>
            </w:r>
          </w:p>
        </w:tc>
      </w:tr>
      <w:tr>
        <w:tc>
          <w:tcPr>
            <w:tcW w:type="dxa" w:w="2736"/>
          </w:tcPr>
          <w:p>
            <w:pPr>
              <w:spacing w:after="20" w:before="20"/>
              <w:jc w:val="left"/>
            </w:pPr>
            <w:r/>
            <w:r>
              <w:rPr>
                <w:rFonts w:ascii="Calibri" w:hAnsi="Calibri"/>
                <w:b w:val="0"/>
                <w:i w:val="0"/>
                <w:color w:val="20302C"/>
                <w:sz w:val="18"/>
              </w:rPr>
              <w:t>Discount factor</w:t>
            </w:r>
          </w:p>
        </w:tc>
        <w:tc>
          <w:tcPr>
            <w:tcW w:type="dxa" w:w="1224"/>
          </w:tcPr>
          <w:p>
            <w:pPr>
              <w:spacing w:after="20" w:before="20"/>
              <w:jc w:val="right"/>
            </w:pPr>
            <w:r/>
            <w:r>
              <w:rPr>
                <w:rFonts w:ascii="Calibri" w:hAnsi="Calibri"/>
                <w:b w:val="0"/>
                <w:i w:val="0"/>
                <w:color w:val="20302C"/>
                <w:sz w:val="18"/>
              </w:rPr>
              <w:t>—</w:t>
            </w:r>
          </w:p>
        </w:tc>
        <w:tc>
          <w:tcPr>
            <w:tcW w:type="dxa" w:w="1224"/>
          </w:tcPr>
          <w:p>
            <w:pPr>
              <w:spacing w:after="20" w:before="20"/>
              <w:jc w:val="right"/>
            </w:pPr>
            <w:r/>
            <w:r>
              <w:rPr>
                <w:rFonts w:ascii="Calibri" w:hAnsi="Calibri"/>
                <w:b w:val="0"/>
                <w:i w:val="0"/>
                <w:color w:val="20302C"/>
                <w:sz w:val="18"/>
              </w:rPr>
              <w:t>0.905</w:t>
            </w:r>
          </w:p>
        </w:tc>
        <w:tc>
          <w:tcPr>
            <w:tcW w:type="dxa" w:w="1224"/>
          </w:tcPr>
          <w:p>
            <w:pPr>
              <w:spacing w:after="20" w:before="20"/>
              <w:jc w:val="right"/>
            </w:pPr>
            <w:r/>
            <w:r>
              <w:rPr>
                <w:rFonts w:ascii="Calibri" w:hAnsi="Calibri"/>
                <w:b w:val="0"/>
                <w:i w:val="0"/>
                <w:color w:val="20302C"/>
                <w:sz w:val="18"/>
              </w:rPr>
              <w:t>0.818</w:t>
            </w:r>
          </w:p>
        </w:tc>
        <w:tc>
          <w:tcPr>
            <w:tcW w:type="dxa" w:w="1224"/>
          </w:tcPr>
          <w:p>
            <w:pPr>
              <w:spacing w:after="20" w:before="20"/>
              <w:jc w:val="right"/>
            </w:pPr>
            <w:r/>
            <w:r>
              <w:rPr>
                <w:rFonts w:ascii="Calibri" w:hAnsi="Calibri"/>
                <w:b w:val="0"/>
                <w:i w:val="0"/>
                <w:color w:val="20302C"/>
                <w:sz w:val="18"/>
              </w:rPr>
              <w:t>0.740</w:t>
            </w:r>
          </w:p>
        </w:tc>
        <w:tc>
          <w:tcPr>
            <w:tcW w:type="dxa" w:w="1224"/>
          </w:tcPr>
          <w:p>
            <w:pPr>
              <w:spacing w:after="20" w:before="20"/>
              <w:jc w:val="right"/>
            </w:pPr>
            <w:r/>
            <w:r>
              <w:rPr>
                <w:rFonts w:ascii="Calibri" w:hAnsi="Calibri"/>
                <w:b w:val="0"/>
                <w:i w:val="0"/>
                <w:color w:val="20302C"/>
                <w:sz w:val="18"/>
              </w:rPr>
              <w:t>0.670</w:t>
            </w:r>
          </w:p>
        </w:tc>
        <w:tc>
          <w:tcPr>
            <w:tcW w:type="dxa" w:w="1224"/>
          </w:tcPr>
          <w:p>
            <w:pPr>
              <w:spacing w:after="20" w:before="20"/>
              <w:jc w:val="right"/>
            </w:pPr>
            <w:r/>
            <w:r>
              <w:rPr>
                <w:rFonts w:ascii="Calibri" w:hAnsi="Calibri"/>
                <w:b w:val="0"/>
                <w:i w:val="0"/>
                <w:color w:val="20302C"/>
                <w:sz w:val="18"/>
              </w:rPr>
              <w:t>0.606</w:t>
            </w:r>
          </w:p>
        </w:tc>
      </w:tr>
      <w:tr>
        <w:tc>
          <w:tcPr>
            <w:tcW w:type="dxa" w:w="2736"/>
          </w:tcPr>
          <w:p>
            <w:pPr>
              <w:spacing w:after="20" w:before="20"/>
              <w:jc w:val="left"/>
            </w:pPr>
            <w:r/>
            <w:r>
              <w:rPr>
                <w:rFonts w:ascii="Calibri" w:hAnsi="Calibri"/>
                <w:b w:val="0"/>
                <w:i w:val="0"/>
                <w:color w:val="20302C"/>
                <w:sz w:val="18"/>
              </w:rPr>
              <w:t>PV of dividend (QAR)</w:t>
            </w:r>
          </w:p>
        </w:tc>
        <w:tc>
          <w:tcPr>
            <w:tcW w:type="dxa" w:w="1224"/>
          </w:tcPr>
          <w:p>
            <w:pPr>
              <w:spacing w:after="20" w:before="20"/>
              <w:jc w:val="right"/>
            </w:pPr>
            <w:r/>
            <w:r>
              <w:rPr>
                <w:rFonts w:ascii="Calibri" w:hAnsi="Calibri"/>
                <w:b w:val="0"/>
                <w:i w:val="0"/>
                <w:color w:val="20302C"/>
                <w:sz w:val="18"/>
              </w:rPr>
              <w:t>—</w:t>
            </w:r>
          </w:p>
        </w:tc>
        <w:tc>
          <w:tcPr>
            <w:tcW w:type="dxa" w:w="1224"/>
          </w:tcPr>
          <w:p>
            <w:pPr>
              <w:spacing w:after="20" w:before="20"/>
              <w:jc w:val="right"/>
            </w:pPr>
            <w:r/>
            <w:r>
              <w:rPr>
                <w:rFonts w:ascii="Calibri" w:hAnsi="Calibri"/>
                <w:b w:val="0"/>
                <w:i w:val="0"/>
                <w:color w:val="20302C"/>
                <w:sz w:val="18"/>
              </w:rPr>
              <w:t>0.704</w:t>
            </w:r>
          </w:p>
        </w:tc>
        <w:tc>
          <w:tcPr>
            <w:tcW w:type="dxa" w:w="1224"/>
          </w:tcPr>
          <w:p>
            <w:pPr>
              <w:spacing w:after="20" w:before="20"/>
              <w:jc w:val="right"/>
            </w:pPr>
            <w:r/>
            <w:r>
              <w:rPr>
                <w:rFonts w:ascii="Calibri" w:hAnsi="Calibri"/>
                <w:b w:val="0"/>
                <w:i w:val="0"/>
                <w:color w:val="20302C"/>
                <w:sz w:val="18"/>
              </w:rPr>
              <w:t>0.687</w:t>
            </w:r>
          </w:p>
        </w:tc>
        <w:tc>
          <w:tcPr>
            <w:tcW w:type="dxa" w:w="1224"/>
          </w:tcPr>
          <w:p>
            <w:pPr>
              <w:spacing w:after="20" w:before="20"/>
              <w:jc w:val="right"/>
            </w:pPr>
            <w:r/>
            <w:r>
              <w:rPr>
                <w:rFonts w:ascii="Calibri" w:hAnsi="Calibri"/>
                <w:b w:val="0"/>
                <w:i w:val="0"/>
                <w:color w:val="20302C"/>
                <w:sz w:val="18"/>
              </w:rPr>
              <w:t>0.677</w:t>
            </w:r>
          </w:p>
        </w:tc>
        <w:tc>
          <w:tcPr>
            <w:tcW w:type="dxa" w:w="1224"/>
          </w:tcPr>
          <w:p>
            <w:pPr>
              <w:spacing w:after="20" w:before="20"/>
              <w:jc w:val="right"/>
            </w:pPr>
            <w:r/>
            <w:r>
              <w:rPr>
                <w:rFonts w:ascii="Calibri" w:hAnsi="Calibri"/>
                <w:b w:val="0"/>
                <w:i w:val="0"/>
                <w:color w:val="20302C"/>
                <w:sz w:val="18"/>
              </w:rPr>
              <w:t>0.670</w:t>
            </w:r>
          </w:p>
        </w:tc>
        <w:tc>
          <w:tcPr>
            <w:tcW w:type="dxa" w:w="1224"/>
          </w:tcPr>
          <w:p>
            <w:pPr>
              <w:spacing w:after="20" w:before="20"/>
              <w:jc w:val="right"/>
            </w:pPr>
            <w:r/>
            <w:r>
              <w:rPr>
                <w:rFonts w:ascii="Calibri" w:hAnsi="Calibri"/>
                <w:b w:val="0"/>
                <w:i w:val="0"/>
                <w:color w:val="20302C"/>
                <w:sz w:val="18"/>
              </w:rPr>
              <w:t>0.663</w:t>
            </w:r>
          </w:p>
        </w:tc>
      </w:tr>
    </w:tbl>
    <w:tbl>
      <w:tblPr>
        <w:tblStyle w:val="TableGrid"/>
        <w:tblW w:type="auto" w:w="0"/>
        <w:jc w:val="center"/>
        <w:tblLook w:firstColumn="1" w:firstRow="1" w:lastColumn="0" w:lastRow="0" w:noHBand="0" w:noVBand="1" w:val="04A0"/>
      </w:tblPr>
      <w:tblGrid>
        <w:gridCol w:w="4968"/>
        <w:gridCol w:w="4968"/>
      </w:tblGrid>
      <w:tr>
        <w:tc>
          <w:tcPr>
            <w:tcW w:type="dxa" w:w="6624"/>
            <w:shd w:val="clear" w:fill="1C3A36"/>
          </w:tcPr>
          <w:p>
            <w:pPr>
              <w:spacing w:after="20" w:before="20"/>
              <w:jc w:val="left"/>
            </w:pPr>
            <w:r/>
            <w:r>
              <w:rPr>
                <w:rFonts w:ascii="Calibri" w:hAnsi="Calibri"/>
                <w:b/>
                <w:i w:val="0"/>
                <w:color w:val="FFFFFF"/>
                <w:sz w:val="18"/>
              </w:rPr>
              <w:t>Dividend discount model</w:t>
            </w:r>
          </w:p>
        </w:tc>
        <w:tc>
          <w:tcPr>
            <w:tcW w:type="dxa" w:w="3456"/>
            <w:shd w:val="clear" w:fill="1C3A36"/>
          </w:tcPr>
          <w:p>
            <w:pPr>
              <w:spacing w:after="20" w:before="20"/>
              <w:jc w:val="right"/>
            </w:pPr>
            <w:r/>
            <w:r>
              <w:rPr>
                <w:rFonts w:ascii="Calibri" w:hAnsi="Calibri"/>
                <w:b/>
                <w:i w:val="0"/>
                <w:color w:val="FFFFFF"/>
                <w:sz w:val="18"/>
              </w:rPr>
              <w:t>Value</w:t>
            </w:r>
          </w:p>
        </w:tc>
      </w:tr>
      <w:tr>
        <w:tc>
          <w:tcPr>
            <w:tcW w:type="dxa" w:w="6624"/>
          </w:tcPr>
          <w:p>
            <w:pPr>
              <w:spacing w:after="20" w:before="20"/>
              <w:jc w:val="left"/>
            </w:pPr>
            <w:r/>
            <w:r>
              <w:rPr>
                <w:rFonts w:ascii="Calibri" w:hAnsi="Calibri"/>
                <w:b w:val="0"/>
                <w:i w:val="0"/>
                <w:color w:val="20302C"/>
                <w:sz w:val="18"/>
              </w:rPr>
              <w:t>Σ PV of explicit dividends (FY26–30)</w:t>
            </w:r>
          </w:p>
        </w:tc>
        <w:tc>
          <w:tcPr>
            <w:tcW w:type="dxa" w:w="3456"/>
          </w:tcPr>
          <w:p>
            <w:pPr>
              <w:spacing w:after="20" w:before="20"/>
              <w:jc w:val="right"/>
            </w:pPr>
            <w:r/>
            <w:r>
              <w:rPr>
                <w:rFonts w:ascii="Calibri" w:hAnsi="Calibri"/>
                <w:b w:val="0"/>
                <w:i w:val="0"/>
                <w:color w:val="20302C"/>
                <w:sz w:val="18"/>
              </w:rPr>
              <w:t>QAR 3.40</w:t>
            </w:r>
          </w:p>
        </w:tc>
      </w:tr>
      <w:tr>
        <w:tc>
          <w:tcPr>
            <w:tcW w:type="dxa" w:w="6624"/>
          </w:tcPr>
          <w:p>
            <w:pPr>
              <w:spacing w:after="20" w:before="20"/>
              <w:jc w:val="left"/>
            </w:pPr>
            <w:r/>
            <w:r>
              <w:rPr>
                <w:rFonts w:ascii="Calibri" w:hAnsi="Calibri"/>
                <w:b w:val="0"/>
                <w:i w:val="0"/>
                <w:color w:val="20302C"/>
                <w:sz w:val="18"/>
              </w:rPr>
              <w:t>Terminal value = EPS30·(1+g)·payout/(Ke−g)</w:t>
            </w:r>
          </w:p>
        </w:tc>
        <w:tc>
          <w:tcPr>
            <w:tcW w:type="dxa" w:w="3456"/>
          </w:tcPr>
          <w:p>
            <w:pPr>
              <w:spacing w:after="20" w:before="20"/>
              <w:jc w:val="right"/>
            </w:pPr>
            <w:r/>
            <w:r>
              <w:rPr>
                <w:rFonts w:ascii="Calibri" w:hAnsi="Calibri"/>
                <w:b w:val="0"/>
                <w:i w:val="0"/>
                <w:color w:val="20302C"/>
                <w:sz w:val="18"/>
              </w:rPr>
              <w:t>QAR 25.22</w:t>
            </w:r>
          </w:p>
        </w:tc>
      </w:tr>
      <w:tr>
        <w:tc>
          <w:tcPr>
            <w:tcW w:type="dxa" w:w="6624"/>
          </w:tcPr>
          <w:p>
            <w:pPr>
              <w:spacing w:after="20" w:before="20"/>
              <w:jc w:val="left"/>
            </w:pPr>
            <w:r/>
            <w:r>
              <w:rPr>
                <w:rFonts w:ascii="Calibri" w:hAnsi="Calibri"/>
                <w:b w:val="0"/>
                <w:i w:val="0"/>
                <w:color w:val="20302C"/>
                <w:sz w:val="18"/>
              </w:rPr>
              <w:t>PV of terminal value</w:t>
            </w:r>
          </w:p>
        </w:tc>
        <w:tc>
          <w:tcPr>
            <w:tcW w:type="dxa" w:w="3456"/>
          </w:tcPr>
          <w:p>
            <w:pPr>
              <w:spacing w:after="20" w:before="20"/>
              <w:jc w:val="right"/>
            </w:pPr>
            <w:r/>
            <w:r>
              <w:rPr>
                <w:rFonts w:ascii="Calibri" w:hAnsi="Calibri"/>
                <w:b w:val="0"/>
                <w:i w:val="0"/>
                <w:color w:val="20302C"/>
                <w:sz w:val="18"/>
              </w:rPr>
              <w:t>QAR 15.28</w:t>
            </w:r>
          </w:p>
        </w:tc>
      </w:tr>
      <w:tr>
        <w:tc>
          <w:tcPr>
            <w:tcW w:type="dxa" w:w="6624"/>
            <w:shd w:val="clear" w:fill="F2ECDD"/>
          </w:tcPr>
          <w:p>
            <w:pPr>
              <w:spacing w:after="20" w:before="20"/>
              <w:jc w:val="left"/>
            </w:pPr>
            <w:r/>
            <w:r>
              <w:rPr>
                <w:rFonts w:ascii="Calibri" w:hAnsi="Calibri"/>
                <w:b/>
                <w:i w:val="0"/>
                <w:color w:val="20302C"/>
                <w:sz w:val="18"/>
              </w:rPr>
              <w:t>DDM fair value</w:t>
            </w:r>
          </w:p>
        </w:tc>
        <w:tc>
          <w:tcPr>
            <w:tcW w:type="dxa" w:w="3456"/>
            <w:shd w:val="clear" w:fill="F2ECDD"/>
          </w:tcPr>
          <w:p>
            <w:pPr>
              <w:spacing w:after="20" w:before="20"/>
              <w:jc w:val="right"/>
            </w:pPr>
            <w:r/>
            <w:r>
              <w:rPr>
                <w:rFonts w:ascii="Calibri" w:hAnsi="Calibri"/>
                <w:b/>
                <w:i w:val="0"/>
                <w:color w:val="20302C"/>
                <w:sz w:val="18"/>
              </w:rPr>
              <w:t>QAR 18.68</w:t>
            </w:r>
          </w:p>
        </w:tc>
      </w:tr>
      <w:tr>
        <w:tc>
          <w:tcPr>
            <w:tcW w:type="dxa" w:w="6624"/>
          </w:tcPr>
          <w:p>
            <w:pPr>
              <w:spacing w:after="20" w:before="20"/>
              <w:jc w:val="left"/>
            </w:pPr>
            <w:r/>
            <w:r>
              <w:rPr>
                <w:rFonts w:ascii="Calibri" w:hAnsi="Calibri"/>
                <w:b w:val="0"/>
                <w:i w:val="0"/>
                <w:color w:val="20302C"/>
                <w:sz w:val="18"/>
              </w:rPr>
              <w:t>TV as % of value (disclosed — high terminal)</w:t>
            </w:r>
          </w:p>
        </w:tc>
        <w:tc>
          <w:tcPr>
            <w:tcW w:type="dxa" w:w="3456"/>
          </w:tcPr>
          <w:p>
            <w:pPr>
              <w:spacing w:after="20" w:before="20"/>
              <w:jc w:val="right"/>
            </w:pPr>
            <w:r/>
            <w:r>
              <w:rPr>
                <w:rFonts w:ascii="Calibri" w:hAnsi="Calibri"/>
                <w:b w:val="0"/>
                <w:i w:val="0"/>
                <w:color w:val="20302C"/>
                <w:sz w:val="18"/>
              </w:rPr>
              <w:t>81.8%</w:t>
            </w:r>
          </w:p>
        </w:tc>
      </w:tr>
      <w:tr>
        <w:tc>
          <w:tcPr>
            <w:tcW w:type="dxa" w:w="6624"/>
          </w:tcPr>
          <w:p>
            <w:pPr>
              <w:spacing w:after="20" w:before="20"/>
              <w:jc w:val="left"/>
            </w:pPr>
            <w:r/>
            <w:r>
              <w:rPr>
                <w:rFonts w:ascii="Calibri" w:hAnsi="Calibri"/>
                <w:b w:val="0"/>
                <w:i w:val="0"/>
                <w:color w:val="20302C"/>
                <w:sz w:val="18"/>
              </w:rPr>
              <w:t>Implied vs spot</w:t>
            </w:r>
          </w:p>
        </w:tc>
        <w:tc>
          <w:tcPr>
            <w:tcW w:type="dxa" w:w="3456"/>
          </w:tcPr>
          <w:p>
            <w:pPr>
              <w:spacing w:after="20" w:before="20"/>
              <w:jc w:val="right"/>
            </w:pPr>
            <w:r/>
            <w:r>
              <w:rPr>
                <w:rFonts w:ascii="Calibri" w:hAnsi="Calibri"/>
                <w:b w:val="0"/>
                <w:i w:val="0"/>
                <w:color w:val="20302C"/>
                <w:sz w:val="18"/>
              </w:rPr>
              <w:t>+6%</w:t>
            </w:r>
          </w:p>
        </w:tc>
      </w:tr>
    </w:tbl>
    <w:p>
      <w:pPr>
        <w:spacing w:after="120" w:line="259" w:lineRule="auto"/>
      </w:pPr>
      <w:r>
        <w:rPr>
          <w:rFonts w:ascii="Calibri" w:hAnsi="Calibri"/>
          <w:b/>
          <w:i w:val="0"/>
          <w:color w:val="20302C"/>
          <w:sz w:val="20"/>
        </w:rPr>
        <w:t>DDM base ≈ QAR 18.7/share</w:t>
      </w:r>
      <w:r>
        <w:rPr>
          <w:rFonts w:ascii="Calibri" w:hAnsi="Calibri"/>
          <w:b w:val="0"/>
          <w:i w:val="0"/>
          <w:color w:val="20302C"/>
          <w:sz w:val="20"/>
        </w:rPr>
        <w:t xml:space="preserve"> (+6%). The terminal value is 81.8% of the total — high, and we flag it: this is fundamentally a Ke-minus-g bet, which is exactly why §1.9 sensitizes the answer across both. Note this figure reflects QNB's </w:t>
      </w:r>
      <w:r>
        <w:rPr>
          <w:rFonts w:ascii="Calibri" w:hAnsi="Calibri"/>
          <w:b/>
          <w:i w:val="0"/>
          <w:color w:val="20302C"/>
          <w:sz w:val="20"/>
        </w:rPr>
        <w:t>actual</w:t>
      </w:r>
      <w:r>
        <w:rPr>
          <w:rFonts w:ascii="Calibri" w:hAnsi="Calibri"/>
          <w:b w:val="0"/>
          <w:i w:val="0"/>
          <w:color w:val="20302C"/>
          <w:sz w:val="20"/>
        </w:rPr>
        <w:t xml:space="preserve"> conservative payout; the value of the capital it retains but could distribute is taken up in §1.2 and §1.7.</w:t>
      </w:r>
    </w:p>
    <w:p>
      <w:pPr>
        <w:spacing w:before="180" w:after="40"/>
      </w:pPr>
      <w:r>
        <w:rPr>
          <w:rFonts w:ascii="Calibri" w:hAnsi="Calibri"/>
          <w:b/>
          <w:color w:val="1C3A36"/>
          <w:sz w:val="24"/>
        </w:rPr>
        <w:t>1.2  FCFE / distributable-capital model — the cash-flow cross-check</w:t>
      </w:r>
    </w:p>
    <w:p>
      <w:pPr>
        <w:spacing w:after="120" w:line="259" w:lineRule="auto"/>
      </w:pPr>
      <w:r>
        <w:rPr>
          <w:rFonts w:ascii="Calibri" w:hAnsi="Calibri"/>
          <w:b w:val="0"/>
          <w:i w:val="0"/>
          <w:color w:val="20302C"/>
          <w:sz w:val="21"/>
        </w:rPr>
        <w:t>A bank cannot spend booked profit twice: some must be retained to support the risk-weighted assets (RWA) behind loan growth. Free cash flow to equity is therefore net income less the increase in required capital, where required capital = RWA × a 12.5% CET1 target. This is the natural cash-flow check on the dividend model, and it answers a different question: what QNB could distribute at full capacity. We discount at the same Ke = 10.5%.</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3456"/>
            <w:shd w:val="clear" w:fill="1C3A36"/>
          </w:tcPr>
          <w:p>
            <w:pPr>
              <w:spacing w:after="20" w:before="20"/>
              <w:jc w:val="left"/>
            </w:pPr>
            <w:r/>
            <w:r>
              <w:rPr>
                <w:rFonts w:ascii="Calibri" w:hAnsi="Calibri"/>
                <w:b/>
                <w:i w:val="0"/>
                <w:color w:val="FFFFFF"/>
                <w:sz w:val="18"/>
              </w:rPr>
              <w:t>Line (per year)</w:t>
            </w:r>
          </w:p>
        </w:tc>
        <w:tc>
          <w:tcPr>
            <w:tcW w:type="dxa" w:w="1325"/>
            <w:shd w:val="clear" w:fill="1C3A36"/>
          </w:tcPr>
          <w:p>
            <w:pPr>
              <w:spacing w:after="20" w:before="20"/>
              <w:jc w:val="right"/>
            </w:pPr>
            <w:r/>
            <w:r>
              <w:rPr>
                <w:rFonts w:ascii="Calibri" w:hAnsi="Calibri"/>
                <w:b/>
                <w:i w:val="0"/>
                <w:color w:val="FFFFFF"/>
                <w:sz w:val="18"/>
              </w:rPr>
              <w:t>FY26E</w:t>
            </w:r>
          </w:p>
        </w:tc>
        <w:tc>
          <w:tcPr>
            <w:tcW w:type="dxa" w:w="1325"/>
            <w:shd w:val="clear" w:fill="1C3A36"/>
          </w:tcPr>
          <w:p>
            <w:pPr>
              <w:spacing w:after="20" w:before="20"/>
              <w:jc w:val="right"/>
            </w:pPr>
            <w:r/>
            <w:r>
              <w:rPr>
                <w:rFonts w:ascii="Calibri" w:hAnsi="Calibri"/>
                <w:b/>
                <w:i w:val="0"/>
                <w:color w:val="FFFFFF"/>
                <w:sz w:val="18"/>
              </w:rPr>
              <w:t>FY27E</w:t>
            </w:r>
          </w:p>
        </w:tc>
        <w:tc>
          <w:tcPr>
            <w:tcW w:type="dxa" w:w="1325"/>
            <w:shd w:val="clear" w:fill="1C3A36"/>
          </w:tcPr>
          <w:p>
            <w:pPr>
              <w:spacing w:after="20" w:before="20"/>
              <w:jc w:val="right"/>
            </w:pPr>
            <w:r/>
            <w:r>
              <w:rPr>
                <w:rFonts w:ascii="Calibri" w:hAnsi="Calibri"/>
                <w:b/>
                <w:i w:val="0"/>
                <w:color w:val="FFFFFF"/>
                <w:sz w:val="18"/>
              </w:rPr>
              <w:t>FY28E</w:t>
            </w:r>
          </w:p>
        </w:tc>
        <w:tc>
          <w:tcPr>
            <w:tcW w:type="dxa" w:w="1325"/>
            <w:shd w:val="clear" w:fill="1C3A36"/>
          </w:tcPr>
          <w:p>
            <w:pPr>
              <w:spacing w:after="20" w:before="20"/>
              <w:jc w:val="right"/>
            </w:pPr>
            <w:r/>
            <w:r>
              <w:rPr>
                <w:rFonts w:ascii="Calibri" w:hAnsi="Calibri"/>
                <w:b/>
                <w:i w:val="0"/>
                <w:color w:val="FFFFFF"/>
                <w:sz w:val="18"/>
              </w:rPr>
              <w:t>FY29E</w:t>
            </w:r>
          </w:p>
        </w:tc>
        <w:tc>
          <w:tcPr>
            <w:tcW w:type="dxa" w:w="1325"/>
            <w:shd w:val="clear" w:fill="1C3A36"/>
          </w:tcPr>
          <w:p>
            <w:pPr>
              <w:spacing w:after="20" w:before="20"/>
              <w:jc w:val="right"/>
            </w:pPr>
            <w:r/>
            <w:r>
              <w:rPr>
                <w:rFonts w:ascii="Calibri" w:hAnsi="Calibri"/>
                <w:b/>
                <w:i w:val="0"/>
                <w:color w:val="FFFFFF"/>
                <w:sz w:val="18"/>
              </w:rPr>
              <w:t>FY30E</w:t>
            </w:r>
          </w:p>
        </w:tc>
      </w:tr>
      <w:tr>
        <w:tc>
          <w:tcPr>
            <w:tcW w:type="dxa" w:w="3456"/>
          </w:tcPr>
          <w:p>
            <w:pPr>
              <w:spacing w:after="20" w:before="20"/>
              <w:jc w:val="left"/>
            </w:pPr>
            <w:r/>
            <w:r>
              <w:rPr>
                <w:rFonts w:ascii="Calibri" w:hAnsi="Calibri"/>
                <w:b w:val="0"/>
                <w:i w:val="0"/>
                <w:color w:val="20302C"/>
                <w:sz w:val="18"/>
              </w:rPr>
              <w:t>Net income (QAR mn)</w:t>
            </w:r>
          </w:p>
        </w:tc>
        <w:tc>
          <w:tcPr>
            <w:tcW w:type="dxa" w:w="1325"/>
          </w:tcPr>
          <w:p>
            <w:pPr>
              <w:spacing w:after="20" w:before="20"/>
              <w:jc w:val="right"/>
            </w:pPr>
            <w:r/>
            <w:r>
              <w:rPr>
                <w:rFonts w:ascii="Calibri" w:hAnsi="Calibri"/>
                <w:b w:val="0"/>
                <w:i w:val="0"/>
                <w:color w:val="20302C"/>
                <w:sz w:val="18"/>
              </w:rPr>
              <w:t>16</w:t>
            </w:r>
          </w:p>
        </w:tc>
        <w:tc>
          <w:tcPr>
            <w:tcW w:type="dxa" w:w="1325"/>
          </w:tcPr>
          <w:p>
            <w:pPr>
              <w:spacing w:after="20" w:before="20"/>
              <w:jc w:val="right"/>
            </w:pPr>
            <w:r/>
            <w:r>
              <w:rPr>
                <w:rFonts w:ascii="Calibri" w:hAnsi="Calibri"/>
                <w:b w:val="0"/>
                <w:i w:val="0"/>
                <w:color w:val="20302C"/>
                <w:sz w:val="18"/>
              </w:rPr>
              <w:t>17</w:t>
            </w:r>
          </w:p>
        </w:tc>
        <w:tc>
          <w:tcPr>
            <w:tcW w:type="dxa" w:w="1325"/>
          </w:tcPr>
          <w:p>
            <w:pPr>
              <w:spacing w:after="20" w:before="20"/>
              <w:jc w:val="right"/>
            </w:pPr>
            <w:r/>
            <w:r>
              <w:rPr>
                <w:rFonts w:ascii="Calibri" w:hAnsi="Calibri"/>
                <w:b w:val="0"/>
                <w:i w:val="0"/>
                <w:color w:val="20302C"/>
                <w:sz w:val="18"/>
              </w:rPr>
              <w:t>19</w:t>
            </w:r>
          </w:p>
        </w:tc>
        <w:tc>
          <w:tcPr>
            <w:tcW w:type="dxa" w:w="1325"/>
          </w:tcPr>
          <w:p>
            <w:pPr>
              <w:spacing w:after="20" w:before="20"/>
              <w:jc w:val="right"/>
            </w:pPr>
            <w:r/>
            <w:r>
              <w:rPr>
                <w:rFonts w:ascii="Calibri" w:hAnsi="Calibri"/>
                <w:b w:val="0"/>
                <w:i w:val="0"/>
                <w:color w:val="20302C"/>
                <w:sz w:val="18"/>
              </w:rPr>
              <w:t>20</w:t>
            </w:r>
          </w:p>
        </w:tc>
        <w:tc>
          <w:tcPr>
            <w:tcW w:type="dxa" w:w="1325"/>
          </w:tcPr>
          <w:p>
            <w:pPr>
              <w:spacing w:after="20" w:before="20"/>
              <w:jc w:val="right"/>
            </w:pPr>
            <w:r/>
            <w:r>
              <w:rPr>
                <w:rFonts w:ascii="Calibri" w:hAnsi="Calibri"/>
                <w:b w:val="0"/>
                <w:i w:val="0"/>
                <w:color w:val="20302C"/>
                <w:sz w:val="18"/>
              </w:rPr>
              <w:t>21</w:t>
            </w:r>
          </w:p>
        </w:tc>
      </w:tr>
      <w:tr>
        <w:tc>
          <w:tcPr>
            <w:tcW w:type="dxa" w:w="3456"/>
          </w:tcPr>
          <w:p>
            <w:pPr>
              <w:spacing w:after="20" w:before="20"/>
              <w:jc w:val="left"/>
            </w:pPr>
            <w:r/>
            <w:r>
              <w:rPr>
                <w:rFonts w:ascii="Calibri" w:hAnsi="Calibri"/>
                <w:b w:val="0"/>
                <w:i w:val="0"/>
                <w:color w:val="20302C"/>
                <w:sz w:val="18"/>
              </w:rPr>
              <w:t>RWA (QAR mn)</w:t>
            </w:r>
          </w:p>
        </w:tc>
        <w:tc>
          <w:tcPr>
            <w:tcW w:type="dxa" w:w="1325"/>
          </w:tcPr>
          <w:p>
            <w:pPr>
              <w:spacing w:after="20" w:before="20"/>
              <w:jc w:val="right"/>
            </w:pPr>
            <w:r/>
            <w:r>
              <w:rPr>
                <w:rFonts w:ascii="Calibri" w:hAnsi="Calibri"/>
                <w:b w:val="0"/>
                <w:i w:val="0"/>
                <w:color w:val="20302C"/>
                <w:sz w:val="18"/>
              </w:rPr>
              <w:t>752</w:t>
            </w:r>
          </w:p>
        </w:tc>
        <w:tc>
          <w:tcPr>
            <w:tcW w:type="dxa" w:w="1325"/>
          </w:tcPr>
          <w:p>
            <w:pPr>
              <w:spacing w:after="20" w:before="20"/>
              <w:jc w:val="right"/>
            </w:pPr>
            <w:r/>
            <w:r>
              <w:rPr>
                <w:rFonts w:ascii="Calibri" w:hAnsi="Calibri"/>
                <w:b w:val="0"/>
                <w:i w:val="0"/>
                <w:color w:val="20302C"/>
                <w:sz w:val="18"/>
              </w:rPr>
              <w:t>805</w:t>
            </w:r>
          </w:p>
        </w:tc>
        <w:tc>
          <w:tcPr>
            <w:tcW w:type="dxa" w:w="1325"/>
          </w:tcPr>
          <w:p>
            <w:pPr>
              <w:spacing w:after="20" w:before="20"/>
              <w:jc w:val="right"/>
            </w:pPr>
            <w:r/>
            <w:r>
              <w:rPr>
                <w:rFonts w:ascii="Calibri" w:hAnsi="Calibri"/>
                <w:b w:val="0"/>
                <w:i w:val="0"/>
                <w:color w:val="20302C"/>
                <w:sz w:val="18"/>
              </w:rPr>
              <w:t>858</w:t>
            </w:r>
          </w:p>
        </w:tc>
        <w:tc>
          <w:tcPr>
            <w:tcW w:type="dxa" w:w="1325"/>
          </w:tcPr>
          <w:p>
            <w:pPr>
              <w:spacing w:after="20" w:before="20"/>
              <w:jc w:val="right"/>
            </w:pPr>
            <w:r/>
            <w:r>
              <w:rPr>
                <w:rFonts w:ascii="Calibri" w:hAnsi="Calibri"/>
                <w:b w:val="0"/>
                <w:i w:val="0"/>
                <w:color w:val="20302C"/>
                <w:sz w:val="18"/>
              </w:rPr>
              <w:t>909</w:t>
            </w:r>
          </w:p>
        </w:tc>
        <w:tc>
          <w:tcPr>
            <w:tcW w:type="dxa" w:w="1325"/>
          </w:tcPr>
          <w:p>
            <w:pPr>
              <w:spacing w:after="20" w:before="20"/>
              <w:jc w:val="right"/>
            </w:pPr>
            <w:r/>
            <w:r>
              <w:rPr>
                <w:rFonts w:ascii="Calibri" w:hAnsi="Calibri"/>
                <w:b w:val="0"/>
                <w:i w:val="0"/>
                <w:color w:val="20302C"/>
                <w:sz w:val="18"/>
              </w:rPr>
              <w:t>959</w:t>
            </w:r>
          </w:p>
        </w:tc>
      </w:tr>
      <w:tr>
        <w:tc>
          <w:tcPr>
            <w:tcW w:type="dxa" w:w="3456"/>
          </w:tcPr>
          <w:p>
            <w:pPr>
              <w:spacing w:after="20" w:before="20"/>
              <w:jc w:val="left"/>
            </w:pPr>
            <w:r/>
            <w:r>
              <w:rPr>
                <w:rFonts w:ascii="Calibri" w:hAnsi="Calibri"/>
                <w:b w:val="0"/>
                <w:i w:val="0"/>
                <w:color w:val="20302C"/>
                <w:sz w:val="18"/>
              </w:rPr>
              <w:t>Δ required capital (QAR mn)</w:t>
            </w:r>
          </w:p>
        </w:tc>
        <w:tc>
          <w:tcPr>
            <w:tcW w:type="dxa" w:w="1325"/>
          </w:tcPr>
          <w:p>
            <w:pPr>
              <w:spacing w:after="20" w:before="20"/>
              <w:jc w:val="right"/>
            </w:pPr>
            <w:r/>
            <w:r>
              <w:rPr>
                <w:rFonts w:ascii="Calibri" w:hAnsi="Calibri"/>
                <w:b w:val="0"/>
                <w:i w:val="0"/>
                <w:color w:val="20302C"/>
                <w:sz w:val="18"/>
              </w:rPr>
              <w:t>7</w:t>
            </w:r>
          </w:p>
        </w:tc>
        <w:tc>
          <w:tcPr>
            <w:tcW w:type="dxa" w:w="1325"/>
          </w:tcPr>
          <w:p>
            <w:pPr>
              <w:spacing w:after="20" w:before="20"/>
              <w:jc w:val="right"/>
            </w:pPr>
            <w:r/>
            <w:r>
              <w:rPr>
                <w:rFonts w:ascii="Calibri" w:hAnsi="Calibri"/>
                <w:b w:val="0"/>
                <w:i w:val="0"/>
                <w:color w:val="20302C"/>
                <w:sz w:val="18"/>
              </w:rPr>
              <w:t>6</w:t>
            </w:r>
          </w:p>
        </w:tc>
        <w:tc>
          <w:tcPr>
            <w:tcW w:type="dxa" w:w="1325"/>
          </w:tcPr>
          <w:p>
            <w:pPr>
              <w:spacing w:after="20" w:before="20"/>
              <w:jc w:val="right"/>
            </w:pPr>
            <w:r/>
            <w:r>
              <w:rPr>
                <w:rFonts w:ascii="Calibri" w:hAnsi="Calibri"/>
                <w:b w:val="0"/>
                <w:i w:val="0"/>
                <w:color w:val="20302C"/>
                <w:sz w:val="18"/>
              </w:rPr>
              <w:t>7</w:t>
            </w:r>
          </w:p>
        </w:tc>
        <w:tc>
          <w:tcPr>
            <w:tcW w:type="dxa" w:w="1325"/>
          </w:tcPr>
          <w:p>
            <w:pPr>
              <w:spacing w:after="20" w:before="20"/>
              <w:jc w:val="right"/>
            </w:pPr>
            <w:r/>
            <w:r>
              <w:rPr>
                <w:rFonts w:ascii="Calibri" w:hAnsi="Calibri"/>
                <w:b w:val="0"/>
                <w:i w:val="0"/>
                <w:color w:val="20302C"/>
                <w:sz w:val="18"/>
              </w:rPr>
              <w:t>6</w:t>
            </w:r>
          </w:p>
        </w:tc>
        <w:tc>
          <w:tcPr>
            <w:tcW w:type="dxa" w:w="1325"/>
          </w:tcPr>
          <w:p>
            <w:pPr>
              <w:spacing w:after="20" w:before="20"/>
              <w:jc w:val="right"/>
            </w:pPr>
            <w:r/>
            <w:r>
              <w:rPr>
                <w:rFonts w:ascii="Calibri" w:hAnsi="Calibri"/>
                <w:b w:val="0"/>
                <w:i w:val="0"/>
                <w:color w:val="20302C"/>
                <w:sz w:val="18"/>
              </w:rPr>
              <w:t>6</w:t>
            </w:r>
          </w:p>
        </w:tc>
      </w:tr>
      <w:tr>
        <w:tc>
          <w:tcPr>
            <w:tcW w:type="dxa" w:w="3456"/>
          </w:tcPr>
          <w:p>
            <w:pPr>
              <w:spacing w:after="20" w:before="20"/>
              <w:jc w:val="left"/>
            </w:pPr>
            <w:r/>
            <w:r>
              <w:rPr>
                <w:rFonts w:ascii="Calibri" w:hAnsi="Calibri"/>
                <w:b w:val="0"/>
                <w:i w:val="0"/>
                <w:color w:val="20302C"/>
                <w:sz w:val="18"/>
              </w:rPr>
              <w:t>FCFE = NI − Δ capital (QAR mn)</w:t>
            </w:r>
          </w:p>
        </w:tc>
        <w:tc>
          <w:tcPr>
            <w:tcW w:type="dxa" w:w="1325"/>
          </w:tcPr>
          <w:p>
            <w:pPr>
              <w:spacing w:after="20" w:before="20"/>
              <w:jc w:val="right"/>
            </w:pPr>
            <w:r/>
            <w:r>
              <w:rPr>
                <w:rFonts w:ascii="Calibri" w:hAnsi="Calibri"/>
                <w:b w:val="0"/>
                <w:i w:val="0"/>
                <w:color w:val="20302C"/>
                <w:sz w:val="18"/>
              </w:rPr>
              <w:t>10</w:t>
            </w:r>
          </w:p>
        </w:tc>
        <w:tc>
          <w:tcPr>
            <w:tcW w:type="dxa" w:w="1325"/>
          </w:tcPr>
          <w:p>
            <w:pPr>
              <w:spacing w:after="20" w:before="20"/>
              <w:jc w:val="right"/>
            </w:pPr>
            <w:r/>
            <w:r>
              <w:rPr>
                <w:rFonts w:ascii="Calibri" w:hAnsi="Calibri"/>
                <w:b w:val="0"/>
                <w:i w:val="0"/>
                <w:color w:val="20302C"/>
                <w:sz w:val="18"/>
              </w:rPr>
              <w:t>11</w:t>
            </w:r>
          </w:p>
        </w:tc>
        <w:tc>
          <w:tcPr>
            <w:tcW w:type="dxa" w:w="1325"/>
          </w:tcPr>
          <w:p>
            <w:pPr>
              <w:spacing w:after="20" w:before="20"/>
              <w:jc w:val="right"/>
            </w:pPr>
            <w:r/>
            <w:r>
              <w:rPr>
                <w:rFonts w:ascii="Calibri" w:hAnsi="Calibri"/>
                <w:b w:val="0"/>
                <w:i w:val="0"/>
                <w:color w:val="20302C"/>
                <w:sz w:val="18"/>
              </w:rPr>
              <w:t>12</w:t>
            </w:r>
          </w:p>
        </w:tc>
        <w:tc>
          <w:tcPr>
            <w:tcW w:type="dxa" w:w="1325"/>
          </w:tcPr>
          <w:p>
            <w:pPr>
              <w:spacing w:after="20" w:before="20"/>
              <w:jc w:val="right"/>
            </w:pPr>
            <w:r/>
            <w:r>
              <w:rPr>
                <w:rFonts w:ascii="Calibri" w:hAnsi="Calibri"/>
                <w:b w:val="0"/>
                <w:i w:val="0"/>
                <w:color w:val="20302C"/>
                <w:sz w:val="18"/>
              </w:rPr>
              <w:t>13</w:t>
            </w:r>
          </w:p>
        </w:tc>
        <w:tc>
          <w:tcPr>
            <w:tcW w:type="dxa" w:w="1325"/>
          </w:tcPr>
          <w:p>
            <w:pPr>
              <w:spacing w:after="20" w:before="20"/>
              <w:jc w:val="right"/>
            </w:pPr>
            <w:r/>
            <w:r>
              <w:rPr>
                <w:rFonts w:ascii="Calibri" w:hAnsi="Calibri"/>
                <w:b w:val="0"/>
                <w:i w:val="0"/>
                <w:color w:val="20302C"/>
                <w:sz w:val="18"/>
              </w:rPr>
              <w:t>15</w:t>
            </w:r>
          </w:p>
        </w:tc>
      </w:tr>
      <w:tr>
        <w:tc>
          <w:tcPr>
            <w:tcW w:type="dxa" w:w="3456"/>
          </w:tcPr>
          <w:p>
            <w:pPr>
              <w:spacing w:after="20" w:before="20"/>
              <w:jc w:val="left"/>
            </w:pPr>
            <w:r/>
            <w:r>
              <w:rPr>
                <w:rFonts w:ascii="Calibri" w:hAnsi="Calibri"/>
                <w:b w:val="0"/>
                <w:i w:val="0"/>
                <w:color w:val="20302C"/>
                <w:sz w:val="18"/>
              </w:rPr>
              <w:t>FCFE per share (QAR)</w:t>
            </w:r>
          </w:p>
        </w:tc>
        <w:tc>
          <w:tcPr>
            <w:tcW w:type="dxa" w:w="1325"/>
          </w:tcPr>
          <w:p>
            <w:pPr>
              <w:spacing w:after="20" w:before="20"/>
              <w:jc w:val="right"/>
            </w:pPr>
            <w:r/>
            <w:r>
              <w:rPr>
                <w:rFonts w:ascii="Calibri" w:hAnsi="Calibri"/>
                <w:b w:val="0"/>
                <w:i w:val="0"/>
                <w:color w:val="20302C"/>
                <w:sz w:val="18"/>
              </w:rPr>
              <w:t>1.089</w:t>
            </w:r>
          </w:p>
        </w:tc>
        <w:tc>
          <w:tcPr>
            <w:tcW w:type="dxa" w:w="1325"/>
          </w:tcPr>
          <w:p>
            <w:pPr>
              <w:spacing w:after="20" w:before="20"/>
              <w:jc w:val="right"/>
            </w:pPr>
            <w:r/>
            <w:r>
              <w:rPr>
                <w:rFonts w:ascii="Calibri" w:hAnsi="Calibri"/>
                <w:b w:val="0"/>
                <w:i w:val="0"/>
                <w:color w:val="20302C"/>
                <w:sz w:val="18"/>
              </w:rPr>
              <w:t>1.187</w:t>
            </w:r>
          </w:p>
        </w:tc>
        <w:tc>
          <w:tcPr>
            <w:tcW w:type="dxa" w:w="1325"/>
          </w:tcPr>
          <w:p>
            <w:pPr>
              <w:spacing w:after="20" w:before="20"/>
              <w:jc w:val="right"/>
            </w:pPr>
            <w:r/>
            <w:r>
              <w:rPr>
                <w:rFonts w:ascii="Calibri" w:hAnsi="Calibri"/>
                <w:b w:val="0"/>
                <w:i w:val="0"/>
                <w:color w:val="20302C"/>
                <w:sz w:val="18"/>
              </w:rPr>
              <w:t>1.315</w:t>
            </w:r>
          </w:p>
        </w:tc>
        <w:tc>
          <w:tcPr>
            <w:tcW w:type="dxa" w:w="1325"/>
          </w:tcPr>
          <w:p>
            <w:pPr>
              <w:spacing w:after="20" w:before="20"/>
              <w:jc w:val="right"/>
            </w:pPr>
            <w:r/>
            <w:r>
              <w:rPr>
                <w:rFonts w:ascii="Calibri" w:hAnsi="Calibri"/>
                <w:b w:val="0"/>
                <w:i w:val="0"/>
                <w:color w:val="20302C"/>
                <w:sz w:val="18"/>
              </w:rPr>
              <w:t>1.470</w:t>
            </w:r>
          </w:p>
        </w:tc>
        <w:tc>
          <w:tcPr>
            <w:tcW w:type="dxa" w:w="1325"/>
          </w:tcPr>
          <w:p>
            <w:pPr>
              <w:spacing w:after="20" w:before="20"/>
              <w:jc w:val="right"/>
            </w:pPr>
            <w:r/>
            <w:r>
              <w:rPr>
                <w:rFonts w:ascii="Calibri" w:hAnsi="Calibri"/>
                <w:b w:val="0"/>
                <w:i w:val="0"/>
                <w:color w:val="20302C"/>
                <w:sz w:val="18"/>
              </w:rPr>
              <w:t>1.642</w:t>
            </w:r>
          </w:p>
        </w:tc>
      </w:tr>
      <w:tr>
        <w:tc>
          <w:tcPr>
            <w:tcW w:type="dxa" w:w="3456"/>
          </w:tcPr>
          <w:p>
            <w:pPr>
              <w:spacing w:after="20" w:before="20"/>
              <w:jc w:val="left"/>
            </w:pPr>
            <w:r/>
            <w:r>
              <w:rPr>
                <w:rFonts w:ascii="Calibri" w:hAnsi="Calibri"/>
                <w:b w:val="0"/>
                <w:i w:val="0"/>
                <w:color w:val="20302C"/>
                <w:sz w:val="18"/>
              </w:rPr>
              <w:t>Discount factor</w:t>
            </w:r>
          </w:p>
        </w:tc>
        <w:tc>
          <w:tcPr>
            <w:tcW w:type="dxa" w:w="1325"/>
          </w:tcPr>
          <w:p>
            <w:pPr>
              <w:spacing w:after="20" w:before="20"/>
              <w:jc w:val="right"/>
            </w:pPr>
            <w:r/>
            <w:r>
              <w:rPr>
                <w:rFonts w:ascii="Calibri" w:hAnsi="Calibri"/>
                <w:b w:val="0"/>
                <w:i w:val="0"/>
                <w:color w:val="20302C"/>
                <w:sz w:val="18"/>
              </w:rPr>
              <w:t>0.905</w:t>
            </w:r>
          </w:p>
        </w:tc>
        <w:tc>
          <w:tcPr>
            <w:tcW w:type="dxa" w:w="1325"/>
          </w:tcPr>
          <w:p>
            <w:pPr>
              <w:spacing w:after="20" w:before="20"/>
              <w:jc w:val="right"/>
            </w:pPr>
            <w:r/>
            <w:r>
              <w:rPr>
                <w:rFonts w:ascii="Calibri" w:hAnsi="Calibri"/>
                <w:b w:val="0"/>
                <w:i w:val="0"/>
                <w:color w:val="20302C"/>
                <w:sz w:val="18"/>
              </w:rPr>
              <w:t>0.818</w:t>
            </w:r>
          </w:p>
        </w:tc>
        <w:tc>
          <w:tcPr>
            <w:tcW w:type="dxa" w:w="1325"/>
          </w:tcPr>
          <w:p>
            <w:pPr>
              <w:spacing w:after="20" w:before="20"/>
              <w:jc w:val="right"/>
            </w:pPr>
            <w:r/>
            <w:r>
              <w:rPr>
                <w:rFonts w:ascii="Calibri" w:hAnsi="Calibri"/>
                <w:b w:val="0"/>
                <w:i w:val="0"/>
                <w:color w:val="20302C"/>
                <w:sz w:val="18"/>
              </w:rPr>
              <w:t>0.740</w:t>
            </w:r>
          </w:p>
        </w:tc>
        <w:tc>
          <w:tcPr>
            <w:tcW w:type="dxa" w:w="1325"/>
          </w:tcPr>
          <w:p>
            <w:pPr>
              <w:spacing w:after="20" w:before="20"/>
              <w:jc w:val="right"/>
            </w:pPr>
            <w:r/>
            <w:r>
              <w:rPr>
                <w:rFonts w:ascii="Calibri" w:hAnsi="Calibri"/>
                <w:b w:val="0"/>
                <w:i w:val="0"/>
                <w:color w:val="20302C"/>
                <w:sz w:val="18"/>
              </w:rPr>
              <w:t>0.670</w:t>
            </w:r>
          </w:p>
        </w:tc>
        <w:tc>
          <w:tcPr>
            <w:tcW w:type="dxa" w:w="1325"/>
          </w:tcPr>
          <w:p>
            <w:pPr>
              <w:spacing w:after="20" w:before="20"/>
              <w:jc w:val="right"/>
            </w:pPr>
            <w:r/>
            <w:r>
              <w:rPr>
                <w:rFonts w:ascii="Calibri" w:hAnsi="Calibri"/>
                <w:b w:val="0"/>
                <w:i w:val="0"/>
                <w:color w:val="20302C"/>
                <w:sz w:val="18"/>
              </w:rPr>
              <w:t>0.606</w:t>
            </w:r>
          </w:p>
        </w:tc>
      </w:tr>
      <w:tr>
        <w:tc>
          <w:tcPr>
            <w:tcW w:type="dxa" w:w="3456"/>
          </w:tcPr>
          <w:p>
            <w:pPr>
              <w:spacing w:after="20" w:before="20"/>
              <w:jc w:val="left"/>
            </w:pPr>
            <w:r/>
            <w:r>
              <w:rPr>
                <w:rFonts w:ascii="Calibri" w:hAnsi="Calibri"/>
                <w:b w:val="0"/>
                <w:i w:val="0"/>
                <w:color w:val="20302C"/>
                <w:sz w:val="18"/>
              </w:rPr>
              <w:t>PV of FCFE/sh (QAR)</w:t>
            </w:r>
          </w:p>
        </w:tc>
        <w:tc>
          <w:tcPr>
            <w:tcW w:type="dxa" w:w="1325"/>
          </w:tcPr>
          <w:p>
            <w:pPr>
              <w:spacing w:after="20" w:before="20"/>
              <w:jc w:val="right"/>
            </w:pPr>
            <w:r/>
            <w:r>
              <w:rPr>
                <w:rFonts w:ascii="Calibri" w:hAnsi="Calibri"/>
                <w:b w:val="0"/>
                <w:i w:val="0"/>
                <w:color w:val="20302C"/>
                <w:sz w:val="18"/>
              </w:rPr>
              <w:t>0.986</w:t>
            </w:r>
          </w:p>
        </w:tc>
        <w:tc>
          <w:tcPr>
            <w:tcW w:type="dxa" w:w="1325"/>
          </w:tcPr>
          <w:p>
            <w:pPr>
              <w:spacing w:after="20" w:before="20"/>
              <w:jc w:val="right"/>
            </w:pPr>
            <w:r/>
            <w:r>
              <w:rPr>
                <w:rFonts w:ascii="Calibri" w:hAnsi="Calibri"/>
                <w:b w:val="0"/>
                <w:i w:val="0"/>
                <w:color w:val="20302C"/>
                <w:sz w:val="18"/>
              </w:rPr>
              <w:t>0.971</w:t>
            </w:r>
          </w:p>
        </w:tc>
        <w:tc>
          <w:tcPr>
            <w:tcW w:type="dxa" w:w="1325"/>
          </w:tcPr>
          <w:p>
            <w:pPr>
              <w:spacing w:after="20" w:before="20"/>
              <w:jc w:val="right"/>
            </w:pPr>
            <w:r/>
            <w:r>
              <w:rPr>
                <w:rFonts w:ascii="Calibri" w:hAnsi="Calibri"/>
                <w:b w:val="0"/>
                <w:i w:val="0"/>
                <w:color w:val="20302C"/>
                <w:sz w:val="18"/>
              </w:rPr>
              <w:t>0.974</w:t>
            </w:r>
          </w:p>
        </w:tc>
        <w:tc>
          <w:tcPr>
            <w:tcW w:type="dxa" w:w="1325"/>
          </w:tcPr>
          <w:p>
            <w:pPr>
              <w:spacing w:after="20" w:before="20"/>
              <w:jc w:val="right"/>
            </w:pPr>
            <w:r/>
            <w:r>
              <w:rPr>
                <w:rFonts w:ascii="Calibri" w:hAnsi="Calibri"/>
                <w:b w:val="0"/>
                <w:i w:val="0"/>
                <w:color w:val="20302C"/>
                <w:sz w:val="18"/>
              </w:rPr>
              <w:t>0.984</w:t>
            </w:r>
          </w:p>
        </w:tc>
        <w:tc>
          <w:tcPr>
            <w:tcW w:type="dxa" w:w="1325"/>
          </w:tcPr>
          <w:p>
            <w:pPr>
              <w:spacing w:after="20" w:before="20"/>
              <w:jc w:val="right"/>
            </w:pPr>
            <w:r/>
            <w:r>
              <w:rPr>
                <w:rFonts w:ascii="Calibri" w:hAnsi="Calibri"/>
                <w:b w:val="0"/>
                <w:i w:val="0"/>
                <w:color w:val="20302C"/>
                <w:sz w:val="18"/>
              </w:rPr>
              <w:t>0.995</w:t>
            </w:r>
          </w:p>
        </w:tc>
      </w:tr>
    </w:tbl>
    <w:tbl>
      <w:tblPr>
        <w:tblStyle w:val="TableGrid"/>
        <w:tblW w:type="auto" w:w="0"/>
        <w:jc w:val="center"/>
        <w:tblLook w:firstColumn="1" w:firstRow="1" w:lastColumn="0" w:lastRow="0" w:noHBand="0" w:noVBand="1" w:val="04A0"/>
      </w:tblPr>
      <w:tblGrid>
        <w:gridCol w:w="4968"/>
        <w:gridCol w:w="4968"/>
      </w:tblGrid>
      <w:tr>
        <w:tc>
          <w:tcPr>
            <w:tcW w:type="dxa" w:w="6624"/>
            <w:shd w:val="clear" w:fill="1C3A36"/>
          </w:tcPr>
          <w:p>
            <w:pPr>
              <w:spacing w:after="20" w:before="20"/>
              <w:jc w:val="left"/>
            </w:pPr>
            <w:r/>
            <w:r>
              <w:rPr>
                <w:rFonts w:ascii="Calibri" w:hAnsi="Calibri"/>
                <w:b/>
                <w:i w:val="0"/>
                <w:color w:val="FFFFFF"/>
                <w:sz w:val="18"/>
              </w:rPr>
              <w:t>FCFE / distributable capital</w:t>
            </w:r>
          </w:p>
        </w:tc>
        <w:tc>
          <w:tcPr>
            <w:tcW w:type="dxa" w:w="3456"/>
            <w:shd w:val="clear" w:fill="1C3A36"/>
          </w:tcPr>
          <w:p>
            <w:pPr>
              <w:spacing w:after="20" w:before="20"/>
              <w:jc w:val="right"/>
            </w:pPr>
            <w:r/>
            <w:r>
              <w:rPr>
                <w:rFonts w:ascii="Calibri" w:hAnsi="Calibri"/>
                <w:b/>
                <w:i w:val="0"/>
                <w:color w:val="FFFFFF"/>
                <w:sz w:val="18"/>
              </w:rPr>
              <w:t>Value</w:t>
            </w:r>
          </w:p>
        </w:tc>
      </w:tr>
      <w:tr>
        <w:tc>
          <w:tcPr>
            <w:tcW w:type="dxa" w:w="6624"/>
          </w:tcPr>
          <w:p>
            <w:pPr>
              <w:spacing w:after="20" w:before="20"/>
              <w:jc w:val="left"/>
            </w:pPr>
            <w:r/>
            <w:r>
              <w:rPr>
                <w:rFonts w:ascii="Calibri" w:hAnsi="Calibri"/>
                <w:b w:val="0"/>
                <w:i w:val="0"/>
                <w:color w:val="20302C"/>
                <w:sz w:val="18"/>
              </w:rPr>
              <w:t>Σ PV explicit FCFE/sh</w:t>
            </w:r>
          </w:p>
        </w:tc>
        <w:tc>
          <w:tcPr>
            <w:tcW w:type="dxa" w:w="3456"/>
          </w:tcPr>
          <w:p>
            <w:pPr>
              <w:spacing w:after="20" w:before="20"/>
              <w:jc w:val="right"/>
            </w:pPr>
            <w:r/>
            <w:r>
              <w:rPr>
                <w:rFonts w:ascii="Calibri" w:hAnsi="Calibri"/>
                <w:b w:val="0"/>
                <w:i w:val="0"/>
                <w:color w:val="20302C"/>
                <w:sz w:val="18"/>
              </w:rPr>
              <w:t>QAR 4.91</w:t>
            </w:r>
          </w:p>
        </w:tc>
      </w:tr>
      <w:tr>
        <w:tc>
          <w:tcPr>
            <w:tcW w:type="dxa" w:w="6624"/>
          </w:tcPr>
          <w:p>
            <w:pPr>
              <w:spacing w:after="20" w:before="20"/>
              <w:jc w:val="left"/>
            </w:pPr>
            <w:r/>
            <w:r>
              <w:rPr>
                <w:rFonts w:ascii="Calibri" w:hAnsi="Calibri"/>
                <w:b w:val="0"/>
                <w:i w:val="0"/>
                <w:color w:val="20302C"/>
                <w:sz w:val="18"/>
              </w:rPr>
              <w:t>Terminal FCFE/sh = EPS30·(1+g)·term-payout</w:t>
            </w:r>
          </w:p>
        </w:tc>
        <w:tc>
          <w:tcPr>
            <w:tcW w:type="dxa" w:w="3456"/>
          </w:tcPr>
          <w:p>
            <w:pPr>
              <w:spacing w:after="20" w:before="20"/>
              <w:jc w:val="right"/>
            </w:pPr>
            <w:r/>
            <w:r>
              <w:rPr>
                <w:rFonts w:ascii="Calibri" w:hAnsi="Calibri"/>
                <w:b w:val="0"/>
                <w:i w:val="0"/>
                <w:color w:val="20302C"/>
                <w:sz w:val="18"/>
              </w:rPr>
              <w:t>QAR 1.463</w:t>
            </w:r>
          </w:p>
        </w:tc>
      </w:tr>
      <w:tr>
        <w:tc>
          <w:tcPr>
            <w:tcW w:type="dxa" w:w="6624"/>
          </w:tcPr>
          <w:p>
            <w:pPr>
              <w:spacing w:after="20" w:before="20"/>
              <w:jc w:val="left"/>
            </w:pPr>
            <w:r/>
            <w:r>
              <w:rPr>
                <w:rFonts w:ascii="Calibri" w:hAnsi="Calibri"/>
                <w:b w:val="0"/>
                <w:i w:val="0"/>
                <w:color w:val="20302C"/>
                <w:sz w:val="18"/>
              </w:rPr>
              <w:t>PV of terminal value/sh</w:t>
            </w:r>
          </w:p>
        </w:tc>
        <w:tc>
          <w:tcPr>
            <w:tcW w:type="dxa" w:w="3456"/>
          </w:tcPr>
          <w:p>
            <w:pPr>
              <w:spacing w:after="20" w:before="20"/>
              <w:jc w:val="right"/>
            </w:pPr>
            <w:r/>
            <w:r>
              <w:rPr>
                <w:rFonts w:ascii="Calibri" w:hAnsi="Calibri"/>
                <w:b w:val="0"/>
                <w:i w:val="0"/>
                <w:color w:val="20302C"/>
                <w:sz w:val="18"/>
              </w:rPr>
              <w:t>QAR 15.28</w:t>
            </w:r>
          </w:p>
        </w:tc>
      </w:tr>
      <w:tr>
        <w:tc>
          <w:tcPr>
            <w:tcW w:type="dxa" w:w="6624"/>
            <w:shd w:val="clear" w:fill="F2ECDD"/>
          </w:tcPr>
          <w:p>
            <w:pPr>
              <w:spacing w:after="20" w:before="20"/>
              <w:jc w:val="left"/>
            </w:pPr>
            <w:r/>
            <w:r>
              <w:rPr>
                <w:rFonts w:ascii="Calibri" w:hAnsi="Calibri"/>
                <w:b/>
                <w:i w:val="0"/>
                <w:color w:val="20302C"/>
                <w:sz w:val="18"/>
              </w:rPr>
              <w:t>FCFE fair value (actual-posture terminal)</w:t>
            </w:r>
          </w:p>
        </w:tc>
        <w:tc>
          <w:tcPr>
            <w:tcW w:type="dxa" w:w="3456"/>
            <w:shd w:val="clear" w:fill="F2ECDD"/>
          </w:tcPr>
          <w:p>
            <w:pPr>
              <w:spacing w:after="20" w:before="20"/>
              <w:jc w:val="right"/>
            </w:pPr>
            <w:r/>
            <w:r>
              <w:rPr>
                <w:rFonts w:ascii="Calibri" w:hAnsi="Calibri"/>
                <w:b/>
                <w:i w:val="0"/>
                <w:color w:val="20302C"/>
                <w:sz w:val="18"/>
              </w:rPr>
              <w:t>QAR 20.19</w:t>
            </w:r>
          </w:p>
        </w:tc>
      </w:tr>
      <w:tr>
        <w:tc>
          <w:tcPr>
            <w:tcW w:type="dxa" w:w="6624"/>
          </w:tcPr>
          <w:p>
            <w:pPr>
              <w:spacing w:after="20" w:before="20"/>
              <w:jc w:val="left"/>
            </w:pPr>
            <w:r/>
            <w:r>
              <w:rPr>
                <w:rFonts w:ascii="Calibri" w:hAnsi="Calibri"/>
                <w:b w:val="0"/>
                <w:i w:val="0"/>
                <w:color w:val="20302C"/>
                <w:sz w:val="18"/>
              </w:rPr>
              <w:t>TV as % of value (disclosed)</w:t>
            </w:r>
          </w:p>
        </w:tc>
        <w:tc>
          <w:tcPr>
            <w:tcW w:type="dxa" w:w="3456"/>
          </w:tcPr>
          <w:p>
            <w:pPr>
              <w:spacing w:after="20" w:before="20"/>
              <w:jc w:val="right"/>
            </w:pPr>
            <w:r/>
            <w:r>
              <w:rPr>
                <w:rFonts w:ascii="Calibri" w:hAnsi="Calibri"/>
                <w:b w:val="0"/>
                <w:i w:val="0"/>
                <w:color w:val="20302C"/>
                <w:sz w:val="18"/>
              </w:rPr>
              <w:t>75.7%</w:t>
            </w:r>
          </w:p>
        </w:tc>
      </w:tr>
      <w:tr>
        <w:tc>
          <w:tcPr>
            <w:tcW w:type="dxa" w:w="6624"/>
          </w:tcPr>
          <w:p>
            <w:pPr>
              <w:spacing w:after="20" w:before="20"/>
              <w:jc w:val="left"/>
            </w:pPr>
            <w:r/>
            <w:r>
              <w:rPr>
                <w:rFonts w:ascii="Calibri" w:hAnsi="Calibri"/>
                <w:b w:val="0"/>
                <w:i w:val="0"/>
                <w:color w:val="20302C"/>
                <w:sz w:val="18"/>
              </w:rPr>
              <w:t>Full-capacity ceiling (RoTE-consistent payout)</w:t>
            </w:r>
          </w:p>
        </w:tc>
        <w:tc>
          <w:tcPr>
            <w:tcW w:type="dxa" w:w="3456"/>
          </w:tcPr>
          <w:p>
            <w:pPr>
              <w:spacing w:after="20" w:before="20"/>
              <w:jc w:val="right"/>
            </w:pPr>
            <w:r/>
            <w:r>
              <w:rPr>
                <w:rFonts w:ascii="Calibri" w:hAnsi="Calibri"/>
                <w:b w:val="0"/>
                <w:i w:val="0"/>
                <w:color w:val="20302C"/>
                <w:sz w:val="18"/>
              </w:rPr>
              <w:t>QAR 22.03</w:t>
            </w:r>
          </w:p>
        </w:tc>
      </w:tr>
    </w:tbl>
    <w:p>
      <w:pPr>
        <w:spacing w:after="120" w:line="259" w:lineRule="auto"/>
      </w:pPr>
      <w:r>
        <w:rPr>
          <w:rFonts w:ascii="Calibri" w:hAnsi="Calibri"/>
          <w:b/>
          <w:i w:val="0"/>
          <w:color w:val="20302C"/>
          <w:sz w:val="20"/>
        </w:rPr>
        <w:t>FCFE base ≈ QAR 20.2</w:t>
      </w:r>
      <w:r>
        <w:rPr>
          <w:rFonts w:ascii="Calibri" w:hAnsi="Calibri"/>
          <w:b w:val="0"/>
          <w:i w:val="0"/>
          <w:color w:val="20302C"/>
          <w:sz w:val="20"/>
        </w:rPr>
        <w:t xml:space="preserve"> on the same conservative terminal posture as the DDM — above the dividend model because it distributes more of the near-term surplus. Push the terminal payout to the RoTE-consistent 67.2% (full distribution of non-growth earnings) and the ceiling rises to </w:t>
      </w:r>
      <w:r>
        <w:rPr>
          <w:rFonts w:ascii="Calibri" w:hAnsi="Calibri"/>
          <w:b/>
          <w:i w:val="0"/>
          <w:color w:val="20302C"/>
          <w:sz w:val="20"/>
        </w:rPr>
        <w:t>QAR 22.0</w:t>
      </w:r>
      <w:r>
        <w:rPr>
          <w:rFonts w:ascii="Calibri" w:hAnsi="Calibri"/>
          <w:b w:val="0"/>
          <w:i w:val="0"/>
          <w:color w:val="20302C"/>
          <w:sz w:val="20"/>
        </w:rPr>
        <w:t xml:space="preserve"> (+26%). The gap between QAR 18.7 and QAR 22.0 is the value locked in QNB's over-capitalisation — the crux of §1.7.</w:t>
      </w:r>
    </w:p>
    <w:p>
      <w:pPr>
        <w:spacing w:before="180" w:after="40"/>
      </w:pPr>
      <w:r>
        <w:rPr>
          <w:rFonts w:ascii="Calibri" w:hAnsi="Calibri"/>
          <w:b/>
          <w:color w:val="1C3A36"/>
          <w:sz w:val="24"/>
        </w:rPr>
        <w:t>1.3  Relative multiples</w:t>
      </w:r>
    </w:p>
    <w:p>
      <w:pPr>
        <w:spacing w:after="120" w:line="259" w:lineRule="auto"/>
      </w:pPr>
      <w:r>
        <w:rPr>
          <w:rFonts w:ascii="Calibri" w:hAnsi="Calibri"/>
          <w:b w:val="0"/>
          <w:i w:val="0"/>
          <w:color w:val="20302C"/>
          <w:sz w:val="21"/>
        </w:rPr>
        <w:t>On its own numbers QNB screens cheap and mid-pack at once: it trades at 10.1× earnings and 1.48× book on a ~16% return on tangible equity. For a bank the P/B–RoTE frame beats a raw P/E, because a low payout depresses the justified P/E even as retained earnings compound. The Gordon-justified multiple is (RoTE − g)/(Ke − g) = 1.68× on a through-cycle 14.5% RoTE; we blend that against a peer/market anchor of 1.48×.</w:t>
      </w:r>
    </w:p>
    <w:tbl>
      <w:tblPr>
        <w:tblStyle w:val="TableGrid"/>
        <w:tblW w:type="auto" w:w="0"/>
        <w:jc w:val="center"/>
        <w:tblLook w:firstColumn="1" w:firstRow="1" w:lastColumn="0" w:lastRow="0" w:noHBand="0" w:noVBand="1" w:val="04A0"/>
      </w:tblPr>
      <w:tblGrid>
        <w:gridCol w:w="4968"/>
        <w:gridCol w:w="4968"/>
      </w:tblGrid>
      <w:tr>
        <w:tc>
          <w:tcPr>
            <w:tcW w:type="dxa" w:w="6624"/>
            <w:shd w:val="clear" w:fill="1C3A36"/>
          </w:tcPr>
          <w:p>
            <w:pPr>
              <w:spacing w:after="20" w:before="20"/>
              <w:jc w:val="left"/>
            </w:pPr>
            <w:r/>
            <w:r>
              <w:rPr>
                <w:rFonts w:ascii="Calibri" w:hAnsi="Calibri"/>
                <w:b/>
                <w:i w:val="0"/>
                <w:color w:val="FFFFFF"/>
                <w:sz w:val="18"/>
              </w:rPr>
              <w:t>Relative basis</w:t>
            </w:r>
          </w:p>
        </w:tc>
        <w:tc>
          <w:tcPr>
            <w:tcW w:type="dxa" w:w="3456"/>
            <w:shd w:val="clear" w:fill="1C3A36"/>
          </w:tcPr>
          <w:p>
            <w:pPr>
              <w:spacing w:after="20" w:before="20"/>
              <w:jc w:val="right"/>
            </w:pPr>
            <w:r/>
            <w:r>
              <w:rPr>
                <w:rFonts w:ascii="Calibri" w:hAnsi="Calibri"/>
                <w:b/>
                <w:i w:val="0"/>
                <w:color w:val="FFFFFF"/>
                <w:sz w:val="18"/>
              </w:rPr>
              <w:t>Value</w:t>
            </w:r>
          </w:p>
        </w:tc>
      </w:tr>
      <w:tr>
        <w:tc>
          <w:tcPr>
            <w:tcW w:type="dxa" w:w="6624"/>
          </w:tcPr>
          <w:p>
            <w:pPr>
              <w:spacing w:after="20" w:before="20"/>
              <w:jc w:val="left"/>
            </w:pPr>
            <w:r/>
            <w:r>
              <w:rPr>
                <w:rFonts w:ascii="Calibri" w:hAnsi="Calibri"/>
                <w:b w:val="0"/>
                <w:i w:val="0"/>
                <w:color w:val="20302C"/>
                <w:sz w:val="18"/>
              </w:rPr>
              <w:t>Through-cycle RoTE</w:t>
            </w:r>
          </w:p>
        </w:tc>
        <w:tc>
          <w:tcPr>
            <w:tcW w:type="dxa" w:w="3456"/>
          </w:tcPr>
          <w:p>
            <w:pPr>
              <w:spacing w:after="20" w:before="20"/>
              <w:jc w:val="right"/>
            </w:pPr>
            <w:r/>
            <w:r>
              <w:rPr>
                <w:rFonts w:ascii="Calibri" w:hAnsi="Calibri"/>
                <w:b w:val="0"/>
                <w:i w:val="0"/>
                <w:color w:val="20302C"/>
                <w:sz w:val="18"/>
              </w:rPr>
              <w:t>14.5%</w:t>
            </w:r>
          </w:p>
        </w:tc>
      </w:tr>
      <w:tr>
        <w:tc>
          <w:tcPr>
            <w:tcW w:type="dxa" w:w="6624"/>
          </w:tcPr>
          <w:p>
            <w:pPr>
              <w:spacing w:after="20" w:before="20"/>
              <w:jc w:val="left"/>
            </w:pPr>
            <w:r/>
            <w:r>
              <w:rPr>
                <w:rFonts w:ascii="Calibri" w:hAnsi="Calibri"/>
                <w:b w:val="0"/>
                <w:i w:val="0"/>
                <w:color w:val="20302C"/>
                <w:sz w:val="18"/>
              </w:rPr>
              <w:t>Justified P/B = (RoTE − g)/(Ke − g)</w:t>
            </w:r>
          </w:p>
        </w:tc>
        <w:tc>
          <w:tcPr>
            <w:tcW w:type="dxa" w:w="3456"/>
          </w:tcPr>
          <w:p>
            <w:pPr>
              <w:spacing w:after="20" w:before="20"/>
              <w:jc w:val="right"/>
            </w:pPr>
            <w:r/>
            <w:r>
              <w:rPr>
                <w:rFonts w:ascii="Calibri" w:hAnsi="Calibri"/>
                <w:b w:val="0"/>
                <w:i w:val="0"/>
                <w:color w:val="20302C"/>
                <w:sz w:val="18"/>
              </w:rPr>
              <w:t>1.68×</w:t>
            </w:r>
          </w:p>
        </w:tc>
      </w:tr>
      <w:tr>
        <w:tc>
          <w:tcPr>
            <w:tcW w:type="dxa" w:w="6624"/>
          </w:tcPr>
          <w:p>
            <w:pPr>
              <w:spacing w:after="20" w:before="20"/>
              <w:jc w:val="left"/>
            </w:pPr>
            <w:r/>
            <w:r>
              <w:rPr>
                <w:rFonts w:ascii="Calibri" w:hAnsi="Calibri"/>
                <w:b w:val="0"/>
                <w:i w:val="0"/>
                <w:color w:val="20302C"/>
                <w:sz w:val="18"/>
              </w:rPr>
              <w:t>Gordon fair value = justified P/B · tangible BVPS</w:t>
            </w:r>
          </w:p>
        </w:tc>
        <w:tc>
          <w:tcPr>
            <w:tcW w:type="dxa" w:w="3456"/>
          </w:tcPr>
          <w:p>
            <w:pPr>
              <w:spacing w:after="20" w:before="20"/>
              <w:jc w:val="right"/>
            </w:pPr>
            <w:r/>
            <w:r>
              <w:rPr>
                <w:rFonts w:ascii="Calibri" w:hAnsi="Calibri"/>
                <w:b w:val="0"/>
                <w:i w:val="0"/>
                <w:color w:val="20302C"/>
                <w:sz w:val="18"/>
              </w:rPr>
              <w:t>QAR 18.82</w:t>
            </w:r>
          </w:p>
        </w:tc>
      </w:tr>
      <w:tr>
        <w:tc>
          <w:tcPr>
            <w:tcW w:type="dxa" w:w="6624"/>
          </w:tcPr>
          <w:p>
            <w:pPr>
              <w:spacing w:after="20" w:before="20"/>
              <w:jc w:val="left"/>
            </w:pPr>
            <w:r/>
            <w:r>
              <w:rPr>
                <w:rFonts w:ascii="Calibri" w:hAnsi="Calibri"/>
                <w:b w:val="0"/>
                <w:i w:val="0"/>
                <w:color w:val="20302C"/>
                <w:sz w:val="18"/>
              </w:rPr>
              <w:t>Peer / market P/B (indicative)</w:t>
            </w:r>
          </w:p>
        </w:tc>
        <w:tc>
          <w:tcPr>
            <w:tcW w:type="dxa" w:w="3456"/>
          </w:tcPr>
          <w:p>
            <w:pPr>
              <w:spacing w:after="20" w:before="20"/>
              <w:jc w:val="right"/>
            </w:pPr>
            <w:r/>
            <w:r>
              <w:rPr>
                <w:rFonts w:ascii="Calibri" w:hAnsi="Calibri"/>
                <w:b w:val="0"/>
                <w:i w:val="0"/>
                <w:color w:val="20302C"/>
                <w:sz w:val="18"/>
              </w:rPr>
              <w:t>1.48×</w:t>
            </w:r>
          </w:p>
        </w:tc>
      </w:tr>
      <w:tr>
        <w:tc>
          <w:tcPr>
            <w:tcW w:type="dxa" w:w="6624"/>
          </w:tcPr>
          <w:p>
            <w:pPr>
              <w:spacing w:after="20" w:before="20"/>
              <w:jc w:val="left"/>
            </w:pPr>
            <w:r/>
            <w:r>
              <w:rPr>
                <w:rFonts w:ascii="Calibri" w:hAnsi="Calibri"/>
                <w:b w:val="0"/>
                <w:i w:val="0"/>
                <w:color w:val="20302C"/>
                <w:sz w:val="18"/>
              </w:rPr>
              <w:t>Peer-based value = peer P/B · ordinary BVPS</w:t>
            </w:r>
          </w:p>
        </w:tc>
        <w:tc>
          <w:tcPr>
            <w:tcW w:type="dxa" w:w="3456"/>
          </w:tcPr>
          <w:p>
            <w:pPr>
              <w:spacing w:after="20" w:before="20"/>
              <w:jc w:val="right"/>
            </w:pPr>
            <w:r/>
            <w:r>
              <w:rPr>
                <w:rFonts w:ascii="Calibri" w:hAnsi="Calibri"/>
                <w:b w:val="0"/>
                <w:i w:val="0"/>
                <w:color w:val="20302C"/>
                <w:sz w:val="18"/>
              </w:rPr>
              <w:t>QAR 17.54</w:t>
            </w:r>
          </w:p>
        </w:tc>
      </w:tr>
      <w:tr>
        <w:tc>
          <w:tcPr>
            <w:tcW w:type="dxa" w:w="6624"/>
            <w:shd w:val="clear" w:fill="F2ECDD"/>
          </w:tcPr>
          <w:p>
            <w:pPr>
              <w:spacing w:after="20" w:before="20"/>
              <w:jc w:val="left"/>
            </w:pPr>
            <w:r/>
            <w:r>
              <w:rPr>
                <w:rFonts w:ascii="Calibri" w:hAnsi="Calibri"/>
                <w:b/>
                <w:i w:val="0"/>
                <w:color w:val="20302C"/>
                <w:sz w:val="18"/>
              </w:rPr>
              <w:t>Relative fair value (50/50 blend)</w:t>
            </w:r>
          </w:p>
        </w:tc>
        <w:tc>
          <w:tcPr>
            <w:tcW w:type="dxa" w:w="3456"/>
            <w:shd w:val="clear" w:fill="F2ECDD"/>
          </w:tcPr>
          <w:p>
            <w:pPr>
              <w:spacing w:after="20" w:before="20"/>
              <w:jc w:val="right"/>
            </w:pPr>
            <w:r/>
            <w:r>
              <w:rPr>
                <w:rFonts w:ascii="Calibri" w:hAnsi="Calibri"/>
                <w:b/>
                <w:i w:val="0"/>
                <w:color w:val="20302C"/>
                <w:sz w:val="18"/>
              </w:rPr>
              <w:t>QAR 18.18</w:t>
            </w:r>
          </w:p>
        </w:tc>
      </w:tr>
      <w:tr>
        <w:tc>
          <w:tcPr>
            <w:tcW w:type="dxa" w:w="6624"/>
          </w:tcPr>
          <w:p>
            <w:pPr>
              <w:spacing w:after="20" w:before="20"/>
              <w:jc w:val="left"/>
            </w:pPr>
            <w:r/>
            <w:r>
              <w:rPr>
                <w:rFonts w:ascii="Calibri" w:hAnsi="Calibri"/>
                <w:b w:val="0"/>
                <w:i w:val="0"/>
                <w:color w:val="20302C"/>
                <w:sz w:val="18"/>
              </w:rPr>
              <w:t>Peer P/E cross-read = 10.5× · EPS FY25</w:t>
            </w:r>
          </w:p>
        </w:tc>
        <w:tc>
          <w:tcPr>
            <w:tcW w:type="dxa" w:w="3456"/>
          </w:tcPr>
          <w:p>
            <w:pPr>
              <w:spacing w:after="20" w:before="20"/>
              <w:jc w:val="right"/>
            </w:pPr>
            <w:r/>
            <w:r>
              <w:rPr>
                <w:rFonts w:ascii="Calibri" w:hAnsi="Calibri"/>
                <w:b w:val="0"/>
                <w:i w:val="0"/>
                <w:color w:val="20302C"/>
                <w:sz w:val="18"/>
              </w:rPr>
              <w:t>QAR 18.27</w:t>
            </w:r>
          </w:p>
        </w:tc>
      </w:tr>
    </w:tbl>
    <w:p>
      <w:pPr>
        <w:spacing w:after="120" w:line="259" w:lineRule="auto"/>
      </w:pPr>
      <w:r>
        <w:rPr>
          <w:rFonts w:ascii="Calibri" w:hAnsi="Calibri"/>
          <w:b/>
          <w:i w:val="0"/>
          <w:color w:val="20302C"/>
          <w:sz w:val="20"/>
        </w:rPr>
        <w:t>Relative base ≈ QAR 18.2</w:t>
      </w:r>
      <w:r>
        <w:rPr>
          <w:rFonts w:ascii="Calibri" w:hAnsi="Calibri"/>
          <w:b w:val="0"/>
          <w:i w:val="0"/>
          <w:color w:val="20302C"/>
          <w:sz w:val="20"/>
        </w:rPr>
        <w:t xml:space="preserve"> (+4%). It is the read a sceptic anchors on: it credits QNB's scale, sovereign linkage and best-in-class asset quality with a modest premium to the non-Al-Rajhi Gulf median, but nothing heroic.</w:t>
      </w:r>
    </w:p>
    <w:p>
      <w:pPr>
        <w:spacing w:before="180" w:after="40"/>
      </w:pPr>
      <w:r>
        <w:rPr>
          <w:rFonts w:ascii="Calibri" w:hAnsi="Calibri"/>
          <w:b/>
          <w:color w:val="1C3A36"/>
          <w:sz w:val="24"/>
        </w:rPr>
        <w:t>1.4  Normalized earnings power (through-cycle RoTE)</w:t>
      </w:r>
    </w:p>
    <w:p>
      <w:pPr>
        <w:spacing w:after="120" w:line="259" w:lineRule="auto"/>
      </w:pPr>
      <w:r>
        <w:rPr>
          <w:rFonts w:ascii="Calibri" w:hAnsi="Calibri"/>
          <w:b w:val="0"/>
          <w:i w:val="0"/>
          <w:color w:val="20302C"/>
          <w:sz w:val="21"/>
        </w:rPr>
        <w:t>QNB is close to mid-cycle already, so normalization mostly strips cyclical provisions rather than recovering a trough. We take normalized EPS as through-cycle RoTE (14.5%) on tangible book (QAR 11.19), and apply a justified P/E of 10.8× built on the same conservative terminal payout for coherence with the DDM.</w:t>
      </w:r>
    </w:p>
    <w:tbl>
      <w:tblPr>
        <w:tblStyle w:val="TableGrid"/>
        <w:tblW w:type="auto" w:w="0"/>
        <w:jc w:val="center"/>
        <w:tblLook w:firstColumn="1" w:firstRow="1" w:lastColumn="0" w:lastRow="0" w:noHBand="0" w:noVBand="1" w:val="04A0"/>
      </w:tblPr>
      <w:tblGrid>
        <w:gridCol w:w="4968"/>
        <w:gridCol w:w="4968"/>
      </w:tblGrid>
      <w:tr>
        <w:tc>
          <w:tcPr>
            <w:tcW w:type="dxa" w:w="6624"/>
            <w:shd w:val="clear" w:fill="1C3A36"/>
          </w:tcPr>
          <w:p>
            <w:pPr>
              <w:spacing w:after="20" w:before="20"/>
              <w:jc w:val="left"/>
            </w:pPr>
            <w:r/>
            <w:r>
              <w:rPr>
                <w:rFonts w:ascii="Calibri" w:hAnsi="Calibri"/>
                <w:b/>
                <w:i w:val="0"/>
                <w:color w:val="FFFFFF"/>
                <w:sz w:val="18"/>
              </w:rPr>
              <w:t>Normalized-earnings basis</w:t>
            </w:r>
          </w:p>
        </w:tc>
        <w:tc>
          <w:tcPr>
            <w:tcW w:type="dxa" w:w="3456"/>
            <w:shd w:val="clear" w:fill="1C3A36"/>
          </w:tcPr>
          <w:p>
            <w:pPr>
              <w:spacing w:after="20" w:before="20"/>
              <w:jc w:val="right"/>
            </w:pPr>
            <w:r/>
            <w:r>
              <w:rPr>
                <w:rFonts w:ascii="Calibri" w:hAnsi="Calibri"/>
                <w:b/>
                <w:i w:val="0"/>
                <w:color w:val="FFFFFF"/>
                <w:sz w:val="18"/>
              </w:rPr>
              <w:t>Value</w:t>
            </w:r>
          </w:p>
        </w:tc>
      </w:tr>
      <w:tr>
        <w:tc>
          <w:tcPr>
            <w:tcW w:type="dxa" w:w="6624"/>
          </w:tcPr>
          <w:p>
            <w:pPr>
              <w:spacing w:after="20" w:before="20"/>
              <w:jc w:val="left"/>
            </w:pPr>
            <w:r/>
            <w:r>
              <w:rPr>
                <w:rFonts w:ascii="Calibri" w:hAnsi="Calibri"/>
                <w:b w:val="0"/>
                <w:i w:val="0"/>
                <w:color w:val="20302C"/>
                <w:sz w:val="18"/>
              </w:rPr>
              <w:t>Normalized EPS = RoTE · tangible BVPS</w:t>
            </w:r>
          </w:p>
        </w:tc>
        <w:tc>
          <w:tcPr>
            <w:tcW w:type="dxa" w:w="3456"/>
          </w:tcPr>
          <w:p>
            <w:pPr>
              <w:spacing w:after="20" w:before="20"/>
              <w:jc w:val="right"/>
            </w:pPr>
            <w:r/>
            <w:r>
              <w:rPr>
                <w:rFonts w:ascii="Calibri" w:hAnsi="Calibri"/>
                <w:b w:val="0"/>
                <w:i w:val="0"/>
                <w:color w:val="20302C"/>
                <w:sz w:val="18"/>
              </w:rPr>
              <w:t>QAR 1.623</w:t>
            </w:r>
          </w:p>
        </w:tc>
      </w:tr>
      <w:tr>
        <w:tc>
          <w:tcPr>
            <w:tcW w:type="dxa" w:w="6624"/>
          </w:tcPr>
          <w:p>
            <w:pPr>
              <w:spacing w:after="20" w:before="20"/>
              <w:jc w:val="left"/>
            </w:pPr>
            <w:r/>
            <w:r>
              <w:rPr>
                <w:rFonts w:ascii="Calibri" w:hAnsi="Calibri"/>
                <w:b w:val="0"/>
                <w:i w:val="0"/>
                <w:color w:val="20302C"/>
                <w:sz w:val="18"/>
              </w:rPr>
              <w:t>RoE-consistent payout = 1 − g/RoTE (informational)</w:t>
            </w:r>
          </w:p>
        </w:tc>
        <w:tc>
          <w:tcPr>
            <w:tcW w:type="dxa" w:w="3456"/>
          </w:tcPr>
          <w:p>
            <w:pPr>
              <w:spacing w:after="20" w:before="20"/>
              <w:jc w:val="right"/>
            </w:pPr>
            <w:r/>
            <w:r>
              <w:rPr>
                <w:rFonts w:ascii="Calibri" w:hAnsi="Calibri"/>
                <w:b w:val="0"/>
                <w:i w:val="0"/>
                <w:color w:val="20302C"/>
                <w:sz w:val="18"/>
              </w:rPr>
              <w:t>67.2%</w:t>
            </w:r>
          </w:p>
        </w:tc>
      </w:tr>
      <w:tr>
        <w:tc>
          <w:tcPr>
            <w:tcW w:type="dxa" w:w="6624"/>
          </w:tcPr>
          <w:p>
            <w:pPr>
              <w:spacing w:after="20" w:before="20"/>
              <w:jc w:val="left"/>
            </w:pPr>
            <w:r/>
            <w:r>
              <w:rPr>
                <w:rFonts w:ascii="Calibri" w:hAnsi="Calibri"/>
                <w:b w:val="0"/>
                <w:i w:val="0"/>
                <w:color w:val="20302C"/>
                <w:sz w:val="18"/>
              </w:rPr>
              <w:t>Justified P/E (on terminal payout)</w:t>
            </w:r>
          </w:p>
        </w:tc>
        <w:tc>
          <w:tcPr>
            <w:tcW w:type="dxa" w:w="3456"/>
          </w:tcPr>
          <w:p>
            <w:pPr>
              <w:spacing w:after="20" w:before="20"/>
              <w:jc w:val="right"/>
            </w:pPr>
            <w:r/>
            <w:r>
              <w:rPr>
                <w:rFonts w:ascii="Calibri" w:hAnsi="Calibri"/>
                <w:b w:val="0"/>
                <w:i w:val="0"/>
                <w:color w:val="20302C"/>
                <w:sz w:val="18"/>
              </w:rPr>
              <w:t>10.8×</w:t>
            </w:r>
          </w:p>
        </w:tc>
      </w:tr>
      <w:tr>
        <w:tc>
          <w:tcPr>
            <w:tcW w:type="dxa" w:w="6624"/>
            <w:shd w:val="clear" w:fill="F2ECDD"/>
          </w:tcPr>
          <w:p>
            <w:pPr>
              <w:spacing w:after="20" w:before="20"/>
              <w:jc w:val="left"/>
            </w:pPr>
            <w:r/>
            <w:r>
              <w:rPr>
                <w:rFonts w:ascii="Calibri" w:hAnsi="Calibri"/>
                <w:b/>
                <w:i w:val="0"/>
                <w:color w:val="20302C"/>
                <w:sz w:val="18"/>
              </w:rPr>
              <w:t>Normalized fair value</w:t>
            </w:r>
          </w:p>
        </w:tc>
        <w:tc>
          <w:tcPr>
            <w:tcW w:type="dxa" w:w="3456"/>
            <w:shd w:val="clear" w:fill="F2ECDD"/>
          </w:tcPr>
          <w:p>
            <w:pPr>
              <w:spacing w:after="20" w:before="20"/>
              <w:jc w:val="right"/>
            </w:pPr>
            <w:r/>
            <w:r>
              <w:rPr>
                <w:rFonts w:ascii="Calibri" w:hAnsi="Calibri"/>
                <w:b/>
                <w:i w:val="0"/>
                <w:color w:val="20302C"/>
                <w:sz w:val="18"/>
              </w:rPr>
              <w:t>QAR 17.59</w:t>
            </w:r>
          </w:p>
        </w:tc>
      </w:tr>
    </w:tbl>
    <w:p>
      <w:pPr>
        <w:spacing w:after="120" w:line="259" w:lineRule="auto"/>
      </w:pPr>
      <w:r>
        <w:rPr>
          <w:rFonts w:ascii="Calibri" w:hAnsi="Calibri"/>
          <w:b/>
          <w:i w:val="0"/>
          <w:color w:val="20302C"/>
          <w:sz w:val="20"/>
        </w:rPr>
        <w:t>Normalized base ≈ QAR 17.6</w:t>
      </w:r>
      <w:r>
        <w:rPr>
          <w:rFonts w:ascii="Calibri" w:hAnsi="Calibri"/>
          <w:b w:val="0"/>
          <w:i w:val="0"/>
          <w:color w:val="20302C"/>
          <w:sz w:val="20"/>
        </w:rPr>
        <w:t xml:space="preserve"> (+0%) — the floor of the central case, and in effect the bet that the post-Pillar-Two ~14.5% return is the durable one, neither eroding further nor recovering to the pre-tax ~16–17%.</w:t>
      </w:r>
    </w:p>
    <w:p>
      <w:pPr>
        <w:spacing w:before="180" w:after="40"/>
      </w:pPr>
      <w:r>
        <w:rPr>
          <w:rFonts w:ascii="Calibri" w:hAnsi="Calibri"/>
          <w:b/>
          <w:color w:val="1C3A36"/>
          <w:sz w:val="24"/>
        </w:rPr>
        <w:t>1.5  Synthesis — four lenses</w:t>
      </w:r>
    </w:p>
    <w:p>
      <w:pPr>
        <w:spacing w:after="120" w:line="259" w:lineRule="auto"/>
      </w:pPr>
      <w:r>
        <w:rPr>
          <w:rFonts w:ascii="Calibri" w:hAnsi="Calibri"/>
          <w:b w:val="0"/>
          <w:i w:val="0"/>
          <w:color w:val="20302C"/>
          <w:sz w:val="21"/>
        </w:rPr>
        <w:t>We weight the dividend model most heavily because it values what owners actually receive; the FCFE model carries the excess-capital case, the relative lens anchors the peer floor, and the normalized read the through-cycle earnings power.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744"/>
            <w:shd w:val="clear" w:fill="1C3A36"/>
          </w:tcPr>
          <w:p>
            <w:pPr>
              <w:spacing w:after="20" w:before="20"/>
              <w:jc w:val="left"/>
            </w:pPr>
            <w:r/>
            <w:r>
              <w:rPr>
                <w:rFonts w:ascii="Calibri" w:hAnsi="Calibri"/>
                <w:b/>
                <w:i w:val="0"/>
                <w:color w:val="FFFFFF"/>
                <w:sz w:val="18"/>
              </w:rPr>
              <w:t>Lens</w:t>
            </w:r>
          </w:p>
        </w:tc>
        <w:tc>
          <w:tcPr>
            <w:tcW w:type="dxa" w:w="1440"/>
            <w:shd w:val="clear" w:fill="1C3A36"/>
          </w:tcPr>
          <w:p>
            <w:pPr>
              <w:spacing w:after="20" w:before="20"/>
              <w:jc w:val="right"/>
            </w:pPr>
            <w:r/>
            <w:r>
              <w:rPr>
                <w:rFonts w:ascii="Calibri" w:hAnsi="Calibri"/>
                <w:b/>
                <w:i w:val="0"/>
                <w:color w:val="FFFFFF"/>
                <w:sz w:val="18"/>
              </w:rPr>
              <w:t>Weight</w:t>
            </w:r>
          </w:p>
        </w:tc>
        <w:tc>
          <w:tcPr>
            <w:tcW w:type="dxa" w:w="1584"/>
            <w:shd w:val="clear" w:fill="1C3A36"/>
          </w:tcPr>
          <w:p>
            <w:pPr>
              <w:spacing w:after="20" w:before="20"/>
              <w:jc w:val="right"/>
            </w:pPr>
            <w:r/>
            <w:r>
              <w:rPr>
                <w:rFonts w:ascii="Calibri" w:hAnsi="Calibri"/>
                <w:b/>
                <w:i w:val="0"/>
                <w:color w:val="FFFFFF"/>
                <w:sz w:val="18"/>
              </w:rPr>
              <w:t>Bear</w:t>
            </w:r>
          </w:p>
        </w:tc>
        <w:tc>
          <w:tcPr>
            <w:tcW w:type="dxa" w:w="1584"/>
            <w:shd w:val="clear" w:fill="1C3A36"/>
          </w:tcPr>
          <w:p>
            <w:pPr>
              <w:spacing w:after="20" w:before="20"/>
              <w:jc w:val="right"/>
            </w:pPr>
            <w:r/>
            <w:r>
              <w:rPr>
                <w:rFonts w:ascii="Calibri" w:hAnsi="Calibri"/>
                <w:b/>
                <w:i w:val="0"/>
                <w:color w:val="FFFFFF"/>
                <w:sz w:val="18"/>
              </w:rPr>
              <w:t>Base</w:t>
            </w:r>
          </w:p>
        </w:tc>
        <w:tc>
          <w:tcPr>
            <w:tcW w:type="dxa" w:w="1584"/>
            <w:shd w:val="clear" w:fill="1C3A36"/>
          </w:tcPr>
          <w:p>
            <w:pPr>
              <w:spacing w:after="20" w:before="20"/>
              <w:jc w:val="right"/>
            </w:pPr>
            <w:r/>
            <w:r>
              <w:rPr>
                <w:rFonts w:ascii="Calibri" w:hAnsi="Calibri"/>
                <w:b/>
                <w:i w:val="0"/>
                <w:color w:val="FFFFFF"/>
                <w:sz w:val="18"/>
              </w:rPr>
              <w:t>Bull</w:t>
            </w:r>
          </w:p>
        </w:tc>
      </w:tr>
      <w:tr>
        <w:tc>
          <w:tcPr>
            <w:tcW w:type="dxa" w:w="3744"/>
          </w:tcPr>
          <w:p>
            <w:pPr>
              <w:spacing w:after="20" w:before="20"/>
              <w:jc w:val="left"/>
            </w:pPr>
            <w:r/>
            <w:r>
              <w:rPr>
                <w:rFonts w:ascii="Calibri" w:hAnsi="Calibri"/>
                <w:b w:val="0"/>
                <w:i w:val="0"/>
                <w:color w:val="20302C"/>
                <w:sz w:val="18"/>
              </w:rPr>
              <w:t>Dividend discount model</w:t>
            </w:r>
          </w:p>
        </w:tc>
        <w:tc>
          <w:tcPr>
            <w:tcW w:type="dxa" w:w="1440"/>
          </w:tcPr>
          <w:p>
            <w:pPr>
              <w:spacing w:after="20" w:before="20"/>
              <w:jc w:val="right"/>
            </w:pPr>
            <w:r/>
            <w:r>
              <w:rPr>
                <w:rFonts w:ascii="Calibri" w:hAnsi="Calibri"/>
                <w:b w:val="0"/>
                <w:i w:val="0"/>
                <w:color w:val="20302C"/>
                <w:sz w:val="18"/>
              </w:rPr>
              <w:t>40%</w:t>
            </w:r>
          </w:p>
        </w:tc>
        <w:tc>
          <w:tcPr>
            <w:tcW w:type="dxa" w:w="1584"/>
          </w:tcPr>
          <w:p>
            <w:pPr>
              <w:spacing w:after="20" w:before="20"/>
              <w:jc w:val="right"/>
            </w:pPr>
            <w:r/>
            <w:r>
              <w:rPr>
                <w:rFonts w:ascii="Calibri" w:hAnsi="Calibri"/>
                <w:b w:val="0"/>
                <w:i w:val="0"/>
                <w:color w:val="20302C"/>
                <w:sz w:val="18"/>
              </w:rPr>
              <w:t>13.2</w:t>
            </w:r>
          </w:p>
        </w:tc>
        <w:tc>
          <w:tcPr>
            <w:tcW w:type="dxa" w:w="1584"/>
          </w:tcPr>
          <w:p>
            <w:pPr>
              <w:spacing w:after="20" w:before="20"/>
              <w:jc w:val="right"/>
            </w:pPr>
            <w:r/>
            <w:r>
              <w:rPr>
                <w:rFonts w:ascii="Calibri" w:hAnsi="Calibri"/>
                <w:b w:val="0"/>
                <w:i w:val="0"/>
                <w:color w:val="20302C"/>
                <w:sz w:val="18"/>
              </w:rPr>
              <w:t>18.7</w:t>
            </w:r>
          </w:p>
        </w:tc>
        <w:tc>
          <w:tcPr>
            <w:tcW w:type="dxa" w:w="1584"/>
          </w:tcPr>
          <w:p>
            <w:pPr>
              <w:spacing w:after="20" w:before="20"/>
              <w:jc w:val="right"/>
            </w:pPr>
            <w:r/>
            <w:r>
              <w:rPr>
                <w:rFonts w:ascii="Calibri" w:hAnsi="Calibri"/>
                <w:b w:val="0"/>
                <w:i w:val="0"/>
                <w:color w:val="20302C"/>
                <w:sz w:val="18"/>
              </w:rPr>
              <w:t>29.2</w:t>
            </w:r>
          </w:p>
        </w:tc>
      </w:tr>
      <w:tr>
        <w:tc>
          <w:tcPr>
            <w:tcW w:type="dxa" w:w="3744"/>
          </w:tcPr>
          <w:p>
            <w:pPr>
              <w:spacing w:after="20" w:before="20"/>
              <w:jc w:val="left"/>
            </w:pPr>
            <w:r/>
            <w:r>
              <w:rPr>
                <w:rFonts w:ascii="Calibri" w:hAnsi="Calibri"/>
                <w:b w:val="0"/>
                <w:i w:val="0"/>
                <w:color w:val="20302C"/>
                <w:sz w:val="18"/>
              </w:rPr>
              <w:t>FCFE / distributable capital</w:t>
            </w:r>
          </w:p>
        </w:tc>
        <w:tc>
          <w:tcPr>
            <w:tcW w:type="dxa" w:w="1440"/>
          </w:tcPr>
          <w:p>
            <w:pPr>
              <w:spacing w:after="20" w:before="20"/>
              <w:jc w:val="right"/>
            </w:pPr>
            <w:r/>
            <w:r>
              <w:rPr>
                <w:rFonts w:ascii="Calibri" w:hAnsi="Calibri"/>
                <w:b w:val="0"/>
                <w:i w:val="0"/>
                <w:color w:val="20302C"/>
                <w:sz w:val="18"/>
              </w:rPr>
              <w:t>25%</w:t>
            </w:r>
          </w:p>
        </w:tc>
        <w:tc>
          <w:tcPr>
            <w:tcW w:type="dxa" w:w="1584"/>
          </w:tcPr>
          <w:p>
            <w:pPr>
              <w:spacing w:after="20" w:before="20"/>
              <w:jc w:val="right"/>
            </w:pPr>
            <w:r/>
            <w:r>
              <w:rPr>
                <w:rFonts w:ascii="Calibri" w:hAnsi="Calibri"/>
                <w:b w:val="0"/>
                <w:i w:val="0"/>
                <w:color w:val="20302C"/>
                <w:sz w:val="18"/>
              </w:rPr>
              <w:t>14.9</w:t>
            </w:r>
          </w:p>
        </w:tc>
        <w:tc>
          <w:tcPr>
            <w:tcW w:type="dxa" w:w="1584"/>
          </w:tcPr>
          <w:p>
            <w:pPr>
              <w:spacing w:after="20" w:before="20"/>
              <w:jc w:val="right"/>
            </w:pPr>
            <w:r/>
            <w:r>
              <w:rPr>
                <w:rFonts w:ascii="Calibri" w:hAnsi="Calibri"/>
                <w:b w:val="0"/>
                <w:i w:val="0"/>
                <w:color w:val="20302C"/>
                <w:sz w:val="18"/>
              </w:rPr>
              <w:t>20.2</w:t>
            </w:r>
          </w:p>
        </w:tc>
        <w:tc>
          <w:tcPr>
            <w:tcW w:type="dxa" w:w="1584"/>
          </w:tcPr>
          <w:p>
            <w:pPr>
              <w:spacing w:after="20" w:before="20"/>
              <w:jc w:val="right"/>
            </w:pPr>
            <w:r/>
            <w:r>
              <w:rPr>
                <w:rFonts w:ascii="Calibri" w:hAnsi="Calibri"/>
                <w:b w:val="0"/>
                <w:i w:val="0"/>
                <w:color w:val="20302C"/>
                <w:sz w:val="18"/>
              </w:rPr>
              <w:t>28.8</w:t>
            </w:r>
          </w:p>
        </w:tc>
      </w:tr>
      <w:tr>
        <w:tc>
          <w:tcPr>
            <w:tcW w:type="dxa" w:w="3744"/>
          </w:tcPr>
          <w:p>
            <w:pPr>
              <w:spacing w:after="20" w:before="20"/>
              <w:jc w:val="left"/>
            </w:pPr>
            <w:r/>
            <w:r>
              <w:rPr>
                <w:rFonts w:ascii="Calibri" w:hAnsi="Calibri"/>
                <w:b w:val="0"/>
                <w:i w:val="0"/>
                <w:color w:val="20302C"/>
                <w:sz w:val="18"/>
              </w:rPr>
              <w:t>Relative multiples</w:t>
            </w:r>
          </w:p>
        </w:tc>
        <w:tc>
          <w:tcPr>
            <w:tcW w:type="dxa" w:w="1440"/>
          </w:tcPr>
          <w:p>
            <w:pPr>
              <w:spacing w:after="20" w:before="20"/>
              <w:jc w:val="right"/>
            </w:pPr>
            <w:r/>
            <w:r>
              <w:rPr>
                <w:rFonts w:ascii="Calibri" w:hAnsi="Calibri"/>
                <w:b w:val="0"/>
                <w:i w:val="0"/>
                <w:color w:val="20302C"/>
                <w:sz w:val="18"/>
              </w:rPr>
              <w:t>15%</w:t>
            </w:r>
          </w:p>
        </w:tc>
        <w:tc>
          <w:tcPr>
            <w:tcW w:type="dxa" w:w="1584"/>
          </w:tcPr>
          <w:p>
            <w:pPr>
              <w:spacing w:after="20" w:before="20"/>
              <w:jc w:val="right"/>
            </w:pPr>
            <w:r/>
            <w:r>
              <w:rPr>
                <w:rFonts w:ascii="Calibri" w:hAnsi="Calibri"/>
                <w:b w:val="0"/>
                <w:i w:val="0"/>
                <w:color w:val="20302C"/>
                <w:sz w:val="18"/>
              </w:rPr>
              <w:t>14.4</w:t>
            </w:r>
          </w:p>
        </w:tc>
        <w:tc>
          <w:tcPr>
            <w:tcW w:type="dxa" w:w="1584"/>
          </w:tcPr>
          <w:p>
            <w:pPr>
              <w:spacing w:after="20" w:before="20"/>
              <w:jc w:val="right"/>
            </w:pPr>
            <w:r/>
            <w:r>
              <w:rPr>
                <w:rFonts w:ascii="Calibri" w:hAnsi="Calibri"/>
                <w:b w:val="0"/>
                <w:i w:val="0"/>
                <w:color w:val="20302C"/>
                <w:sz w:val="18"/>
              </w:rPr>
              <w:t>18.2</w:t>
            </w:r>
          </w:p>
        </w:tc>
        <w:tc>
          <w:tcPr>
            <w:tcW w:type="dxa" w:w="1584"/>
          </w:tcPr>
          <w:p>
            <w:pPr>
              <w:spacing w:after="20" w:before="20"/>
              <w:jc w:val="right"/>
            </w:pPr>
            <w:r/>
            <w:r>
              <w:rPr>
                <w:rFonts w:ascii="Calibri" w:hAnsi="Calibri"/>
                <w:b w:val="0"/>
                <w:i w:val="0"/>
                <w:color w:val="20302C"/>
                <w:sz w:val="18"/>
              </w:rPr>
              <w:t>24.5</w:t>
            </w:r>
          </w:p>
        </w:tc>
      </w:tr>
      <w:tr>
        <w:tc>
          <w:tcPr>
            <w:tcW w:type="dxa" w:w="3744"/>
          </w:tcPr>
          <w:p>
            <w:pPr>
              <w:spacing w:after="20" w:before="20"/>
              <w:jc w:val="left"/>
            </w:pPr>
            <w:r/>
            <w:r>
              <w:rPr>
                <w:rFonts w:ascii="Calibri" w:hAnsi="Calibri"/>
                <w:b w:val="0"/>
                <w:i w:val="0"/>
                <w:color w:val="20302C"/>
                <w:sz w:val="18"/>
              </w:rPr>
              <w:t>Normalized earnings</w:t>
            </w:r>
          </w:p>
        </w:tc>
        <w:tc>
          <w:tcPr>
            <w:tcW w:type="dxa" w:w="1440"/>
          </w:tcPr>
          <w:p>
            <w:pPr>
              <w:spacing w:after="20" w:before="20"/>
              <w:jc w:val="right"/>
            </w:pPr>
            <w:r/>
            <w:r>
              <w:rPr>
                <w:rFonts w:ascii="Calibri" w:hAnsi="Calibri"/>
                <w:b w:val="0"/>
                <w:i w:val="0"/>
                <w:color w:val="20302C"/>
                <w:sz w:val="18"/>
              </w:rPr>
              <w:t>20%</w:t>
            </w:r>
          </w:p>
        </w:tc>
        <w:tc>
          <w:tcPr>
            <w:tcW w:type="dxa" w:w="1584"/>
          </w:tcPr>
          <w:p>
            <w:pPr>
              <w:spacing w:after="20" w:before="20"/>
              <w:jc w:val="right"/>
            </w:pPr>
            <w:r/>
            <w:r>
              <w:rPr>
                <w:rFonts w:ascii="Calibri" w:hAnsi="Calibri"/>
                <w:b w:val="0"/>
                <w:i w:val="0"/>
                <w:color w:val="20302C"/>
                <w:sz w:val="18"/>
              </w:rPr>
              <w:t>14.0</w:t>
            </w:r>
          </w:p>
        </w:tc>
        <w:tc>
          <w:tcPr>
            <w:tcW w:type="dxa" w:w="1584"/>
          </w:tcPr>
          <w:p>
            <w:pPr>
              <w:spacing w:after="20" w:before="20"/>
              <w:jc w:val="right"/>
            </w:pPr>
            <w:r/>
            <w:r>
              <w:rPr>
                <w:rFonts w:ascii="Calibri" w:hAnsi="Calibri"/>
                <w:b w:val="0"/>
                <w:i w:val="0"/>
                <w:color w:val="20302C"/>
                <w:sz w:val="18"/>
              </w:rPr>
              <w:t>17.6</w:t>
            </w:r>
          </w:p>
        </w:tc>
        <w:tc>
          <w:tcPr>
            <w:tcW w:type="dxa" w:w="1584"/>
          </w:tcPr>
          <w:p>
            <w:pPr>
              <w:spacing w:after="20" w:before="20"/>
              <w:jc w:val="right"/>
            </w:pPr>
            <w:r/>
            <w:r>
              <w:rPr>
                <w:rFonts w:ascii="Calibri" w:hAnsi="Calibri"/>
                <w:b w:val="0"/>
                <w:i w:val="0"/>
                <w:color w:val="20302C"/>
                <w:sz w:val="18"/>
              </w:rPr>
              <w:t>29.8</w:t>
            </w:r>
          </w:p>
        </w:tc>
      </w:tr>
      <w:tr>
        <w:tc>
          <w:tcPr>
            <w:tcW w:type="dxa" w:w="3744"/>
            <w:shd w:val="clear" w:fill="F2ECDD"/>
          </w:tcPr>
          <w:p>
            <w:pPr>
              <w:spacing w:after="20" w:before="20"/>
              <w:jc w:val="left"/>
            </w:pPr>
            <w:r/>
            <w:r>
              <w:rPr>
                <w:rFonts w:ascii="Calibri" w:hAnsi="Calibri"/>
                <w:b/>
                <w:i w:val="0"/>
                <w:color w:val="20302C"/>
                <w:sz w:val="18"/>
              </w:rPr>
              <w:t>Weighted central</w:t>
            </w:r>
          </w:p>
        </w:tc>
        <w:tc>
          <w:tcPr>
            <w:tcW w:type="dxa" w:w="1440"/>
            <w:shd w:val="clear" w:fill="F2ECDD"/>
          </w:tcPr>
          <w:p>
            <w:pPr>
              <w:spacing w:after="20" w:before="20"/>
              <w:jc w:val="right"/>
            </w:pPr>
            <w:r/>
            <w:r>
              <w:rPr>
                <w:rFonts w:ascii="Calibri" w:hAnsi="Calibri"/>
                <w:b/>
                <w:i w:val="0"/>
                <w:color w:val="20302C"/>
                <w:sz w:val="18"/>
              </w:rPr>
            </w:r>
          </w:p>
        </w:tc>
        <w:tc>
          <w:tcPr>
            <w:tcW w:type="dxa" w:w="1584"/>
            <w:shd w:val="clear" w:fill="F2ECDD"/>
          </w:tcPr>
          <w:p>
            <w:pPr>
              <w:spacing w:after="20" w:before="20"/>
              <w:jc w:val="right"/>
            </w:pPr>
            <w:r/>
            <w:r>
              <w:rPr>
                <w:rFonts w:ascii="Calibri" w:hAnsi="Calibri"/>
                <w:b/>
                <w:i w:val="0"/>
                <w:color w:val="20302C"/>
                <w:sz w:val="18"/>
              </w:rPr>
              <w:t>14.0</w:t>
            </w:r>
          </w:p>
        </w:tc>
        <w:tc>
          <w:tcPr>
            <w:tcW w:type="dxa" w:w="1584"/>
            <w:shd w:val="clear" w:fill="F2ECDD"/>
          </w:tcPr>
          <w:p>
            <w:pPr>
              <w:spacing w:after="20" w:before="20"/>
              <w:jc w:val="right"/>
            </w:pPr>
            <w:r/>
            <w:r>
              <w:rPr>
                <w:rFonts w:ascii="Calibri" w:hAnsi="Calibri"/>
                <w:b/>
                <w:i w:val="0"/>
                <w:color w:val="20302C"/>
                <w:sz w:val="18"/>
              </w:rPr>
              <w:t>18.8</w:t>
            </w:r>
          </w:p>
        </w:tc>
        <w:tc>
          <w:tcPr>
            <w:tcW w:type="dxa" w:w="1584"/>
            <w:shd w:val="clear" w:fill="F2ECDD"/>
          </w:tcPr>
          <w:p>
            <w:pPr>
              <w:spacing w:after="20" w:before="20"/>
              <w:jc w:val="right"/>
            </w:pPr>
            <w:r/>
            <w:r>
              <w:rPr>
                <w:rFonts w:ascii="Calibri" w:hAnsi="Calibri"/>
                <w:b/>
                <w:i w:val="0"/>
                <w:color w:val="20302C"/>
                <w:sz w:val="18"/>
              </w:rPr>
              <w:t>28.5</w:t>
            </w:r>
          </w:p>
        </w:tc>
      </w:tr>
    </w:tbl>
    <w:p>
      <w:pPr>
        <w:spacing w:before="80"/>
        <w:jc w:val="center"/>
      </w:pPr>
      <w:r>
        <w:drawing>
          <wp:inline xmlns:a="http://schemas.openxmlformats.org/drawingml/2006/main" xmlns:pic="http://schemas.openxmlformats.org/drawingml/2006/picture">
            <wp:extent cx="5760720" cy="1913201"/>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5760720" cy="1913201"/>
                    </a:xfrm>
                    <a:prstGeom prst="rect"/>
                  </pic:spPr>
                </pic:pic>
              </a:graphicData>
            </a:graphic>
          </wp:inline>
        </w:drawing>
      </w:r>
    </w:p>
    <w:p>
      <w:pPr>
        <w:spacing w:after="160" w:before="40"/>
      </w:pPr>
      <w:r>
        <w:rPr>
          <w:rFonts w:ascii="Calibri" w:hAnsi="Calibri"/>
          <w:i/>
          <w:color w:val="667070"/>
          <w:sz w:val="17"/>
        </w:rPr>
        <w:t>Figure 1 — Valuation football field. Bars span bear–bull per lens; the brass tick is each base case; the gold band is the blended central range; the dark line is spot.</w:t>
      </w:r>
    </w:p>
    <w:p>
      <w:pPr>
        <w:spacing w:after="120" w:line="259" w:lineRule="auto"/>
      </w:pPr>
      <w:r>
        <w:rPr>
          <w:rFonts w:ascii="Calibri" w:hAnsi="Calibri"/>
          <w:b/>
          <w:i w:val="0"/>
          <w:color w:val="20302C"/>
          <w:sz w:val="20"/>
        </w:rPr>
        <w:t>Central fair value ≈ QAR 18.8/share</w:t>
      </w:r>
      <w:r>
        <w:rPr>
          <w:rFonts w:ascii="Calibri" w:hAnsi="Calibri"/>
          <w:b w:val="0"/>
          <w:i w:val="0"/>
          <w:color w:val="20302C"/>
          <w:sz w:val="20"/>
        </w:rPr>
        <w:t>, about 7% above spot. The spread of the base lenses (QAR 17.6 to QAR 20.2) is itself the message: this is not a deep-value or a clearly expensive name, but a fairly-valued sovereign-linked compounder whose re-rating depends on the tax and rate cycle turning its way and on capital being returned.</w:t>
      </w:r>
    </w:p>
    <w:p>
      <w:pPr>
        <w:spacing w:before="180" w:after="40"/>
      </w:pPr>
      <w:r>
        <w:rPr>
          <w:rFonts w:ascii="Calibri" w:hAnsi="Calibri"/>
          <w:b/>
          <w:color w:val="1C3A36"/>
          <w:sz w:val="24"/>
        </w:rPr>
        <w:t>1.6  The franchise — a deeper look</w:t>
      </w:r>
    </w:p>
    <w:p>
      <w:pPr>
        <w:spacing w:after="120" w:line="259" w:lineRule="auto"/>
      </w:pPr>
      <w:r>
        <w:rPr>
          <w:rFonts w:ascii="Calibri" w:hAnsi="Calibri"/>
          <w:b w:val="0"/>
          <w:i w:val="0"/>
          <w:color w:val="20302C"/>
          <w:sz w:val="21"/>
        </w:rPr>
        <w:t>QNB's balance sheet is the source of both its quality and its ceiling. Domestic Qatar is roughly three-fifths of profit at a ~18% return; QNB Finansbank (Türkiye) adds scale but is reported under hyperinflation accounting (IAS 29), so its nominal returns overstate the real, lira-translated contribution; QNB Alahli (Egypt) earns a very high nominal RoE but is small and exposed to the pound. Asset quality is best-in-class — NPLs 2.6% with 100% coverage — and efficiency is exceptional at a 23.3% cost/income ratio, among the lowest of any large bank globally. The scorecard below scores each engine on the axes that matter.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2448"/>
            <w:shd w:val="clear" w:fill="1C3A36"/>
          </w:tcPr>
          <w:p>
            <w:pPr>
              <w:spacing w:after="20" w:before="20"/>
              <w:jc w:val="left"/>
            </w:pPr>
            <w:r/>
            <w:r>
              <w:rPr>
                <w:rFonts w:ascii="Calibri" w:hAnsi="Calibri"/>
                <w:b/>
                <w:i w:val="0"/>
                <w:color w:val="FFFFFF"/>
                <w:sz w:val="18"/>
              </w:rPr>
              <w:t>Segment</w:t>
            </w:r>
          </w:p>
        </w:tc>
        <w:tc>
          <w:tcPr>
            <w:tcW w:type="dxa" w:w="1584"/>
            <w:shd w:val="clear" w:fill="1C3A36"/>
          </w:tcPr>
          <w:p>
            <w:pPr>
              <w:spacing w:after="20" w:before="20"/>
              <w:jc w:val="right"/>
            </w:pPr>
            <w:r/>
            <w:r>
              <w:rPr>
                <w:rFonts w:ascii="Calibri" w:hAnsi="Calibri"/>
                <w:b/>
                <w:i w:val="0"/>
                <w:color w:val="FFFFFF"/>
                <w:sz w:val="18"/>
              </w:rPr>
              <w:t>Cyclicality</w:t>
            </w:r>
          </w:p>
        </w:tc>
        <w:tc>
          <w:tcPr>
            <w:tcW w:type="dxa" w:w="2304"/>
            <w:shd w:val="clear" w:fill="1C3A36"/>
          </w:tcPr>
          <w:p>
            <w:pPr>
              <w:spacing w:after="20" w:before="20"/>
              <w:jc w:val="right"/>
            </w:pPr>
            <w:r/>
            <w:r>
              <w:rPr>
                <w:rFonts w:ascii="Calibri" w:hAnsi="Calibri"/>
                <w:b/>
                <w:i w:val="0"/>
                <w:color w:val="FFFFFF"/>
                <w:sz w:val="18"/>
              </w:rPr>
              <w:t>Return trend</w:t>
            </w:r>
          </w:p>
        </w:tc>
        <w:tc>
          <w:tcPr>
            <w:tcW w:type="dxa" w:w="2448"/>
            <w:shd w:val="clear" w:fill="1C3A36"/>
          </w:tcPr>
          <w:p>
            <w:pPr>
              <w:spacing w:after="20" w:before="20"/>
              <w:jc w:val="right"/>
            </w:pPr>
            <w:r/>
            <w:r>
              <w:rPr>
                <w:rFonts w:ascii="Calibri" w:hAnsi="Calibri"/>
                <w:b/>
                <w:i w:val="0"/>
                <w:color w:val="FFFFFF"/>
                <w:sz w:val="18"/>
              </w:rPr>
              <w:t>Key sensitivity</w:t>
            </w:r>
          </w:p>
        </w:tc>
        <w:tc>
          <w:tcPr>
            <w:tcW w:type="dxa" w:w="1728"/>
            <w:shd w:val="clear" w:fill="1C3A36"/>
          </w:tcPr>
          <w:p>
            <w:pPr>
              <w:spacing w:after="20" w:before="20"/>
              <w:jc w:val="right"/>
            </w:pPr>
            <w:r/>
            <w:r>
              <w:rPr>
                <w:rFonts w:ascii="Calibri" w:hAnsi="Calibri"/>
                <w:b/>
                <w:i w:val="0"/>
                <w:color w:val="FFFFFF"/>
                <w:sz w:val="18"/>
              </w:rPr>
              <w:t>Role</w:t>
            </w:r>
          </w:p>
        </w:tc>
      </w:tr>
      <w:tr>
        <w:tc>
          <w:tcPr>
            <w:tcW w:type="dxa" w:w="2448"/>
          </w:tcPr>
          <w:p>
            <w:pPr>
              <w:spacing w:after="20" w:before="20"/>
              <w:jc w:val="left"/>
            </w:pPr>
            <w:r/>
            <w:r>
              <w:rPr>
                <w:rFonts w:ascii="Calibri" w:hAnsi="Calibri"/>
                <w:b w:val="0"/>
                <w:i w:val="0"/>
                <w:color w:val="20302C"/>
                <w:sz w:val="18"/>
              </w:rPr>
              <w:t>Qatar (domestic)</w:t>
            </w:r>
          </w:p>
        </w:tc>
        <w:tc>
          <w:tcPr>
            <w:tcW w:type="dxa" w:w="1584"/>
          </w:tcPr>
          <w:p>
            <w:pPr>
              <w:spacing w:after="20" w:before="20"/>
              <w:jc w:val="right"/>
            </w:pPr>
            <w:r/>
            <w:r>
              <w:rPr>
                <w:rFonts w:ascii="Calibri" w:hAnsi="Calibri"/>
                <w:b w:val="0"/>
                <w:i w:val="0"/>
                <w:color w:val="20302C"/>
                <w:sz w:val="18"/>
              </w:rPr>
              <w:t>Low</w:t>
            </w:r>
          </w:p>
        </w:tc>
        <w:tc>
          <w:tcPr>
            <w:tcW w:type="dxa" w:w="2304"/>
          </w:tcPr>
          <w:p>
            <w:pPr>
              <w:spacing w:after="20" w:before="20"/>
              <w:jc w:val="right"/>
            </w:pPr>
            <w:r/>
            <w:r>
              <w:rPr>
                <w:rFonts w:ascii="Calibri" w:hAnsi="Calibri"/>
                <w:b w:val="0"/>
                <w:i w:val="0"/>
                <w:color w:val="20302C"/>
                <w:sz w:val="18"/>
              </w:rPr>
              <w:t>Stable ~18%</w:t>
            </w:r>
          </w:p>
        </w:tc>
        <w:tc>
          <w:tcPr>
            <w:tcW w:type="dxa" w:w="2448"/>
          </w:tcPr>
          <w:p>
            <w:pPr>
              <w:spacing w:after="20" w:before="20"/>
              <w:jc w:val="right"/>
            </w:pPr>
            <w:r/>
            <w:r>
              <w:rPr>
                <w:rFonts w:ascii="Calibri" w:hAnsi="Calibri"/>
                <w:b w:val="0"/>
                <w:i w:val="0"/>
                <w:color w:val="20302C"/>
                <w:sz w:val="18"/>
              </w:rPr>
              <w:t>Sovereign &amp; corporate lending</w:t>
            </w:r>
          </w:p>
        </w:tc>
        <w:tc>
          <w:tcPr>
            <w:tcW w:type="dxa" w:w="1728"/>
          </w:tcPr>
          <w:p>
            <w:pPr>
              <w:spacing w:after="20" w:before="20"/>
              <w:jc w:val="right"/>
            </w:pPr>
            <w:r/>
            <w:r>
              <w:rPr>
                <w:rFonts w:ascii="Calibri" w:hAnsi="Calibri"/>
                <w:b w:val="0"/>
                <w:i w:val="0"/>
                <w:color w:val="20302C"/>
                <w:sz w:val="18"/>
              </w:rPr>
              <w:t>Cash anchor</w:t>
            </w:r>
          </w:p>
        </w:tc>
      </w:tr>
      <w:tr>
        <w:tc>
          <w:tcPr>
            <w:tcW w:type="dxa" w:w="2448"/>
          </w:tcPr>
          <w:p>
            <w:pPr>
              <w:spacing w:after="20" w:before="20"/>
              <w:jc w:val="left"/>
            </w:pPr>
            <w:r/>
            <w:r>
              <w:rPr>
                <w:rFonts w:ascii="Calibri" w:hAnsi="Calibri"/>
                <w:b w:val="0"/>
                <w:i w:val="0"/>
                <w:color w:val="20302C"/>
                <w:sz w:val="18"/>
              </w:rPr>
              <w:t>Türkiye (Finansbank)</w:t>
            </w:r>
          </w:p>
        </w:tc>
        <w:tc>
          <w:tcPr>
            <w:tcW w:type="dxa" w:w="1584"/>
          </w:tcPr>
          <w:p>
            <w:pPr>
              <w:spacing w:after="20" w:before="20"/>
              <w:jc w:val="right"/>
            </w:pPr>
            <w:r/>
            <w:r>
              <w:rPr>
                <w:rFonts w:ascii="Calibri" w:hAnsi="Calibri"/>
                <w:b w:val="0"/>
                <w:i w:val="0"/>
                <w:color w:val="20302C"/>
                <w:sz w:val="18"/>
              </w:rPr>
              <w:t>High</w:t>
            </w:r>
          </w:p>
        </w:tc>
        <w:tc>
          <w:tcPr>
            <w:tcW w:type="dxa" w:w="2304"/>
          </w:tcPr>
          <w:p>
            <w:pPr>
              <w:spacing w:after="20" w:before="20"/>
              <w:jc w:val="right"/>
            </w:pPr>
            <w:r/>
            <w:r>
              <w:rPr>
                <w:rFonts w:ascii="Calibri" w:hAnsi="Calibri"/>
                <w:b w:val="0"/>
                <w:i w:val="0"/>
                <w:color w:val="20302C"/>
                <w:sz w:val="18"/>
              </w:rPr>
              <w:t>Hyperinflation-distorted</w:t>
            </w:r>
          </w:p>
        </w:tc>
        <w:tc>
          <w:tcPr>
            <w:tcW w:type="dxa" w:w="2448"/>
          </w:tcPr>
          <w:p>
            <w:pPr>
              <w:spacing w:after="20" w:before="20"/>
              <w:jc w:val="right"/>
            </w:pPr>
            <w:r/>
            <w:r>
              <w:rPr>
                <w:rFonts w:ascii="Calibri" w:hAnsi="Calibri"/>
                <w:b w:val="0"/>
                <w:i w:val="0"/>
                <w:color w:val="20302C"/>
                <w:sz w:val="18"/>
              </w:rPr>
              <w:t>Lira translation, rate volatility</w:t>
            </w:r>
          </w:p>
        </w:tc>
        <w:tc>
          <w:tcPr>
            <w:tcW w:type="dxa" w:w="1728"/>
          </w:tcPr>
          <w:p>
            <w:pPr>
              <w:spacing w:after="20" w:before="20"/>
              <w:jc w:val="right"/>
            </w:pPr>
            <w:r/>
            <w:r>
              <w:rPr>
                <w:rFonts w:ascii="Calibri" w:hAnsi="Calibri"/>
                <w:b w:val="0"/>
                <w:i w:val="0"/>
                <w:color w:val="20302C"/>
                <w:sz w:val="18"/>
              </w:rPr>
              <w:t>Scale, EM drag</w:t>
            </w:r>
          </w:p>
        </w:tc>
      </w:tr>
      <w:tr>
        <w:tc>
          <w:tcPr>
            <w:tcW w:type="dxa" w:w="2448"/>
          </w:tcPr>
          <w:p>
            <w:pPr>
              <w:spacing w:after="20" w:before="20"/>
              <w:jc w:val="left"/>
            </w:pPr>
            <w:r/>
            <w:r>
              <w:rPr>
                <w:rFonts w:ascii="Calibri" w:hAnsi="Calibri"/>
                <w:b w:val="0"/>
                <w:i w:val="0"/>
                <w:color w:val="20302C"/>
                <w:sz w:val="18"/>
              </w:rPr>
              <w:t>Egypt (QNB Alahli)</w:t>
            </w:r>
          </w:p>
        </w:tc>
        <w:tc>
          <w:tcPr>
            <w:tcW w:type="dxa" w:w="1584"/>
          </w:tcPr>
          <w:p>
            <w:pPr>
              <w:spacing w:after="20" w:before="20"/>
              <w:jc w:val="right"/>
            </w:pPr>
            <w:r/>
            <w:r>
              <w:rPr>
                <w:rFonts w:ascii="Calibri" w:hAnsi="Calibri"/>
                <w:b w:val="0"/>
                <w:i w:val="0"/>
                <w:color w:val="20302C"/>
                <w:sz w:val="18"/>
              </w:rPr>
              <w:t>High</w:t>
            </w:r>
          </w:p>
        </w:tc>
        <w:tc>
          <w:tcPr>
            <w:tcW w:type="dxa" w:w="2304"/>
          </w:tcPr>
          <w:p>
            <w:pPr>
              <w:spacing w:after="20" w:before="20"/>
              <w:jc w:val="right"/>
            </w:pPr>
            <w:r/>
            <w:r>
              <w:rPr>
                <w:rFonts w:ascii="Calibri" w:hAnsi="Calibri"/>
                <w:b w:val="0"/>
                <w:i w:val="0"/>
                <w:color w:val="20302C"/>
                <w:sz w:val="18"/>
              </w:rPr>
              <w:t>High nominal RoE</w:t>
            </w:r>
          </w:p>
        </w:tc>
        <w:tc>
          <w:tcPr>
            <w:tcW w:type="dxa" w:w="2448"/>
          </w:tcPr>
          <w:p>
            <w:pPr>
              <w:spacing w:after="20" w:before="20"/>
              <w:jc w:val="right"/>
            </w:pPr>
            <w:r/>
            <w:r>
              <w:rPr>
                <w:rFonts w:ascii="Calibri" w:hAnsi="Calibri"/>
                <w:b w:val="0"/>
                <w:i w:val="0"/>
                <w:color w:val="20302C"/>
                <w:sz w:val="18"/>
              </w:rPr>
              <w:t>EGP translation</w:t>
            </w:r>
          </w:p>
        </w:tc>
        <w:tc>
          <w:tcPr>
            <w:tcW w:type="dxa" w:w="1728"/>
          </w:tcPr>
          <w:p>
            <w:pPr>
              <w:spacing w:after="20" w:before="20"/>
              <w:jc w:val="right"/>
            </w:pPr>
            <w:r/>
            <w:r>
              <w:rPr>
                <w:rFonts w:ascii="Calibri" w:hAnsi="Calibri"/>
                <w:b w:val="0"/>
                <w:i w:val="0"/>
                <w:color w:val="20302C"/>
                <w:sz w:val="18"/>
              </w:rPr>
              <w:t>Small, high-beta</w:t>
            </w:r>
          </w:p>
        </w:tc>
      </w:tr>
      <w:tr>
        <w:tc>
          <w:tcPr>
            <w:tcW w:type="dxa" w:w="2448"/>
          </w:tcPr>
          <w:p>
            <w:pPr>
              <w:spacing w:after="20" w:before="20"/>
              <w:jc w:val="left"/>
            </w:pPr>
            <w:r/>
            <w:r>
              <w:rPr>
                <w:rFonts w:ascii="Calibri" w:hAnsi="Calibri"/>
                <w:b w:val="0"/>
                <w:i w:val="0"/>
                <w:color w:val="20302C"/>
                <w:sz w:val="18"/>
              </w:rPr>
              <w:t>Intl network / treasury</w:t>
            </w:r>
          </w:p>
        </w:tc>
        <w:tc>
          <w:tcPr>
            <w:tcW w:type="dxa" w:w="1584"/>
          </w:tcPr>
          <w:p>
            <w:pPr>
              <w:spacing w:after="20" w:before="20"/>
              <w:jc w:val="right"/>
            </w:pPr>
            <w:r/>
            <w:r>
              <w:rPr>
                <w:rFonts w:ascii="Calibri" w:hAnsi="Calibri"/>
                <w:b w:val="0"/>
                <w:i w:val="0"/>
                <w:color w:val="20302C"/>
                <w:sz w:val="18"/>
              </w:rPr>
              <w:t>Moderate</w:t>
            </w:r>
          </w:p>
        </w:tc>
        <w:tc>
          <w:tcPr>
            <w:tcW w:type="dxa" w:w="2304"/>
          </w:tcPr>
          <w:p>
            <w:pPr>
              <w:spacing w:after="20" w:before="20"/>
              <w:jc w:val="right"/>
            </w:pPr>
            <w:r/>
            <w:r>
              <w:rPr>
                <w:rFonts w:ascii="Calibri" w:hAnsi="Calibri"/>
                <w:b w:val="0"/>
                <w:i w:val="0"/>
                <w:color w:val="20302C"/>
                <w:sz w:val="18"/>
              </w:rPr>
              <w:t>Spread-driven</w:t>
            </w:r>
          </w:p>
        </w:tc>
        <w:tc>
          <w:tcPr>
            <w:tcW w:type="dxa" w:w="2448"/>
          </w:tcPr>
          <w:p>
            <w:pPr>
              <w:spacing w:after="20" w:before="20"/>
              <w:jc w:val="right"/>
            </w:pPr>
            <w:r/>
            <w:r>
              <w:rPr>
                <w:rFonts w:ascii="Calibri" w:hAnsi="Calibri"/>
                <w:b w:val="0"/>
                <w:i w:val="0"/>
                <w:color w:val="20302C"/>
                <w:sz w:val="18"/>
              </w:rPr>
              <w:t>Rates, funding</w:t>
            </w:r>
          </w:p>
        </w:tc>
        <w:tc>
          <w:tcPr>
            <w:tcW w:type="dxa" w:w="1728"/>
          </w:tcPr>
          <w:p>
            <w:pPr>
              <w:spacing w:after="20" w:before="20"/>
              <w:jc w:val="right"/>
            </w:pPr>
            <w:r/>
            <w:r>
              <w:rPr>
                <w:rFonts w:ascii="Calibri" w:hAnsi="Calibri"/>
                <w:b w:val="0"/>
                <w:i w:val="0"/>
                <w:color w:val="20302C"/>
                <w:sz w:val="18"/>
              </w:rPr>
              <w:t>Diversifier</w:t>
            </w:r>
          </w:p>
        </w:tc>
      </w:tr>
    </w:tbl>
    <w:p>
      <w:pPr>
        <w:spacing w:before="80"/>
        <w:jc w:val="center"/>
      </w:pPr>
      <w:r>
        <w:drawing>
          <wp:inline xmlns:a="http://schemas.openxmlformats.org/drawingml/2006/main" xmlns:pic="http://schemas.openxmlformats.org/drawingml/2006/picture">
            <wp:extent cx="5852160" cy="1569498"/>
            <wp:docPr id="2" name="Picture 2"/>
            <wp:cNvGraphicFramePr>
              <a:graphicFrameLocks noChangeAspect="1"/>
            </wp:cNvGraphicFramePr>
            <a:graphic>
              <a:graphicData uri="http://schemas.openxmlformats.org/drawingml/2006/picture">
                <pic:pic>
                  <pic:nvPicPr>
                    <pic:cNvPr id="0" name="fig_capital_bridge.png"/>
                    <pic:cNvPicPr/>
                  </pic:nvPicPr>
                  <pic:blipFill>
                    <a:blip r:embed="rId10"/>
                    <a:stretch>
                      <a:fillRect/>
                    </a:stretch>
                  </pic:blipFill>
                  <pic:spPr>
                    <a:xfrm>
                      <a:off x="0" y="0"/>
                      <a:ext cx="5852160" cy="1569498"/>
                    </a:xfrm>
                    <a:prstGeom prst="rect"/>
                  </pic:spPr>
                </pic:pic>
              </a:graphicData>
            </a:graphic>
          </wp:inline>
        </w:drawing>
      </w:r>
    </w:p>
    <w:p>
      <w:pPr>
        <w:spacing w:after="160" w:before="40"/>
      </w:pPr>
      <w:r>
        <w:rPr>
          <w:rFonts w:ascii="Calibri" w:hAnsi="Calibri"/>
          <w:i/>
          <w:color w:val="667070"/>
          <w:sz w:val="17"/>
        </w:rPr>
        <w:t>Figure — EPS/DPS across the 3-year actual and 5-year forecast (left); RoTE versus the cost of equity, and the capital-adequacy path (right). RoTE stays above Ke throughout, which is why the justified P/B exceeds 1×.</w:t>
      </w:r>
    </w:p>
    <w:p>
      <w:pPr>
        <w:spacing w:after="120" w:line="259" w:lineRule="auto"/>
      </w:pPr>
      <w:r>
        <w:rPr>
          <w:rFonts w:ascii="Calibri" w:hAnsi="Calibri"/>
          <w:b w:val="0"/>
          <w:i w:val="0"/>
          <w:color w:val="20302C"/>
          <w:sz w:val="20"/>
        </w:rPr>
        <w:t>The forward capital schedule is the quiet story: on our assumptions QNB keeps generating capital faster than RWA growth consumes it, holding the CAR near 19–20% while paying less than half of earnings. For a bank, that surplus is the dividend-growth (and buyback) thesis — the capital trajectory, not the reported payout, is what to watch.</w:t>
      </w:r>
    </w:p>
    <w:p>
      <w:pPr>
        <w:spacing w:before="180" w:after="40"/>
      </w:pPr>
      <w:r>
        <w:rPr>
          <w:rFonts w:ascii="Calibri" w:hAnsi="Calibri"/>
          <w:b/>
          <w:color w:val="1C3A36"/>
          <w:sz w:val="24"/>
        </w:rPr>
        <w:t>1.7  The crux — Pillar Two, the rate-cut margin path, and excess capital</w:t>
      </w:r>
    </w:p>
    <w:p>
      <w:pPr>
        <w:spacing w:after="120" w:line="259" w:lineRule="auto"/>
      </w:pPr>
      <w:r>
        <w:rPr>
          <w:rFonts w:ascii="Calibri" w:hAnsi="Calibri"/>
          <w:b w:val="0"/>
          <w:i w:val="0"/>
          <w:color w:val="20302C"/>
          <w:sz w:val="21"/>
        </w:rPr>
        <w:t xml:space="preserve">Three judgments drive the valuation more than any other, and we sensitize each on its observable driver rather than an abstract margin. </w:t>
      </w:r>
      <w:r>
        <w:rPr>
          <w:rFonts w:ascii="Calibri" w:hAnsi="Calibri"/>
          <w:b/>
          <w:i w:val="0"/>
          <w:color w:val="20302C"/>
          <w:sz w:val="21"/>
        </w:rPr>
        <w:t>First, the tax step.</w:t>
      </w:r>
      <w:r>
        <w:rPr>
          <w:rFonts w:ascii="Calibri" w:hAnsi="Calibri"/>
          <w:b w:val="0"/>
          <w:i w:val="0"/>
          <w:color w:val="20302C"/>
          <w:sz w:val="21"/>
        </w:rPr>
        <w:t xml:space="preserve"> Pillar Two (the OECD 15% global minimum tax) took QNB's effective rate from near-zero toward ~15% in 2025, which is why net profit grew 1.7% on ~10% pre-tax growth. This is permanent: at a 15% effective rate, every QAR 1.00 of pre-tax profit yields ~QAR 0.85 post-tax versus ~QAR 1.00 before — a ~15% haircut to the earnings the whole model capitalizes. </w:t>
      </w:r>
      <w:r>
        <w:rPr>
          <w:rFonts w:ascii="Calibri" w:hAnsi="Calibri"/>
          <w:b/>
          <w:i w:val="0"/>
          <w:color w:val="20302C"/>
          <w:sz w:val="21"/>
        </w:rPr>
        <w:t>Second, the rate-cut margin path.</w:t>
      </w:r>
      <w:r>
        <w:rPr>
          <w:rFonts w:ascii="Calibri" w:hAnsi="Calibri"/>
          <w:b w:val="0"/>
          <w:i w:val="0"/>
          <w:color w:val="20302C"/>
          <w:sz w:val="21"/>
        </w:rPr>
        <w:t xml:space="preserve"> With the riyal pegged, the QCB tracks Fed cuts; QNB guides net interest margin to ~260–265 bps. </w:t>
      </w:r>
      <w:r>
        <w:rPr>
          <w:rFonts w:ascii="Calibri" w:hAnsi="Calibri"/>
          <w:b/>
          <w:i w:val="0"/>
          <w:color w:val="20302C"/>
          <w:sz w:val="21"/>
        </w:rPr>
        <w:t>Third, the excess-capital question</w:t>
      </w:r>
      <w:r>
        <w:rPr>
          <w:rFonts w:ascii="Calibri" w:hAnsi="Calibri"/>
          <w:b w:val="0"/>
          <w:i w:val="0"/>
          <w:color w:val="20302C"/>
          <w:sz w:val="21"/>
        </w:rPr>
        <w:t xml:space="preserve"> — the swing to the upside. The table prices the crux in real units.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736"/>
            <w:shd w:val="clear" w:fill="1C3A36"/>
          </w:tcPr>
          <w:p>
            <w:pPr>
              <w:spacing w:after="20" w:before="20"/>
              <w:jc w:val="left"/>
            </w:pPr>
            <w:r/>
            <w:r>
              <w:rPr>
                <w:rFonts w:ascii="Calibri" w:hAnsi="Calibri"/>
                <w:b/>
                <w:i w:val="0"/>
                <w:color w:val="FFFFFF"/>
                <w:sz w:val="18"/>
              </w:rPr>
              <w:t>Swing driver</w:t>
            </w:r>
          </w:p>
        </w:tc>
        <w:tc>
          <w:tcPr>
            <w:tcW w:type="dxa" w:w="2232"/>
            <w:shd w:val="clear" w:fill="1C3A36"/>
          </w:tcPr>
          <w:p>
            <w:pPr>
              <w:spacing w:after="20" w:before="20"/>
              <w:jc w:val="right"/>
            </w:pPr>
            <w:r/>
            <w:r>
              <w:rPr>
                <w:rFonts w:ascii="Calibri" w:hAnsi="Calibri"/>
                <w:b/>
                <w:i w:val="0"/>
                <w:color w:val="FFFFFF"/>
                <w:sz w:val="18"/>
              </w:rPr>
              <w:t>Bear / base / bull</w:t>
            </w:r>
          </w:p>
        </w:tc>
        <w:tc>
          <w:tcPr>
            <w:tcW w:type="dxa" w:w="2520"/>
            <w:shd w:val="clear" w:fill="1C3A36"/>
          </w:tcPr>
          <w:p>
            <w:pPr>
              <w:spacing w:after="20" w:before="20"/>
              <w:jc w:val="right"/>
            </w:pPr>
            <w:r/>
            <w:r>
              <w:rPr>
                <w:rFonts w:ascii="Calibri" w:hAnsi="Calibri"/>
                <w:b/>
                <w:i w:val="0"/>
                <w:color w:val="FFFFFF"/>
                <w:sz w:val="18"/>
              </w:rPr>
              <w:t>Approx. value impact</w:t>
            </w:r>
          </w:p>
        </w:tc>
        <w:tc>
          <w:tcPr>
            <w:tcW w:type="dxa" w:w="2592"/>
            <w:shd w:val="clear" w:fill="1C3A36"/>
          </w:tcPr>
          <w:p>
            <w:pPr>
              <w:spacing w:after="20" w:before="20"/>
              <w:jc w:val="right"/>
            </w:pPr>
            <w:r/>
            <w:r>
              <w:rPr>
                <w:rFonts w:ascii="Calibri" w:hAnsi="Calibri"/>
                <w:b/>
                <w:i w:val="0"/>
                <w:color w:val="FFFFFF"/>
                <w:sz w:val="18"/>
              </w:rPr>
              <w:t>What it is</w:t>
            </w:r>
          </w:p>
        </w:tc>
      </w:tr>
      <w:tr>
        <w:tc>
          <w:tcPr>
            <w:tcW w:type="dxa" w:w="2736"/>
          </w:tcPr>
          <w:p>
            <w:pPr>
              <w:spacing w:after="20" w:before="20"/>
              <w:jc w:val="left"/>
            </w:pPr>
            <w:r/>
            <w:r>
              <w:rPr>
                <w:rFonts w:ascii="Calibri" w:hAnsi="Calibri"/>
                <w:b w:val="0"/>
                <w:i w:val="0"/>
                <w:color w:val="20302C"/>
                <w:sz w:val="18"/>
              </w:rPr>
              <w:t>Effective tax rate (Pillar Two)</w:t>
            </w:r>
          </w:p>
        </w:tc>
        <w:tc>
          <w:tcPr>
            <w:tcW w:type="dxa" w:w="2232"/>
          </w:tcPr>
          <w:p>
            <w:pPr>
              <w:spacing w:after="20" w:before="20"/>
              <w:jc w:val="right"/>
            </w:pPr>
            <w:r/>
            <w:r>
              <w:rPr>
                <w:rFonts w:ascii="Calibri" w:hAnsi="Calibri"/>
                <w:b w:val="0"/>
                <w:i w:val="0"/>
                <w:color w:val="20302C"/>
                <w:sz w:val="18"/>
              </w:rPr>
              <w:t>~0% → 15% → 18%</w:t>
            </w:r>
          </w:p>
        </w:tc>
        <w:tc>
          <w:tcPr>
            <w:tcW w:type="dxa" w:w="2520"/>
          </w:tcPr>
          <w:p>
            <w:pPr>
              <w:spacing w:after="20" w:before="20"/>
              <w:jc w:val="right"/>
            </w:pPr>
            <w:r/>
            <w:r>
              <w:rPr>
                <w:rFonts w:ascii="Calibri" w:hAnsi="Calibri"/>
                <w:b w:val="0"/>
                <w:i w:val="0"/>
                <w:color w:val="20302C"/>
                <w:sz w:val="18"/>
              </w:rPr>
              <w:t>≈ −0.7 / share per +5 pts</w:t>
            </w:r>
          </w:p>
        </w:tc>
        <w:tc>
          <w:tcPr>
            <w:tcW w:type="dxa" w:w="2592"/>
          </w:tcPr>
          <w:p>
            <w:pPr>
              <w:spacing w:after="20" w:before="20"/>
              <w:jc w:val="right"/>
            </w:pPr>
            <w:r/>
            <w:r>
              <w:rPr>
                <w:rFonts w:ascii="Calibri" w:hAnsi="Calibri"/>
                <w:b w:val="0"/>
                <w:i w:val="0"/>
                <w:color w:val="20302C"/>
                <w:sz w:val="18"/>
              </w:rPr>
              <w:t>Permanent post-tax haircut</w:t>
            </w:r>
          </w:p>
        </w:tc>
      </w:tr>
      <w:tr>
        <w:tc>
          <w:tcPr>
            <w:tcW w:type="dxa" w:w="2736"/>
          </w:tcPr>
          <w:p>
            <w:pPr>
              <w:spacing w:after="20" w:before="20"/>
              <w:jc w:val="left"/>
            </w:pPr>
            <w:r/>
            <w:r>
              <w:rPr>
                <w:rFonts w:ascii="Calibri" w:hAnsi="Calibri"/>
                <w:b w:val="0"/>
                <w:i w:val="0"/>
                <w:color w:val="20302C"/>
                <w:sz w:val="18"/>
              </w:rPr>
              <w:t>Net interest margin</w:t>
            </w:r>
          </w:p>
        </w:tc>
        <w:tc>
          <w:tcPr>
            <w:tcW w:type="dxa" w:w="2232"/>
          </w:tcPr>
          <w:p>
            <w:pPr>
              <w:spacing w:after="20" w:before="20"/>
              <w:jc w:val="right"/>
            </w:pPr>
            <w:r/>
            <w:r>
              <w:rPr>
                <w:rFonts w:ascii="Calibri" w:hAnsi="Calibri"/>
                <w:b w:val="0"/>
                <w:i w:val="0"/>
                <w:color w:val="20302C"/>
                <w:sz w:val="18"/>
              </w:rPr>
              <w:t>245 / 260 / 275 bps</w:t>
            </w:r>
          </w:p>
        </w:tc>
        <w:tc>
          <w:tcPr>
            <w:tcW w:type="dxa" w:w="2520"/>
          </w:tcPr>
          <w:p>
            <w:pPr>
              <w:spacing w:after="20" w:before="20"/>
              <w:jc w:val="right"/>
            </w:pPr>
            <w:r/>
            <w:r>
              <w:rPr>
                <w:rFonts w:ascii="Calibri" w:hAnsi="Calibri"/>
                <w:b w:val="0"/>
                <w:i w:val="0"/>
                <w:color w:val="20302C"/>
                <w:sz w:val="18"/>
              </w:rPr>
              <w:t>≈ ±1.1 / share per ±15 bps</w:t>
            </w:r>
          </w:p>
        </w:tc>
        <w:tc>
          <w:tcPr>
            <w:tcW w:type="dxa" w:w="2592"/>
          </w:tcPr>
          <w:p>
            <w:pPr>
              <w:spacing w:after="20" w:before="20"/>
              <w:jc w:val="right"/>
            </w:pPr>
            <w:r/>
            <w:r>
              <w:rPr>
                <w:rFonts w:ascii="Calibri" w:hAnsi="Calibri"/>
                <w:b w:val="0"/>
                <w:i w:val="0"/>
                <w:color w:val="20302C"/>
                <w:sz w:val="18"/>
              </w:rPr>
              <w:t>2026 rate-cut drag vs volume</w:t>
            </w:r>
          </w:p>
        </w:tc>
      </w:tr>
      <w:tr>
        <w:tc>
          <w:tcPr>
            <w:tcW w:type="dxa" w:w="2736"/>
          </w:tcPr>
          <w:p>
            <w:pPr>
              <w:spacing w:after="20" w:before="20"/>
              <w:jc w:val="left"/>
            </w:pPr>
            <w:r/>
            <w:r>
              <w:rPr>
                <w:rFonts w:ascii="Calibri" w:hAnsi="Calibri"/>
                <w:b w:val="0"/>
                <w:i w:val="0"/>
                <w:color w:val="20302C"/>
                <w:sz w:val="18"/>
              </w:rPr>
              <w:t>Cost of risk</w:t>
            </w:r>
          </w:p>
        </w:tc>
        <w:tc>
          <w:tcPr>
            <w:tcW w:type="dxa" w:w="2232"/>
          </w:tcPr>
          <w:p>
            <w:pPr>
              <w:spacing w:after="20" w:before="20"/>
              <w:jc w:val="right"/>
            </w:pPr>
            <w:r/>
            <w:r>
              <w:rPr>
                <w:rFonts w:ascii="Calibri" w:hAnsi="Calibri"/>
                <w:b w:val="0"/>
                <w:i w:val="0"/>
                <w:color w:val="20302C"/>
                <w:sz w:val="18"/>
              </w:rPr>
              <w:t>70 / 90 / 120 bps</w:t>
            </w:r>
          </w:p>
        </w:tc>
        <w:tc>
          <w:tcPr>
            <w:tcW w:type="dxa" w:w="2520"/>
          </w:tcPr>
          <w:p>
            <w:pPr>
              <w:spacing w:after="20" w:before="20"/>
              <w:jc w:val="right"/>
            </w:pPr>
            <w:r/>
            <w:r>
              <w:rPr>
                <w:rFonts w:ascii="Calibri" w:hAnsi="Calibri"/>
                <w:b w:val="0"/>
                <w:i w:val="0"/>
                <w:color w:val="20302C"/>
                <w:sz w:val="18"/>
              </w:rPr>
              <w:t>≈ ∓0.5 / share per ±30 bps</w:t>
            </w:r>
          </w:p>
        </w:tc>
        <w:tc>
          <w:tcPr>
            <w:tcW w:type="dxa" w:w="2592"/>
          </w:tcPr>
          <w:p>
            <w:pPr>
              <w:spacing w:after="20" w:before="20"/>
              <w:jc w:val="right"/>
            </w:pPr>
            <w:r/>
            <w:r>
              <w:rPr>
                <w:rFonts w:ascii="Calibri" w:hAnsi="Calibri"/>
                <w:b w:val="0"/>
                <w:i w:val="0"/>
                <w:color w:val="20302C"/>
                <w:sz w:val="18"/>
              </w:rPr>
              <w:t>Türkiye/Egypt credit sensitivity</w:t>
            </w:r>
          </w:p>
        </w:tc>
      </w:tr>
      <w:tr>
        <w:tc>
          <w:tcPr>
            <w:tcW w:type="dxa" w:w="2736"/>
          </w:tcPr>
          <w:p>
            <w:pPr>
              <w:spacing w:after="20" w:before="20"/>
              <w:jc w:val="left"/>
            </w:pPr>
            <w:r/>
            <w:r>
              <w:rPr>
                <w:rFonts w:ascii="Calibri" w:hAnsi="Calibri"/>
                <w:b w:val="0"/>
                <w:i w:val="0"/>
                <w:color w:val="20302C"/>
                <w:sz w:val="18"/>
              </w:rPr>
              <w:t>Terminal payout / capital return</w:t>
            </w:r>
          </w:p>
        </w:tc>
        <w:tc>
          <w:tcPr>
            <w:tcW w:type="dxa" w:w="2232"/>
          </w:tcPr>
          <w:p>
            <w:pPr>
              <w:spacing w:after="20" w:before="20"/>
              <w:jc w:val="right"/>
            </w:pPr>
            <w:r/>
            <w:r>
              <w:rPr>
                <w:rFonts w:ascii="Calibri" w:hAnsi="Calibri"/>
                <w:b w:val="0"/>
                <w:i w:val="0"/>
                <w:color w:val="20302C"/>
                <w:sz w:val="18"/>
              </w:rPr>
              <w:t>50% / 60% / 67%</w:t>
            </w:r>
          </w:p>
        </w:tc>
        <w:tc>
          <w:tcPr>
            <w:tcW w:type="dxa" w:w="2520"/>
          </w:tcPr>
          <w:p>
            <w:pPr>
              <w:spacing w:after="20" w:before="20"/>
              <w:jc w:val="right"/>
            </w:pPr>
            <w:r/>
            <w:r>
              <w:rPr>
                <w:rFonts w:ascii="Calibri" w:hAnsi="Calibri"/>
                <w:b w:val="0"/>
                <w:i w:val="0"/>
                <w:color w:val="20302C"/>
                <w:sz w:val="18"/>
              </w:rPr>
              <w:t>QAR 18.7 → 22.0</w:t>
            </w:r>
          </w:p>
        </w:tc>
        <w:tc>
          <w:tcPr>
            <w:tcW w:type="dxa" w:w="2592"/>
          </w:tcPr>
          <w:p>
            <w:pPr>
              <w:spacing w:after="20" w:before="20"/>
              <w:jc w:val="right"/>
            </w:pPr>
            <w:r/>
            <w:r>
              <w:rPr>
                <w:rFonts w:ascii="Calibri" w:hAnsi="Calibri"/>
                <w:b w:val="0"/>
                <w:i w:val="0"/>
                <w:color w:val="20302C"/>
                <w:sz w:val="18"/>
              </w:rPr>
              <w:t>The excess-capital swing</w:t>
            </w:r>
          </w:p>
        </w:tc>
      </w:tr>
    </w:tbl>
    <w:p>
      <w:pPr>
        <w:spacing w:after="120" w:line="259" w:lineRule="auto"/>
      </w:pPr>
      <w:r>
        <w:rPr>
          <w:rFonts w:ascii="Calibri" w:hAnsi="Calibri"/>
          <w:b w:val="0"/>
          <w:i w:val="0"/>
          <w:color w:val="20302C"/>
          <w:sz w:val="20"/>
        </w:rPr>
        <w:t>Read together: the tax step and a deeper rate cut are the downside; the return of surplus capital is the upside; and the through-cycle cost of risk — driven by the Türkiye and Egypt books — is the wobble in between. The QAR 18.7-to-QAR 22.0 range on the capital-return line is the single widest swing, which is why the buyback and interim-dividend cadence are the catalysts that matter most (§5).</w:t>
      </w:r>
    </w:p>
    <w:p>
      <w:pPr>
        <w:spacing w:before="180" w:after="40"/>
      </w:pPr>
      <w:r>
        <w:rPr>
          <w:rFonts w:ascii="Calibri" w:hAnsi="Calibri"/>
          <w:b/>
          <w:color w:val="1C3A36"/>
          <w:sz w:val="24"/>
        </w:rPr>
        <w:t>1.8  Macro and country — Qatar, the peg, the LNG expansion, and the EM exposures</w:t>
      </w:r>
    </w:p>
    <w:p>
      <w:pPr>
        <w:spacing w:after="120" w:line="259" w:lineRule="auto"/>
      </w:pPr>
      <w:r>
        <w:rPr>
          <w:rFonts w:ascii="Calibri" w:hAnsi="Calibri"/>
          <w:b w:val="0"/>
          <w:i w:val="0"/>
          <w:color w:val="20302C"/>
          <w:sz w:val="21"/>
        </w:rPr>
        <w:t xml:space="preserve">QNB is a leveraged play on Qatar's sovereign strength and a diversified play on emerging-market banking. </w:t>
      </w:r>
      <w:r>
        <w:rPr>
          <w:rFonts w:ascii="Calibri" w:hAnsi="Calibri"/>
          <w:b/>
          <w:i w:val="0"/>
          <w:color w:val="20302C"/>
          <w:sz w:val="21"/>
        </w:rPr>
        <w:t>Qatar</w:t>
      </w:r>
      <w:r>
        <w:rPr>
          <w:rFonts w:ascii="Calibri" w:hAnsi="Calibri"/>
          <w:b w:val="0"/>
          <w:i w:val="0"/>
          <w:color w:val="20302C"/>
          <w:sz w:val="21"/>
        </w:rPr>
        <w:t xml:space="preserve"> carries an AA sovereign rating and one of the world's strongest fiscal positions; the </w:t>
      </w:r>
      <w:r>
        <w:rPr>
          <w:rFonts w:ascii="Calibri" w:hAnsi="Calibri"/>
          <w:b/>
          <w:i w:val="0"/>
          <w:color w:val="20302C"/>
          <w:sz w:val="21"/>
        </w:rPr>
        <w:t>North Field LNG expansion</w:t>
      </w:r>
      <w:r>
        <w:rPr>
          <w:rFonts w:ascii="Calibri" w:hAnsi="Calibri"/>
          <w:b w:val="0"/>
          <w:i w:val="0"/>
          <w:color w:val="20302C"/>
          <w:sz w:val="21"/>
        </w:rPr>
        <w:t xml:space="preserve"> lifts export capacity materially into 2026–2027, feeding deposits, project lending and fee income — the structural tailwind. The </w:t>
      </w:r>
      <w:r>
        <w:rPr>
          <w:rFonts w:ascii="Calibri" w:hAnsi="Calibri"/>
          <w:b/>
          <w:i w:val="0"/>
          <w:color w:val="20302C"/>
          <w:sz w:val="21"/>
        </w:rPr>
        <w:t>riyal's USD peg</w:t>
      </w:r>
      <w:r>
        <w:rPr>
          <w:rFonts w:ascii="Calibri" w:hAnsi="Calibri"/>
          <w:b w:val="0"/>
          <w:i w:val="0"/>
          <w:color w:val="20302C"/>
          <w:sz w:val="21"/>
        </w:rPr>
        <w:t xml:space="preserve"> removes the currency-devaluation risk that weighs on Egyptian or Turkish banks domestically, but it also means QNB imports Fed policy: the 2026 easing cycle compresses margins before volume offsets it. The </w:t>
      </w:r>
      <w:r>
        <w:rPr>
          <w:rFonts w:ascii="Calibri" w:hAnsi="Calibri"/>
          <w:b/>
          <w:i w:val="0"/>
          <w:color w:val="20302C"/>
          <w:sz w:val="21"/>
        </w:rPr>
        <w:t>Türkiye</w:t>
      </w:r>
      <w:r>
        <w:rPr>
          <w:rFonts w:ascii="Calibri" w:hAnsi="Calibri"/>
          <w:b w:val="0"/>
          <w:i w:val="0"/>
          <w:color w:val="20302C"/>
          <w:sz w:val="21"/>
        </w:rPr>
        <w:t xml:space="preserve"> book (Finansbank) is the largest external swing — lira weakness and hyperinflation accounting distort reported contribution — while </w:t>
      </w:r>
      <w:r>
        <w:rPr>
          <w:rFonts w:ascii="Calibri" w:hAnsi="Calibri"/>
          <w:b/>
          <w:i w:val="0"/>
          <w:color w:val="20302C"/>
          <w:sz w:val="21"/>
        </w:rPr>
        <w:t>Egypt</w:t>
      </w:r>
      <w:r>
        <w:rPr>
          <w:rFonts w:ascii="Calibri" w:hAnsi="Calibri"/>
          <w:b w:val="0"/>
          <w:i w:val="0"/>
          <w:color w:val="20302C"/>
          <w:sz w:val="21"/>
        </w:rPr>
        <w:t xml:space="preserve"> (QNB Alahli) adds high-nominal-return exposure to the pound. These levers sit behind the bear and bull cases in §1.5 and the catalysts in §5.</w:t>
      </w:r>
    </w:p>
    <w:p>
      <w:pPr>
        <w:spacing w:before="180" w:after="40"/>
      </w:pPr>
      <w:r>
        <w:rPr>
          <w:rFonts w:ascii="Calibri" w:hAnsi="Calibri"/>
          <w:b/>
          <w:color w:val="1C3A36"/>
          <w:sz w:val="24"/>
        </w:rPr>
        <w:t>1.9  DDM sensitivity — the Ke-minus-g bet, made visible</w:t>
      </w:r>
    </w:p>
    <w:p>
      <w:pPr>
        <w:spacing w:after="120" w:line="259" w:lineRule="auto"/>
      </w:pPr>
      <w:r>
        <w:rPr>
          <w:rFonts w:ascii="Calibri" w:hAnsi="Calibri"/>
          <w:b w:val="0"/>
          <w:i w:val="0"/>
          <w:color w:val="20302C"/>
          <w:sz w:val="21"/>
        </w:rPr>
        <w:t>Because the terminal value is 81.8% of the dividend-model value, the honest disclosure is a grid across the two inputs that set it. The base cell (Ke 10.5% / g 4.8%) is shaded; the value runs from the low-QAR-teens in the punitive corner to the high-QAR-20s in the benign one.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440"/>
            <w:shd w:val="clear" w:fill="1C3A36"/>
          </w:tcPr>
          <w:p>
            <w:pPr>
              <w:spacing w:after="20" w:before="20"/>
              <w:jc w:val="left"/>
            </w:pPr>
            <w:r/>
            <w:r>
              <w:rPr>
                <w:rFonts w:ascii="Calibri" w:hAnsi="Calibri"/>
                <w:b/>
                <w:i w:val="0"/>
                <w:color w:val="FFFFFF"/>
                <w:sz w:val="18"/>
              </w:rPr>
              <w:t>Ke \ g</w:t>
            </w:r>
          </w:p>
        </w:tc>
        <w:tc>
          <w:tcPr>
            <w:tcW w:type="dxa" w:w="1670"/>
            <w:shd w:val="clear" w:fill="1C3A36"/>
          </w:tcPr>
          <w:p>
            <w:pPr>
              <w:spacing w:after="20" w:before="20"/>
              <w:jc w:val="right"/>
            </w:pPr>
            <w:r/>
            <w:r>
              <w:rPr>
                <w:rFonts w:ascii="Calibri" w:hAnsi="Calibri"/>
                <w:b/>
                <w:i w:val="0"/>
                <w:color w:val="FFFFFF"/>
                <w:sz w:val="18"/>
              </w:rPr>
              <w:t>4.00%</w:t>
            </w:r>
          </w:p>
        </w:tc>
        <w:tc>
          <w:tcPr>
            <w:tcW w:type="dxa" w:w="1670"/>
            <w:shd w:val="clear" w:fill="1C3A36"/>
          </w:tcPr>
          <w:p>
            <w:pPr>
              <w:spacing w:after="20" w:before="20"/>
              <w:jc w:val="right"/>
            </w:pPr>
            <w:r/>
            <w:r>
              <w:rPr>
                <w:rFonts w:ascii="Calibri" w:hAnsi="Calibri"/>
                <w:b/>
                <w:i w:val="0"/>
                <w:color w:val="FFFFFF"/>
                <w:sz w:val="18"/>
              </w:rPr>
              <w:t>4.50%</w:t>
            </w:r>
          </w:p>
        </w:tc>
        <w:tc>
          <w:tcPr>
            <w:tcW w:type="dxa" w:w="1670"/>
            <w:shd w:val="clear" w:fill="1C3A36"/>
          </w:tcPr>
          <w:p>
            <w:pPr>
              <w:spacing w:after="20" w:before="20"/>
              <w:jc w:val="right"/>
            </w:pPr>
            <w:r/>
            <w:r>
              <w:rPr>
                <w:rFonts w:ascii="Calibri" w:hAnsi="Calibri"/>
                <w:b/>
                <w:i w:val="0"/>
                <w:color w:val="FFFFFF"/>
                <w:sz w:val="18"/>
              </w:rPr>
              <w:t>4.75%</w:t>
            </w:r>
          </w:p>
        </w:tc>
        <w:tc>
          <w:tcPr>
            <w:tcW w:type="dxa" w:w="1670"/>
            <w:shd w:val="clear" w:fill="1C3A36"/>
          </w:tcPr>
          <w:p>
            <w:pPr>
              <w:spacing w:after="20" w:before="20"/>
              <w:jc w:val="right"/>
            </w:pPr>
            <w:r/>
            <w:r>
              <w:rPr>
                <w:rFonts w:ascii="Calibri" w:hAnsi="Calibri"/>
                <w:b/>
                <w:i w:val="0"/>
                <w:color w:val="FFFFFF"/>
                <w:sz w:val="18"/>
              </w:rPr>
              <w:t>5.00%</w:t>
            </w:r>
          </w:p>
        </w:tc>
        <w:tc>
          <w:tcPr>
            <w:tcW w:type="dxa" w:w="1670"/>
            <w:shd w:val="clear" w:fill="1C3A36"/>
          </w:tcPr>
          <w:p>
            <w:pPr>
              <w:spacing w:after="20" w:before="20"/>
              <w:jc w:val="right"/>
            </w:pPr>
            <w:r/>
            <w:r>
              <w:rPr>
                <w:rFonts w:ascii="Calibri" w:hAnsi="Calibri"/>
                <w:b/>
                <w:i w:val="0"/>
                <w:color w:val="FFFFFF"/>
                <w:sz w:val="18"/>
              </w:rPr>
              <w:t>5.25%</w:t>
            </w:r>
          </w:p>
        </w:tc>
      </w:tr>
      <w:tr>
        <w:tc>
          <w:tcPr>
            <w:tcW w:type="dxa" w:w="1440"/>
          </w:tcPr>
          <w:p>
            <w:pPr>
              <w:spacing w:after="20" w:before="20"/>
              <w:jc w:val="left"/>
            </w:pPr>
            <w:r/>
            <w:r>
              <w:rPr>
                <w:rFonts w:ascii="Calibri" w:hAnsi="Calibri"/>
                <w:b w:val="0"/>
                <w:i w:val="0"/>
                <w:color w:val="20302C"/>
                <w:sz w:val="18"/>
              </w:rPr>
              <w:t>9.5%</w:t>
            </w:r>
          </w:p>
        </w:tc>
        <w:tc>
          <w:tcPr>
            <w:tcW w:type="dxa" w:w="1670"/>
          </w:tcPr>
          <w:p>
            <w:pPr>
              <w:spacing w:after="20" w:before="20"/>
              <w:jc w:val="right"/>
            </w:pPr>
            <w:r/>
            <w:r>
              <w:rPr>
                <w:rFonts w:ascii="Calibri" w:hAnsi="Calibri"/>
                <w:b w:val="0"/>
                <w:i w:val="0"/>
                <w:color w:val="20302C"/>
                <w:sz w:val="18"/>
              </w:rPr>
              <w:t>20.3</w:t>
            </w:r>
          </w:p>
        </w:tc>
        <w:tc>
          <w:tcPr>
            <w:tcW w:type="dxa" w:w="1670"/>
          </w:tcPr>
          <w:p>
            <w:pPr>
              <w:spacing w:after="20" w:before="20"/>
              <w:jc w:val="right"/>
            </w:pPr>
            <w:r/>
            <w:r>
              <w:rPr>
                <w:rFonts w:ascii="Calibri" w:hAnsi="Calibri"/>
                <w:b w:val="0"/>
                <w:i w:val="0"/>
                <w:color w:val="20302C"/>
                <w:sz w:val="18"/>
              </w:rPr>
              <w:t>22.0</w:t>
            </w:r>
          </w:p>
        </w:tc>
        <w:tc>
          <w:tcPr>
            <w:tcW w:type="dxa" w:w="1670"/>
          </w:tcPr>
          <w:p>
            <w:pPr>
              <w:spacing w:after="20" w:before="20"/>
              <w:jc w:val="right"/>
            </w:pPr>
            <w:r/>
            <w:r>
              <w:rPr>
                <w:rFonts w:ascii="Calibri" w:hAnsi="Calibri"/>
                <w:b w:val="0"/>
                <w:i w:val="0"/>
                <w:color w:val="20302C"/>
                <w:sz w:val="18"/>
              </w:rPr>
              <w:t>23.1</w:t>
            </w:r>
          </w:p>
        </w:tc>
        <w:tc>
          <w:tcPr>
            <w:tcW w:type="dxa" w:w="1670"/>
          </w:tcPr>
          <w:p>
            <w:pPr>
              <w:spacing w:after="20" w:before="20"/>
              <w:jc w:val="right"/>
            </w:pPr>
            <w:r/>
            <w:r>
              <w:rPr>
                <w:rFonts w:ascii="Calibri" w:hAnsi="Calibri"/>
                <w:b w:val="0"/>
                <w:i w:val="0"/>
                <w:color w:val="20302C"/>
                <w:sz w:val="18"/>
              </w:rPr>
              <w:t>24.2</w:t>
            </w:r>
          </w:p>
        </w:tc>
        <w:tc>
          <w:tcPr>
            <w:tcW w:type="dxa" w:w="1670"/>
          </w:tcPr>
          <w:p>
            <w:pPr>
              <w:spacing w:after="20" w:before="20"/>
              <w:jc w:val="right"/>
            </w:pPr>
            <w:r/>
            <w:r>
              <w:rPr>
                <w:rFonts w:ascii="Calibri" w:hAnsi="Calibri"/>
                <w:b w:val="0"/>
                <w:i w:val="0"/>
                <w:color w:val="20302C"/>
                <w:sz w:val="18"/>
              </w:rPr>
              <w:t>25.5</w:t>
            </w:r>
          </w:p>
        </w:tc>
      </w:tr>
      <w:tr>
        <w:tc>
          <w:tcPr>
            <w:tcW w:type="dxa" w:w="1440"/>
          </w:tcPr>
          <w:p>
            <w:pPr>
              <w:spacing w:after="20" w:before="20"/>
              <w:jc w:val="left"/>
            </w:pPr>
            <w:r/>
            <w:r>
              <w:rPr>
                <w:rFonts w:ascii="Calibri" w:hAnsi="Calibri"/>
                <w:b w:val="0"/>
                <w:i w:val="0"/>
                <w:color w:val="20302C"/>
                <w:sz w:val="18"/>
              </w:rPr>
              <w:t>10.0%</w:t>
            </w:r>
          </w:p>
        </w:tc>
        <w:tc>
          <w:tcPr>
            <w:tcW w:type="dxa" w:w="1670"/>
          </w:tcPr>
          <w:p>
            <w:pPr>
              <w:spacing w:after="20" w:before="20"/>
              <w:jc w:val="right"/>
            </w:pPr>
            <w:r/>
            <w:r>
              <w:rPr>
                <w:rFonts w:ascii="Calibri" w:hAnsi="Calibri"/>
                <w:b w:val="0"/>
                <w:i w:val="0"/>
                <w:color w:val="20302C"/>
                <w:sz w:val="18"/>
              </w:rPr>
              <w:t>18.5</w:t>
            </w:r>
          </w:p>
        </w:tc>
        <w:tc>
          <w:tcPr>
            <w:tcW w:type="dxa" w:w="1670"/>
          </w:tcPr>
          <w:p>
            <w:pPr>
              <w:spacing w:after="20" w:before="20"/>
              <w:jc w:val="right"/>
            </w:pPr>
            <w:r/>
            <w:r>
              <w:rPr>
                <w:rFonts w:ascii="Calibri" w:hAnsi="Calibri"/>
                <w:b w:val="0"/>
                <w:i w:val="0"/>
                <w:color w:val="20302C"/>
                <w:sz w:val="18"/>
              </w:rPr>
              <w:t>19.9</w:t>
            </w:r>
          </w:p>
        </w:tc>
        <w:tc>
          <w:tcPr>
            <w:tcW w:type="dxa" w:w="1670"/>
          </w:tcPr>
          <w:p>
            <w:pPr>
              <w:spacing w:after="20" w:before="20"/>
              <w:jc w:val="right"/>
            </w:pPr>
            <w:r/>
            <w:r>
              <w:rPr>
                <w:rFonts w:ascii="Calibri" w:hAnsi="Calibri"/>
                <w:b w:val="0"/>
                <w:i w:val="0"/>
                <w:color w:val="20302C"/>
                <w:sz w:val="18"/>
              </w:rPr>
              <w:t>20.8</w:t>
            </w:r>
          </w:p>
        </w:tc>
        <w:tc>
          <w:tcPr>
            <w:tcW w:type="dxa" w:w="1670"/>
          </w:tcPr>
          <w:p>
            <w:pPr>
              <w:spacing w:after="20" w:before="20"/>
              <w:jc w:val="right"/>
            </w:pPr>
            <w:r/>
            <w:r>
              <w:rPr>
                <w:rFonts w:ascii="Calibri" w:hAnsi="Calibri"/>
                <w:b w:val="0"/>
                <w:i w:val="0"/>
                <w:color w:val="20302C"/>
                <w:sz w:val="18"/>
              </w:rPr>
              <w:t>21.7</w:t>
            </w:r>
          </w:p>
        </w:tc>
        <w:tc>
          <w:tcPr>
            <w:tcW w:type="dxa" w:w="1670"/>
          </w:tcPr>
          <w:p>
            <w:pPr>
              <w:spacing w:after="20" w:before="20"/>
              <w:jc w:val="right"/>
            </w:pPr>
            <w:r/>
            <w:r>
              <w:rPr>
                <w:rFonts w:ascii="Calibri" w:hAnsi="Calibri"/>
                <w:b w:val="0"/>
                <w:i w:val="0"/>
                <w:color w:val="20302C"/>
                <w:sz w:val="18"/>
              </w:rPr>
              <w:t>22.7</w:t>
            </w:r>
          </w:p>
        </w:tc>
      </w:tr>
      <w:tr>
        <w:tc>
          <w:tcPr>
            <w:tcW w:type="dxa" w:w="1440"/>
          </w:tcPr>
          <w:p>
            <w:pPr>
              <w:spacing w:after="20" w:before="20"/>
              <w:jc w:val="left"/>
            </w:pPr>
            <w:r/>
            <w:r>
              <w:rPr>
                <w:rFonts w:ascii="Calibri" w:hAnsi="Calibri"/>
                <w:b w:val="0"/>
                <w:i w:val="0"/>
                <w:color w:val="20302C"/>
                <w:sz w:val="18"/>
              </w:rPr>
              <w:t>10.5%</w:t>
            </w:r>
          </w:p>
        </w:tc>
        <w:tc>
          <w:tcPr>
            <w:tcW w:type="dxa" w:w="1670"/>
          </w:tcPr>
          <w:p>
            <w:pPr>
              <w:spacing w:after="20" w:before="20"/>
              <w:jc w:val="right"/>
            </w:pPr>
            <w:r/>
            <w:r>
              <w:rPr>
                <w:rFonts w:ascii="Calibri" w:hAnsi="Calibri"/>
                <w:b w:val="0"/>
                <w:i w:val="0"/>
                <w:color w:val="20302C"/>
                <w:sz w:val="18"/>
              </w:rPr>
              <w:t>17.0</w:t>
            </w:r>
          </w:p>
        </w:tc>
        <w:tc>
          <w:tcPr>
            <w:tcW w:type="dxa" w:w="1670"/>
          </w:tcPr>
          <w:p>
            <w:pPr>
              <w:spacing w:after="20" w:before="20"/>
              <w:jc w:val="right"/>
            </w:pPr>
            <w:r/>
            <w:r>
              <w:rPr>
                <w:rFonts w:ascii="Calibri" w:hAnsi="Calibri"/>
                <w:b w:val="0"/>
                <w:i w:val="0"/>
                <w:color w:val="20302C"/>
                <w:sz w:val="18"/>
              </w:rPr>
              <w:t>18.2</w:t>
            </w:r>
          </w:p>
        </w:tc>
        <w:tc>
          <w:tcPr>
            <w:tcW w:type="dxa" w:w="1670"/>
          </w:tcPr>
          <w:p>
            <w:pPr>
              <w:spacing w:after="20" w:before="20"/>
              <w:jc w:val="right"/>
            </w:pPr>
            <w:r/>
            <w:r>
              <w:rPr>
                <w:rFonts w:ascii="Calibri" w:hAnsi="Calibri"/>
                <w:b w:val="0"/>
                <w:i w:val="0"/>
                <w:color w:val="20302C"/>
                <w:sz w:val="18"/>
              </w:rPr>
              <w:t>18.9</w:t>
            </w:r>
          </w:p>
        </w:tc>
        <w:tc>
          <w:tcPr>
            <w:tcW w:type="dxa" w:w="1670"/>
          </w:tcPr>
          <w:p>
            <w:pPr>
              <w:spacing w:after="20" w:before="20"/>
              <w:jc w:val="right"/>
            </w:pPr>
            <w:r/>
            <w:r>
              <w:rPr>
                <w:rFonts w:ascii="Calibri" w:hAnsi="Calibri"/>
                <w:b w:val="0"/>
                <w:i w:val="0"/>
                <w:color w:val="20302C"/>
                <w:sz w:val="18"/>
              </w:rPr>
              <w:t>19.6</w:t>
            </w:r>
          </w:p>
        </w:tc>
        <w:tc>
          <w:tcPr>
            <w:tcW w:type="dxa" w:w="1670"/>
          </w:tcPr>
          <w:p>
            <w:pPr>
              <w:spacing w:after="20" w:before="20"/>
              <w:jc w:val="right"/>
            </w:pPr>
            <w:r/>
            <w:r>
              <w:rPr>
                <w:rFonts w:ascii="Calibri" w:hAnsi="Calibri"/>
                <w:b w:val="0"/>
                <w:i w:val="0"/>
                <w:color w:val="20302C"/>
                <w:sz w:val="18"/>
              </w:rPr>
              <w:t>20.4</w:t>
            </w:r>
          </w:p>
        </w:tc>
      </w:tr>
      <w:tr>
        <w:tc>
          <w:tcPr>
            <w:tcW w:type="dxa" w:w="1440"/>
          </w:tcPr>
          <w:p>
            <w:pPr>
              <w:spacing w:after="20" w:before="20"/>
              <w:jc w:val="left"/>
            </w:pPr>
            <w:r/>
            <w:r>
              <w:rPr>
                <w:rFonts w:ascii="Calibri" w:hAnsi="Calibri"/>
                <w:b w:val="0"/>
                <w:i w:val="0"/>
                <w:color w:val="20302C"/>
                <w:sz w:val="18"/>
              </w:rPr>
              <w:t>11.0%</w:t>
            </w:r>
          </w:p>
        </w:tc>
        <w:tc>
          <w:tcPr>
            <w:tcW w:type="dxa" w:w="1670"/>
          </w:tcPr>
          <w:p>
            <w:pPr>
              <w:spacing w:after="20" w:before="20"/>
              <w:jc w:val="right"/>
            </w:pPr>
            <w:r/>
            <w:r>
              <w:rPr>
                <w:rFonts w:ascii="Calibri" w:hAnsi="Calibri"/>
                <w:b w:val="0"/>
                <w:i w:val="0"/>
                <w:color w:val="20302C"/>
                <w:sz w:val="18"/>
              </w:rPr>
              <w:t>15.7</w:t>
            </w:r>
          </w:p>
        </w:tc>
        <w:tc>
          <w:tcPr>
            <w:tcW w:type="dxa" w:w="1670"/>
          </w:tcPr>
          <w:p>
            <w:pPr>
              <w:spacing w:after="20" w:before="20"/>
              <w:jc w:val="right"/>
            </w:pPr>
            <w:r/>
            <w:r>
              <w:rPr>
                <w:rFonts w:ascii="Calibri" w:hAnsi="Calibri"/>
                <w:b w:val="0"/>
                <w:i w:val="0"/>
                <w:color w:val="20302C"/>
                <w:sz w:val="18"/>
              </w:rPr>
              <w:t>16.7</w:t>
            </w:r>
          </w:p>
        </w:tc>
        <w:tc>
          <w:tcPr>
            <w:tcW w:type="dxa" w:w="1670"/>
          </w:tcPr>
          <w:p>
            <w:pPr>
              <w:spacing w:after="20" w:before="20"/>
              <w:jc w:val="right"/>
            </w:pPr>
            <w:r/>
            <w:r>
              <w:rPr>
                <w:rFonts w:ascii="Calibri" w:hAnsi="Calibri"/>
                <w:b w:val="0"/>
                <w:i w:val="0"/>
                <w:color w:val="20302C"/>
                <w:sz w:val="18"/>
              </w:rPr>
              <w:t>17.2</w:t>
            </w:r>
          </w:p>
        </w:tc>
        <w:tc>
          <w:tcPr>
            <w:tcW w:type="dxa" w:w="1670"/>
          </w:tcPr>
          <w:p>
            <w:pPr>
              <w:spacing w:after="20" w:before="20"/>
              <w:jc w:val="right"/>
            </w:pPr>
            <w:r/>
            <w:r>
              <w:rPr>
                <w:rFonts w:ascii="Calibri" w:hAnsi="Calibri"/>
                <w:b w:val="0"/>
                <w:i w:val="0"/>
                <w:color w:val="20302C"/>
                <w:sz w:val="18"/>
              </w:rPr>
              <w:t>17.9</w:t>
            </w:r>
          </w:p>
        </w:tc>
        <w:tc>
          <w:tcPr>
            <w:tcW w:type="dxa" w:w="1670"/>
          </w:tcPr>
          <w:p>
            <w:pPr>
              <w:spacing w:after="20" w:before="20"/>
              <w:jc w:val="right"/>
            </w:pPr>
            <w:r/>
            <w:r>
              <w:rPr>
                <w:rFonts w:ascii="Calibri" w:hAnsi="Calibri"/>
                <w:b w:val="0"/>
                <w:i w:val="0"/>
                <w:color w:val="20302C"/>
                <w:sz w:val="18"/>
              </w:rPr>
              <w:t>18.5</w:t>
            </w:r>
          </w:p>
        </w:tc>
      </w:tr>
      <w:tr>
        <w:tc>
          <w:tcPr>
            <w:tcW w:type="dxa" w:w="1440"/>
          </w:tcPr>
          <w:p>
            <w:pPr>
              <w:spacing w:after="20" w:before="20"/>
              <w:jc w:val="left"/>
            </w:pPr>
            <w:r/>
            <w:r>
              <w:rPr>
                <w:rFonts w:ascii="Calibri" w:hAnsi="Calibri"/>
                <w:b w:val="0"/>
                <w:i w:val="0"/>
                <w:color w:val="20302C"/>
                <w:sz w:val="18"/>
              </w:rPr>
              <w:t>11.5%</w:t>
            </w:r>
          </w:p>
        </w:tc>
        <w:tc>
          <w:tcPr>
            <w:tcW w:type="dxa" w:w="1670"/>
          </w:tcPr>
          <w:p>
            <w:pPr>
              <w:spacing w:after="20" w:before="20"/>
              <w:jc w:val="right"/>
            </w:pPr>
            <w:r/>
            <w:r>
              <w:rPr>
                <w:rFonts w:ascii="Calibri" w:hAnsi="Calibri"/>
                <w:b w:val="0"/>
                <w:i w:val="0"/>
                <w:color w:val="20302C"/>
                <w:sz w:val="18"/>
              </w:rPr>
              <w:t>14.6</w:t>
            </w:r>
          </w:p>
        </w:tc>
        <w:tc>
          <w:tcPr>
            <w:tcW w:type="dxa" w:w="1670"/>
          </w:tcPr>
          <w:p>
            <w:pPr>
              <w:spacing w:after="20" w:before="20"/>
              <w:jc w:val="right"/>
            </w:pPr>
            <w:r/>
            <w:r>
              <w:rPr>
                <w:rFonts w:ascii="Calibri" w:hAnsi="Calibri"/>
                <w:b w:val="0"/>
                <w:i w:val="0"/>
                <w:color w:val="20302C"/>
                <w:sz w:val="18"/>
              </w:rPr>
              <w:t>15.4</w:t>
            </w:r>
          </w:p>
        </w:tc>
        <w:tc>
          <w:tcPr>
            <w:tcW w:type="dxa" w:w="1670"/>
          </w:tcPr>
          <w:p>
            <w:pPr>
              <w:spacing w:after="20" w:before="20"/>
              <w:jc w:val="right"/>
            </w:pPr>
            <w:r/>
            <w:r>
              <w:rPr>
                <w:rFonts w:ascii="Calibri" w:hAnsi="Calibri"/>
                <w:b w:val="0"/>
                <w:i w:val="0"/>
                <w:color w:val="20302C"/>
                <w:sz w:val="18"/>
              </w:rPr>
              <w:t>15.9</w:t>
            </w:r>
          </w:p>
        </w:tc>
        <w:tc>
          <w:tcPr>
            <w:tcW w:type="dxa" w:w="1670"/>
          </w:tcPr>
          <w:p>
            <w:pPr>
              <w:spacing w:after="20" w:before="20"/>
              <w:jc w:val="right"/>
            </w:pPr>
            <w:r/>
            <w:r>
              <w:rPr>
                <w:rFonts w:ascii="Calibri" w:hAnsi="Calibri"/>
                <w:b w:val="0"/>
                <w:i w:val="0"/>
                <w:color w:val="20302C"/>
                <w:sz w:val="18"/>
              </w:rPr>
              <w:t>16.4</w:t>
            </w:r>
          </w:p>
        </w:tc>
        <w:tc>
          <w:tcPr>
            <w:tcW w:type="dxa" w:w="1670"/>
          </w:tcPr>
          <w:p>
            <w:pPr>
              <w:spacing w:after="20" w:before="20"/>
              <w:jc w:val="right"/>
            </w:pPr>
            <w:r/>
            <w:r>
              <w:rPr>
                <w:rFonts w:ascii="Calibri" w:hAnsi="Calibri"/>
                <w:b w:val="0"/>
                <w:i w:val="0"/>
                <w:color w:val="20302C"/>
                <w:sz w:val="18"/>
              </w:rPr>
              <w:t>17.0</w:t>
            </w:r>
          </w:p>
        </w:tc>
      </w:tr>
    </w:tbl>
    <w:p>
      <w:pPr>
        <w:spacing w:before="80"/>
        <w:jc w:val="center"/>
      </w:pPr>
      <w:r>
        <w:drawing>
          <wp:inline xmlns:a="http://schemas.openxmlformats.org/drawingml/2006/main" xmlns:pic="http://schemas.openxmlformats.org/drawingml/2006/picture">
            <wp:extent cx="5486400" cy="2349795"/>
            <wp:docPr id="3" name="Picture 3"/>
            <wp:cNvGraphicFramePr>
              <a:graphicFrameLocks noChangeAspect="1"/>
            </wp:cNvGraphicFramePr>
            <a:graphic>
              <a:graphicData uri="http://schemas.openxmlformats.org/drawingml/2006/picture">
                <pic:pic>
                  <pic:nvPicPr>
                    <pic:cNvPr id="0" name="fig2_ddm_sensitivity.png"/>
                    <pic:cNvPicPr/>
                  </pic:nvPicPr>
                  <pic:blipFill>
                    <a:blip r:embed="rId11"/>
                    <a:stretch>
                      <a:fillRect/>
                    </a:stretch>
                  </pic:blipFill>
                  <pic:spPr>
                    <a:xfrm>
                      <a:off x="0" y="0"/>
                      <a:ext cx="5486400" cy="2349795"/>
                    </a:xfrm>
                    <a:prstGeom prst="rect"/>
                  </pic:spPr>
                </pic:pic>
              </a:graphicData>
            </a:graphic>
          </wp:inline>
        </w:drawing>
      </w:r>
    </w:p>
    <w:p>
      <w:pPr>
        <w:spacing w:after="160" w:before="40"/>
      </w:pPr>
      <w:r>
        <w:rPr>
          <w:rFonts w:ascii="Calibri" w:hAnsi="Calibri"/>
          <w:i/>
          <w:color w:val="667070"/>
          <w:sz w:val="17"/>
        </w:rPr>
        <w:t>Figure 2 — DDM fair value (QAR/share) across cost of equity and terminal growth. Base Ke 10.5% / g 4.75%.</w:t>
      </w:r>
    </w:p>
    <w:p>
      <w:pPr>
        <w:spacing w:after="120" w:line="259" w:lineRule="auto"/>
      </w:pPr>
      <w:r>
        <w:rPr>
          <w:rFonts w:ascii="Calibri" w:hAnsi="Calibri"/>
          <w:b w:val="0"/>
          <w:i w:val="0"/>
          <w:color w:val="20302C"/>
          <w:sz w:val="20"/>
        </w:rPr>
        <w:t>Read it as the bet you are taking: the QAR 17.54 market price is consistent with a cost of equity around 11–11.5% on our terminal growth — i.e. the market charges QNB a ~1-point risk premium over our base for its EM exposure and Qatar concentration. Whether that premium is deserved is the reader's call.</w:t>
      </w:r>
    </w:p>
    <w:p>
      <w:pPr>
        <w:spacing w:before="240" w:after="80"/>
        <w:pBdr>
          <w:bottom w:val="single" w:sz="6" w:space="2" w:color="C0A45F"/>
        </w:pBdr>
      </w:pPr>
      <w:r>
        <w:rPr>
          <w:rFonts w:ascii="Calibri" w:hAnsi="Calibri"/>
          <w:b/>
          <w:color w:val="2E6E68"/>
          <w:sz w:val="30"/>
        </w:rPr>
        <w:t>2  Technical and price structure</w:t>
      </w:r>
    </w:p>
    <w:p>
      <w:pPr>
        <w:spacing w:after="120" w:line="259" w:lineRule="auto"/>
      </w:pPr>
      <w:r>
        <w:rPr>
          <w:rFonts w:ascii="Calibri" w:hAnsi="Calibri"/>
          <w:b w:val="0"/>
          <w:i w:val="0"/>
          <w:color w:val="20302C"/>
          <w:sz w:val="21"/>
        </w:rPr>
        <w:t>The tape is soft and range-bound. QNBK trades below all four major moving averages, the MACD line sits below its signal with a negative histogram, and RSI is in the high-30s — weak, but not yet oversold. The structure is a slow drift within a well-defined band: the 52-week range on the attached history runs QAR 16.7–20.4, and price is in its lower half.</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val="clear" w:fill="1C3A36"/>
          </w:tcPr>
          <w:p>
            <w:pPr>
              <w:spacing w:after="20" w:before="20"/>
              <w:jc w:val="left"/>
            </w:pPr>
            <w:r/>
            <w:r>
              <w:rPr>
                <w:rFonts w:ascii="Calibri" w:hAnsi="Calibri"/>
                <w:b/>
                <w:i w:val="0"/>
                <w:color w:val="FFFFFF"/>
                <w:sz w:val="18"/>
              </w:rPr>
              <w:t>Indicator</w:t>
            </w:r>
          </w:p>
        </w:tc>
        <w:tc>
          <w:tcPr>
            <w:tcW w:type="dxa" w:w="4176"/>
            <w:shd w:val="clear" w:fill="1C3A36"/>
          </w:tcPr>
          <w:p>
            <w:pPr>
              <w:spacing w:after="20" w:before="20"/>
              <w:jc w:val="right"/>
            </w:pPr>
            <w:r/>
            <w:r>
              <w:rPr>
                <w:rFonts w:ascii="Calibri" w:hAnsi="Calibri"/>
                <w:b/>
                <w:i w:val="0"/>
                <w:color w:val="FFFFFF"/>
                <w:sz w:val="18"/>
              </w:rPr>
              <w:t>Reading</w:t>
            </w:r>
          </w:p>
        </w:tc>
        <w:tc>
          <w:tcPr>
            <w:tcW w:type="dxa" w:w="3456"/>
            <w:shd w:val="clear" w:fill="1C3A36"/>
          </w:tcPr>
          <w:p>
            <w:pPr>
              <w:spacing w:after="20" w:before="20"/>
              <w:jc w:val="right"/>
            </w:pPr>
            <w:r/>
            <w:r>
              <w:rPr>
                <w:rFonts w:ascii="Calibri" w:hAnsi="Calibri"/>
                <w:b/>
                <w:i w:val="0"/>
                <w:color w:val="FFFFFF"/>
                <w:sz w:val="18"/>
              </w:rPr>
              <w:t>Signal</w:t>
            </w:r>
          </w:p>
        </w:tc>
      </w:tr>
      <w:tr>
        <w:tc>
          <w:tcPr>
            <w:tcW w:type="dxa" w:w="2448"/>
          </w:tcPr>
          <w:p>
            <w:pPr>
              <w:spacing w:after="20" w:before="20"/>
              <w:jc w:val="left"/>
            </w:pPr>
            <w:r/>
            <w:r>
              <w:rPr>
                <w:rFonts w:ascii="Calibri" w:hAnsi="Calibri"/>
                <w:b w:val="0"/>
                <w:i w:val="0"/>
                <w:color w:val="20302C"/>
                <w:sz w:val="18"/>
              </w:rPr>
              <w:t>Spot</w:t>
            </w:r>
          </w:p>
        </w:tc>
        <w:tc>
          <w:tcPr>
            <w:tcW w:type="dxa" w:w="4176"/>
          </w:tcPr>
          <w:p>
            <w:pPr>
              <w:spacing w:after="20" w:before="20"/>
              <w:jc w:val="right"/>
            </w:pPr>
            <w:r/>
            <w:r>
              <w:rPr>
                <w:rFonts w:ascii="Calibri" w:hAnsi="Calibri"/>
                <w:b w:val="0"/>
                <w:i w:val="0"/>
                <w:color w:val="20302C"/>
                <w:sz w:val="18"/>
              </w:rPr>
              <w:t>QAR 17.54</w:t>
            </w:r>
          </w:p>
        </w:tc>
        <w:tc>
          <w:tcPr>
            <w:tcW w:type="dxa" w:w="3456"/>
          </w:tcPr>
          <w:p>
            <w:pPr>
              <w:spacing w:after="20" w:before="20"/>
              <w:jc w:val="right"/>
            </w:pPr>
            <w:r/>
            <w:r>
              <w:rPr>
                <w:rFonts w:ascii="Calibri" w:hAnsi="Calibri"/>
                <w:b w:val="0"/>
                <w:i w:val="0"/>
                <w:color w:val="20302C"/>
                <w:sz w:val="18"/>
              </w:rPr>
              <w:t>—</w:t>
            </w:r>
          </w:p>
        </w:tc>
      </w:tr>
      <w:tr>
        <w:tc>
          <w:tcPr>
            <w:tcW w:type="dxa" w:w="2448"/>
          </w:tcPr>
          <w:p>
            <w:pPr>
              <w:spacing w:after="20" w:before="20"/>
              <w:jc w:val="left"/>
            </w:pPr>
            <w:r/>
            <w:r>
              <w:rPr>
                <w:rFonts w:ascii="Calibri" w:hAnsi="Calibri"/>
                <w:b w:val="0"/>
                <w:i w:val="0"/>
                <w:color w:val="20302C"/>
                <w:sz w:val="18"/>
              </w:rPr>
              <w:t>SMA 20 / 50</w:t>
            </w:r>
          </w:p>
        </w:tc>
        <w:tc>
          <w:tcPr>
            <w:tcW w:type="dxa" w:w="4176"/>
          </w:tcPr>
          <w:p>
            <w:pPr>
              <w:spacing w:after="20" w:before="20"/>
              <w:jc w:val="right"/>
            </w:pPr>
            <w:r/>
            <w:r>
              <w:rPr>
                <w:rFonts w:ascii="Calibri" w:hAnsi="Calibri"/>
                <w:b w:val="0"/>
                <w:i w:val="0"/>
                <w:color w:val="20302C"/>
                <w:sz w:val="18"/>
              </w:rPr>
              <w:t>QAR 17.67 / 17.62</w:t>
            </w:r>
          </w:p>
        </w:tc>
        <w:tc>
          <w:tcPr>
            <w:tcW w:type="dxa" w:w="3456"/>
          </w:tcPr>
          <w:p>
            <w:pPr>
              <w:spacing w:after="20" w:before="20"/>
              <w:jc w:val="right"/>
            </w:pPr>
            <w:r/>
            <w:r>
              <w:rPr>
                <w:rFonts w:ascii="Calibri" w:hAnsi="Calibri"/>
                <w:b w:val="0"/>
                <w:i w:val="0"/>
                <w:color w:val="20302C"/>
                <w:sz w:val="18"/>
              </w:rPr>
              <w:t>Below both — short-term soft</w:t>
            </w:r>
          </w:p>
        </w:tc>
      </w:tr>
      <w:tr>
        <w:tc>
          <w:tcPr>
            <w:tcW w:type="dxa" w:w="2448"/>
          </w:tcPr>
          <w:p>
            <w:pPr>
              <w:spacing w:after="20" w:before="20"/>
              <w:jc w:val="left"/>
            </w:pPr>
            <w:r/>
            <w:r>
              <w:rPr>
                <w:rFonts w:ascii="Calibri" w:hAnsi="Calibri"/>
                <w:b w:val="0"/>
                <w:i w:val="0"/>
                <w:color w:val="20302C"/>
                <w:sz w:val="18"/>
              </w:rPr>
              <w:t>SMA 100 / 200</w:t>
            </w:r>
          </w:p>
        </w:tc>
        <w:tc>
          <w:tcPr>
            <w:tcW w:type="dxa" w:w="4176"/>
          </w:tcPr>
          <w:p>
            <w:pPr>
              <w:spacing w:after="20" w:before="20"/>
              <w:jc w:val="right"/>
            </w:pPr>
            <w:r/>
            <w:r>
              <w:rPr>
                <w:rFonts w:ascii="Calibri" w:hAnsi="Calibri"/>
                <w:b w:val="0"/>
                <w:i w:val="0"/>
                <w:color w:val="20302C"/>
                <w:sz w:val="18"/>
              </w:rPr>
              <w:t>QAR 18.05 / 18.43</w:t>
            </w:r>
          </w:p>
        </w:tc>
        <w:tc>
          <w:tcPr>
            <w:tcW w:type="dxa" w:w="3456"/>
          </w:tcPr>
          <w:p>
            <w:pPr>
              <w:spacing w:after="20" w:before="20"/>
              <w:jc w:val="right"/>
            </w:pPr>
            <w:r/>
            <w:r>
              <w:rPr>
                <w:rFonts w:ascii="Calibri" w:hAnsi="Calibri"/>
                <w:b w:val="0"/>
                <w:i w:val="0"/>
                <w:color w:val="20302C"/>
                <w:sz w:val="18"/>
              </w:rPr>
              <w:t>Below both — trend down</w:t>
            </w:r>
          </w:p>
        </w:tc>
      </w:tr>
      <w:tr>
        <w:tc>
          <w:tcPr>
            <w:tcW w:type="dxa" w:w="2448"/>
          </w:tcPr>
          <w:p>
            <w:pPr>
              <w:spacing w:after="20" w:before="20"/>
              <w:jc w:val="left"/>
            </w:pPr>
            <w:r/>
            <w:r>
              <w:rPr>
                <w:rFonts w:ascii="Calibri" w:hAnsi="Calibri"/>
                <w:b w:val="0"/>
                <w:i w:val="0"/>
                <w:color w:val="20302C"/>
                <w:sz w:val="18"/>
              </w:rPr>
              <w:t>RSI (14)</w:t>
            </w:r>
          </w:p>
        </w:tc>
        <w:tc>
          <w:tcPr>
            <w:tcW w:type="dxa" w:w="4176"/>
          </w:tcPr>
          <w:p>
            <w:pPr>
              <w:spacing w:after="20" w:before="20"/>
              <w:jc w:val="right"/>
            </w:pPr>
            <w:r/>
            <w:r>
              <w:rPr>
                <w:rFonts w:ascii="Calibri" w:hAnsi="Calibri"/>
                <w:b w:val="0"/>
                <w:i w:val="0"/>
                <w:color w:val="20302C"/>
                <w:sz w:val="18"/>
              </w:rPr>
              <w:t>37.9</w:t>
            </w:r>
          </w:p>
        </w:tc>
        <w:tc>
          <w:tcPr>
            <w:tcW w:type="dxa" w:w="3456"/>
          </w:tcPr>
          <w:p>
            <w:pPr>
              <w:spacing w:after="20" w:before="20"/>
              <w:jc w:val="right"/>
            </w:pPr>
            <w:r/>
            <w:r>
              <w:rPr>
                <w:rFonts w:ascii="Calibri" w:hAnsi="Calibri"/>
                <w:b w:val="0"/>
                <w:i w:val="0"/>
                <w:color w:val="20302C"/>
                <w:sz w:val="18"/>
              </w:rPr>
              <w:t>Weak, approaching oversold</w:t>
            </w:r>
          </w:p>
        </w:tc>
      </w:tr>
      <w:tr>
        <w:tc>
          <w:tcPr>
            <w:tcW w:type="dxa" w:w="2448"/>
          </w:tcPr>
          <w:p>
            <w:pPr>
              <w:spacing w:after="20" w:before="20"/>
              <w:jc w:val="left"/>
            </w:pPr>
            <w:r/>
            <w:r>
              <w:rPr>
                <w:rFonts w:ascii="Calibri" w:hAnsi="Calibri"/>
                <w:b w:val="0"/>
                <w:i w:val="0"/>
                <w:color w:val="20302C"/>
                <w:sz w:val="18"/>
              </w:rPr>
              <w:t>MACD (12,26,9)</w:t>
            </w:r>
          </w:p>
        </w:tc>
        <w:tc>
          <w:tcPr>
            <w:tcW w:type="dxa" w:w="4176"/>
          </w:tcPr>
          <w:p>
            <w:pPr>
              <w:spacing w:after="20" w:before="20"/>
              <w:jc w:val="right"/>
            </w:pPr>
            <w:r/>
            <w:r>
              <w:rPr>
                <w:rFonts w:ascii="Calibri" w:hAnsi="Calibri"/>
                <w:b w:val="0"/>
                <w:i w:val="0"/>
                <w:color w:val="20302C"/>
                <w:sz w:val="18"/>
              </w:rPr>
              <w:t>-0.011 line / 0.026 signal / -0.037 hist</w:t>
            </w:r>
          </w:p>
        </w:tc>
        <w:tc>
          <w:tcPr>
            <w:tcW w:type="dxa" w:w="3456"/>
          </w:tcPr>
          <w:p>
            <w:pPr>
              <w:spacing w:after="20" w:before="20"/>
              <w:jc w:val="right"/>
            </w:pPr>
            <w:r/>
            <w:r>
              <w:rPr>
                <w:rFonts w:ascii="Calibri" w:hAnsi="Calibri"/>
                <w:b w:val="0"/>
                <w:i w:val="0"/>
                <w:color w:val="20302C"/>
                <w:sz w:val="18"/>
              </w:rPr>
              <w:t>Bearish, momentum negative</w:t>
            </w:r>
          </w:p>
        </w:tc>
      </w:tr>
      <w:tr>
        <w:tc>
          <w:tcPr>
            <w:tcW w:type="dxa" w:w="2448"/>
          </w:tcPr>
          <w:p>
            <w:pPr>
              <w:spacing w:after="20" w:before="20"/>
              <w:jc w:val="left"/>
            </w:pPr>
            <w:r/>
            <w:r>
              <w:rPr>
                <w:rFonts w:ascii="Calibri" w:hAnsi="Calibri"/>
                <w:b w:val="0"/>
                <w:i w:val="0"/>
                <w:color w:val="20302C"/>
                <w:sz w:val="18"/>
              </w:rPr>
              <w:t>52-week range</w:t>
            </w:r>
          </w:p>
        </w:tc>
        <w:tc>
          <w:tcPr>
            <w:tcW w:type="dxa" w:w="4176"/>
          </w:tcPr>
          <w:p>
            <w:pPr>
              <w:spacing w:after="20" w:before="20"/>
              <w:jc w:val="right"/>
            </w:pPr>
            <w:r/>
            <w:r>
              <w:rPr>
                <w:rFonts w:ascii="Calibri" w:hAnsi="Calibri"/>
                <w:b w:val="0"/>
                <w:i w:val="0"/>
                <w:color w:val="20302C"/>
                <w:sz w:val="18"/>
              </w:rPr>
              <w:t>QAR 16.7 – 20.4</w:t>
            </w:r>
          </w:p>
        </w:tc>
        <w:tc>
          <w:tcPr>
            <w:tcW w:type="dxa" w:w="3456"/>
          </w:tcPr>
          <w:p>
            <w:pPr>
              <w:spacing w:after="20" w:before="20"/>
              <w:jc w:val="right"/>
            </w:pPr>
            <w:r/>
            <w:r>
              <w:rPr>
                <w:rFonts w:ascii="Calibri" w:hAnsi="Calibri"/>
                <w:b w:val="0"/>
                <w:i w:val="0"/>
                <w:color w:val="20302C"/>
                <w:sz w:val="18"/>
              </w:rPr>
              <w:t>Lower half of range</w:t>
            </w:r>
          </w:p>
        </w:tc>
      </w:tr>
      <w:tr>
        <w:tc>
          <w:tcPr>
            <w:tcW w:type="dxa" w:w="2448"/>
          </w:tcPr>
          <w:p>
            <w:pPr>
              <w:spacing w:after="20" w:before="20"/>
              <w:jc w:val="left"/>
            </w:pPr>
            <w:r/>
            <w:r>
              <w:rPr>
                <w:rFonts w:ascii="Calibri" w:hAnsi="Calibri"/>
                <w:b w:val="0"/>
                <w:i w:val="0"/>
                <w:color w:val="20302C"/>
                <w:sz w:val="18"/>
              </w:rPr>
              <w:t>Realized vol (252d)</w:t>
            </w:r>
          </w:p>
        </w:tc>
        <w:tc>
          <w:tcPr>
            <w:tcW w:type="dxa" w:w="4176"/>
          </w:tcPr>
          <w:p>
            <w:pPr>
              <w:spacing w:after="20" w:before="20"/>
              <w:jc w:val="right"/>
            </w:pPr>
            <w:r/>
            <w:r>
              <w:rPr>
                <w:rFonts w:ascii="Calibri" w:hAnsi="Calibri"/>
                <w:b w:val="0"/>
                <w:i w:val="0"/>
                <w:color w:val="20302C"/>
                <w:sz w:val="18"/>
              </w:rPr>
              <w:t>20.4%</w:t>
            </w:r>
          </w:p>
        </w:tc>
        <w:tc>
          <w:tcPr>
            <w:tcW w:type="dxa" w:w="3456"/>
          </w:tcPr>
          <w:p>
            <w:pPr>
              <w:spacing w:after="20" w:before="20"/>
              <w:jc w:val="right"/>
            </w:pPr>
            <w:r/>
            <w:r>
              <w:rPr>
                <w:rFonts w:ascii="Calibri" w:hAnsi="Calibri"/>
                <w:b w:val="0"/>
                <w:i w:val="0"/>
                <w:color w:val="20302C"/>
                <w:sz w:val="18"/>
              </w:rPr>
              <w:t>Moderate</w:t>
            </w:r>
          </w:p>
        </w:tc>
      </w:tr>
    </w:tbl>
    <w:p>
      <w:pPr>
        <w:spacing w:before="80"/>
        <w:jc w:val="center"/>
      </w:pPr>
      <w:r>
        <w:drawing>
          <wp:inline xmlns:a="http://schemas.openxmlformats.org/drawingml/2006/main" xmlns:pic="http://schemas.openxmlformats.org/drawingml/2006/picture">
            <wp:extent cx="5852160" cy="2467970"/>
            <wp:docPr id="4" name="Picture 4"/>
            <wp:cNvGraphicFramePr>
              <a:graphicFrameLocks noChangeAspect="1"/>
            </wp:cNvGraphicFramePr>
            <a:graphic>
              <a:graphicData uri="http://schemas.openxmlformats.org/drawingml/2006/picture">
                <pic:pic>
                  <pic:nvPicPr>
                    <pic:cNvPr id="0" name="fig3_ma_stack.png"/>
                    <pic:cNvPicPr/>
                  </pic:nvPicPr>
                  <pic:blipFill>
                    <a:blip r:embed="rId12"/>
                    <a:stretch>
                      <a:fillRect/>
                    </a:stretch>
                  </pic:blipFill>
                  <pic:spPr>
                    <a:xfrm>
                      <a:off x="0" y="0"/>
                      <a:ext cx="5852160" cy="2467970"/>
                    </a:xfrm>
                    <a:prstGeom prst="rect"/>
                  </pic:spPr>
                </pic:pic>
              </a:graphicData>
            </a:graphic>
          </wp:inline>
        </w:drawing>
      </w:r>
    </w:p>
    <w:p>
      <w:pPr>
        <w:spacing w:after="160" w:before="40"/>
      </w:pPr>
      <w:r>
        <w:rPr>
          <w:rFonts w:ascii="Calibri" w:hAnsi="Calibri"/>
          <w:i/>
          <w:color w:val="667070"/>
          <w:sz w:val="17"/>
        </w:rPr>
        <w:t>Figure 3 — QNBK versus the 20/50/100/200-day moving-average stack, last 260 sessions.</w:t>
      </w:r>
    </w:p>
    <w:p>
      <w:pPr>
        <w:spacing w:after="120" w:line="259" w:lineRule="auto"/>
      </w:pPr>
      <w:r>
        <w:rPr>
          <w:rFonts w:ascii="Calibri" w:hAnsi="Calibri"/>
          <w:b w:val="0"/>
          <w:i w:val="0"/>
          <w:color w:val="20302C"/>
          <w:sz w:val="20"/>
        </w:rPr>
        <w:t>For the probabilistic work this matters in one way: a below-trend tape modestly widens the near-term downside tail even as the fundamentals argue for a small premium. The technical and fundamental pictures gently disagree, and §6 reads the resulting probability zones without forcing a reconciliation.</w:t>
      </w:r>
    </w:p>
    <w:p>
      <w:pPr>
        <w:spacing w:before="240" w:after="80"/>
        <w:pBdr>
          <w:bottom w:val="single" w:sz="6" w:space="2" w:color="C0A45F"/>
        </w:pBdr>
      </w:pPr>
      <w:r>
        <w:rPr>
          <w:rFonts w:ascii="Calibri" w:hAnsi="Calibri"/>
          <w:b/>
          <w:color w:val="2E6E68"/>
          <w:sz w:val="30"/>
        </w:rPr>
        <w:t>3  Monte Carlo — a probabilistic price map</w:t>
      </w:r>
    </w:p>
    <w:p>
      <w:pPr>
        <w:spacing w:after="120" w:line="259" w:lineRule="auto"/>
      </w:pPr>
      <w:r>
        <w:rPr>
          <w:rFonts w:ascii="Calibri" w:hAnsi="Calibri"/>
          <w:b w:val="0"/>
          <w:i w:val="0"/>
          <w:color w:val="20302C"/>
          <w:sz w:val="21"/>
        </w:rPr>
        <w:t xml:space="preserve">We simulate 50,000 three-month price paths (seed 42) with a sixteen-factor stack: seven continuous macro/operating drivers contributing a small net forward tilt, and nine discrete events that each fire with a probability and an impact. </w:t>
      </w:r>
      <w:r>
        <w:rPr>
          <w:rFonts w:ascii="Calibri" w:hAnsi="Calibri"/>
          <w:b/>
          <w:i w:val="0"/>
          <w:color w:val="20302C"/>
          <w:sz w:val="21"/>
        </w:rPr>
        <w:t>By design the paths diffuse from spot, and the §1 value gap is kept out of the drift</w:t>
      </w:r>
      <w:r>
        <w:rPr>
          <w:rFonts w:ascii="Calibri" w:hAnsi="Calibri"/>
          <w:b w:val="0"/>
          <w:i w:val="0"/>
          <w:color w:val="20302C"/>
          <w:sz w:val="21"/>
        </w:rPr>
        <w:t xml:space="preserve"> — the fundamental premium lives in §1, not here; §3 maps where price could go from today, not where value sits. Width is set by the YZ-HAR engine (a pooled log-HAR variance cascade on a gap-aware Yang-Zhang proxy), which projects an annualized forward volatility of ≈18.1% — a touch below the trailing 252-day 20.4% because the recent tape has been calm. Innovations are unit-variance Student-t(5) for honest tails, and — as a non-EGX name — the secular drift is set to zero; the net external tilt is a modest -1.2% over the quarter, a mild left-skew from the geopolitical and asset-quality tails.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600"/>
            <w:shd w:val="clear" w:fill="1C3A36"/>
          </w:tcPr>
          <w:p>
            <w:pPr>
              <w:spacing w:after="20" w:before="20"/>
              <w:jc w:val="left"/>
            </w:pPr>
            <w:r/>
            <w:r>
              <w:rPr>
                <w:rFonts w:ascii="Calibri" w:hAnsi="Calibri"/>
                <w:b/>
                <w:i w:val="0"/>
                <w:color w:val="FFFFFF"/>
                <w:sz w:val="18"/>
              </w:rPr>
              <w:t>Continuous factor (7)</w:t>
            </w:r>
          </w:p>
        </w:tc>
        <w:tc>
          <w:tcPr>
            <w:tcW w:type="dxa" w:w="3456"/>
            <w:shd w:val="clear" w:fill="1C3A36"/>
          </w:tcPr>
          <w:p>
            <w:pPr>
              <w:spacing w:after="20" w:before="20"/>
              <w:jc w:val="right"/>
            </w:pPr>
            <w:r/>
            <w:r>
              <w:rPr>
                <w:rFonts w:ascii="Calibri" w:hAnsi="Calibri"/>
                <w:b/>
                <w:i w:val="0"/>
                <w:color w:val="FFFFFF"/>
                <w:sz w:val="18"/>
              </w:rPr>
              <w:t>Discrete event (9)</w:t>
            </w:r>
          </w:p>
        </w:tc>
        <w:tc>
          <w:tcPr>
            <w:tcW w:type="dxa" w:w="1224"/>
            <w:shd w:val="clear" w:fill="1C3A36"/>
          </w:tcPr>
          <w:p>
            <w:pPr>
              <w:spacing w:after="20" w:before="20"/>
              <w:jc w:val="right"/>
            </w:pPr>
            <w:r/>
            <w:r>
              <w:rPr>
                <w:rFonts w:ascii="Calibri" w:hAnsi="Calibri"/>
                <w:b/>
                <w:i w:val="0"/>
                <w:color w:val="FFFFFF"/>
                <w:sz w:val="18"/>
              </w:rPr>
              <w:t>Prob.</w:t>
            </w:r>
          </w:p>
        </w:tc>
        <w:tc>
          <w:tcPr>
            <w:tcW w:type="dxa" w:w="1224"/>
            <w:shd w:val="clear" w:fill="1C3A36"/>
          </w:tcPr>
          <w:p>
            <w:pPr>
              <w:spacing w:after="20" w:before="20"/>
              <w:jc w:val="right"/>
            </w:pPr>
            <w:r/>
            <w:r>
              <w:rPr>
                <w:rFonts w:ascii="Calibri" w:hAnsi="Calibri"/>
                <w:b/>
                <w:i w:val="0"/>
                <w:color w:val="FFFFFF"/>
                <w:sz w:val="18"/>
              </w:rPr>
              <w:t>Mean</w:t>
            </w:r>
          </w:p>
        </w:tc>
      </w:tr>
      <w:tr>
        <w:tc>
          <w:tcPr>
            <w:tcW w:type="dxa" w:w="3600"/>
          </w:tcPr>
          <w:p>
            <w:pPr>
              <w:spacing w:after="20" w:before="20"/>
              <w:jc w:val="left"/>
            </w:pPr>
            <w:r/>
            <w:r>
              <w:rPr>
                <w:rFonts w:ascii="Calibri" w:hAnsi="Calibri"/>
                <w:b w:val="0"/>
                <w:i w:val="0"/>
                <w:color w:val="20302C"/>
                <w:sz w:val="18"/>
              </w:rPr>
              <w:t>QCB policy-rate path (Fed-linked)  (-)</w:t>
            </w:r>
          </w:p>
        </w:tc>
        <w:tc>
          <w:tcPr>
            <w:tcW w:type="dxa" w:w="3456"/>
          </w:tcPr>
          <w:p>
            <w:pPr>
              <w:spacing w:after="20" w:before="20"/>
              <w:jc w:val="right"/>
            </w:pPr>
            <w:r/>
            <w:r>
              <w:rPr>
                <w:rFonts w:ascii="Calibri" w:hAnsi="Calibri"/>
                <w:b w:val="0"/>
                <w:i w:val="0"/>
                <w:color w:val="20302C"/>
                <w:sz w:val="18"/>
              </w:rPr>
              <w:t>Regional geopolitical / Gulf-security shock</w:t>
            </w:r>
          </w:p>
        </w:tc>
        <w:tc>
          <w:tcPr>
            <w:tcW w:type="dxa" w:w="1224"/>
          </w:tcPr>
          <w:p>
            <w:pPr>
              <w:spacing w:after="20" w:before="20"/>
              <w:jc w:val="right"/>
            </w:pPr>
            <w:r/>
            <w:r>
              <w:rPr>
                <w:rFonts w:ascii="Calibri" w:hAnsi="Calibri"/>
                <w:b w:val="0"/>
                <w:i w:val="0"/>
                <w:color w:val="20302C"/>
                <w:sz w:val="18"/>
              </w:rPr>
              <w:t>25%</w:t>
            </w:r>
          </w:p>
        </w:tc>
        <w:tc>
          <w:tcPr>
            <w:tcW w:type="dxa" w:w="1224"/>
          </w:tcPr>
          <w:p>
            <w:pPr>
              <w:spacing w:after="20" w:before="20"/>
              <w:jc w:val="right"/>
            </w:pPr>
            <w:r/>
            <w:r>
              <w:rPr>
                <w:rFonts w:ascii="Calibri" w:hAnsi="Calibri"/>
                <w:b w:val="0"/>
                <w:i w:val="0"/>
                <w:color w:val="20302C"/>
                <w:sz w:val="18"/>
              </w:rPr>
              <w:t>-8%</w:t>
            </w:r>
          </w:p>
        </w:tc>
      </w:tr>
      <w:tr>
        <w:tc>
          <w:tcPr>
            <w:tcW w:type="dxa" w:w="3600"/>
          </w:tcPr>
          <w:p>
            <w:pPr>
              <w:spacing w:after="20" w:before="20"/>
              <w:jc w:val="left"/>
            </w:pPr>
            <w:r/>
            <w:r>
              <w:rPr>
                <w:rFonts w:ascii="Calibri" w:hAnsi="Calibri"/>
                <w:b w:val="0"/>
                <w:i w:val="0"/>
                <w:color w:val="20302C"/>
                <w:sz w:val="18"/>
              </w:rPr>
              <w:t>Hydrocarbon / Qatar sovereign liquidity  (+)</w:t>
            </w:r>
          </w:p>
        </w:tc>
        <w:tc>
          <w:tcPr>
            <w:tcW w:type="dxa" w:w="3456"/>
          </w:tcPr>
          <w:p>
            <w:pPr>
              <w:spacing w:after="20" w:before="20"/>
              <w:jc w:val="right"/>
            </w:pPr>
            <w:r/>
            <w:r>
              <w:rPr>
                <w:rFonts w:ascii="Calibri" w:hAnsi="Calibri"/>
                <w:b w:val="0"/>
                <w:i w:val="0"/>
                <w:color w:val="20302C"/>
                <w:sz w:val="18"/>
              </w:rPr>
              <w:t>Oil-price regime shift (Brent)</w:t>
            </w:r>
          </w:p>
        </w:tc>
        <w:tc>
          <w:tcPr>
            <w:tcW w:type="dxa" w:w="1224"/>
          </w:tcPr>
          <w:p>
            <w:pPr>
              <w:spacing w:after="20" w:before="20"/>
              <w:jc w:val="right"/>
            </w:pPr>
            <w:r/>
            <w:r>
              <w:rPr>
                <w:rFonts w:ascii="Calibri" w:hAnsi="Calibri"/>
                <w:b w:val="0"/>
                <w:i w:val="0"/>
                <w:color w:val="20302C"/>
                <w:sz w:val="18"/>
              </w:rPr>
              <w:t>30%</w:t>
            </w:r>
          </w:p>
        </w:tc>
        <w:tc>
          <w:tcPr>
            <w:tcW w:type="dxa" w:w="1224"/>
          </w:tcPr>
          <w:p>
            <w:pPr>
              <w:spacing w:after="20" w:before="20"/>
              <w:jc w:val="right"/>
            </w:pPr>
            <w:r/>
            <w:r>
              <w:rPr>
                <w:rFonts w:ascii="Calibri" w:hAnsi="Calibri"/>
                <w:b w:val="0"/>
                <w:i w:val="0"/>
                <w:color w:val="20302C"/>
                <w:sz w:val="18"/>
              </w:rPr>
              <w:t>+2%</w:t>
            </w:r>
          </w:p>
        </w:tc>
      </w:tr>
      <w:tr>
        <w:tc>
          <w:tcPr>
            <w:tcW w:type="dxa" w:w="3600"/>
          </w:tcPr>
          <w:p>
            <w:pPr>
              <w:spacing w:after="20" w:before="20"/>
              <w:jc w:val="left"/>
            </w:pPr>
            <w:r/>
            <w:r>
              <w:rPr>
                <w:rFonts w:ascii="Calibri" w:hAnsi="Calibri"/>
                <w:b w:val="0"/>
                <w:i w:val="0"/>
                <w:color w:val="20302C"/>
                <w:sz w:val="18"/>
              </w:rPr>
              <w:t>QAR peg stability (USD peg)  (0)</w:t>
            </w:r>
          </w:p>
        </w:tc>
        <w:tc>
          <w:tcPr>
            <w:tcW w:type="dxa" w:w="3456"/>
          </w:tcPr>
          <w:p>
            <w:pPr>
              <w:spacing w:after="20" w:before="20"/>
              <w:jc w:val="right"/>
            </w:pPr>
            <w:r/>
            <w:r>
              <w:rPr>
                <w:rFonts w:ascii="Calibri" w:hAnsi="Calibri"/>
                <w:b w:val="0"/>
                <w:i w:val="0"/>
                <w:color w:val="20302C"/>
                <w:sz w:val="18"/>
              </w:rPr>
              <w:t>Sovereign rating / QAR-peg action</w:t>
            </w:r>
          </w:p>
        </w:tc>
        <w:tc>
          <w:tcPr>
            <w:tcW w:type="dxa" w:w="1224"/>
          </w:tcPr>
          <w:p>
            <w:pPr>
              <w:spacing w:after="20" w:before="20"/>
              <w:jc w:val="right"/>
            </w:pPr>
            <w:r/>
            <w:r>
              <w:rPr>
                <w:rFonts w:ascii="Calibri" w:hAnsi="Calibri"/>
                <w:b w:val="0"/>
                <w:i w:val="0"/>
                <w:color w:val="20302C"/>
                <w:sz w:val="18"/>
              </w:rPr>
              <w:t>20%</w:t>
            </w:r>
          </w:p>
        </w:tc>
        <w:tc>
          <w:tcPr>
            <w:tcW w:type="dxa" w:w="1224"/>
          </w:tcPr>
          <w:p>
            <w:pPr>
              <w:spacing w:after="20" w:before="20"/>
              <w:jc w:val="right"/>
            </w:pPr>
            <w:r/>
            <w:r>
              <w:rPr>
                <w:rFonts w:ascii="Calibri" w:hAnsi="Calibri"/>
                <w:b w:val="0"/>
                <w:i w:val="0"/>
                <w:color w:val="20302C"/>
                <w:sz w:val="18"/>
              </w:rPr>
              <w:t>+1%</w:t>
            </w:r>
          </w:p>
        </w:tc>
      </w:tr>
      <w:tr>
        <w:tc>
          <w:tcPr>
            <w:tcW w:type="dxa" w:w="3600"/>
          </w:tcPr>
          <w:p>
            <w:pPr>
              <w:spacing w:after="20" w:before="20"/>
              <w:jc w:val="left"/>
            </w:pPr>
            <w:r/>
            <w:r>
              <w:rPr>
                <w:rFonts w:ascii="Calibri" w:hAnsi="Calibri"/>
                <w:b w:val="0"/>
                <w:i w:val="0"/>
                <w:color w:val="20302C"/>
                <w:sz w:val="18"/>
              </w:rPr>
              <w:t>QE Index &amp; foreign / MSCI flows  (+)</w:t>
            </w:r>
          </w:p>
        </w:tc>
        <w:tc>
          <w:tcPr>
            <w:tcW w:type="dxa" w:w="3456"/>
          </w:tcPr>
          <w:p>
            <w:pPr>
              <w:spacing w:after="20" w:before="20"/>
              <w:jc w:val="right"/>
            </w:pPr>
            <w:r/>
            <w:r>
              <w:rPr>
                <w:rFonts w:ascii="Calibri" w:hAnsi="Calibri"/>
                <w:b w:val="0"/>
                <w:i w:val="0"/>
                <w:color w:val="20302C"/>
                <w:sz w:val="18"/>
              </w:rPr>
              <w:t>Global rate-path surprise (Fed pivot)</w:t>
            </w:r>
          </w:p>
        </w:tc>
        <w:tc>
          <w:tcPr>
            <w:tcW w:type="dxa" w:w="1224"/>
          </w:tcPr>
          <w:p>
            <w:pPr>
              <w:spacing w:after="20" w:before="20"/>
              <w:jc w:val="right"/>
            </w:pPr>
            <w:r/>
            <w:r>
              <w:rPr>
                <w:rFonts w:ascii="Calibri" w:hAnsi="Calibri"/>
                <w:b w:val="0"/>
                <w:i w:val="0"/>
                <w:color w:val="20302C"/>
                <w:sz w:val="18"/>
              </w:rPr>
              <w:t>30%</w:t>
            </w:r>
          </w:p>
        </w:tc>
        <w:tc>
          <w:tcPr>
            <w:tcW w:type="dxa" w:w="1224"/>
          </w:tcPr>
          <w:p>
            <w:pPr>
              <w:spacing w:after="20" w:before="20"/>
              <w:jc w:val="right"/>
            </w:pPr>
            <w:r/>
            <w:r>
              <w:rPr>
                <w:rFonts w:ascii="Calibri" w:hAnsi="Calibri"/>
                <w:b w:val="0"/>
                <w:i w:val="0"/>
                <w:color w:val="20302C"/>
                <w:sz w:val="18"/>
              </w:rPr>
              <w:t>+1%</w:t>
            </w:r>
          </w:p>
        </w:tc>
      </w:tr>
      <w:tr>
        <w:tc>
          <w:tcPr>
            <w:tcW w:type="dxa" w:w="3600"/>
          </w:tcPr>
          <w:p>
            <w:pPr>
              <w:spacing w:after="20" w:before="20"/>
              <w:jc w:val="left"/>
            </w:pPr>
            <w:r/>
            <w:r>
              <w:rPr>
                <w:rFonts w:ascii="Calibri" w:hAnsi="Calibri"/>
                <w:b w:val="0"/>
                <w:i w:val="0"/>
                <w:color w:val="20302C"/>
                <w:sz w:val="18"/>
              </w:rPr>
              <w:t>Regional private-sector credit growth  (+)</w:t>
            </w:r>
          </w:p>
        </w:tc>
        <w:tc>
          <w:tcPr>
            <w:tcW w:type="dxa" w:w="3456"/>
          </w:tcPr>
          <w:p>
            <w:pPr>
              <w:spacing w:after="20" w:before="20"/>
              <w:jc w:val="right"/>
            </w:pPr>
            <w:r/>
            <w:r>
              <w:rPr>
                <w:rFonts w:ascii="Calibri" w:hAnsi="Calibri"/>
                <w:b w:val="0"/>
                <w:i w:val="0"/>
                <w:color w:val="20302C"/>
                <w:sz w:val="18"/>
              </w:rPr>
              <w:t>Quarterly earnings surprise (NIM/fees/tax)</w:t>
            </w:r>
          </w:p>
        </w:tc>
        <w:tc>
          <w:tcPr>
            <w:tcW w:type="dxa" w:w="1224"/>
          </w:tcPr>
          <w:p>
            <w:pPr>
              <w:spacing w:after="20" w:before="20"/>
              <w:jc w:val="right"/>
            </w:pPr>
            <w:r/>
            <w:r>
              <w:rPr>
                <w:rFonts w:ascii="Calibri" w:hAnsi="Calibri"/>
                <w:b w:val="0"/>
                <w:i w:val="0"/>
                <w:color w:val="20302C"/>
                <w:sz w:val="18"/>
              </w:rPr>
              <w:t>50%</w:t>
            </w:r>
          </w:p>
        </w:tc>
        <w:tc>
          <w:tcPr>
            <w:tcW w:type="dxa" w:w="1224"/>
          </w:tcPr>
          <w:p>
            <w:pPr>
              <w:spacing w:after="20" w:before="20"/>
              <w:jc w:val="right"/>
            </w:pPr>
            <w:r/>
            <w:r>
              <w:rPr>
                <w:rFonts w:ascii="Calibri" w:hAnsi="Calibri"/>
                <w:b w:val="0"/>
                <w:i w:val="0"/>
                <w:color w:val="20302C"/>
                <w:sz w:val="18"/>
              </w:rPr>
              <w:t>+1%</w:t>
            </w:r>
          </w:p>
        </w:tc>
      </w:tr>
      <w:tr>
        <w:tc>
          <w:tcPr>
            <w:tcW w:type="dxa" w:w="3600"/>
          </w:tcPr>
          <w:p>
            <w:pPr>
              <w:spacing w:after="20" w:before="20"/>
              <w:jc w:val="left"/>
            </w:pPr>
            <w:r/>
            <w:r>
              <w:rPr>
                <w:rFonts w:ascii="Calibri" w:hAnsi="Calibri"/>
                <w:b w:val="0"/>
                <w:i w:val="0"/>
                <w:color w:val="20302C"/>
                <w:sz w:val="18"/>
              </w:rPr>
              <w:t>Turkey / Egypt EM translation  (-)</w:t>
            </w:r>
          </w:p>
        </w:tc>
        <w:tc>
          <w:tcPr>
            <w:tcW w:type="dxa" w:w="3456"/>
          </w:tcPr>
          <w:p>
            <w:pPr>
              <w:spacing w:after="20" w:before="20"/>
              <w:jc w:val="right"/>
            </w:pPr>
            <w:r/>
            <w:r>
              <w:rPr>
                <w:rFonts w:ascii="Calibri" w:hAnsi="Calibri"/>
                <w:b w:val="0"/>
                <w:i w:val="0"/>
                <w:color w:val="20302C"/>
                <w:sz w:val="18"/>
              </w:rPr>
              <w:t>Asset-quality / ECL shift (EM exposure)</w:t>
            </w:r>
          </w:p>
        </w:tc>
        <w:tc>
          <w:tcPr>
            <w:tcW w:type="dxa" w:w="1224"/>
          </w:tcPr>
          <w:p>
            <w:pPr>
              <w:spacing w:after="20" w:before="20"/>
              <w:jc w:val="right"/>
            </w:pPr>
            <w:r/>
            <w:r>
              <w:rPr>
                <w:rFonts w:ascii="Calibri" w:hAnsi="Calibri"/>
                <w:b w:val="0"/>
                <w:i w:val="0"/>
                <w:color w:val="20302C"/>
                <w:sz w:val="18"/>
              </w:rPr>
              <w:t>25%</w:t>
            </w:r>
          </w:p>
        </w:tc>
        <w:tc>
          <w:tcPr>
            <w:tcW w:type="dxa" w:w="1224"/>
          </w:tcPr>
          <w:p>
            <w:pPr>
              <w:spacing w:after="20" w:before="20"/>
              <w:jc w:val="right"/>
            </w:pPr>
            <w:r/>
            <w:r>
              <w:rPr>
                <w:rFonts w:ascii="Calibri" w:hAnsi="Calibri"/>
                <w:b w:val="0"/>
                <w:i w:val="0"/>
                <w:color w:val="20302C"/>
                <w:sz w:val="18"/>
              </w:rPr>
              <w:t>-5%</w:t>
            </w:r>
          </w:p>
        </w:tc>
      </w:tr>
      <w:tr>
        <w:tc>
          <w:tcPr>
            <w:tcW w:type="dxa" w:w="3600"/>
          </w:tcPr>
          <w:p>
            <w:pPr>
              <w:spacing w:after="20" w:before="20"/>
              <w:jc w:val="left"/>
            </w:pPr>
            <w:r/>
            <w:r>
              <w:rPr>
                <w:rFonts w:ascii="Calibri" w:hAnsi="Calibri"/>
                <w:b w:val="0"/>
                <w:i w:val="0"/>
                <w:color w:val="20302C"/>
                <w:sz w:val="18"/>
              </w:rPr>
              <w:t>Global-minimum-tax (Pillar Two) drift  (-)</w:t>
            </w:r>
          </w:p>
        </w:tc>
        <w:tc>
          <w:tcPr>
            <w:tcW w:type="dxa" w:w="3456"/>
          </w:tcPr>
          <w:p>
            <w:pPr>
              <w:spacing w:after="20" w:before="20"/>
              <w:jc w:val="right"/>
            </w:pPr>
            <w:r/>
            <w:r>
              <w:rPr>
                <w:rFonts w:ascii="Calibri" w:hAnsi="Calibri"/>
                <w:b w:val="0"/>
                <w:i w:val="0"/>
                <w:color w:val="20302C"/>
                <w:sz w:val="18"/>
              </w:rPr>
              <w:t>Capital action / dividend-policy change</w:t>
            </w:r>
          </w:p>
        </w:tc>
        <w:tc>
          <w:tcPr>
            <w:tcW w:type="dxa" w:w="1224"/>
          </w:tcPr>
          <w:p>
            <w:pPr>
              <w:spacing w:after="20" w:before="20"/>
              <w:jc w:val="right"/>
            </w:pPr>
            <w:r/>
            <w:r>
              <w:rPr>
                <w:rFonts w:ascii="Calibri" w:hAnsi="Calibri"/>
                <w:b w:val="0"/>
                <w:i w:val="0"/>
                <w:color w:val="20302C"/>
                <w:sz w:val="18"/>
              </w:rPr>
              <w:t>30%</w:t>
            </w:r>
          </w:p>
        </w:tc>
        <w:tc>
          <w:tcPr>
            <w:tcW w:type="dxa" w:w="1224"/>
          </w:tcPr>
          <w:p>
            <w:pPr>
              <w:spacing w:after="20" w:before="20"/>
              <w:jc w:val="right"/>
            </w:pPr>
            <w:r/>
            <w:r>
              <w:rPr>
                <w:rFonts w:ascii="Calibri" w:hAnsi="Calibri"/>
                <w:b w:val="0"/>
                <w:i w:val="0"/>
                <w:color w:val="20302C"/>
                <w:sz w:val="18"/>
              </w:rPr>
              <w:t>+2%</w:t>
            </w:r>
          </w:p>
        </w:tc>
      </w:tr>
      <w:tr>
        <w:tc>
          <w:tcPr>
            <w:tcW w:type="dxa" w:w="3600"/>
          </w:tcPr>
          <w:p>
            <w:pPr>
              <w:spacing w:after="20" w:before="20"/>
              <w:jc w:val="left"/>
            </w:pPr>
            <w:r/>
            <w:r>
              <w:rPr>
                <w:rFonts w:ascii="Calibri" w:hAnsi="Calibri"/>
                <w:b w:val="0"/>
                <w:i w:val="0"/>
                <w:color w:val="20302C"/>
                <w:sz w:val="18"/>
              </w:rPr>
            </w:r>
          </w:p>
        </w:tc>
        <w:tc>
          <w:tcPr>
            <w:tcW w:type="dxa" w:w="3456"/>
          </w:tcPr>
          <w:p>
            <w:pPr>
              <w:spacing w:after="20" w:before="20"/>
              <w:jc w:val="right"/>
            </w:pPr>
            <w:r/>
            <w:r>
              <w:rPr>
                <w:rFonts w:ascii="Calibri" w:hAnsi="Calibri"/>
                <w:b w:val="0"/>
                <w:i w:val="0"/>
                <w:color w:val="20302C"/>
                <w:sz w:val="18"/>
              </w:rPr>
              <w:t>MSCI / index reweighting or large flow</w:t>
            </w:r>
          </w:p>
        </w:tc>
        <w:tc>
          <w:tcPr>
            <w:tcW w:type="dxa" w:w="1224"/>
          </w:tcPr>
          <w:p>
            <w:pPr>
              <w:spacing w:after="20" w:before="20"/>
              <w:jc w:val="right"/>
            </w:pPr>
            <w:r/>
            <w:r>
              <w:rPr>
                <w:rFonts w:ascii="Calibri" w:hAnsi="Calibri"/>
                <w:b w:val="0"/>
                <w:i w:val="0"/>
                <w:color w:val="20302C"/>
                <w:sz w:val="18"/>
              </w:rPr>
              <w:t>25%</w:t>
            </w:r>
          </w:p>
        </w:tc>
        <w:tc>
          <w:tcPr>
            <w:tcW w:type="dxa" w:w="1224"/>
          </w:tcPr>
          <w:p>
            <w:pPr>
              <w:spacing w:after="20" w:before="20"/>
              <w:jc w:val="right"/>
            </w:pPr>
            <w:r/>
            <w:r>
              <w:rPr>
                <w:rFonts w:ascii="Calibri" w:hAnsi="Calibri"/>
                <w:b w:val="0"/>
                <w:i w:val="0"/>
                <w:color w:val="20302C"/>
                <w:sz w:val="18"/>
              </w:rPr>
              <w:t>+1%</w:t>
            </w:r>
          </w:p>
        </w:tc>
      </w:tr>
      <w:tr>
        <w:tc>
          <w:tcPr>
            <w:tcW w:type="dxa" w:w="3600"/>
          </w:tcPr>
          <w:p>
            <w:pPr>
              <w:spacing w:after="20" w:before="20"/>
              <w:jc w:val="left"/>
            </w:pPr>
            <w:r/>
            <w:r>
              <w:rPr>
                <w:rFonts w:ascii="Calibri" w:hAnsi="Calibri"/>
                <w:b w:val="0"/>
                <w:i w:val="0"/>
                <w:color w:val="20302C"/>
                <w:sz w:val="18"/>
              </w:rPr>
            </w:r>
          </w:p>
        </w:tc>
        <w:tc>
          <w:tcPr>
            <w:tcW w:type="dxa" w:w="3456"/>
          </w:tcPr>
          <w:p>
            <w:pPr>
              <w:spacing w:after="20" w:before="20"/>
              <w:jc w:val="right"/>
            </w:pPr>
            <w:r/>
            <w:r>
              <w:rPr>
                <w:rFonts w:ascii="Calibri" w:hAnsi="Calibri"/>
                <w:b w:val="0"/>
                <w:i w:val="0"/>
                <w:color w:val="20302C"/>
                <w:sz w:val="18"/>
              </w:rPr>
              <w:t>Pillar-Two / tax-regime step</w:t>
            </w:r>
          </w:p>
        </w:tc>
        <w:tc>
          <w:tcPr>
            <w:tcW w:type="dxa" w:w="1224"/>
          </w:tcPr>
          <w:p>
            <w:pPr>
              <w:spacing w:after="20" w:before="20"/>
              <w:jc w:val="right"/>
            </w:pPr>
            <w:r/>
            <w:r>
              <w:rPr>
                <w:rFonts w:ascii="Calibri" w:hAnsi="Calibri"/>
                <w:b w:val="0"/>
                <w:i w:val="0"/>
                <w:color w:val="20302C"/>
                <w:sz w:val="18"/>
              </w:rPr>
              <w:t>25%</w:t>
            </w:r>
          </w:p>
        </w:tc>
        <w:tc>
          <w:tcPr>
            <w:tcW w:type="dxa" w:w="1224"/>
          </w:tcPr>
          <w:p>
            <w:pPr>
              <w:spacing w:after="20" w:before="20"/>
              <w:jc w:val="right"/>
            </w:pPr>
            <w:r/>
            <w:r>
              <w:rPr>
                <w:rFonts w:ascii="Calibri" w:hAnsi="Calibri"/>
                <w:b w:val="0"/>
                <w:i w:val="0"/>
                <w:color w:val="20302C"/>
                <w:sz w:val="18"/>
              </w:rPr>
              <w:t>-3%</w:t>
            </w:r>
          </w:p>
        </w:tc>
      </w:tr>
    </w:tbl>
    <w:p>
      <w:pPr>
        <w:spacing w:after="40" w:line="259" w:lineRule="auto"/>
      </w:pPr>
      <w:r>
        <w:rPr>
          <w:rFonts w:ascii="Calibri" w:hAnsi="Calibri"/>
          <w:b w:val="0"/>
          <w:i w:val="0"/>
          <w:color w:val="20302C"/>
          <w:sz w:val="20"/>
        </w:rPr>
        <w:t>Percentile map (QAR/share):</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3168"/>
            <w:shd w:val="clear" w:fill="1C3A36"/>
          </w:tcPr>
          <w:p>
            <w:pPr>
              <w:spacing w:after="20" w:before="20"/>
              <w:jc w:val="left"/>
            </w:pPr>
            <w:r/>
            <w:r>
              <w:rPr>
                <w:rFonts w:ascii="Calibri" w:hAnsi="Calibri"/>
                <w:b/>
                <w:i w:val="0"/>
                <w:color w:val="FFFFFF"/>
                <w:sz w:val="18"/>
              </w:rPr>
              <w:t>Horizon</w:t>
            </w:r>
          </w:p>
        </w:tc>
        <w:tc>
          <w:tcPr>
            <w:tcW w:type="dxa" w:w="1382"/>
            <w:shd w:val="clear" w:fill="1C3A36"/>
          </w:tcPr>
          <w:p>
            <w:pPr>
              <w:spacing w:after="20" w:before="20"/>
              <w:jc w:val="right"/>
            </w:pPr>
            <w:r/>
            <w:r>
              <w:rPr>
                <w:rFonts w:ascii="Calibri" w:hAnsi="Calibri"/>
                <w:b/>
                <w:i w:val="0"/>
                <w:color w:val="FFFFFF"/>
                <w:sz w:val="18"/>
              </w:rPr>
              <w:t>p5</w:t>
            </w:r>
          </w:p>
        </w:tc>
        <w:tc>
          <w:tcPr>
            <w:tcW w:type="dxa" w:w="1382"/>
            <w:shd w:val="clear" w:fill="1C3A36"/>
          </w:tcPr>
          <w:p>
            <w:pPr>
              <w:spacing w:after="20" w:before="20"/>
              <w:jc w:val="right"/>
            </w:pPr>
            <w:r/>
            <w:r>
              <w:rPr>
                <w:rFonts w:ascii="Calibri" w:hAnsi="Calibri"/>
                <w:b/>
                <w:i w:val="0"/>
                <w:color w:val="FFFFFF"/>
                <w:sz w:val="18"/>
              </w:rPr>
              <w:t>p25</w:t>
            </w:r>
          </w:p>
        </w:tc>
        <w:tc>
          <w:tcPr>
            <w:tcW w:type="dxa" w:w="1382"/>
            <w:shd w:val="clear" w:fill="1C3A36"/>
          </w:tcPr>
          <w:p>
            <w:pPr>
              <w:spacing w:after="20" w:before="20"/>
              <w:jc w:val="right"/>
            </w:pPr>
            <w:r/>
            <w:r>
              <w:rPr>
                <w:rFonts w:ascii="Calibri" w:hAnsi="Calibri"/>
                <w:b/>
                <w:i w:val="0"/>
                <w:color w:val="FFFFFF"/>
                <w:sz w:val="18"/>
              </w:rPr>
              <w:t>p50</w:t>
            </w:r>
          </w:p>
        </w:tc>
        <w:tc>
          <w:tcPr>
            <w:tcW w:type="dxa" w:w="1382"/>
            <w:shd w:val="clear" w:fill="1C3A36"/>
          </w:tcPr>
          <w:p>
            <w:pPr>
              <w:spacing w:after="20" w:before="20"/>
              <w:jc w:val="right"/>
            </w:pPr>
            <w:r/>
            <w:r>
              <w:rPr>
                <w:rFonts w:ascii="Calibri" w:hAnsi="Calibri"/>
                <w:b/>
                <w:i w:val="0"/>
                <w:color w:val="FFFFFF"/>
                <w:sz w:val="18"/>
              </w:rPr>
              <w:t>p75</w:t>
            </w:r>
          </w:p>
        </w:tc>
        <w:tc>
          <w:tcPr>
            <w:tcW w:type="dxa" w:w="1382"/>
            <w:shd w:val="clear" w:fill="1C3A36"/>
          </w:tcPr>
          <w:p>
            <w:pPr>
              <w:spacing w:after="20" w:before="20"/>
              <w:jc w:val="right"/>
            </w:pPr>
            <w:r/>
            <w:r>
              <w:rPr>
                <w:rFonts w:ascii="Calibri" w:hAnsi="Calibri"/>
                <w:b/>
                <w:i w:val="0"/>
                <w:color w:val="FFFFFF"/>
                <w:sz w:val="18"/>
              </w:rPr>
              <w:t>p95</w:t>
            </w:r>
          </w:p>
        </w:tc>
      </w:tr>
      <w:tr>
        <w:tc>
          <w:tcPr>
            <w:tcW w:type="dxa" w:w="3168"/>
          </w:tcPr>
          <w:p>
            <w:pPr>
              <w:spacing w:after="20" w:before="20"/>
              <w:jc w:val="left"/>
            </w:pPr>
            <w:r/>
            <w:r>
              <w:rPr>
                <w:rFonts w:ascii="Calibri" w:hAnsi="Calibri"/>
                <w:b w:val="0"/>
                <w:i w:val="0"/>
                <w:color w:val="20302C"/>
                <w:sz w:val="18"/>
              </w:rPr>
              <w:t>T+20 sessions</w:t>
            </w:r>
          </w:p>
        </w:tc>
        <w:tc>
          <w:tcPr>
            <w:tcW w:type="dxa" w:w="1382"/>
          </w:tcPr>
          <w:p>
            <w:pPr>
              <w:spacing w:after="20" w:before="20"/>
              <w:jc w:val="right"/>
            </w:pPr>
            <w:r/>
            <w:r>
              <w:rPr>
                <w:rFonts w:ascii="Calibri" w:hAnsi="Calibri"/>
                <w:b w:val="0"/>
                <w:i w:val="0"/>
                <w:color w:val="20302C"/>
                <w:sz w:val="18"/>
              </w:rPr>
              <w:t>15.3</w:t>
            </w:r>
          </w:p>
        </w:tc>
        <w:tc>
          <w:tcPr>
            <w:tcW w:type="dxa" w:w="1382"/>
          </w:tcPr>
          <w:p>
            <w:pPr>
              <w:spacing w:after="20" w:before="20"/>
              <w:jc w:val="right"/>
            </w:pPr>
            <w:r/>
            <w:r>
              <w:rPr>
                <w:rFonts w:ascii="Calibri" w:hAnsi="Calibri"/>
                <w:b w:val="0"/>
                <w:i w:val="0"/>
                <w:color w:val="20302C"/>
                <w:sz w:val="18"/>
              </w:rPr>
              <w:t>16.7</w:t>
            </w:r>
          </w:p>
        </w:tc>
        <w:tc>
          <w:tcPr>
            <w:tcW w:type="dxa" w:w="1382"/>
          </w:tcPr>
          <w:p>
            <w:pPr>
              <w:spacing w:after="20" w:before="20"/>
              <w:jc w:val="right"/>
            </w:pPr>
            <w:r/>
            <w:r>
              <w:rPr>
                <w:rFonts w:ascii="Calibri" w:hAnsi="Calibri"/>
                <w:b w:val="0"/>
                <w:i w:val="0"/>
                <w:color w:val="20302C"/>
                <w:sz w:val="18"/>
              </w:rPr>
              <w:t>17.5</w:t>
            </w:r>
          </w:p>
        </w:tc>
        <w:tc>
          <w:tcPr>
            <w:tcW w:type="dxa" w:w="1382"/>
          </w:tcPr>
          <w:p>
            <w:pPr>
              <w:spacing w:after="20" w:before="20"/>
              <w:jc w:val="right"/>
            </w:pPr>
            <w:r/>
            <w:r>
              <w:rPr>
                <w:rFonts w:ascii="Calibri" w:hAnsi="Calibri"/>
                <w:b w:val="0"/>
                <w:i w:val="0"/>
                <w:color w:val="20302C"/>
                <w:sz w:val="18"/>
              </w:rPr>
              <w:t>18.2</w:t>
            </w:r>
          </w:p>
        </w:tc>
        <w:tc>
          <w:tcPr>
            <w:tcW w:type="dxa" w:w="1382"/>
          </w:tcPr>
          <w:p>
            <w:pPr>
              <w:spacing w:after="20" w:before="20"/>
              <w:jc w:val="right"/>
            </w:pPr>
            <w:r/>
            <w:r>
              <w:rPr>
                <w:rFonts w:ascii="Calibri" w:hAnsi="Calibri"/>
                <w:b w:val="0"/>
                <w:i w:val="0"/>
                <w:color w:val="20302C"/>
                <w:sz w:val="18"/>
              </w:rPr>
              <w:t>19.6</w:t>
            </w:r>
          </w:p>
        </w:tc>
      </w:tr>
      <w:tr>
        <w:tc>
          <w:tcPr>
            <w:tcW w:type="dxa" w:w="3168"/>
          </w:tcPr>
          <w:p>
            <w:pPr>
              <w:spacing w:after="20" w:before="20"/>
              <w:jc w:val="left"/>
            </w:pPr>
            <w:r/>
            <w:r>
              <w:rPr>
                <w:rFonts w:ascii="Calibri" w:hAnsi="Calibri"/>
                <w:b w:val="0"/>
                <w:i w:val="0"/>
                <w:color w:val="20302C"/>
                <w:sz w:val="18"/>
              </w:rPr>
              <w:t>T+60 sessions</w:t>
            </w:r>
          </w:p>
        </w:tc>
        <w:tc>
          <w:tcPr>
            <w:tcW w:type="dxa" w:w="1382"/>
          </w:tcPr>
          <w:p>
            <w:pPr>
              <w:spacing w:after="20" w:before="20"/>
              <w:jc w:val="right"/>
            </w:pPr>
            <w:r/>
            <w:r>
              <w:rPr>
                <w:rFonts w:ascii="Calibri" w:hAnsi="Calibri"/>
                <w:b w:val="0"/>
                <w:i w:val="0"/>
                <w:color w:val="20302C"/>
                <w:sz w:val="18"/>
              </w:rPr>
              <w:t>14.0</w:t>
            </w:r>
          </w:p>
        </w:tc>
        <w:tc>
          <w:tcPr>
            <w:tcW w:type="dxa" w:w="1382"/>
          </w:tcPr>
          <w:p>
            <w:pPr>
              <w:spacing w:after="20" w:before="20"/>
              <w:jc w:val="right"/>
            </w:pPr>
            <w:r/>
            <w:r>
              <w:rPr>
                <w:rFonts w:ascii="Calibri" w:hAnsi="Calibri"/>
                <w:b w:val="0"/>
                <w:i w:val="0"/>
                <w:color w:val="20302C"/>
                <w:sz w:val="18"/>
              </w:rPr>
              <w:t>15.9</w:t>
            </w:r>
          </w:p>
        </w:tc>
        <w:tc>
          <w:tcPr>
            <w:tcW w:type="dxa" w:w="1382"/>
          </w:tcPr>
          <w:p>
            <w:pPr>
              <w:spacing w:after="20" w:before="20"/>
              <w:jc w:val="right"/>
            </w:pPr>
            <w:r/>
            <w:r>
              <w:rPr>
                <w:rFonts w:ascii="Calibri" w:hAnsi="Calibri"/>
                <w:b w:val="0"/>
                <w:i w:val="0"/>
                <w:color w:val="20302C"/>
                <w:sz w:val="18"/>
              </w:rPr>
              <w:t>17.2</w:t>
            </w:r>
          </w:p>
        </w:tc>
        <w:tc>
          <w:tcPr>
            <w:tcW w:type="dxa" w:w="1382"/>
          </w:tcPr>
          <w:p>
            <w:pPr>
              <w:spacing w:after="20" w:before="20"/>
              <w:jc w:val="right"/>
            </w:pPr>
            <w:r/>
            <w:r>
              <w:rPr>
                <w:rFonts w:ascii="Calibri" w:hAnsi="Calibri"/>
                <w:b w:val="0"/>
                <w:i w:val="0"/>
                <w:color w:val="20302C"/>
                <w:sz w:val="18"/>
              </w:rPr>
              <w:t>18.6</w:t>
            </w:r>
          </w:p>
        </w:tc>
        <w:tc>
          <w:tcPr>
            <w:tcW w:type="dxa" w:w="1382"/>
          </w:tcPr>
          <w:p>
            <w:pPr>
              <w:spacing w:after="20" w:before="20"/>
              <w:jc w:val="right"/>
            </w:pPr>
            <w:r/>
            <w:r>
              <w:rPr>
                <w:rFonts w:ascii="Calibri" w:hAnsi="Calibri"/>
                <w:b w:val="0"/>
                <w:i w:val="0"/>
                <w:color w:val="20302C"/>
                <w:sz w:val="18"/>
              </w:rPr>
              <w:t>20.9</w:t>
            </w:r>
          </w:p>
        </w:tc>
      </w:tr>
    </w:tbl>
    <w:p>
      <w:pPr>
        <w:spacing w:after="120" w:line="259" w:lineRule="auto"/>
      </w:pPr>
      <w:r>
        <w:rPr>
          <w:rFonts w:ascii="Calibri" w:hAnsi="Calibri"/>
          <w:b w:val="0"/>
          <w:i w:val="0"/>
          <w:color w:val="20302C"/>
          <w:sz w:val="20"/>
        </w:rPr>
        <w:t>Leading with the 50% interquartile band, as the house does: over three months the middle half of outcomes sits between QAR 15.9 and QAR 18.6, a spread of ±8% around spot; at T+20 that band tightens to QAR 16.7–18.2. This residual width is QNB's genuine quarter-ahead uncertainty, not padding.</w:t>
      </w:r>
    </w:p>
    <w:p>
      <w:pPr>
        <w:spacing w:before="80"/>
        <w:jc w:val="center"/>
      </w:pPr>
      <w:r>
        <w:drawing>
          <wp:inline xmlns:a="http://schemas.openxmlformats.org/drawingml/2006/main" xmlns:pic="http://schemas.openxmlformats.org/drawingml/2006/picture">
            <wp:extent cx="5852160" cy="2374580"/>
            <wp:docPr id="5" name="Picture 5"/>
            <wp:cNvGraphicFramePr>
              <a:graphicFrameLocks noChangeAspect="1"/>
            </wp:cNvGraphicFramePr>
            <a:graphic>
              <a:graphicData uri="http://schemas.openxmlformats.org/drawingml/2006/picture">
                <pic:pic>
                  <pic:nvPicPr>
                    <pic:cNvPr id="0" name="fig4_cone.png"/>
                    <pic:cNvPicPr/>
                  </pic:nvPicPr>
                  <pic:blipFill>
                    <a:blip r:embed="rId13"/>
                    <a:stretch>
                      <a:fillRect/>
                    </a:stretch>
                  </pic:blipFill>
                  <pic:spPr>
                    <a:xfrm>
                      <a:off x="0" y="0"/>
                      <a:ext cx="5852160" cy="2374580"/>
                    </a:xfrm>
                    <a:prstGeom prst="rect"/>
                  </pic:spPr>
                </pic:pic>
              </a:graphicData>
            </a:graphic>
          </wp:inline>
        </w:drawing>
      </w:r>
    </w:p>
    <w:p>
      <w:pPr>
        <w:spacing w:after="160" w:before="40"/>
      </w:pPr>
      <w:r>
        <w:rPr>
          <w:rFonts w:ascii="Calibri" w:hAnsi="Calibri"/>
          <w:i/>
          <w:color w:val="667070"/>
          <w:sz w:val="17"/>
        </w:rPr>
        <w:t>Figure 4 — Forward price cone to T+60. Median tracks spot; the gold dashed line marks the QAR 18.8 fundamental central value, deliberately above the cone.</w:t>
      </w:r>
    </w:p>
    <w:p>
      <w:pPr>
        <w:spacing w:before="80"/>
        <w:jc w:val="center"/>
      </w:pPr>
      <w:r>
        <w:drawing>
          <wp:inline xmlns:a="http://schemas.openxmlformats.org/drawingml/2006/main" xmlns:pic="http://schemas.openxmlformats.org/drawingml/2006/picture">
            <wp:extent cx="5212080" cy="2059093"/>
            <wp:docPr id="6" name="Picture 6"/>
            <wp:cNvGraphicFramePr>
              <a:graphicFrameLocks noChangeAspect="1"/>
            </wp:cNvGraphicFramePr>
            <a:graphic>
              <a:graphicData uri="http://schemas.openxmlformats.org/drawingml/2006/picture">
                <pic:pic>
                  <pic:nvPicPr>
                    <pic:cNvPr id="0" name="fig5_dist_t20.png"/>
                    <pic:cNvPicPr/>
                  </pic:nvPicPr>
                  <pic:blipFill>
                    <a:blip r:embed="rId14"/>
                    <a:stretch>
                      <a:fillRect/>
                    </a:stretch>
                  </pic:blipFill>
                  <pic:spPr>
                    <a:xfrm>
                      <a:off x="0" y="0"/>
                      <a:ext cx="5212080" cy="2059093"/>
                    </a:xfrm>
                    <a:prstGeom prst="rect"/>
                  </pic:spPr>
                </pic:pic>
              </a:graphicData>
            </a:graphic>
          </wp:inline>
        </w:drawing>
      </w:r>
    </w:p>
    <w:p>
      <w:pPr>
        <w:spacing w:after="160" w:before="40"/>
      </w:pPr>
      <w:r>
        <w:rPr>
          <w:rFonts w:ascii="Calibri" w:hAnsi="Calibri"/>
          <w:i/>
          <w:color w:val="667070"/>
          <w:sz w:val="17"/>
        </w:rPr>
        <w:t>Figure 5 — Simulated price distribution at T+20.</w:t>
      </w:r>
    </w:p>
    <w:p>
      <w:pPr>
        <w:spacing w:before="80"/>
        <w:jc w:val="center"/>
      </w:pPr>
      <w:r>
        <w:drawing>
          <wp:inline xmlns:a="http://schemas.openxmlformats.org/drawingml/2006/main" xmlns:pic="http://schemas.openxmlformats.org/drawingml/2006/picture">
            <wp:extent cx="5212080" cy="2059093"/>
            <wp:docPr id="7" name="Picture 7"/>
            <wp:cNvGraphicFramePr>
              <a:graphicFrameLocks noChangeAspect="1"/>
            </wp:cNvGraphicFramePr>
            <a:graphic>
              <a:graphicData uri="http://schemas.openxmlformats.org/drawingml/2006/picture">
                <pic:pic>
                  <pic:nvPicPr>
                    <pic:cNvPr id="0" name="fig6_dist_t60.png"/>
                    <pic:cNvPicPr/>
                  </pic:nvPicPr>
                  <pic:blipFill>
                    <a:blip r:embed="rId15"/>
                    <a:stretch>
                      <a:fillRect/>
                    </a:stretch>
                  </pic:blipFill>
                  <pic:spPr>
                    <a:xfrm>
                      <a:off x="0" y="0"/>
                      <a:ext cx="5212080" cy="2059093"/>
                    </a:xfrm>
                    <a:prstGeom prst="rect"/>
                  </pic:spPr>
                </pic:pic>
              </a:graphicData>
            </a:graphic>
          </wp:inline>
        </w:drawing>
      </w:r>
    </w:p>
    <w:p>
      <w:pPr>
        <w:spacing w:after="160" w:before="40"/>
      </w:pPr>
      <w:r>
        <w:rPr>
          <w:rFonts w:ascii="Calibri" w:hAnsi="Calibri"/>
          <w:i/>
          <w:color w:val="667070"/>
          <w:sz w:val="17"/>
        </w:rPr>
        <w:t>Figure 6 — Simulated price distribution at T+60.</w:t>
      </w:r>
    </w:p>
    <w:p>
      <w:pPr>
        <w:spacing w:after="40" w:line="259" w:lineRule="auto"/>
      </w:pPr>
      <w:r>
        <w:rPr>
          <w:rFonts w:ascii="Calibri" w:hAnsi="Calibri"/>
          <w:b w:val="0"/>
          <w:i w:val="0"/>
          <w:color w:val="20302C"/>
          <w:sz w:val="20"/>
        </w:rPr>
        <w:t>Level-touch ladder — the probability that price touches a level at any point by the horizon (running max for upside, running min for downside):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val="clear" w:fill="1C3A36"/>
          </w:tcPr>
          <w:p>
            <w:pPr>
              <w:spacing w:after="20" w:before="20"/>
              <w:jc w:val="left"/>
            </w:pPr>
            <w:r/>
            <w:r>
              <w:rPr>
                <w:rFonts w:ascii="Calibri" w:hAnsi="Calibri"/>
                <w:b/>
                <w:i w:val="0"/>
                <w:color w:val="FFFFFF"/>
                <w:sz w:val="18"/>
              </w:rPr>
              <w:t>Level</w:t>
            </w:r>
          </w:p>
        </w:tc>
        <w:tc>
          <w:tcPr>
            <w:tcW w:type="dxa" w:w="1872"/>
            <w:shd w:val="clear" w:fill="1C3A36"/>
          </w:tcPr>
          <w:p>
            <w:pPr>
              <w:spacing w:after="20" w:before="20"/>
              <w:jc w:val="right"/>
            </w:pPr>
            <w:r/>
            <w:r>
              <w:rPr>
                <w:rFonts w:ascii="Calibri" w:hAnsi="Calibri"/>
                <w:b/>
                <w:i w:val="0"/>
                <w:color w:val="FFFFFF"/>
                <w:sz w:val="18"/>
              </w:rPr>
              <w:t>T+20 touch</w:t>
            </w:r>
          </w:p>
        </w:tc>
        <w:tc>
          <w:tcPr>
            <w:tcW w:type="dxa" w:w="1872"/>
            <w:shd w:val="clear" w:fill="1C3A36"/>
          </w:tcPr>
          <w:p>
            <w:pPr>
              <w:spacing w:after="20" w:before="20"/>
              <w:jc w:val="right"/>
            </w:pPr>
            <w:r/>
            <w:r>
              <w:rPr>
                <w:rFonts w:ascii="Calibri" w:hAnsi="Calibri"/>
                <w:b/>
                <w:i w:val="0"/>
                <w:color w:val="FFFFFF"/>
                <w:sz w:val="18"/>
              </w:rPr>
              <w:t>T+60 touch</w:t>
            </w:r>
          </w:p>
        </w:tc>
        <w:tc>
          <w:tcPr>
            <w:tcW w:type="dxa" w:w="3456"/>
            <w:shd w:val="clear" w:fill="1C3A36"/>
          </w:tcPr>
          <w:p>
            <w:pPr>
              <w:spacing w:after="20" w:before="20"/>
              <w:jc w:val="right"/>
            </w:pPr>
            <w:r/>
            <w:r>
              <w:rPr>
                <w:rFonts w:ascii="Calibri" w:hAnsi="Calibri"/>
                <w:b/>
                <w:i w:val="0"/>
                <w:color w:val="FFFFFF"/>
                <w:sz w:val="18"/>
              </w:rPr>
              <w:t>Note</w:t>
            </w:r>
          </w:p>
        </w:tc>
      </w:tr>
      <w:tr>
        <w:tc>
          <w:tcPr>
            <w:tcW w:type="dxa" w:w="2160"/>
          </w:tcPr>
          <w:p>
            <w:pPr>
              <w:spacing w:after="20" w:before="20"/>
              <w:jc w:val="left"/>
            </w:pPr>
            <w:r/>
            <w:r>
              <w:rPr>
                <w:rFonts w:ascii="Calibri" w:hAnsi="Calibri"/>
                <w:b w:val="0"/>
                <w:i w:val="0"/>
                <w:color w:val="20302C"/>
                <w:sz w:val="18"/>
              </w:rPr>
              <w:t>QAR 20.5</w:t>
            </w:r>
          </w:p>
        </w:tc>
        <w:tc>
          <w:tcPr>
            <w:tcW w:type="dxa" w:w="1872"/>
          </w:tcPr>
          <w:p>
            <w:pPr>
              <w:spacing w:after="20" w:before="20"/>
              <w:jc w:val="right"/>
            </w:pPr>
            <w:r/>
            <w:r>
              <w:rPr>
                <w:rFonts w:ascii="Calibri" w:hAnsi="Calibri"/>
                <w:b w:val="0"/>
                <w:i w:val="0"/>
                <w:color w:val="20302C"/>
                <w:sz w:val="18"/>
              </w:rPr>
              <w:t>2%</w:t>
            </w:r>
          </w:p>
        </w:tc>
        <w:tc>
          <w:tcPr>
            <w:tcW w:type="dxa" w:w="1872"/>
          </w:tcPr>
          <w:p>
            <w:pPr>
              <w:spacing w:after="20" w:before="20"/>
              <w:jc w:val="right"/>
            </w:pPr>
            <w:r/>
            <w:r>
              <w:rPr>
                <w:rFonts w:ascii="Calibri" w:hAnsi="Calibri"/>
                <w:b w:val="0"/>
                <w:i w:val="0"/>
                <w:color w:val="20302C"/>
                <w:sz w:val="18"/>
              </w:rPr>
              <w:t>12%</w:t>
            </w:r>
          </w:p>
        </w:tc>
        <w:tc>
          <w:tcPr>
            <w:tcW w:type="dxa" w:w="3456"/>
          </w:tcPr>
          <w:p>
            <w:pPr>
              <w:spacing w:after="20" w:before="20"/>
              <w:jc w:val="right"/>
            </w:pPr>
            <w:r/>
            <w:r>
              <w:rPr>
                <w:rFonts w:ascii="Calibri" w:hAnsi="Calibri"/>
                <w:b w:val="0"/>
                <w:i w:val="0"/>
                <w:color w:val="20302C"/>
                <w:sz w:val="18"/>
              </w:rPr>
              <w:t>Toward 52-wk high</w:t>
            </w:r>
          </w:p>
        </w:tc>
      </w:tr>
      <w:tr>
        <w:tc>
          <w:tcPr>
            <w:tcW w:type="dxa" w:w="2160"/>
          </w:tcPr>
          <w:p>
            <w:pPr>
              <w:spacing w:after="20" w:before="20"/>
              <w:jc w:val="left"/>
            </w:pPr>
            <w:r/>
            <w:r>
              <w:rPr>
                <w:rFonts w:ascii="Calibri" w:hAnsi="Calibri"/>
                <w:b w:val="0"/>
                <w:i w:val="0"/>
                <w:color w:val="20302C"/>
                <w:sz w:val="18"/>
              </w:rPr>
              <w:t>QAR 19.5</w:t>
            </w:r>
          </w:p>
        </w:tc>
        <w:tc>
          <w:tcPr>
            <w:tcW w:type="dxa" w:w="1872"/>
          </w:tcPr>
          <w:p>
            <w:pPr>
              <w:spacing w:after="20" w:before="20"/>
              <w:jc w:val="right"/>
            </w:pPr>
            <w:r/>
            <w:r>
              <w:rPr>
                <w:rFonts w:ascii="Calibri" w:hAnsi="Calibri"/>
                <w:b w:val="0"/>
                <w:i w:val="0"/>
                <w:color w:val="20302C"/>
                <w:sz w:val="18"/>
              </w:rPr>
              <w:t>8%</w:t>
            </w:r>
          </w:p>
        </w:tc>
        <w:tc>
          <w:tcPr>
            <w:tcW w:type="dxa" w:w="1872"/>
          </w:tcPr>
          <w:p>
            <w:pPr>
              <w:spacing w:after="20" w:before="20"/>
              <w:jc w:val="right"/>
            </w:pPr>
            <w:r/>
            <w:r>
              <w:rPr>
                <w:rFonts w:ascii="Calibri" w:hAnsi="Calibri"/>
                <w:b w:val="0"/>
                <w:i w:val="0"/>
                <w:color w:val="20302C"/>
                <w:sz w:val="18"/>
              </w:rPr>
              <w:t>26%</w:t>
            </w:r>
          </w:p>
        </w:tc>
        <w:tc>
          <w:tcPr>
            <w:tcW w:type="dxa" w:w="3456"/>
          </w:tcPr>
          <w:p>
            <w:pPr>
              <w:spacing w:after="20" w:before="20"/>
              <w:jc w:val="right"/>
            </w:pPr>
            <w:r/>
            <w:r>
              <w:rPr>
                <w:rFonts w:ascii="Calibri" w:hAnsi="Calibri"/>
                <w:b w:val="0"/>
                <w:i w:val="0"/>
                <w:color w:val="20302C"/>
                <w:sz w:val="18"/>
              </w:rPr>
              <w:t>Above fair value</w:t>
            </w:r>
          </w:p>
        </w:tc>
      </w:tr>
      <w:tr>
        <w:tc>
          <w:tcPr>
            <w:tcW w:type="dxa" w:w="2160"/>
          </w:tcPr>
          <w:p>
            <w:pPr>
              <w:spacing w:after="20" w:before="20"/>
              <w:jc w:val="left"/>
            </w:pPr>
            <w:r/>
            <w:r>
              <w:rPr>
                <w:rFonts w:ascii="Calibri" w:hAnsi="Calibri"/>
                <w:b w:val="0"/>
                <w:i w:val="0"/>
                <w:color w:val="20302C"/>
                <w:sz w:val="18"/>
              </w:rPr>
              <w:t>QAR 19.0</w:t>
            </w:r>
          </w:p>
        </w:tc>
        <w:tc>
          <w:tcPr>
            <w:tcW w:type="dxa" w:w="1872"/>
          </w:tcPr>
          <w:p>
            <w:pPr>
              <w:spacing w:after="20" w:before="20"/>
              <w:jc w:val="right"/>
            </w:pPr>
            <w:r/>
            <w:r>
              <w:rPr>
                <w:rFonts w:ascii="Calibri" w:hAnsi="Calibri"/>
                <w:b w:val="0"/>
                <w:i w:val="0"/>
                <w:color w:val="20302C"/>
                <w:sz w:val="18"/>
              </w:rPr>
              <w:t>15%</w:t>
            </w:r>
          </w:p>
        </w:tc>
        <w:tc>
          <w:tcPr>
            <w:tcW w:type="dxa" w:w="1872"/>
          </w:tcPr>
          <w:p>
            <w:pPr>
              <w:spacing w:after="20" w:before="20"/>
              <w:jc w:val="right"/>
            </w:pPr>
            <w:r/>
            <w:r>
              <w:rPr>
                <w:rFonts w:ascii="Calibri" w:hAnsi="Calibri"/>
                <w:b w:val="0"/>
                <w:i w:val="0"/>
                <w:color w:val="20302C"/>
                <w:sz w:val="18"/>
              </w:rPr>
              <w:t>36%</w:t>
            </w:r>
          </w:p>
        </w:tc>
        <w:tc>
          <w:tcPr>
            <w:tcW w:type="dxa" w:w="3456"/>
          </w:tcPr>
          <w:p>
            <w:pPr>
              <w:spacing w:after="20" w:before="20"/>
              <w:jc w:val="right"/>
            </w:pPr>
            <w:r/>
            <w:r>
              <w:rPr>
                <w:rFonts w:ascii="Calibri" w:hAnsi="Calibri"/>
                <w:b w:val="0"/>
                <w:i w:val="0"/>
                <w:color w:val="20302C"/>
                <w:sz w:val="18"/>
              </w:rPr>
              <w:t>Near full-capacity read</w:t>
            </w:r>
          </w:p>
        </w:tc>
      </w:tr>
      <w:tr>
        <w:tc>
          <w:tcPr>
            <w:tcW w:type="dxa" w:w="2160"/>
          </w:tcPr>
          <w:p>
            <w:pPr>
              <w:spacing w:after="20" w:before="20"/>
              <w:jc w:val="left"/>
            </w:pPr>
            <w:r/>
            <w:r>
              <w:rPr>
                <w:rFonts w:ascii="Calibri" w:hAnsi="Calibri"/>
                <w:b w:val="0"/>
                <w:i w:val="0"/>
                <w:color w:val="20302C"/>
                <w:sz w:val="18"/>
              </w:rPr>
              <w:t>QAR 18.5</w:t>
            </w:r>
          </w:p>
        </w:tc>
        <w:tc>
          <w:tcPr>
            <w:tcW w:type="dxa" w:w="1872"/>
          </w:tcPr>
          <w:p>
            <w:pPr>
              <w:spacing w:after="20" w:before="20"/>
              <w:jc w:val="right"/>
            </w:pPr>
            <w:r/>
            <w:r>
              <w:rPr>
                <w:rFonts w:ascii="Calibri" w:hAnsi="Calibri"/>
                <w:b w:val="0"/>
                <w:i w:val="0"/>
                <w:color w:val="20302C"/>
                <w:sz w:val="18"/>
              </w:rPr>
              <w:t>28%</w:t>
            </w:r>
          </w:p>
        </w:tc>
        <w:tc>
          <w:tcPr>
            <w:tcW w:type="dxa" w:w="1872"/>
          </w:tcPr>
          <w:p>
            <w:pPr>
              <w:spacing w:after="20" w:before="20"/>
              <w:jc w:val="right"/>
            </w:pPr>
            <w:r/>
            <w:r>
              <w:rPr>
                <w:rFonts w:ascii="Calibri" w:hAnsi="Calibri"/>
                <w:b w:val="0"/>
                <w:i w:val="0"/>
                <w:color w:val="20302C"/>
                <w:sz w:val="18"/>
              </w:rPr>
              <w:t>50%</w:t>
            </w:r>
          </w:p>
        </w:tc>
        <w:tc>
          <w:tcPr>
            <w:tcW w:type="dxa" w:w="3456"/>
          </w:tcPr>
          <w:p>
            <w:pPr>
              <w:spacing w:after="20" w:before="20"/>
              <w:jc w:val="right"/>
            </w:pPr>
            <w:r/>
            <w:r>
              <w:rPr>
                <w:rFonts w:ascii="Calibri" w:hAnsi="Calibri"/>
                <w:b w:val="0"/>
                <w:i w:val="0"/>
                <w:color w:val="20302C"/>
                <w:sz w:val="18"/>
              </w:rPr>
              <w:t>Near central fair value</w:t>
            </w:r>
          </w:p>
        </w:tc>
      </w:tr>
      <w:tr>
        <w:tc>
          <w:tcPr>
            <w:tcW w:type="dxa" w:w="2160"/>
          </w:tcPr>
          <w:p>
            <w:pPr>
              <w:spacing w:after="20" w:before="20"/>
              <w:jc w:val="left"/>
            </w:pPr>
            <w:r/>
            <w:r>
              <w:rPr>
                <w:rFonts w:ascii="Calibri" w:hAnsi="Calibri"/>
                <w:b w:val="0"/>
                <w:i w:val="0"/>
                <w:color w:val="20302C"/>
                <w:sz w:val="18"/>
              </w:rPr>
              <w:t>QAR 18.0</w:t>
            </w:r>
          </w:p>
        </w:tc>
        <w:tc>
          <w:tcPr>
            <w:tcW w:type="dxa" w:w="1872"/>
          </w:tcPr>
          <w:p>
            <w:pPr>
              <w:spacing w:after="20" w:before="20"/>
              <w:jc w:val="right"/>
            </w:pPr>
            <w:r/>
            <w:r>
              <w:rPr>
                <w:rFonts w:ascii="Calibri" w:hAnsi="Calibri"/>
                <w:b w:val="0"/>
                <w:i w:val="0"/>
                <w:color w:val="20302C"/>
                <w:sz w:val="18"/>
              </w:rPr>
              <w:t>51%</w:t>
            </w:r>
          </w:p>
        </w:tc>
        <w:tc>
          <w:tcPr>
            <w:tcW w:type="dxa" w:w="1872"/>
          </w:tcPr>
          <w:p>
            <w:pPr>
              <w:spacing w:after="20" w:before="20"/>
              <w:jc w:val="right"/>
            </w:pPr>
            <w:r/>
            <w:r>
              <w:rPr>
                <w:rFonts w:ascii="Calibri" w:hAnsi="Calibri"/>
                <w:b w:val="0"/>
                <w:i w:val="0"/>
                <w:color w:val="20302C"/>
                <w:sz w:val="18"/>
              </w:rPr>
              <w:t>69%</w:t>
            </w:r>
          </w:p>
        </w:tc>
        <w:tc>
          <w:tcPr>
            <w:tcW w:type="dxa" w:w="3456"/>
          </w:tcPr>
          <w:p>
            <w:pPr>
              <w:spacing w:after="20" w:before="20"/>
              <w:jc w:val="right"/>
            </w:pPr>
            <w:r/>
            <w:r>
              <w:rPr>
                <w:rFonts w:ascii="Calibri" w:hAnsi="Calibri"/>
                <w:b w:val="0"/>
                <w:i w:val="0"/>
                <w:color w:val="20302C"/>
                <w:sz w:val="18"/>
              </w:rPr>
              <w:t>Just above fair-value floor</w:t>
            </w:r>
          </w:p>
        </w:tc>
      </w:tr>
      <w:tr>
        <w:tc>
          <w:tcPr>
            <w:tcW w:type="dxa" w:w="2160"/>
          </w:tcPr>
          <w:p>
            <w:pPr>
              <w:spacing w:after="20" w:before="20"/>
              <w:jc w:val="left"/>
            </w:pPr>
            <w:r/>
            <w:r>
              <w:rPr>
                <w:rFonts w:ascii="Calibri" w:hAnsi="Calibri"/>
                <w:b w:val="0"/>
                <w:i w:val="0"/>
                <w:color w:val="20302C"/>
                <w:sz w:val="18"/>
              </w:rPr>
              <w:t>QAR 17.5</w:t>
            </w:r>
          </w:p>
        </w:tc>
        <w:tc>
          <w:tcPr>
            <w:tcW w:type="dxa" w:w="1872"/>
          </w:tcPr>
          <w:p>
            <w:pPr>
              <w:spacing w:after="20" w:before="20"/>
              <w:jc w:val="right"/>
            </w:pPr>
            <w:r/>
            <w:r>
              <w:rPr>
                <w:rFonts w:ascii="Calibri" w:hAnsi="Calibri"/>
                <w:b w:val="0"/>
                <w:i w:val="0"/>
                <w:color w:val="20302C"/>
                <w:sz w:val="18"/>
              </w:rPr>
              <w:t>85%</w:t>
            </w:r>
          </w:p>
        </w:tc>
        <w:tc>
          <w:tcPr>
            <w:tcW w:type="dxa" w:w="1872"/>
          </w:tcPr>
          <w:p>
            <w:pPr>
              <w:spacing w:after="20" w:before="20"/>
              <w:jc w:val="right"/>
            </w:pPr>
            <w:r/>
            <w:r>
              <w:rPr>
                <w:rFonts w:ascii="Calibri" w:hAnsi="Calibri"/>
                <w:b w:val="0"/>
                <w:i w:val="0"/>
                <w:color w:val="20302C"/>
                <w:sz w:val="18"/>
              </w:rPr>
              <w:t>92%</w:t>
            </w:r>
          </w:p>
        </w:tc>
        <w:tc>
          <w:tcPr>
            <w:tcW w:type="dxa" w:w="3456"/>
          </w:tcPr>
          <w:p>
            <w:pPr>
              <w:spacing w:after="20" w:before="20"/>
              <w:jc w:val="right"/>
            </w:pPr>
            <w:r/>
            <w:r>
              <w:rPr>
                <w:rFonts w:ascii="Calibri" w:hAnsi="Calibri"/>
                <w:b w:val="0"/>
                <w:i w:val="0"/>
                <w:color w:val="20302C"/>
                <w:sz w:val="18"/>
              </w:rPr>
              <w:t>At spot</w:t>
            </w:r>
          </w:p>
        </w:tc>
      </w:tr>
      <w:tr>
        <w:tc>
          <w:tcPr>
            <w:tcW w:type="dxa" w:w="2160"/>
          </w:tcPr>
          <w:p>
            <w:pPr>
              <w:spacing w:after="20" w:before="20"/>
              <w:jc w:val="left"/>
            </w:pPr>
            <w:r/>
            <w:r>
              <w:rPr>
                <w:rFonts w:ascii="Calibri" w:hAnsi="Calibri"/>
                <w:b w:val="0"/>
                <w:i w:val="0"/>
                <w:color w:val="20302C"/>
                <w:sz w:val="18"/>
              </w:rPr>
              <w:t>QAR 17.0</w:t>
            </w:r>
          </w:p>
        </w:tc>
        <w:tc>
          <w:tcPr>
            <w:tcW w:type="dxa" w:w="1872"/>
          </w:tcPr>
          <w:p>
            <w:pPr>
              <w:spacing w:after="20" w:before="20"/>
              <w:jc w:val="right"/>
            </w:pPr>
            <w:r/>
            <w:r>
              <w:rPr>
                <w:rFonts w:ascii="Calibri" w:hAnsi="Calibri"/>
                <w:b w:val="0"/>
                <w:i w:val="0"/>
                <w:color w:val="20302C"/>
                <w:sz w:val="18"/>
              </w:rPr>
              <w:t>49%</w:t>
            </w:r>
          </w:p>
        </w:tc>
        <w:tc>
          <w:tcPr>
            <w:tcW w:type="dxa" w:w="1872"/>
          </w:tcPr>
          <w:p>
            <w:pPr>
              <w:spacing w:after="20" w:before="20"/>
              <w:jc w:val="right"/>
            </w:pPr>
            <w:r/>
            <w:r>
              <w:rPr>
                <w:rFonts w:ascii="Calibri" w:hAnsi="Calibri"/>
                <w:b w:val="0"/>
                <w:i w:val="0"/>
                <w:color w:val="20302C"/>
                <w:sz w:val="18"/>
              </w:rPr>
              <w:t>72%</w:t>
            </w:r>
          </w:p>
        </w:tc>
        <w:tc>
          <w:tcPr>
            <w:tcW w:type="dxa" w:w="3456"/>
          </w:tcPr>
          <w:p>
            <w:pPr>
              <w:spacing w:after="20" w:before="20"/>
              <w:jc w:val="right"/>
            </w:pPr>
            <w:r/>
            <w:r>
              <w:rPr>
                <w:rFonts w:ascii="Calibri" w:hAnsi="Calibri"/>
                <w:b w:val="0"/>
                <w:i w:val="0"/>
                <w:color w:val="20302C"/>
                <w:sz w:val="18"/>
              </w:rPr>
              <w:t>Just below spot</w:t>
            </w:r>
          </w:p>
        </w:tc>
      </w:tr>
      <w:tr>
        <w:tc>
          <w:tcPr>
            <w:tcW w:type="dxa" w:w="2160"/>
          </w:tcPr>
          <w:p>
            <w:pPr>
              <w:spacing w:after="20" w:before="20"/>
              <w:jc w:val="left"/>
            </w:pPr>
            <w:r/>
            <w:r>
              <w:rPr>
                <w:rFonts w:ascii="Calibri" w:hAnsi="Calibri"/>
                <w:b w:val="0"/>
                <w:i w:val="0"/>
                <w:color w:val="20302C"/>
                <w:sz w:val="18"/>
              </w:rPr>
              <w:t>QAR 16.5</w:t>
            </w:r>
          </w:p>
        </w:tc>
        <w:tc>
          <w:tcPr>
            <w:tcW w:type="dxa" w:w="1872"/>
          </w:tcPr>
          <w:p>
            <w:pPr>
              <w:spacing w:after="20" w:before="20"/>
              <w:jc w:val="right"/>
            </w:pPr>
            <w:r/>
            <w:r>
              <w:rPr>
                <w:rFonts w:ascii="Calibri" w:hAnsi="Calibri"/>
                <w:b w:val="0"/>
                <w:i w:val="0"/>
                <w:color w:val="20302C"/>
                <w:sz w:val="18"/>
              </w:rPr>
              <w:t>28%</w:t>
            </w:r>
          </w:p>
        </w:tc>
        <w:tc>
          <w:tcPr>
            <w:tcW w:type="dxa" w:w="1872"/>
          </w:tcPr>
          <w:p>
            <w:pPr>
              <w:spacing w:after="20" w:before="20"/>
              <w:jc w:val="right"/>
            </w:pPr>
            <w:r/>
            <w:r>
              <w:rPr>
                <w:rFonts w:ascii="Calibri" w:hAnsi="Calibri"/>
                <w:b w:val="0"/>
                <w:i w:val="0"/>
                <w:color w:val="20302C"/>
                <w:sz w:val="18"/>
              </w:rPr>
              <w:t>56%</w:t>
            </w:r>
          </w:p>
        </w:tc>
        <w:tc>
          <w:tcPr>
            <w:tcW w:type="dxa" w:w="3456"/>
          </w:tcPr>
          <w:p>
            <w:pPr>
              <w:spacing w:after="20" w:before="20"/>
              <w:jc w:val="right"/>
            </w:pPr>
            <w:r/>
            <w:r>
              <w:rPr>
                <w:rFonts w:ascii="Calibri" w:hAnsi="Calibri"/>
                <w:b w:val="0"/>
                <w:i w:val="0"/>
                <w:color w:val="20302C"/>
                <w:sz w:val="18"/>
              </w:rPr>
              <w:t>Lower band</w:t>
            </w:r>
          </w:p>
        </w:tc>
      </w:tr>
      <w:tr>
        <w:tc>
          <w:tcPr>
            <w:tcW w:type="dxa" w:w="2160"/>
          </w:tcPr>
          <w:p>
            <w:pPr>
              <w:spacing w:after="20" w:before="20"/>
              <w:jc w:val="left"/>
            </w:pPr>
            <w:r/>
            <w:r>
              <w:rPr>
                <w:rFonts w:ascii="Calibri" w:hAnsi="Calibri"/>
                <w:b w:val="0"/>
                <w:i w:val="0"/>
                <w:color w:val="20302C"/>
                <w:sz w:val="18"/>
              </w:rPr>
              <w:t>QAR 16.0</w:t>
            </w:r>
          </w:p>
        </w:tc>
        <w:tc>
          <w:tcPr>
            <w:tcW w:type="dxa" w:w="1872"/>
          </w:tcPr>
          <w:p>
            <w:pPr>
              <w:spacing w:after="20" w:before="20"/>
              <w:jc w:val="right"/>
            </w:pPr>
            <w:r/>
            <w:r>
              <w:rPr>
                <w:rFonts w:ascii="Calibri" w:hAnsi="Calibri"/>
                <w:b w:val="0"/>
                <w:i w:val="0"/>
                <w:color w:val="20302C"/>
                <w:sz w:val="18"/>
              </w:rPr>
              <w:t>16%</w:t>
            </w:r>
          </w:p>
        </w:tc>
        <w:tc>
          <w:tcPr>
            <w:tcW w:type="dxa" w:w="1872"/>
          </w:tcPr>
          <w:p>
            <w:pPr>
              <w:spacing w:after="20" w:before="20"/>
              <w:jc w:val="right"/>
            </w:pPr>
            <w:r/>
            <w:r>
              <w:rPr>
                <w:rFonts w:ascii="Calibri" w:hAnsi="Calibri"/>
                <w:b w:val="0"/>
                <w:i w:val="0"/>
                <w:color w:val="20302C"/>
                <w:sz w:val="18"/>
              </w:rPr>
              <w:t>41%</w:t>
            </w:r>
          </w:p>
        </w:tc>
        <w:tc>
          <w:tcPr>
            <w:tcW w:type="dxa" w:w="3456"/>
          </w:tcPr>
          <w:p>
            <w:pPr>
              <w:spacing w:after="20" w:before="20"/>
              <w:jc w:val="right"/>
            </w:pPr>
            <w:r/>
            <w:r>
              <w:rPr>
                <w:rFonts w:ascii="Calibri" w:hAnsi="Calibri"/>
                <w:b w:val="0"/>
                <w:i w:val="0"/>
                <w:color w:val="20302C"/>
                <w:sz w:val="18"/>
              </w:rPr>
              <w:t>Mid downside</w:t>
            </w:r>
          </w:p>
        </w:tc>
      </w:tr>
      <w:tr>
        <w:tc>
          <w:tcPr>
            <w:tcW w:type="dxa" w:w="2160"/>
          </w:tcPr>
          <w:p>
            <w:pPr>
              <w:spacing w:after="20" w:before="20"/>
              <w:jc w:val="left"/>
            </w:pPr>
            <w:r/>
            <w:r>
              <w:rPr>
                <w:rFonts w:ascii="Calibri" w:hAnsi="Calibri"/>
                <w:b w:val="0"/>
                <w:i w:val="0"/>
                <w:color w:val="20302C"/>
                <w:sz w:val="18"/>
              </w:rPr>
              <w:t>QAR 15.5</w:t>
            </w:r>
          </w:p>
        </w:tc>
        <w:tc>
          <w:tcPr>
            <w:tcW w:type="dxa" w:w="1872"/>
          </w:tcPr>
          <w:p>
            <w:pPr>
              <w:spacing w:after="20" w:before="20"/>
              <w:jc w:val="right"/>
            </w:pPr>
            <w:r/>
            <w:r>
              <w:rPr>
                <w:rFonts w:ascii="Calibri" w:hAnsi="Calibri"/>
                <w:b w:val="0"/>
                <w:i w:val="0"/>
                <w:color w:val="20302C"/>
                <w:sz w:val="18"/>
              </w:rPr>
              <w:t>8%</w:t>
            </w:r>
          </w:p>
        </w:tc>
        <w:tc>
          <w:tcPr>
            <w:tcW w:type="dxa" w:w="1872"/>
          </w:tcPr>
          <w:p>
            <w:pPr>
              <w:spacing w:after="20" w:before="20"/>
              <w:jc w:val="right"/>
            </w:pPr>
            <w:r/>
            <w:r>
              <w:rPr>
                <w:rFonts w:ascii="Calibri" w:hAnsi="Calibri"/>
                <w:b w:val="0"/>
                <w:i w:val="0"/>
                <w:color w:val="20302C"/>
                <w:sz w:val="18"/>
              </w:rPr>
              <w:t>30%</w:t>
            </w:r>
          </w:p>
        </w:tc>
        <w:tc>
          <w:tcPr>
            <w:tcW w:type="dxa" w:w="3456"/>
          </w:tcPr>
          <w:p>
            <w:pPr>
              <w:spacing w:after="20" w:before="20"/>
              <w:jc w:val="right"/>
            </w:pPr>
            <w:r/>
            <w:r>
              <w:rPr>
                <w:rFonts w:ascii="Calibri" w:hAnsi="Calibri"/>
                <w:b w:val="0"/>
                <w:i w:val="0"/>
                <w:color w:val="20302C"/>
                <w:sz w:val="18"/>
              </w:rPr>
              <w:t>Toward stress</w:t>
            </w:r>
          </w:p>
        </w:tc>
      </w:tr>
    </w:tbl>
    <w:p>
      <w:pPr>
        <w:spacing w:before="240" w:after="80"/>
        <w:pBdr>
          <w:bottom w:val="single" w:sz="6" w:space="2" w:color="C0A45F"/>
        </w:pBdr>
      </w:pPr>
      <w:r>
        <w:rPr>
          <w:rFonts w:ascii="Calibri" w:hAnsi="Calibri"/>
          <w:b/>
          <w:color w:val="2E6E68"/>
          <w:sz w:val="30"/>
        </w:rPr>
        <w:t>4  Comparison of the lenses, and a verdict</w:t>
      </w:r>
    </w:p>
    <w:p>
      <w:pPr>
        <w:spacing w:after="120" w:line="259" w:lineRule="auto"/>
      </w:pPr>
      <w:r>
        <w:rPr>
          <w:rFonts w:ascii="Calibri" w:hAnsi="Calibri"/>
          <w:b w:val="0"/>
          <w:i w:val="0"/>
          <w:color w:val="20302C"/>
          <w:sz w:val="21"/>
        </w:rPr>
        <w:t xml:space="preserve">Three readings sit side by side. The </w:t>
      </w:r>
      <w:r>
        <w:rPr>
          <w:rFonts w:ascii="Calibri" w:hAnsi="Calibri"/>
          <w:b/>
          <w:i w:val="0"/>
          <w:color w:val="20302C"/>
          <w:sz w:val="21"/>
        </w:rPr>
        <w:t>fundamental</w:t>
      </w:r>
      <w:r>
        <w:rPr>
          <w:rFonts w:ascii="Calibri" w:hAnsi="Calibri"/>
          <w:b w:val="0"/>
          <w:i w:val="0"/>
          <w:color w:val="20302C"/>
          <w:sz w:val="21"/>
        </w:rPr>
        <w:t xml:space="preserve"> lenses cluster at QAR 17.6–20.2 with a central QAR 18.8 — modestly above spot, contingent on the tax/rate cycle and capital return. The </w:t>
      </w:r>
      <w:r>
        <w:rPr>
          <w:rFonts w:ascii="Calibri" w:hAnsi="Calibri"/>
          <w:b/>
          <w:i w:val="0"/>
          <w:color w:val="20302C"/>
          <w:sz w:val="21"/>
        </w:rPr>
        <w:t>technical</w:t>
      </w:r>
      <w:r>
        <w:rPr>
          <w:rFonts w:ascii="Calibri" w:hAnsi="Calibri"/>
          <w:b w:val="0"/>
          <w:i w:val="0"/>
          <w:color w:val="20302C"/>
          <w:sz w:val="21"/>
        </w:rPr>
        <w:t xml:space="preserve"> picture is the opposite: soft, below-trend, with the visible floor near the QAR 16.7 52-week low. The </w:t>
      </w:r>
      <w:r>
        <w:rPr>
          <w:rFonts w:ascii="Calibri" w:hAnsi="Calibri"/>
          <w:b/>
          <w:i w:val="0"/>
          <w:color w:val="20302C"/>
          <w:sz w:val="21"/>
        </w:rPr>
        <w:t>probabilistic</w:t>
      </w:r>
      <w:r>
        <w:rPr>
          <w:rFonts w:ascii="Calibri" w:hAnsi="Calibri"/>
          <w:b w:val="0"/>
          <w:i w:val="0"/>
          <w:color w:val="20302C"/>
          <w:sz w:val="21"/>
        </w:rPr>
        <w:t xml:space="preserve"> map says that over three months price is roughly symmetric around spot with a mild left tail — the median is QAR 17.2, not QAR 18.8, because the simulation does not assume the value gap closes inside the quarter.</w:t>
      </w:r>
    </w:p>
    <w:tbl>
      <w:tblPr>
        <w:tblStyle w:val="TableGrid"/>
        <w:tblW w:type="auto" w:w="0"/>
        <w:jc w:val="center"/>
        <w:tblLook w:firstColumn="1" w:firstRow="1" w:lastColumn="0" w:lastRow="0" w:noHBand="0" w:noVBand="1" w:val="04A0"/>
      </w:tblPr>
      <w:tblGrid>
        <w:gridCol w:w="3312"/>
        <w:gridCol w:w="3312"/>
        <w:gridCol w:w="3312"/>
      </w:tblGrid>
      <w:tr>
        <w:tc>
          <w:tcPr>
            <w:tcW w:type="dxa" w:w="2592"/>
            <w:shd w:val="clear" w:fill="1C3A36"/>
          </w:tcPr>
          <w:p>
            <w:pPr>
              <w:spacing w:after="20" w:before="20"/>
              <w:jc w:val="left"/>
            </w:pPr>
            <w:r/>
            <w:r>
              <w:rPr>
                <w:rFonts w:ascii="Calibri" w:hAnsi="Calibri"/>
                <w:b/>
                <w:i w:val="0"/>
                <w:color w:val="FFFFFF"/>
                <w:sz w:val="18"/>
              </w:rPr>
              <w:t>Lens</w:t>
            </w:r>
          </w:p>
        </w:tc>
        <w:tc>
          <w:tcPr>
            <w:tcW w:type="dxa" w:w="2736"/>
            <w:shd w:val="clear" w:fill="1C3A36"/>
          </w:tcPr>
          <w:p>
            <w:pPr>
              <w:spacing w:after="20" w:before="20"/>
              <w:jc w:val="right"/>
            </w:pPr>
            <w:r/>
            <w:r>
              <w:rPr>
                <w:rFonts w:ascii="Calibri" w:hAnsi="Calibri"/>
                <w:b/>
                <w:i w:val="0"/>
                <w:color w:val="FFFFFF"/>
                <w:sz w:val="18"/>
              </w:rPr>
              <w:t>Reads</w:t>
            </w:r>
          </w:p>
        </w:tc>
        <w:tc>
          <w:tcPr>
            <w:tcW w:type="dxa" w:w="4752"/>
            <w:shd w:val="clear" w:fill="1C3A36"/>
          </w:tcPr>
          <w:p>
            <w:pPr>
              <w:spacing w:after="20" w:before="20"/>
              <w:jc w:val="right"/>
            </w:pPr>
            <w:r/>
            <w:r>
              <w:rPr>
                <w:rFonts w:ascii="Calibri" w:hAnsi="Calibri"/>
                <w:b/>
                <w:i w:val="0"/>
                <w:color w:val="FFFFFF"/>
                <w:sz w:val="18"/>
              </w:rPr>
              <w:t>Central / implication</w:t>
            </w:r>
          </w:p>
        </w:tc>
      </w:tr>
      <w:tr>
        <w:tc>
          <w:tcPr>
            <w:tcW w:type="dxa" w:w="2592"/>
          </w:tcPr>
          <w:p>
            <w:pPr>
              <w:spacing w:after="20" w:before="20"/>
              <w:jc w:val="left"/>
            </w:pPr>
            <w:r/>
            <w:r>
              <w:rPr>
                <w:rFonts w:ascii="Calibri" w:hAnsi="Calibri"/>
                <w:b w:val="0"/>
                <w:i w:val="0"/>
                <w:color w:val="20302C"/>
                <w:sz w:val="18"/>
              </w:rPr>
              <w:t>Fundamental (4-lens)</w:t>
            </w:r>
          </w:p>
        </w:tc>
        <w:tc>
          <w:tcPr>
            <w:tcW w:type="dxa" w:w="2736"/>
          </w:tcPr>
          <w:p>
            <w:pPr>
              <w:spacing w:after="20" w:before="20"/>
              <w:jc w:val="right"/>
            </w:pPr>
            <w:r/>
            <w:r>
              <w:rPr>
                <w:rFonts w:ascii="Calibri" w:hAnsi="Calibri"/>
                <w:b w:val="0"/>
                <w:i w:val="0"/>
                <w:color w:val="20302C"/>
                <w:sz w:val="18"/>
              </w:rPr>
              <w:t>Modestly cheap</w:t>
            </w:r>
          </w:p>
        </w:tc>
        <w:tc>
          <w:tcPr>
            <w:tcW w:type="dxa" w:w="4752"/>
          </w:tcPr>
          <w:p>
            <w:pPr>
              <w:spacing w:after="20" w:before="20"/>
              <w:jc w:val="right"/>
            </w:pPr>
            <w:r/>
            <w:r>
              <w:rPr>
                <w:rFonts w:ascii="Calibri" w:hAnsi="Calibri"/>
                <w:b w:val="0"/>
                <w:i w:val="0"/>
                <w:color w:val="20302C"/>
                <w:sz w:val="18"/>
              </w:rPr>
              <w:t>QAR 18.8 (+7%)</w:t>
            </w:r>
          </w:p>
        </w:tc>
      </w:tr>
      <w:tr>
        <w:tc>
          <w:tcPr>
            <w:tcW w:type="dxa" w:w="2592"/>
          </w:tcPr>
          <w:p>
            <w:pPr>
              <w:spacing w:after="20" w:before="20"/>
              <w:jc w:val="left"/>
            </w:pPr>
            <w:r/>
            <w:r>
              <w:rPr>
                <w:rFonts w:ascii="Calibri" w:hAnsi="Calibri"/>
                <w:b w:val="0"/>
                <w:i w:val="0"/>
                <w:color w:val="20302C"/>
                <w:sz w:val="18"/>
              </w:rPr>
              <w:t>Technical</w:t>
            </w:r>
          </w:p>
        </w:tc>
        <w:tc>
          <w:tcPr>
            <w:tcW w:type="dxa" w:w="2736"/>
          </w:tcPr>
          <w:p>
            <w:pPr>
              <w:spacing w:after="20" w:before="20"/>
              <w:jc w:val="right"/>
            </w:pPr>
            <w:r/>
            <w:r>
              <w:rPr>
                <w:rFonts w:ascii="Calibri" w:hAnsi="Calibri"/>
                <w:b w:val="0"/>
                <w:i w:val="0"/>
                <w:color w:val="20302C"/>
                <w:sz w:val="18"/>
              </w:rPr>
              <w:t>Weak / range-bound</w:t>
            </w:r>
          </w:p>
        </w:tc>
        <w:tc>
          <w:tcPr>
            <w:tcW w:type="dxa" w:w="4752"/>
          </w:tcPr>
          <w:p>
            <w:pPr>
              <w:spacing w:after="20" w:before="20"/>
              <w:jc w:val="right"/>
            </w:pPr>
            <w:r/>
            <w:r>
              <w:rPr>
                <w:rFonts w:ascii="Calibri" w:hAnsi="Calibri"/>
                <w:b w:val="0"/>
                <w:i w:val="0"/>
                <w:color w:val="20302C"/>
                <w:sz w:val="18"/>
              </w:rPr>
              <w:t>Floor ≈ QAR 16.7; resistance at the MA stack QAR 18.1–18.4</w:t>
            </w:r>
          </w:p>
        </w:tc>
      </w:tr>
      <w:tr>
        <w:tc>
          <w:tcPr>
            <w:tcW w:type="dxa" w:w="2592"/>
          </w:tcPr>
          <w:p>
            <w:pPr>
              <w:spacing w:after="20" w:before="20"/>
              <w:jc w:val="left"/>
            </w:pPr>
            <w:r/>
            <w:r>
              <w:rPr>
                <w:rFonts w:ascii="Calibri" w:hAnsi="Calibri"/>
                <w:b w:val="0"/>
                <w:i w:val="0"/>
                <w:color w:val="20302C"/>
                <w:sz w:val="18"/>
              </w:rPr>
              <w:t>Monte Carlo (3-month)</w:t>
            </w:r>
          </w:p>
        </w:tc>
        <w:tc>
          <w:tcPr>
            <w:tcW w:type="dxa" w:w="2736"/>
          </w:tcPr>
          <w:p>
            <w:pPr>
              <w:spacing w:after="20" w:before="20"/>
              <w:jc w:val="right"/>
            </w:pPr>
            <w:r/>
            <w:r>
              <w:rPr>
                <w:rFonts w:ascii="Calibri" w:hAnsi="Calibri"/>
                <w:b w:val="0"/>
                <w:i w:val="0"/>
                <w:color w:val="20302C"/>
                <w:sz w:val="18"/>
              </w:rPr>
              <w:t>Symmetric, mild left tail</w:t>
            </w:r>
          </w:p>
        </w:tc>
        <w:tc>
          <w:tcPr>
            <w:tcW w:type="dxa" w:w="4752"/>
          </w:tcPr>
          <w:p>
            <w:pPr>
              <w:spacing w:after="20" w:before="20"/>
              <w:jc w:val="right"/>
            </w:pPr>
            <w:r/>
            <w:r>
              <w:rPr>
                <w:rFonts w:ascii="Calibri" w:hAnsi="Calibri"/>
                <w:b w:val="0"/>
                <w:i w:val="0"/>
                <w:color w:val="20302C"/>
                <w:sz w:val="18"/>
              </w:rPr>
              <w:t>Median QAR 17.2; p5–p95 QAR 14.0–20.9</w:t>
            </w:r>
          </w:p>
        </w:tc>
      </w:tr>
    </w:tbl>
    <w:p>
      <w:pPr>
        <w:spacing w:after="120" w:line="259" w:lineRule="auto"/>
      </w:pPr>
      <w:r>
        <w:rPr>
          <w:rFonts w:ascii="Calibri" w:hAnsi="Calibri"/>
          <w:b/>
          <w:i w:val="0"/>
          <w:color w:val="20302C"/>
          <w:sz w:val="21"/>
        </w:rPr>
        <w:t>Verdict (a fair-value read, not a recommendation).</w:t>
      </w:r>
      <w:r>
        <w:rPr>
          <w:rFonts w:ascii="Calibri" w:hAnsi="Calibri"/>
          <w:b w:val="0"/>
          <w:i w:val="0"/>
          <w:color w:val="20302C"/>
          <w:sz w:val="21"/>
        </w:rPr>
        <w:t xml:space="preserve"> QNB looks fairly-to-modestly-cheap on fundamentals, with unusually concentrated swing factors: the permanence of the Pillar-Two tax step, the depth of the 2026 rate-cut margin drag, and how much of a 19.3%-capitalised balance sheet is returned rather than retained. The technical softness and the near-symmetric three-month distribution argue that any re-rating is a question of proof over quarters — a buyback extension, a step-up in the interim dividend, a stabilising Türkiye — not of an imminent move. The honest summary is a value modestly above price, a near-term distribution centred on price, and an outcome that hinges on capital and tax — which is why the bear–bull span (QAR 14.0–28.5) is wide. Readers should weigh the lenses themselves; we publish the distribution, not a target.</w:t>
      </w:r>
    </w:p>
    <w:p>
      <w:pPr>
        <w:spacing w:before="240" w:after="80"/>
        <w:pBdr>
          <w:bottom w:val="single" w:sz="6" w:space="2" w:color="C0A45F"/>
        </w:pBdr>
      </w:pPr>
      <w:r>
        <w:rPr>
          <w:rFonts w:ascii="Calibri" w:hAnsi="Calibri"/>
          <w:b/>
          <w:color w:val="2E6E68"/>
          <w:sz w:val="30"/>
        </w:rPr>
        <w:t>5  Catalysts to watch</w:t>
      </w:r>
    </w:p>
    <w:p>
      <w:pPr>
        <w:pStyle w:val="ListBullet"/>
        <w:spacing w:after="60"/>
      </w:pPr>
      <w:r>
        <w:rPr>
          <w:rFonts w:ascii="Calibri" w:hAnsi="Calibri"/>
          <w:b/>
          <w:color w:val="20302C"/>
          <w:sz w:val="20"/>
        </w:rPr>
        <w:t>Q1 2026 results (mid-April 2026).</w:t>
      </w:r>
      <w:r>
        <w:rPr>
          <w:rFonts w:ascii="Calibri" w:hAnsi="Calibri"/>
          <w:b w:val="0"/>
          <w:color w:val="20302C"/>
          <w:sz w:val="20"/>
        </w:rPr>
        <w:t xml:space="preserve"> The first clean read on the 2026 margin path under Fed/QCB cuts and the full-year Pillar-Two effective tax rate.</w:t>
      </w:r>
    </w:p>
    <w:p>
      <w:pPr>
        <w:pStyle w:val="ListBullet"/>
        <w:spacing w:after="60"/>
      </w:pPr>
      <w:r>
        <w:rPr>
          <w:rFonts w:ascii="Calibri" w:hAnsi="Calibri"/>
          <w:b/>
          <w:color w:val="20302C"/>
          <w:sz w:val="20"/>
        </w:rPr>
        <w:t>Buyback &amp; interim-dividend cadence.</w:t>
      </w:r>
      <w:r>
        <w:rPr>
          <w:rFonts w:ascii="Calibri" w:hAnsi="Calibri"/>
          <w:b w:val="0"/>
          <w:color w:val="20302C"/>
          <w:sz w:val="20"/>
        </w:rPr>
        <w:t xml:space="preserve"> Any extension of the QAR 2.1bn buyback or a step-up in interim dividends is the most direct evidence on the excess-capital return thesis — the single widest valuation swing.</w:t>
      </w:r>
    </w:p>
    <w:p>
      <w:pPr>
        <w:pStyle w:val="ListBullet"/>
        <w:spacing w:after="60"/>
      </w:pPr>
      <w:r>
        <w:rPr>
          <w:rFonts w:ascii="Calibri" w:hAnsi="Calibri"/>
          <w:b/>
          <w:color w:val="20302C"/>
          <w:sz w:val="20"/>
        </w:rPr>
        <w:t>North Field LNG milestones.</w:t>
      </w:r>
      <w:r>
        <w:rPr>
          <w:rFonts w:ascii="Calibri" w:hAnsi="Calibri"/>
          <w:b w:val="0"/>
          <w:color w:val="20302C"/>
          <w:sz w:val="20"/>
        </w:rPr>
        <w:t xml:space="preserve"> Export-capacity ramp feeds deposits, project lending and fee income into 2026–2027.</w:t>
      </w:r>
    </w:p>
    <w:p>
      <w:pPr>
        <w:pStyle w:val="ListBullet"/>
        <w:spacing w:after="60"/>
      </w:pPr>
      <w:r>
        <w:rPr>
          <w:rFonts w:ascii="Calibri" w:hAnsi="Calibri"/>
          <w:b/>
          <w:color w:val="20302C"/>
          <w:sz w:val="20"/>
        </w:rPr>
        <w:t>Türkiye (Finansbank).</w:t>
      </w:r>
      <w:r>
        <w:rPr>
          <w:rFonts w:ascii="Calibri" w:hAnsi="Calibri"/>
          <w:b w:val="0"/>
          <w:color w:val="20302C"/>
          <w:sz w:val="20"/>
        </w:rPr>
        <w:t xml:space="preserve"> The lira path, Turkish rate policy and hyperinflation-accounting effects are the largest external earnings swing.</w:t>
      </w:r>
    </w:p>
    <w:p>
      <w:pPr>
        <w:pStyle w:val="ListBullet"/>
        <w:spacing w:after="60"/>
      </w:pPr>
      <w:r>
        <w:rPr>
          <w:rFonts w:ascii="Calibri" w:hAnsi="Calibri"/>
          <w:b/>
          <w:color w:val="20302C"/>
          <w:sz w:val="20"/>
        </w:rPr>
        <w:t>Egypt (QNB Alahli).</w:t>
      </w:r>
      <w:r>
        <w:rPr>
          <w:rFonts w:ascii="Calibri" w:hAnsi="Calibri"/>
          <w:b w:val="0"/>
          <w:color w:val="20302C"/>
          <w:sz w:val="20"/>
        </w:rPr>
        <w:t xml:space="preserve"> The pound and Egyptian rates set the size of a small but high-nominal-return contributor.</w:t>
      </w:r>
    </w:p>
    <w:p>
      <w:pPr>
        <w:pStyle w:val="ListBullet"/>
        <w:spacing w:after="60"/>
      </w:pPr>
      <w:r>
        <w:rPr>
          <w:rFonts w:ascii="Calibri" w:hAnsi="Calibri"/>
          <w:b/>
          <w:color w:val="20302C"/>
          <w:sz w:val="20"/>
        </w:rPr>
        <w:t>Asset quality / cost of risk.</w:t>
      </w:r>
      <w:r>
        <w:rPr>
          <w:rFonts w:ascii="Calibri" w:hAnsi="Calibri"/>
          <w:b w:val="0"/>
          <w:color w:val="20302C"/>
          <w:sz w:val="20"/>
        </w:rPr>
        <w:t xml:space="preserve"> Any drift in the ~85–90 bps cost of risk, especially from the EM books, moves the credit-cycle lens.</w:t>
      </w:r>
    </w:p>
    <w:p>
      <w:pPr>
        <w:pStyle w:val="ListBullet"/>
        <w:spacing w:after="60"/>
      </w:pPr>
      <w:r>
        <w:rPr>
          <w:rFonts w:ascii="Calibri" w:hAnsi="Calibri"/>
          <w:b/>
          <w:color w:val="20302C"/>
          <w:sz w:val="20"/>
        </w:rPr>
        <w:t>Qatar sovereign &amp; rating.</w:t>
      </w:r>
      <w:r>
        <w:rPr>
          <w:rFonts w:ascii="Calibri" w:hAnsi="Calibri"/>
          <w:b w:val="0"/>
          <w:color w:val="20302C"/>
          <w:sz w:val="20"/>
        </w:rPr>
        <w:t xml:space="preserve"> Fiscal strength and any rating action anchor QNB's own cost of funding and equity.</w:t>
      </w:r>
    </w:p>
    <w:p>
      <w:pPr>
        <w:pStyle w:val="ListBullet"/>
        <w:spacing w:after="60"/>
      </w:pPr>
      <w:r>
        <w:rPr>
          <w:rFonts w:ascii="Calibri" w:hAnsi="Calibri"/>
          <w:b/>
          <w:color w:val="20302C"/>
          <w:sz w:val="20"/>
        </w:rPr>
        <w:t>Global rates.</w:t>
      </w:r>
      <w:r>
        <w:rPr>
          <w:rFonts w:ascii="Calibri" w:hAnsi="Calibri"/>
          <w:b w:val="0"/>
          <w:color w:val="20302C"/>
          <w:sz w:val="20"/>
        </w:rPr>
        <w:t xml:space="preserve"> The pace of Fed easing directly sets QNB's imported policy rate and the margin trajectory.</w:t>
      </w:r>
    </w:p>
    <w:p>
      <w:pPr>
        <w:spacing w:before="240" w:after="80"/>
        <w:pBdr>
          <w:bottom w:val="single" w:sz="6" w:space="2" w:color="C0A45F"/>
        </w:pBdr>
      </w:pPr>
      <w:r>
        <w:rPr>
          <w:rFonts w:ascii="Calibri" w:hAnsi="Calibri"/>
          <w:b/>
          <w:color w:val="2E6E68"/>
          <w:sz w:val="30"/>
        </w:rPr>
        <w:t>6  Reading the probability zones</w:t>
      </w:r>
    </w:p>
    <w:p>
      <w:pPr>
        <w:spacing w:after="120" w:line="259" w:lineRule="auto"/>
      </w:pPr>
      <w:r>
        <w:rPr>
          <w:rFonts w:ascii="Calibri" w:hAnsi="Calibri"/>
          <w:b w:val="0"/>
          <w:i w:val="0"/>
          <w:color w:val="20302C"/>
          <w:sz w:val="20"/>
        </w:rPr>
        <w:t>Translating the three-month distribution into plain zones, anchored on spot QAR 17.54 and the fair-value cluster: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shd w:val="clear" w:fill="1C3A36"/>
          </w:tcPr>
          <w:p>
            <w:pPr>
              <w:spacing w:after="20" w:before="20"/>
              <w:jc w:val="left"/>
            </w:pPr>
            <w:r/>
            <w:r>
              <w:rPr>
                <w:rFonts w:ascii="Calibri" w:hAnsi="Calibri"/>
                <w:b/>
                <w:i w:val="0"/>
                <w:color w:val="FFFFFF"/>
                <w:sz w:val="18"/>
              </w:rPr>
              <w:t>Zone (T+60)</w:t>
            </w:r>
          </w:p>
        </w:tc>
        <w:tc>
          <w:tcPr>
            <w:tcW w:type="dxa" w:w="2160"/>
            <w:shd w:val="clear" w:fill="1C3A36"/>
          </w:tcPr>
          <w:p>
            <w:pPr>
              <w:spacing w:after="20" w:before="20"/>
              <w:jc w:val="right"/>
            </w:pPr>
            <w:r/>
            <w:r>
              <w:rPr>
                <w:rFonts w:ascii="Calibri" w:hAnsi="Calibri"/>
                <w:b/>
                <w:i w:val="0"/>
                <w:color w:val="FFFFFF"/>
                <w:sz w:val="18"/>
              </w:rPr>
              <w:t>Range</w:t>
            </w:r>
          </w:p>
        </w:tc>
        <w:tc>
          <w:tcPr>
            <w:tcW w:type="dxa" w:w="2016"/>
            <w:shd w:val="clear" w:fill="1C3A36"/>
          </w:tcPr>
          <w:p>
            <w:pPr>
              <w:spacing w:after="20" w:before="20"/>
              <w:jc w:val="right"/>
            </w:pPr>
            <w:r/>
            <w:r>
              <w:rPr>
                <w:rFonts w:ascii="Calibri" w:hAnsi="Calibri"/>
                <w:b/>
                <w:i w:val="0"/>
                <w:color w:val="FFFFFF"/>
                <w:sz w:val="18"/>
              </w:rPr>
              <w:t>Approx. probability</w:t>
            </w:r>
          </w:p>
        </w:tc>
        <w:tc>
          <w:tcPr>
            <w:tcW w:type="dxa" w:w="3744"/>
            <w:shd w:val="clear" w:fill="1C3A36"/>
          </w:tcPr>
          <w:p>
            <w:pPr>
              <w:spacing w:after="20" w:before="20"/>
              <w:jc w:val="right"/>
            </w:pPr>
            <w:r/>
            <w:r>
              <w:rPr>
                <w:rFonts w:ascii="Calibri" w:hAnsi="Calibri"/>
                <w:b/>
                <w:i w:val="0"/>
                <w:color w:val="FFFFFF"/>
                <w:sz w:val="18"/>
              </w:rPr>
              <w:t>What it would mean</w:t>
            </w:r>
          </w:p>
        </w:tc>
      </w:tr>
      <w:tr>
        <w:tc>
          <w:tcPr>
            <w:tcW w:type="dxa" w:w="2160"/>
          </w:tcPr>
          <w:p>
            <w:pPr>
              <w:spacing w:after="20" w:before="20"/>
              <w:jc w:val="left"/>
            </w:pPr>
            <w:r/>
            <w:r>
              <w:rPr>
                <w:rFonts w:ascii="Calibri" w:hAnsi="Calibri"/>
                <w:b w:val="0"/>
                <w:i w:val="0"/>
                <w:color w:val="20302C"/>
                <w:sz w:val="18"/>
              </w:rPr>
              <w:t>Deep downside</w:t>
            </w:r>
          </w:p>
        </w:tc>
        <w:tc>
          <w:tcPr>
            <w:tcW w:type="dxa" w:w="2160"/>
          </w:tcPr>
          <w:p>
            <w:pPr>
              <w:spacing w:after="20" w:before="20"/>
              <w:jc w:val="right"/>
            </w:pPr>
            <w:r/>
            <w:r>
              <w:rPr>
                <w:rFonts w:ascii="Calibri" w:hAnsi="Calibri"/>
                <w:b w:val="0"/>
                <w:i w:val="0"/>
                <w:color w:val="20302C"/>
                <w:sz w:val="18"/>
              </w:rPr>
              <w:t>&lt; QAR 15.5</w:t>
            </w:r>
          </w:p>
        </w:tc>
        <w:tc>
          <w:tcPr>
            <w:tcW w:type="dxa" w:w="2016"/>
          </w:tcPr>
          <w:p>
            <w:pPr>
              <w:spacing w:after="20" w:before="20"/>
              <w:jc w:val="right"/>
            </w:pPr>
            <w:r/>
            <w:r>
              <w:rPr>
                <w:rFonts w:ascii="Calibri" w:hAnsi="Calibri"/>
                <w:b w:val="0"/>
                <w:i w:val="0"/>
                <w:color w:val="20302C"/>
                <w:sz w:val="18"/>
              </w:rPr>
              <w:t>~19%</w:t>
            </w:r>
          </w:p>
        </w:tc>
        <w:tc>
          <w:tcPr>
            <w:tcW w:type="dxa" w:w="3744"/>
          </w:tcPr>
          <w:p>
            <w:pPr>
              <w:spacing w:after="20" w:before="20"/>
              <w:jc w:val="right"/>
            </w:pPr>
            <w:r/>
            <w:r>
              <w:rPr>
                <w:rFonts w:ascii="Calibri" w:hAnsi="Calibri"/>
                <w:b w:val="0"/>
                <w:i w:val="0"/>
                <w:color w:val="20302C"/>
                <w:sz w:val="18"/>
              </w:rPr>
              <w:t>EM/credit stress or risk-off; tests toward the lows</w:t>
            </w:r>
          </w:p>
        </w:tc>
      </w:tr>
      <w:tr>
        <w:tc>
          <w:tcPr>
            <w:tcW w:type="dxa" w:w="2160"/>
          </w:tcPr>
          <w:p>
            <w:pPr>
              <w:spacing w:after="20" w:before="20"/>
              <w:jc w:val="left"/>
            </w:pPr>
            <w:r/>
            <w:r>
              <w:rPr>
                <w:rFonts w:ascii="Calibri" w:hAnsi="Calibri"/>
                <w:b w:val="0"/>
                <w:i w:val="0"/>
                <w:color w:val="20302C"/>
                <w:sz w:val="18"/>
              </w:rPr>
              <w:t>Lower band</w:t>
            </w:r>
          </w:p>
        </w:tc>
        <w:tc>
          <w:tcPr>
            <w:tcW w:type="dxa" w:w="2160"/>
          </w:tcPr>
          <w:p>
            <w:pPr>
              <w:spacing w:after="20" w:before="20"/>
              <w:jc w:val="right"/>
            </w:pPr>
            <w:r/>
            <w:r>
              <w:rPr>
                <w:rFonts w:ascii="Calibri" w:hAnsi="Calibri"/>
                <w:b w:val="0"/>
                <w:i w:val="0"/>
                <w:color w:val="20302C"/>
                <w:sz w:val="18"/>
              </w:rPr>
              <w:t>QAR 15.5–16.5</w:t>
            </w:r>
          </w:p>
        </w:tc>
        <w:tc>
          <w:tcPr>
            <w:tcW w:type="dxa" w:w="2016"/>
          </w:tcPr>
          <w:p>
            <w:pPr>
              <w:spacing w:after="20" w:before="20"/>
              <w:jc w:val="right"/>
            </w:pPr>
            <w:r/>
            <w:r>
              <w:rPr>
                <w:rFonts w:ascii="Calibri" w:hAnsi="Calibri"/>
                <w:b w:val="0"/>
                <w:i w:val="0"/>
                <w:color w:val="20302C"/>
                <w:sz w:val="18"/>
              </w:rPr>
              <w:t>~16%</w:t>
            </w:r>
          </w:p>
        </w:tc>
        <w:tc>
          <w:tcPr>
            <w:tcW w:type="dxa" w:w="3744"/>
          </w:tcPr>
          <w:p>
            <w:pPr>
              <w:spacing w:after="20" w:before="20"/>
              <w:jc w:val="right"/>
            </w:pPr>
            <w:r/>
            <w:r>
              <w:rPr>
                <w:rFonts w:ascii="Calibri" w:hAnsi="Calibri"/>
                <w:b w:val="0"/>
                <w:i w:val="0"/>
                <w:color w:val="20302C"/>
                <w:sz w:val="18"/>
              </w:rPr>
              <w:t>Rate-cut drag persists; relative lens dominates</w:t>
            </w:r>
          </w:p>
        </w:tc>
      </w:tr>
      <w:tr>
        <w:tc>
          <w:tcPr>
            <w:tcW w:type="dxa" w:w="2160"/>
          </w:tcPr>
          <w:p>
            <w:pPr>
              <w:spacing w:after="20" w:before="20"/>
              <w:jc w:val="left"/>
            </w:pPr>
            <w:r/>
            <w:r>
              <w:rPr>
                <w:rFonts w:ascii="Calibri" w:hAnsi="Calibri"/>
                <w:b w:val="0"/>
                <w:i w:val="0"/>
                <w:color w:val="20302C"/>
                <w:sz w:val="18"/>
              </w:rPr>
              <w:t>Around spot</w:t>
            </w:r>
          </w:p>
        </w:tc>
        <w:tc>
          <w:tcPr>
            <w:tcW w:type="dxa" w:w="2160"/>
          </w:tcPr>
          <w:p>
            <w:pPr>
              <w:spacing w:after="20" w:before="20"/>
              <w:jc w:val="right"/>
            </w:pPr>
            <w:r/>
            <w:r>
              <w:rPr>
                <w:rFonts w:ascii="Calibri" w:hAnsi="Calibri"/>
                <w:b w:val="0"/>
                <w:i w:val="0"/>
                <w:color w:val="20302C"/>
                <w:sz w:val="18"/>
              </w:rPr>
              <w:t>QAR 16.5–18.0</w:t>
            </w:r>
          </w:p>
        </w:tc>
        <w:tc>
          <w:tcPr>
            <w:tcW w:type="dxa" w:w="2016"/>
          </w:tcPr>
          <w:p>
            <w:pPr>
              <w:spacing w:after="20" w:before="20"/>
              <w:jc w:val="right"/>
            </w:pPr>
            <w:r/>
            <w:r>
              <w:rPr>
                <w:rFonts w:ascii="Calibri" w:hAnsi="Calibri"/>
                <w:b w:val="0"/>
                <w:i w:val="0"/>
                <w:color w:val="20302C"/>
                <w:sz w:val="18"/>
              </w:rPr>
              <w:t>~30%</w:t>
            </w:r>
          </w:p>
        </w:tc>
        <w:tc>
          <w:tcPr>
            <w:tcW w:type="dxa" w:w="3744"/>
          </w:tcPr>
          <w:p>
            <w:pPr>
              <w:spacing w:after="20" w:before="20"/>
              <w:jc w:val="right"/>
            </w:pPr>
            <w:r/>
            <w:r>
              <w:rPr>
                <w:rFonts w:ascii="Calibri" w:hAnsi="Calibri"/>
                <w:b w:val="0"/>
                <w:i w:val="0"/>
                <w:color w:val="20302C"/>
                <w:sz w:val="18"/>
              </w:rPr>
              <w:t>Status quo; value gap unclosed</w:t>
            </w:r>
          </w:p>
        </w:tc>
      </w:tr>
      <w:tr>
        <w:tc>
          <w:tcPr>
            <w:tcW w:type="dxa" w:w="2160"/>
          </w:tcPr>
          <w:p>
            <w:pPr>
              <w:spacing w:after="20" w:before="20"/>
              <w:jc w:val="left"/>
            </w:pPr>
            <w:r/>
            <w:r>
              <w:rPr>
                <w:rFonts w:ascii="Calibri" w:hAnsi="Calibri"/>
                <w:b w:val="0"/>
                <w:i w:val="0"/>
                <w:color w:val="20302C"/>
                <w:sz w:val="18"/>
              </w:rPr>
              <w:t>Upper band</w:t>
            </w:r>
          </w:p>
        </w:tc>
        <w:tc>
          <w:tcPr>
            <w:tcW w:type="dxa" w:w="2160"/>
          </w:tcPr>
          <w:p>
            <w:pPr>
              <w:spacing w:after="20" w:before="20"/>
              <w:jc w:val="right"/>
            </w:pPr>
            <w:r/>
            <w:r>
              <w:rPr>
                <w:rFonts w:ascii="Calibri" w:hAnsi="Calibri"/>
                <w:b w:val="0"/>
                <w:i w:val="0"/>
                <w:color w:val="20302C"/>
                <w:sz w:val="18"/>
              </w:rPr>
              <w:t>QAR 18.0–19.5</w:t>
            </w:r>
          </w:p>
        </w:tc>
        <w:tc>
          <w:tcPr>
            <w:tcW w:type="dxa" w:w="2016"/>
          </w:tcPr>
          <w:p>
            <w:pPr>
              <w:spacing w:after="20" w:before="20"/>
              <w:jc w:val="right"/>
            </w:pPr>
            <w:r/>
            <w:r>
              <w:rPr>
                <w:rFonts w:ascii="Calibri" w:hAnsi="Calibri"/>
                <w:b w:val="0"/>
                <w:i w:val="0"/>
                <w:color w:val="20302C"/>
                <w:sz w:val="18"/>
              </w:rPr>
              <w:t>~21%</w:t>
            </w:r>
          </w:p>
        </w:tc>
        <w:tc>
          <w:tcPr>
            <w:tcW w:type="dxa" w:w="3744"/>
          </w:tcPr>
          <w:p>
            <w:pPr>
              <w:spacing w:after="20" w:before="20"/>
              <w:jc w:val="right"/>
            </w:pPr>
            <w:r/>
            <w:r>
              <w:rPr>
                <w:rFonts w:ascii="Calibri" w:hAnsi="Calibri"/>
                <w:b w:val="0"/>
                <w:i w:val="0"/>
                <w:color w:val="20302C"/>
                <w:sz w:val="18"/>
              </w:rPr>
              <w:t>Capital return credited; toward central fair value</w:t>
            </w:r>
          </w:p>
        </w:tc>
      </w:tr>
      <w:tr>
        <w:tc>
          <w:tcPr>
            <w:tcW w:type="dxa" w:w="2160"/>
          </w:tcPr>
          <w:p>
            <w:pPr>
              <w:spacing w:after="20" w:before="20"/>
              <w:jc w:val="left"/>
            </w:pPr>
            <w:r/>
            <w:r>
              <w:rPr>
                <w:rFonts w:ascii="Calibri" w:hAnsi="Calibri"/>
                <w:b w:val="0"/>
                <w:i w:val="0"/>
                <w:color w:val="20302C"/>
                <w:sz w:val="18"/>
              </w:rPr>
              <w:t>Strong upside</w:t>
            </w:r>
          </w:p>
        </w:tc>
        <w:tc>
          <w:tcPr>
            <w:tcW w:type="dxa" w:w="2160"/>
          </w:tcPr>
          <w:p>
            <w:pPr>
              <w:spacing w:after="20" w:before="20"/>
              <w:jc w:val="right"/>
            </w:pPr>
            <w:r/>
            <w:r>
              <w:rPr>
                <w:rFonts w:ascii="Calibri" w:hAnsi="Calibri"/>
                <w:b w:val="0"/>
                <w:i w:val="0"/>
                <w:color w:val="20302C"/>
                <w:sz w:val="18"/>
              </w:rPr>
              <w:t>&gt; QAR 19.5</w:t>
            </w:r>
          </w:p>
        </w:tc>
        <w:tc>
          <w:tcPr>
            <w:tcW w:type="dxa" w:w="2016"/>
          </w:tcPr>
          <w:p>
            <w:pPr>
              <w:spacing w:after="20" w:before="20"/>
              <w:jc w:val="right"/>
            </w:pPr>
            <w:r/>
            <w:r>
              <w:rPr>
                <w:rFonts w:ascii="Calibri" w:hAnsi="Calibri"/>
                <w:b w:val="0"/>
                <w:i w:val="0"/>
                <w:color w:val="20302C"/>
                <w:sz w:val="18"/>
              </w:rPr>
              <w:t>~14%</w:t>
            </w:r>
          </w:p>
        </w:tc>
        <w:tc>
          <w:tcPr>
            <w:tcW w:type="dxa" w:w="3744"/>
          </w:tcPr>
          <w:p>
            <w:pPr>
              <w:spacing w:after="20" w:before="20"/>
              <w:jc w:val="right"/>
            </w:pPr>
            <w:r/>
            <w:r>
              <w:rPr>
                <w:rFonts w:ascii="Calibri" w:hAnsi="Calibri"/>
                <w:b w:val="0"/>
                <w:i w:val="0"/>
                <w:color w:val="20302C"/>
                <w:sz w:val="18"/>
              </w:rPr>
              <w:t>LNG tailwind + capital return together</w:t>
            </w:r>
          </w:p>
        </w:tc>
      </w:tr>
    </w:tbl>
    <w:p>
      <w:pPr>
        <w:spacing w:after="120" w:line="259" w:lineRule="auto"/>
      </w:pPr>
      <w:r>
        <w:rPr>
          <w:rFonts w:ascii="Calibri" w:hAnsi="Calibri"/>
          <w:b w:val="0"/>
          <w:i w:val="0"/>
          <w:color w:val="20302C"/>
          <w:sz w:val="20"/>
        </w:rPr>
        <w:t>The distribution is close to symmetric with a slightly heavier lower tail from the discrete downside events (geopolitics, an asset-quality shift). It is not a forecast; it is the spread of outcomes consistent with the stock's own volatility and the factor stack.</w:t>
      </w:r>
    </w:p>
    <w:p>
      <w:pPr>
        <w:spacing w:before="240" w:after="80"/>
        <w:pBdr>
          <w:bottom w:val="single" w:sz="6" w:space="2" w:color="C0A45F"/>
        </w:pBdr>
      </w:pPr>
      <w:r>
        <w:rPr>
          <w:rFonts w:ascii="Calibri" w:hAnsi="Calibri"/>
          <w:b/>
          <w:color w:val="2E6E68"/>
          <w:sz w:val="30"/>
        </w:rPr>
        <w:t>7  Caveats and what would change our mind</w:t>
      </w:r>
    </w:p>
    <w:p>
      <w:pPr>
        <w:pStyle w:val="ListBullet"/>
        <w:spacing w:after="60"/>
      </w:pPr>
      <w:r>
        <w:rPr>
          <w:rFonts w:ascii="Calibri" w:hAnsi="Calibri"/>
          <w:b/>
          <w:color w:val="20302C"/>
          <w:sz w:val="20"/>
        </w:rPr>
        <w:t>Capital return is the swing.</w:t>
      </w:r>
      <w:r>
        <w:rPr>
          <w:rFonts w:ascii="Calibri" w:hAnsi="Calibri"/>
          <w:b w:val="0"/>
          <w:color w:val="20302C"/>
          <w:sz w:val="20"/>
        </w:rPr>
        <w:t xml:space="preserve"> Much of the upside rests on QNB distributing more of its surplus; if it keeps the current ~42% payout, the actual-policy DDM (~+6%) is the truer anchor, not the full-capacity read.</w:t>
      </w:r>
    </w:p>
    <w:p>
      <w:pPr>
        <w:pStyle w:val="ListBullet"/>
        <w:spacing w:after="60"/>
      </w:pPr>
      <w:r>
        <w:rPr>
          <w:rFonts w:ascii="Calibri" w:hAnsi="Calibri"/>
          <w:b/>
          <w:color w:val="20302C"/>
          <w:sz w:val="20"/>
        </w:rPr>
        <w:t>The tax step could deepen.</w:t>
      </w:r>
      <w:r>
        <w:rPr>
          <w:rFonts w:ascii="Calibri" w:hAnsi="Calibri"/>
          <w:b w:val="0"/>
          <w:color w:val="20302C"/>
          <w:sz w:val="20"/>
        </w:rPr>
        <w:t xml:space="preserve"> Pillar-Two mechanics are still bedding in; a higher effective rate would pull post-tax returns — and every lens — lower.</w:t>
      </w:r>
    </w:p>
    <w:p>
      <w:pPr>
        <w:pStyle w:val="ListBullet"/>
        <w:spacing w:after="60"/>
      </w:pPr>
      <w:r>
        <w:rPr>
          <w:rFonts w:ascii="Calibri" w:hAnsi="Calibri"/>
          <w:b/>
          <w:color w:val="20302C"/>
          <w:sz w:val="20"/>
        </w:rPr>
        <w:t>Rate cuts could bite harder.</w:t>
      </w:r>
      <w:r>
        <w:rPr>
          <w:rFonts w:ascii="Calibri" w:hAnsi="Calibri"/>
          <w:b w:val="0"/>
          <w:color w:val="20302C"/>
          <w:sz w:val="20"/>
        </w:rPr>
        <w:t xml:space="preserve"> A faster Fed/QCB easing cycle compresses margin more than modelled before volume growth catches up.</w:t>
      </w:r>
    </w:p>
    <w:p>
      <w:pPr>
        <w:pStyle w:val="ListBullet"/>
        <w:spacing w:after="60"/>
      </w:pPr>
      <w:r>
        <w:rPr>
          <w:rFonts w:ascii="Calibri" w:hAnsi="Calibri"/>
          <w:b/>
          <w:color w:val="20302C"/>
          <w:sz w:val="20"/>
        </w:rPr>
        <w:t>EM exposure cuts both ways.</w:t>
      </w:r>
      <w:r>
        <w:rPr>
          <w:rFonts w:ascii="Calibri" w:hAnsi="Calibri"/>
          <w:b w:val="0"/>
          <w:color w:val="20302C"/>
          <w:sz w:val="20"/>
        </w:rPr>
        <w:t xml:space="preserve"> Türkiye and Egypt add growth and translation risk; a lira or pound shock, or a Turkish credit deterioration, would hit the credit-cycle lens directly.</w:t>
      </w:r>
    </w:p>
    <w:p>
      <w:pPr>
        <w:pStyle w:val="ListBullet"/>
        <w:spacing w:after="60"/>
      </w:pPr>
      <w:r>
        <w:rPr>
          <w:rFonts w:ascii="Calibri" w:hAnsi="Calibri"/>
          <w:b/>
          <w:color w:val="20302C"/>
          <w:sz w:val="20"/>
        </w:rPr>
        <w:t>Terminal-value dependency.</w:t>
      </w:r>
      <w:r>
        <w:rPr>
          <w:rFonts w:ascii="Calibri" w:hAnsi="Calibri"/>
          <w:b w:val="0"/>
          <w:color w:val="20302C"/>
          <w:sz w:val="20"/>
        </w:rPr>
        <w:t xml:space="preserve"> The dividend model is ~82% terminal value; a half-point of Ke or g moves it materially, which is why §1.9 sensitizes both.</w:t>
      </w:r>
    </w:p>
    <w:p>
      <w:pPr>
        <w:pStyle w:val="ListBullet"/>
        <w:spacing w:after="60"/>
      </w:pPr>
      <w:r>
        <w:rPr>
          <w:rFonts w:ascii="Calibri" w:hAnsi="Calibri"/>
          <w:b/>
          <w:color w:val="20302C"/>
          <w:sz w:val="20"/>
        </w:rPr>
        <w:t>Concentration.</w:t>
      </w:r>
      <w:r>
        <w:rPr>
          <w:rFonts w:ascii="Calibri" w:hAnsi="Calibri"/>
          <w:b w:val="0"/>
          <w:color w:val="20302C"/>
          <w:sz w:val="20"/>
        </w:rPr>
        <w:t xml:space="preserve"> A ~50% sovereign owner and heavy Qatar weighting mean QNB's fortunes track one economy and one policy regime more than a diversified global bank.</w:t>
      </w:r>
    </w:p>
    <w:p>
      <w:pPr>
        <w:pStyle w:val="ListBullet"/>
        <w:spacing w:after="60"/>
      </w:pPr>
      <w:r>
        <w:rPr>
          <w:rFonts w:ascii="Calibri" w:hAnsi="Calibri"/>
          <w:b/>
          <w:color w:val="20302C"/>
          <w:sz w:val="20"/>
        </w:rPr>
        <w:t>Technical reminder.</w:t>
      </w:r>
      <w:r>
        <w:rPr>
          <w:rFonts w:ascii="Calibri" w:hAnsi="Calibri"/>
          <w:b w:val="0"/>
          <w:color w:val="20302C"/>
          <w:sz w:val="20"/>
        </w:rPr>
        <w:t xml:space="preserve"> A below-trend tape can persist; RSI in the high-30s is context, not a trigger. Mean-reversion bounces say nothing about value.</w:t>
      </w:r>
    </w:p>
    <w:p>
      <w:r>
        <w:br w:type="page"/>
      </w:r>
    </w:p>
    <w:p>
      <w:pPr>
        <w:spacing w:before="240" w:after="80"/>
        <w:pBdr>
          <w:bottom w:val="single" w:sz="6" w:space="2" w:color="C0A45F"/>
        </w:pBdr>
      </w:pPr>
      <w:r>
        <w:rPr>
          <w:rFonts w:ascii="Calibri" w:hAnsi="Calibri"/>
          <w:b/>
          <w:color w:val="2E6E68"/>
          <w:sz w:val="30"/>
        </w:rPr>
        <w:t>Appendix A  Financial statements</w:t>
      </w:r>
    </w:p>
    <w:p>
      <w:pPr>
        <w:spacing w:after="120" w:line="259" w:lineRule="auto"/>
      </w:pPr>
      <w:r>
        <w:rPr>
          <w:rFonts w:ascii="Calibri" w:hAnsi="Calibri"/>
          <w:b w:val="0"/>
          <w:i w:val="0"/>
          <w:color w:val="20302C"/>
          <w:sz w:val="20"/>
        </w:rPr>
        <w:t>Selected consolidated figures. Actuals are QNB Group's own disclosure (FY2023–FY2025 results, qnb.com); the five-year forecast is the preparer's, driven by the Assumptions layer of the companion model. All figures QAR million unless noted. FY2025 net profit growth (+1.7%) reflects the first full year of Pillar-Two global-minimum-tax.</w:t>
      </w:r>
    </w:p>
    <w:p>
      <w:pPr>
        <w:spacing w:before="180" w:after="40"/>
      </w:pPr>
      <w:r>
        <w:rPr>
          <w:rFonts w:ascii="Calibri" w:hAnsi="Calibri"/>
          <w:b/>
          <w:color w:val="1C3A36"/>
          <w:sz w:val="24"/>
        </w:rPr>
        <w:t>A.1  Income statement (consolidated, QAR mn) · 3-year actual + 5-year forecast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after="20" w:before="20"/>
              <w:jc w:val="left"/>
            </w:pPr>
            <w:r/>
            <w:r>
              <w:rPr>
                <w:rFonts w:ascii="Calibri" w:hAnsi="Calibri"/>
                <w:b/>
                <w:i w:val="0"/>
                <w:color w:val="FFFFFF"/>
                <w:sz w:val="18"/>
              </w:rPr>
              <w:t>QAR mn</w:t>
            </w:r>
          </w:p>
        </w:tc>
        <w:tc>
          <w:tcPr>
            <w:tcW w:type="dxa" w:w="922"/>
            <w:shd w:val="clear" w:fill="1C3A36"/>
          </w:tcPr>
          <w:p>
            <w:pPr>
              <w:spacing w:after="20" w:before="20"/>
              <w:jc w:val="right"/>
            </w:pPr>
            <w:r/>
            <w:r>
              <w:rPr>
                <w:rFonts w:ascii="Calibri" w:hAnsi="Calibri"/>
                <w:b/>
                <w:i w:val="0"/>
                <w:color w:val="FFFFFF"/>
                <w:sz w:val="18"/>
              </w:rPr>
              <w:t>FY23</w:t>
            </w:r>
          </w:p>
        </w:tc>
        <w:tc>
          <w:tcPr>
            <w:tcW w:type="dxa" w:w="922"/>
            <w:shd w:val="clear" w:fill="1C3A36"/>
          </w:tcPr>
          <w:p>
            <w:pPr>
              <w:spacing w:after="20" w:before="20"/>
              <w:jc w:val="right"/>
            </w:pPr>
            <w:r/>
            <w:r>
              <w:rPr>
                <w:rFonts w:ascii="Calibri" w:hAnsi="Calibri"/>
                <w:b/>
                <w:i w:val="0"/>
                <w:color w:val="FFFFFF"/>
                <w:sz w:val="18"/>
              </w:rPr>
              <w:t>FY24</w:t>
            </w:r>
          </w:p>
        </w:tc>
        <w:tc>
          <w:tcPr>
            <w:tcW w:type="dxa" w:w="922"/>
            <w:shd w:val="clear" w:fill="1C3A36"/>
          </w:tcPr>
          <w:p>
            <w:pPr>
              <w:spacing w:after="20" w:before="20"/>
              <w:jc w:val="right"/>
            </w:pPr>
            <w:r/>
            <w:r>
              <w:rPr>
                <w:rFonts w:ascii="Calibri" w:hAnsi="Calibri"/>
                <w:b/>
                <w:i w:val="0"/>
                <w:color w:val="FFFFFF"/>
                <w:sz w:val="18"/>
              </w:rPr>
              <w:t>FY25</w:t>
            </w:r>
          </w:p>
        </w:tc>
        <w:tc>
          <w:tcPr>
            <w:tcW w:type="dxa" w:w="922"/>
            <w:shd w:val="clear" w:fill="1C3A36"/>
          </w:tcPr>
          <w:p>
            <w:pPr>
              <w:spacing w:after="20" w:before="20"/>
              <w:jc w:val="right"/>
            </w:pPr>
            <w:r/>
            <w:r>
              <w:rPr>
                <w:rFonts w:ascii="Calibri" w:hAnsi="Calibri"/>
                <w:b/>
                <w:i w:val="0"/>
                <w:color w:val="FFFFFF"/>
                <w:sz w:val="18"/>
              </w:rPr>
              <w:t>FY26E</w:t>
            </w:r>
          </w:p>
        </w:tc>
        <w:tc>
          <w:tcPr>
            <w:tcW w:type="dxa" w:w="922"/>
            <w:shd w:val="clear" w:fill="1C3A36"/>
          </w:tcPr>
          <w:p>
            <w:pPr>
              <w:spacing w:after="20" w:before="20"/>
              <w:jc w:val="right"/>
            </w:pPr>
            <w:r/>
            <w:r>
              <w:rPr>
                <w:rFonts w:ascii="Calibri" w:hAnsi="Calibri"/>
                <w:b/>
                <w:i w:val="0"/>
                <w:color w:val="FFFFFF"/>
                <w:sz w:val="18"/>
              </w:rPr>
              <w:t>FY27E</w:t>
            </w:r>
          </w:p>
        </w:tc>
        <w:tc>
          <w:tcPr>
            <w:tcW w:type="dxa" w:w="922"/>
            <w:shd w:val="clear" w:fill="1C3A36"/>
          </w:tcPr>
          <w:p>
            <w:pPr>
              <w:spacing w:after="20" w:before="20"/>
              <w:jc w:val="right"/>
            </w:pPr>
            <w:r/>
            <w:r>
              <w:rPr>
                <w:rFonts w:ascii="Calibri" w:hAnsi="Calibri"/>
                <w:b/>
                <w:i w:val="0"/>
                <w:color w:val="FFFFFF"/>
                <w:sz w:val="18"/>
              </w:rPr>
              <w:t>FY28E</w:t>
            </w:r>
          </w:p>
        </w:tc>
        <w:tc>
          <w:tcPr>
            <w:tcW w:type="dxa" w:w="922"/>
            <w:shd w:val="clear" w:fill="1C3A36"/>
          </w:tcPr>
          <w:p>
            <w:pPr>
              <w:spacing w:after="20" w:before="20"/>
              <w:jc w:val="right"/>
            </w:pPr>
            <w:r/>
            <w:r>
              <w:rPr>
                <w:rFonts w:ascii="Calibri" w:hAnsi="Calibri"/>
                <w:b/>
                <w:i w:val="0"/>
                <w:color w:val="FFFFFF"/>
                <w:sz w:val="18"/>
              </w:rPr>
              <w:t>FY29E</w:t>
            </w:r>
          </w:p>
        </w:tc>
        <w:tc>
          <w:tcPr>
            <w:tcW w:type="dxa" w:w="922"/>
            <w:shd w:val="clear" w:fill="1C3A36"/>
          </w:tcPr>
          <w:p>
            <w:pPr>
              <w:spacing w:after="20" w:before="20"/>
              <w:jc w:val="right"/>
            </w:pPr>
            <w:r/>
            <w:r>
              <w:rPr>
                <w:rFonts w:ascii="Calibri" w:hAnsi="Calibri"/>
                <w:b/>
                <w:i w:val="0"/>
                <w:color w:val="FFFFFF"/>
                <w:sz w:val="18"/>
              </w:rPr>
              <w:t>FY30E</w:t>
            </w:r>
          </w:p>
        </w:tc>
      </w:tr>
      <w:tr>
        <w:tc>
          <w:tcPr>
            <w:tcW w:type="dxa" w:w="2736"/>
          </w:tcPr>
          <w:p>
            <w:pPr>
              <w:spacing w:after="20" w:before="20"/>
              <w:jc w:val="left"/>
            </w:pPr>
            <w:r/>
            <w:r>
              <w:rPr>
                <w:rFonts w:ascii="Calibri" w:hAnsi="Calibri"/>
                <w:b w:val="0"/>
                <w:i w:val="0"/>
                <w:color w:val="20302C"/>
                <w:sz w:val="18"/>
              </w:rPr>
              <w:t>Operating income</w:t>
            </w:r>
          </w:p>
        </w:tc>
        <w:tc>
          <w:tcPr>
            <w:tcW w:type="dxa" w:w="922"/>
          </w:tcPr>
          <w:p>
            <w:pPr>
              <w:spacing w:after="20" w:before="20"/>
              <w:jc w:val="right"/>
            </w:pPr>
            <w:r/>
            <w:r>
              <w:rPr>
                <w:rFonts w:ascii="Calibri" w:hAnsi="Calibri"/>
                <w:b w:val="0"/>
                <w:i w:val="0"/>
                <w:color w:val="20302C"/>
                <w:sz w:val="18"/>
              </w:rPr>
              <w:t>38,960</w:t>
            </w:r>
          </w:p>
        </w:tc>
        <w:tc>
          <w:tcPr>
            <w:tcW w:type="dxa" w:w="922"/>
          </w:tcPr>
          <w:p>
            <w:pPr>
              <w:spacing w:after="20" w:before="20"/>
              <w:jc w:val="right"/>
            </w:pPr>
            <w:r/>
            <w:r>
              <w:rPr>
                <w:rFonts w:ascii="Calibri" w:hAnsi="Calibri"/>
                <w:b w:val="0"/>
                <w:i w:val="0"/>
                <w:color w:val="20302C"/>
                <w:sz w:val="18"/>
              </w:rPr>
              <w:t>41,300</w:t>
            </w:r>
          </w:p>
        </w:tc>
        <w:tc>
          <w:tcPr>
            <w:tcW w:type="dxa" w:w="922"/>
          </w:tcPr>
          <w:p>
            <w:pPr>
              <w:spacing w:after="20" w:before="20"/>
              <w:jc w:val="right"/>
            </w:pPr>
            <w:r/>
            <w:r>
              <w:rPr>
                <w:rFonts w:ascii="Calibri" w:hAnsi="Calibri"/>
                <w:b w:val="0"/>
                <w:i w:val="0"/>
                <w:color w:val="20302C"/>
                <w:sz w:val="18"/>
              </w:rPr>
              <w:t>44,800</w:t>
            </w:r>
          </w:p>
        </w:tc>
        <w:tc>
          <w:tcPr>
            <w:tcW w:type="dxa" w:w="922"/>
          </w:tcPr>
          <w:p>
            <w:pPr>
              <w:spacing w:after="20" w:before="20"/>
              <w:jc w:val="right"/>
            </w:pPr>
            <w:r/>
            <w:r>
              <w:rPr>
                <w:rFonts w:ascii="Calibri" w:hAnsi="Calibri"/>
                <w:b w:val="0"/>
                <w:i w:val="0"/>
                <w:color w:val="20302C"/>
                <w:sz w:val="18"/>
              </w:rPr>
              <w:t>47,040</w:t>
            </w:r>
          </w:p>
        </w:tc>
        <w:tc>
          <w:tcPr>
            <w:tcW w:type="dxa" w:w="922"/>
          </w:tcPr>
          <w:p>
            <w:pPr>
              <w:spacing w:after="20" w:before="20"/>
              <w:jc w:val="right"/>
            </w:pPr>
            <w:r/>
            <w:r>
              <w:rPr>
                <w:rFonts w:ascii="Calibri" w:hAnsi="Calibri"/>
                <w:b w:val="0"/>
                <w:i w:val="0"/>
                <w:color w:val="20302C"/>
                <w:sz w:val="18"/>
              </w:rPr>
              <w:t>50,098</w:t>
            </w:r>
          </w:p>
        </w:tc>
        <w:tc>
          <w:tcPr>
            <w:tcW w:type="dxa" w:w="922"/>
          </w:tcPr>
          <w:p>
            <w:pPr>
              <w:spacing w:after="20" w:before="20"/>
              <w:jc w:val="right"/>
            </w:pPr>
            <w:r/>
            <w:r>
              <w:rPr>
                <w:rFonts w:ascii="Calibri" w:hAnsi="Calibri"/>
                <w:b w:val="0"/>
                <w:i w:val="0"/>
                <w:color w:val="20302C"/>
                <w:sz w:val="18"/>
              </w:rPr>
              <w:t>53,855</w:t>
            </w:r>
          </w:p>
        </w:tc>
        <w:tc>
          <w:tcPr>
            <w:tcW w:type="dxa" w:w="922"/>
          </w:tcPr>
          <w:p>
            <w:pPr>
              <w:spacing w:after="20" w:before="20"/>
              <w:jc w:val="right"/>
            </w:pPr>
            <w:r/>
            <w:r>
              <w:rPr>
                <w:rFonts w:ascii="Calibri" w:hAnsi="Calibri"/>
                <w:b w:val="0"/>
                <w:i w:val="0"/>
                <w:color w:val="20302C"/>
                <w:sz w:val="18"/>
              </w:rPr>
              <w:t>58,163</w:t>
            </w:r>
          </w:p>
        </w:tc>
        <w:tc>
          <w:tcPr>
            <w:tcW w:type="dxa" w:w="922"/>
          </w:tcPr>
          <w:p>
            <w:pPr>
              <w:spacing w:after="20" w:before="20"/>
              <w:jc w:val="right"/>
            </w:pPr>
            <w:r/>
            <w:r>
              <w:rPr>
                <w:rFonts w:ascii="Calibri" w:hAnsi="Calibri"/>
                <w:b w:val="0"/>
                <w:i w:val="0"/>
                <w:color w:val="20302C"/>
                <w:sz w:val="18"/>
              </w:rPr>
              <w:t>62,816</w:t>
            </w:r>
          </w:p>
        </w:tc>
      </w:tr>
      <w:tr>
        <w:tc>
          <w:tcPr>
            <w:tcW w:type="dxa" w:w="2736"/>
          </w:tcPr>
          <w:p>
            <w:pPr>
              <w:spacing w:after="20" w:before="20"/>
              <w:jc w:val="left"/>
            </w:pPr>
            <w:r/>
            <w:r>
              <w:rPr>
                <w:rFonts w:ascii="Calibri" w:hAnsi="Calibri"/>
                <w:b w:val="0"/>
                <w:i w:val="0"/>
                <w:color w:val="20302C"/>
                <w:sz w:val="18"/>
              </w:rPr>
              <w:t>Operating expenses</w:t>
            </w:r>
          </w:p>
        </w:tc>
        <w:tc>
          <w:tcPr>
            <w:tcW w:type="dxa" w:w="922"/>
          </w:tcPr>
          <w:p>
            <w:pPr>
              <w:spacing w:after="20" w:before="20"/>
              <w:jc w:val="right"/>
            </w:pPr>
            <w:r/>
            <w:r>
              <w:rPr>
                <w:rFonts w:ascii="Calibri" w:hAnsi="Calibri"/>
                <w:b w:val="0"/>
                <w:i w:val="0"/>
                <w:color w:val="20302C"/>
                <w:sz w:val="18"/>
              </w:rPr>
              <w:t>-8,805</w:t>
            </w:r>
          </w:p>
        </w:tc>
        <w:tc>
          <w:tcPr>
            <w:tcW w:type="dxa" w:w="922"/>
          </w:tcPr>
          <w:p>
            <w:pPr>
              <w:spacing w:after="20" w:before="20"/>
              <w:jc w:val="right"/>
            </w:pPr>
            <w:r/>
            <w:r>
              <w:rPr>
                <w:rFonts w:ascii="Calibri" w:hAnsi="Calibri"/>
                <w:b w:val="0"/>
                <w:i w:val="0"/>
                <w:color w:val="20302C"/>
                <w:sz w:val="18"/>
              </w:rPr>
              <w:t>-9,210</w:t>
            </w:r>
          </w:p>
        </w:tc>
        <w:tc>
          <w:tcPr>
            <w:tcW w:type="dxa" w:w="922"/>
          </w:tcPr>
          <w:p>
            <w:pPr>
              <w:spacing w:after="20" w:before="20"/>
              <w:jc w:val="right"/>
            </w:pPr>
            <w:r/>
            <w:r>
              <w:rPr>
                <w:rFonts w:ascii="Calibri" w:hAnsi="Calibri"/>
                <w:b w:val="0"/>
                <w:i w:val="0"/>
                <w:color w:val="20302C"/>
                <w:sz w:val="18"/>
              </w:rPr>
              <w:t>-10,438</w:t>
            </w:r>
          </w:p>
        </w:tc>
        <w:tc>
          <w:tcPr>
            <w:tcW w:type="dxa" w:w="922"/>
          </w:tcPr>
          <w:p>
            <w:pPr>
              <w:spacing w:after="20" w:before="20"/>
              <w:jc w:val="right"/>
            </w:pPr>
            <w:r/>
            <w:r>
              <w:rPr>
                <w:rFonts w:ascii="Calibri" w:hAnsi="Calibri"/>
                <w:b w:val="0"/>
                <w:i w:val="0"/>
                <w:color w:val="20302C"/>
                <w:sz w:val="18"/>
              </w:rPr>
              <w:t>-11,290</w:t>
            </w:r>
          </w:p>
        </w:tc>
        <w:tc>
          <w:tcPr>
            <w:tcW w:type="dxa" w:w="922"/>
          </w:tcPr>
          <w:p>
            <w:pPr>
              <w:spacing w:after="20" w:before="20"/>
              <w:jc w:val="right"/>
            </w:pPr>
            <w:r/>
            <w:r>
              <w:rPr>
                <w:rFonts w:ascii="Calibri" w:hAnsi="Calibri"/>
                <w:b w:val="0"/>
                <w:i w:val="0"/>
                <w:color w:val="20302C"/>
                <w:sz w:val="18"/>
              </w:rPr>
              <w:t>-12,023</w:t>
            </w:r>
          </w:p>
        </w:tc>
        <w:tc>
          <w:tcPr>
            <w:tcW w:type="dxa" w:w="922"/>
          </w:tcPr>
          <w:p>
            <w:pPr>
              <w:spacing w:after="20" w:before="20"/>
              <w:jc w:val="right"/>
            </w:pPr>
            <w:r/>
            <w:r>
              <w:rPr>
                <w:rFonts w:ascii="Calibri" w:hAnsi="Calibri"/>
                <w:b w:val="0"/>
                <w:i w:val="0"/>
                <w:color w:val="20302C"/>
                <w:sz w:val="18"/>
              </w:rPr>
              <w:t>-12,925</w:t>
            </w:r>
          </w:p>
        </w:tc>
        <w:tc>
          <w:tcPr>
            <w:tcW w:type="dxa" w:w="922"/>
          </w:tcPr>
          <w:p>
            <w:pPr>
              <w:spacing w:after="20" w:before="20"/>
              <w:jc w:val="right"/>
            </w:pPr>
            <w:r/>
            <w:r>
              <w:rPr>
                <w:rFonts w:ascii="Calibri" w:hAnsi="Calibri"/>
                <w:b w:val="0"/>
                <w:i w:val="0"/>
                <w:color w:val="20302C"/>
                <w:sz w:val="18"/>
              </w:rPr>
              <w:t>-13,959</w:t>
            </w:r>
          </w:p>
        </w:tc>
        <w:tc>
          <w:tcPr>
            <w:tcW w:type="dxa" w:w="922"/>
          </w:tcPr>
          <w:p>
            <w:pPr>
              <w:spacing w:after="20" w:before="20"/>
              <w:jc w:val="right"/>
            </w:pPr>
            <w:r/>
            <w:r>
              <w:rPr>
                <w:rFonts w:ascii="Calibri" w:hAnsi="Calibri"/>
                <w:b w:val="0"/>
                <w:i w:val="0"/>
                <w:color w:val="20302C"/>
                <w:sz w:val="18"/>
              </w:rPr>
              <w:t>-15,076</w:t>
            </w:r>
          </w:p>
        </w:tc>
      </w:tr>
      <w:tr>
        <w:tc>
          <w:tcPr>
            <w:tcW w:type="dxa" w:w="2736"/>
          </w:tcPr>
          <w:p>
            <w:pPr>
              <w:spacing w:after="20" w:before="20"/>
              <w:jc w:val="left"/>
            </w:pPr>
            <w:r/>
            <w:r>
              <w:rPr>
                <w:rFonts w:ascii="Calibri" w:hAnsi="Calibri"/>
                <w:b w:val="0"/>
                <w:i w:val="0"/>
                <w:color w:val="20302C"/>
                <w:sz w:val="18"/>
              </w:rPr>
              <w:t>Pre-provision operating profit</w:t>
            </w:r>
          </w:p>
        </w:tc>
        <w:tc>
          <w:tcPr>
            <w:tcW w:type="dxa" w:w="922"/>
          </w:tcPr>
          <w:p>
            <w:pPr>
              <w:spacing w:after="20" w:before="20"/>
              <w:jc w:val="right"/>
            </w:pPr>
            <w:r/>
            <w:r>
              <w:rPr>
                <w:rFonts w:ascii="Calibri" w:hAnsi="Calibri"/>
                <w:b w:val="0"/>
                <w:i w:val="0"/>
                <w:color w:val="20302C"/>
                <w:sz w:val="18"/>
              </w:rPr>
              <w:t>30,155</w:t>
            </w:r>
          </w:p>
        </w:tc>
        <w:tc>
          <w:tcPr>
            <w:tcW w:type="dxa" w:w="922"/>
          </w:tcPr>
          <w:p>
            <w:pPr>
              <w:spacing w:after="20" w:before="20"/>
              <w:jc w:val="right"/>
            </w:pPr>
            <w:r/>
            <w:r>
              <w:rPr>
                <w:rFonts w:ascii="Calibri" w:hAnsi="Calibri"/>
                <w:b w:val="0"/>
                <w:i w:val="0"/>
                <w:color w:val="20302C"/>
                <w:sz w:val="18"/>
              </w:rPr>
              <w:t>32,090</w:t>
            </w:r>
          </w:p>
        </w:tc>
        <w:tc>
          <w:tcPr>
            <w:tcW w:type="dxa" w:w="922"/>
          </w:tcPr>
          <w:p>
            <w:pPr>
              <w:spacing w:after="20" w:before="20"/>
              <w:jc w:val="right"/>
            </w:pPr>
            <w:r/>
            <w:r>
              <w:rPr>
                <w:rFonts w:ascii="Calibri" w:hAnsi="Calibri"/>
                <w:b w:val="0"/>
                <w:i w:val="0"/>
                <w:color w:val="20302C"/>
                <w:sz w:val="18"/>
              </w:rPr>
              <w:t>34,362</w:t>
            </w:r>
          </w:p>
        </w:tc>
        <w:tc>
          <w:tcPr>
            <w:tcW w:type="dxa" w:w="922"/>
          </w:tcPr>
          <w:p>
            <w:pPr>
              <w:spacing w:after="20" w:before="20"/>
              <w:jc w:val="right"/>
            </w:pPr>
            <w:r/>
            <w:r>
              <w:rPr>
                <w:rFonts w:ascii="Calibri" w:hAnsi="Calibri"/>
                <w:b w:val="0"/>
                <w:i w:val="0"/>
                <w:color w:val="20302C"/>
                <w:sz w:val="18"/>
              </w:rPr>
              <w:t>35,750</w:t>
            </w:r>
          </w:p>
        </w:tc>
        <w:tc>
          <w:tcPr>
            <w:tcW w:type="dxa" w:w="922"/>
          </w:tcPr>
          <w:p>
            <w:pPr>
              <w:spacing w:after="20" w:before="20"/>
              <w:jc w:val="right"/>
            </w:pPr>
            <w:r/>
            <w:r>
              <w:rPr>
                <w:rFonts w:ascii="Calibri" w:hAnsi="Calibri"/>
                <w:b w:val="0"/>
                <w:i w:val="0"/>
                <w:color w:val="20302C"/>
                <w:sz w:val="18"/>
              </w:rPr>
              <w:t>38,074</w:t>
            </w:r>
          </w:p>
        </w:tc>
        <w:tc>
          <w:tcPr>
            <w:tcW w:type="dxa" w:w="922"/>
          </w:tcPr>
          <w:p>
            <w:pPr>
              <w:spacing w:after="20" w:before="20"/>
              <w:jc w:val="right"/>
            </w:pPr>
            <w:r/>
            <w:r>
              <w:rPr>
                <w:rFonts w:ascii="Calibri" w:hAnsi="Calibri"/>
                <w:b w:val="0"/>
                <w:i w:val="0"/>
                <w:color w:val="20302C"/>
                <w:sz w:val="18"/>
              </w:rPr>
              <w:t>40,930</w:t>
            </w:r>
          </w:p>
        </w:tc>
        <w:tc>
          <w:tcPr>
            <w:tcW w:type="dxa" w:w="922"/>
          </w:tcPr>
          <w:p>
            <w:pPr>
              <w:spacing w:after="20" w:before="20"/>
              <w:jc w:val="right"/>
            </w:pPr>
            <w:r/>
            <w:r>
              <w:rPr>
                <w:rFonts w:ascii="Calibri" w:hAnsi="Calibri"/>
                <w:b w:val="0"/>
                <w:i w:val="0"/>
                <w:color w:val="20302C"/>
                <w:sz w:val="18"/>
              </w:rPr>
              <w:t>44,204</w:t>
            </w:r>
          </w:p>
        </w:tc>
        <w:tc>
          <w:tcPr>
            <w:tcW w:type="dxa" w:w="922"/>
          </w:tcPr>
          <w:p>
            <w:pPr>
              <w:spacing w:after="20" w:before="20"/>
              <w:jc w:val="right"/>
            </w:pPr>
            <w:r/>
            <w:r>
              <w:rPr>
                <w:rFonts w:ascii="Calibri" w:hAnsi="Calibri"/>
                <w:b w:val="0"/>
                <w:i w:val="0"/>
                <w:color w:val="20302C"/>
                <w:sz w:val="18"/>
              </w:rPr>
              <w:t>47,740</w:t>
            </w:r>
          </w:p>
        </w:tc>
      </w:tr>
      <w:tr>
        <w:tc>
          <w:tcPr>
            <w:tcW w:type="dxa" w:w="2736"/>
          </w:tcPr>
          <w:p>
            <w:pPr>
              <w:spacing w:after="20" w:before="20"/>
              <w:jc w:val="left"/>
            </w:pPr>
            <w:r/>
            <w:r>
              <w:rPr>
                <w:rFonts w:ascii="Calibri" w:hAnsi="Calibri"/>
                <w:b w:val="0"/>
                <w:i w:val="0"/>
                <w:color w:val="20302C"/>
                <w:sz w:val="18"/>
              </w:rPr>
              <w:t>Net loan-loss / ECL charge</w:t>
            </w:r>
          </w:p>
        </w:tc>
        <w:tc>
          <w:tcPr>
            <w:tcW w:type="dxa" w:w="922"/>
          </w:tcPr>
          <w:p>
            <w:pPr>
              <w:spacing w:after="20" w:before="20"/>
              <w:jc w:val="right"/>
            </w:pPr>
            <w:r/>
            <w:r>
              <w:rPr>
                <w:rFonts w:ascii="Calibri" w:hAnsi="Calibri"/>
                <w:b w:val="0"/>
                <w:i w:val="0"/>
                <w:color w:val="20302C"/>
                <w:sz w:val="18"/>
              </w:rPr>
              <w:t>-8,600</w:t>
            </w:r>
          </w:p>
        </w:tc>
        <w:tc>
          <w:tcPr>
            <w:tcW w:type="dxa" w:w="922"/>
          </w:tcPr>
          <w:p>
            <w:pPr>
              <w:spacing w:after="20" w:before="20"/>
              <w:jc w:val="right"/>
            </w:pPr>
            <w:r/>
            <w:r>
              <w:rPr>
                <w:rFonts w:ascii="Calibri" w:hAnsi="Calibri"/>
                <w:b w:val="0"/>
                <w:i w:val="0"/>
                <w:color w:val="20302C"/>
                <w:sz w:val="18"/>
              </w:rPr>
              <w:t>-8,100</w:t>
            </w:r>
          </w:p>
        </w:tc>
        <w:tc>
          <w:tcPr>
            <w:tcW w:type="dxa" w:w="922"/>
          </w:tcPr>
          <w:p>
            <w:pPr>
              <w:spacing w:after="20" w:before="20"/>
              <w:jc w:val="right"/>
            </w:pPr>
            <w:r/>
            <w:r>
              <w:rPr>
                <w:rFonts w:ascii="Calibri" w:hAnsi="Calibri"/>
                <w:b w:val="0"/>
                <w:i w:val="0"/>
                <w:color w:val="20302C"/>
                <w:sz w:val="18"/>
              </w:rPr>
              <w:t>-8,500</w:t>
            </w:r>
          </w:p>
        </w:tc>
        <w:tc>
          <w:tcPr>
            <w:tcW w:type="dxa" w:w="922"/>
          </w:tcPr>
          <w:p>
            <w:pPr>
              <w:spacing w:after="20" w:before="20"/>
              <w:jc w:val="right"/>
            </w:pPr>
            <w:r/>
            <w:r>
              <w:rPr>
                <w:rFonts w:ascii="Calibri" w:hAnsi="Calibri"/>
                <w:b w:val="0"/>
                <w:i w:val="0"/>
                <w:color w:val="20302C"/>
                <w:sz w:val="18"/>
              </w:rPr>
              <w:t>-8,938</w:t>
            </w:r>
          </w:p>
        </w:tc>
        <w:tc>
          <w:tcPr>
            <w:tcW w:type="dxa" w:w="922"/>
          </w:tcPr>
          <w:p>
            <w:pPr>
              <w:spacing w:after="20" w:before="20"/>
              <w:jc w:val="right"/>
            </w:pPr>
            <w:r/>
            <w:r>
              <w:rPr>
                <w:rFonts w:ascii="Calibri" w:hAnsi="Calibri"/>
                <w:b w:val="0"/>
                <w:i w:val="0"/>
                <w:color w:val="20302C"/>
                <w:sz w:val="18"/>
              </w:rPr>
              <w:t>-9,519</w:t>
            </w:r>
          </w:p>
        </w:tc>
        <w:tc>
          <w:tcPr>
            <w:tcW w:type="dxa" w:w="922"/>
          </w:tcPr>
          <w:p>
            <w:pPr>
              <w:spacing w:after="20" w:before="20"/>
              <w:jc w:val="right"/>
            </w:pPr>
            <w:r/>
            <w:r>
              <w:rPr>
                <w:rFonts w:ascii="Calibri" w:hAnsi="Calibri"/>
                <w:b w:val="0"/>
                <w:i w:val="0"/>
                <w:color w:val="20302C"/>
                <w:sz w:val="18"/>
              </w:rPr>
              <w:t>-10,232</w:t>
            </w:r>
          </w:p>
        </w:tc>
        <w:tc>
          <w:tcPr>
            <w:tcW w:type="dxa" w:w="922"/>
          </w:tcPr>
          <w:p>
            <w:pPr>
              <w:spacing w:after="20" w:before="20"/>
              <w:jc w:val="right"/>
            </w:pPr>
            <w:r/>
            <w:r>
              <w:rPr>
                <w:rFonts w:ascii="Calibri" w:hAnsi="Calibri"/>
                <w:b w:val="0"/>
                <w:i w:val="0"/>
                <w:color w:val="20302C"/>
                <w:sz w:val="18"/>
              </w:rPr>
              <w:t>-11,051</w:t>
            </w:r>
          </w:p>
        </w:tc>
        <w:tc>
          <w:tcPr>
            <w:tcW w:type="dxa" w:w="922"/>
          </w:tcPr>
          <w:p>
            <w:pPr>
              <w:spacing w:after="20" w:before="20"/>
              <w:jc w:val="right"/>
            </w:pPr>
            <w:r/>
            <w:r>
              <w:rPr>
                <w:rFonts w:ascii="Calibri" w:hAnsi="Calibri"/>
                <w:b w:val="0"/>
                <w:i w:val="0"/>
                <w:color w:val="20302C"/>
                <w:sz w:val="18"/>
              </w:rPr>
              <w:t>-11,935</w:t>
            </w:r>
          </w:p>
        </w:tc>
      </w:tr>
      <w:tr>
        <w:tc>
          <w:tcPr>
            <w:tcW w:type="dxa" w:w="2736"/>
          </w:tcPr>
          <w:p>
            <w:pPr>
              <w:spacing w:after="20" w:before="20"/>
              <w:jc w:val="left"/>
            </w:pPr>
            <w:r/>
            <w:r>
              <w:rPr>
                <w:rFonts w:ascii="Calibri" w:hAnsi="Calibri"/>
                <w:b w:val="0"/>
                <w:i w:val="0"/>
                <w:color w:val="20302C"/>
                <w:sz w:val="18"/>
              </w:rPr>
              <w:t>Profit before tax</w:t>
            </w:r>
          </w:p>
        </w:tc>
        <w:tc>
          <w:tcPr>
            <w:tcW w:type="dxa" w:w="922"/>
          </w:tcPr>
          <w:p>
            <w:pPr>
              <w:spacing w:after="20" w:before="20"/>
              <w:jc w:val="right"/>
            </w:pPr>
            <w:r/>
            <w:r>
              <w:rPr>
                <w:rFonts w:ascii="Calibri" w:hAnsi="Calibri"/>
                <w:b w:val="0"/>
                <w:i w:val="0"/>
                <w:color w:val="20302C"/>
                <w:sz w:val="18"/>
              </w:rPr>
              <w:t>21,555</w:t>
            </w:r>
          </w:p>
        </w:tc>
        <w:tc>
          <w:tcPr>
            <w:tcW w:type="dxa" w:w="922"/>
          </w:tcPr>
          <w:p>
            <w:pPr>
              <w:spacing w:after="20" w:before="20"/>
              <w:jc w:val="right"/>
            </w:pPr>
            <w:r/>
            <w:r>
              <w:rPr>
                <w:rFonts w:ascii="Calibri" w:hAnsi="Calibri"/>
                <w:b w:val="0"/>
                <w:i w:val="0"/>
                <w:color w:val="20302C"/>
                <w:sz w:val="18"/>
              </w:rPr>
              <w:t>23,990</w:t>
            </w:r>
          </w:p>
        </w:tc>
        <w:tc>
          <w:tcPr>
            <w:tcW w:type="dxa" w:w="922"/>
          </w:tcPr>
          <w:p>
            <w:pPr>
              <w:spacing w:after="20" w:before="20"/>
              <w:jc w:val="right"/>
            </w:pPr>
            <w:r/>
            <w:r>
              <w:rPr>
                <w:rFonts w:ascii="Calibri" w:hAnsi="Calibri"/>
                <w:b w:val="0"/>
                <w:i w:val="0"/>
                <w:color w:val="20302C"/>
                <w:sz w:val="18"/>
              </w:rPr>
              <w:t>25,862</w:t>
            </w:r>
          </w:p>
        </w:tc>
        <w:tc>
          <w:tcPr>
            <w:tcW w:type="dxa" w:w="922"/>
          </w:tcPr>
          <w:p>
            <w:pPr>
              <w:spacing w:after="20" w:before="20"/>
              <w:jc w:val="right"/>
            </w:pPr>
            <w:r/>
            <w:r>
              <w:rPr>
                <w:rFonts w:ascii="Calibri" w:hAnsi="Calibri"/>
                <w:b w:val="0"/>
                <w:i w:val="0"/>
                <w:color w:val="20302C"/>
                <w:sz w:val="18"/>
              </w:rPr>
              <w:t>26,813</w:t>
            </w:r>
          </w:p>
        </w:tc>
        <w:tc>
          <w:tcPr>
            <w:tcW w:type="dxa" w:w="922"/>
          </w:tcPr>
          <w:p>
            <w:pPr>
              <w:spacing w:after="20" w:before="20"/>
              <w:jc w:val="right"/>
            </w:pPr>
            <w:r/>
            <w:r>
              <w:rPr>
                <w:rFonts w:ascii="Calibri" w:hAnsi="Calibri"/>
                <w:b w:val="0"/>
                <w:i w:val="0"/>
                <w:color w:val="20302C"/>
                <w:sz w:val="18"/>
              </w:rPr>
              <w:t>28,556</w:t>
            </w:r>
          </w:p>
        </w:tc>
        <w:tc>
          <w:tcPr>
            <w:tcW w:type="dxa" w:w="922"/>
          </w:tcPr>
          <w:p>
            <w:pPr>
              <w:spacing w:after="20" w:before="20"/>
              <w:jc w:val="right"/>
            </w:pPr>
            <w:r/>
            <w:r>
              <w:rPr>
                <w:rFonts w:ascii="Calibri" w:hAnsi="Calibri"/>
                <w:b w:val="0"/>
                <w:i w:val="0"/>
                <w:color w:val="20302C"/>
                <w:sz w:val="18"/>
              </w:rPr>
              <w:t>30,697</w:t>
            </w:r>
          </w:p>
        </w:tc>
        <w:tc>
          <w:tcPr>
            <w:tcW w:type="dxa" w:w="922"/>
          </w:tcPr>
          <w:p>
            <w:pPr>
              <w:spacing w:after="20" w:before="20"/>
              <w:jc w:val="right"/>
            </w:pPr>
            <w:r/>
            <w:r>
              <w:rPr>
                <w:rFonts w:ascii="Calibri" w:hAnsi="Calibri"/>
                <w:b w:val="0"/>
                <w:i w:val="0"/>
                <w:color w:val="20302C"/>
                <w:sz w:val="18"/>
              </w:rPr>
              <w:t>33,153</w:t>
            </w:r>
          </w:p>
        </w:tc>
        <w:tc>
          <w:tcPr>
            <w:tcW w:type="dxa" w:w="922"/>
          </w:tcPr>
          <w:p>
            <w:pPr>
              <w:spacing w:after="20" w:before="20"/>
              <w:jc w:val="right"/>
            </w:pPr>
            <w:r/>
            <w:r>
              <w:rPr>
                <w:rFonts w:ascii="Calibri" w:hAnsi="Calibri"/>
                <w:b w:val="0"/>
                <w:i w:val="0"/>
                <w:color w:val="20302C"/>
                <w:sz w:val="18"/>
              </w:rPr>
              <w:t>35,805</w:t>
            </w:r>
          </w:p>
        </w:tc>
      </w:tr>
      <w:tr>
        <w:tc>
          <w:tcPr>
            <w:tcW w:type="dxa" w:w="2736"/>
          </w:tcPr>
          <w:p>
            <w:pPr>
              <w:spacing w:after="20" w:before="20"/>
              <w:jc w:val="left"/>
            </w:pPr>
            <w:r/>
            <w:r>
              <w:rPr>
                <w:rFonts w:ascii="Calibri" w:hAnsi="Calibri"/>
                <w:b w:val="0"/>
                <w:i w:val="0"/>
                <w:color w:val="20302C"/>
                <w:sz w:val="18"/>
              </w:rPr>
              <w:t>Tax (incl. Pillar Two FY25+)</w:t>
            </w:r>
          </w:p>
        </w:tc>
        <w:tc>
          <w:tcPr>
            <w:tcW w:type="dxa" w:w="922"/>
          </w:tcPr>
          <w:p>
            <w:pPr>
              <w:spacing w:after="20" w:before="20"/>
              <w:jc w:val="right"/>
            </w:pPr>
            <w:r/>
            <w:r>
              <w:rPr>
                <w:rFonts w:ascii="Calibri" w:hAnsi="Calibri"/>
                <w:b w:val="0"/>
                <w:i w:val="0"/>
                <w:color w:val="20302C"/>
                <w:sz w:val="18"/>
              </w:rPr>
              <w:t>(465)</w:t>
            </w:r>
          </w:p>
        </w:tc>
        <w:tc>
          <w:tcPr>
            <w:tcW w:type="dxa" w:w="922"/>
          </w:tcPr>
          <w:p>
            <w:pPr>
              <w:spacing w:after="20" w:before="20"/>
              <w:jc w:val="right"/>
            </w:pPr>
            <w:r/>
            <w:r>
              <w:rPr>
                <w:rFonts w:ascii="Calibri" w:hAnsi="Calibri"/>
                <w:b w:val="0"/>
                <w:i w:val="0"/>
                <w:color w:val="20302C"/>
                <w:sz w:val="18"/>
              </w:rPr>
              <w:t>(501)</w:t>
            </w:r>
          </w:p>
        </w:tc>
        <w:tc>
          <w:tcPr>
            <w:tcW w:type="dxa" w:w="922"/>
          </w:tcPr>
          <w:p>
            <w:pPr>
              <w:spacing w:after="20" w:before="20"/>
              <w:jc w:val="right"/>
            </w:pPr>
            <w:r/>
            <w:r>
              <w:rPr>
                <w:rFonts w:ascii="Calibri" w:hAnsi="Calibri"/>
                <w:b w:val="0"/>
                <w:i w:val="0"/>
                <w:color w:val="20302C"/>
                <w:sz w:val="18"/>
              </w:rPr>
              <w:t>(1,400)</w:t>
            </w:r>
          </w:p>
        </w:tc>
        <w:tc>
          <w:tcPr>
            <w:tcW w:type="dxa" w:w="922"/>
          </w:tcPr>
          <w:p>
            <w:pPr>
              <w:spacing w:after="20" w:before="20"/>
              <w:jc w:val="right"/>
            </w:pPr>
            <w:r/>
            <w:r>
              <w:rPr>
                <w:rFonts w:ascii="Calibri" w:hAnsi="Calibri"/>
                <w:b w:val="0"/>
                <w:i w:val="0"/>
                <w:color w:val="20302C"/>
                <w:sz w:val="18"/>
              </w:rPr>
              <w:t>-4,022</w:t>
            </w:r>
          </w:p>
        </w:tc>
        <w:tc>
          <w:tcPr>
            <w:tcW w:type="dxa" w:w="922"/>
          </w:tcPr>
          <w:p>
            <w:pPr>
              <w:spacing w:after="20" w:before="20"/>
              <w:jc w:val="right"/>
            </w:pPr>
            <w:r/>
            <w:r>
              <w:rPr>
                <w:rFonts w:ascii="Calibri" w:hAnsi="Calibri"/>
                <w:b w:val="0"/>
                <w:i w:val="0"/>
                <w:color w:val="20302C"/>
                <w:sz w:val="18"/>
              </w:rPr>
              <w:t>-4,283</w:t>
            </w:r>
          </w:p>
        </w:tc>
        <w:tc>
          <w:tcPr>
            <w:tcW w:type="dxa" w:w="922"/>
          </w:tcPr>
          <w:p>
            <w:pPr>
              <w:spacing w:after="20" w:before="20"/>
              <w:jc w:val="right"/>
            </w:pPr>
            <w:r/>
            <w:r>
              <w:rPr>
                <w:rFonts w:ascii="Calibri" w:hAnsi="Calibri"/>
                <w:b w:val="0"/>
                <w:i w:val="0"/>
                <w:color w:val="20302C"/>
                <w:sz w:val="18"/>
              </w:rPr>
              <w:t>-4,605</w:t>
            </w:r>
          </w:p>
        </w:tc>
        <w:tc>
          <w:tcPr>
            <w:tcW w:type="dxa" w:w="922"/>
          </w:tcPr>
          <w:p>
            <w:pPr>
              <w:spacing w:after="20" w:before="20"/>
              <w:jc w:val="right"/>
            </w:pPr>
            <w:r/>
            <w:r>
              <w:rPr>
                <w:rFonts w:ascii="Calibri" w:hAnsi="Calibri"/>
                <w:b w:val="0"/>
                <w:i w:val="0"/>
                <w:color w:val="20302C"/>
                <w:sz w:val="18"/>
              </w:rPr>
              <w:t>-4,973</w:t>
            </w:r>
          </w:p>
        </w:tc>
        <w:tc>
          <w:tcPr>
            <w:tcW w:type="dxa" w:w="922"/>
          </w:tcPr>
          <w:p>
            <w:pPr>
              <w:spacing w:after="20" w:before="20"/>
              <w:jc w:val="right"/>
            </w:pPr>
            <w:r/>
            <w:r>
              <w:rPr>
                <w:rFonts w:ascii="Calibri" w:hAnsi="Calibri"/>
                <w:b w:val="0"/>
                <w:i w:val="0"/>
                <w:color w:val="20302C"/>
                <w:sz w:val="18"/>
              </w:rPr>
              <w:t>-5,371</w:t>
            </w:r>
          </w:p>
        </w:tc>
      </w:tr>
      <w:tr>
        <w:tc>
          <w:tcPr>
            <w:tcW w:type="dxa" w:w="2736"/>
          </w:tcPr>
          <w:p>
            <w:pPr>
              <w:spacing w:after="20" w:before="20"/>
              <w:jc w:val="left"/>
            </w:pPr>
            <w:r/>
            <w:r>
              <w:rPr>
                <w:rFonts w:ascii="Calibri" w:hAnsi="Calibri"/>
                <w:b w:val="0"/>
                <w:i w:val="0"/>
                <w:color w:val="20302C"/>
                <w:sz w:val="18"/>
              </w:rPr>
              <w:t>Net profit</w:t>
            </w:r>
          </w:p>
        </w:tc>
        <w:tc>
          <w:tcPr>
            <w:tcW w:type="dxa" w:w="922"/>
          </w:tcPr>
          <w:p>
            <w:pPr>
              <w:spacing w:after="20" w:before="20"/>
              <w:jc w:val="right"/>
            </w:pPr>
            <w:r/>
            <w:r>
              <w:rPr>
                <w:rFonts w:ascii="Calibri" w:hAnsi="Calibri"/>
                <w:b w:val="0"/>
                <w:i w:val="0"/>
                <w:color w:val="20302C"/>
                <w:sz w:val="18"/>
              </w:rPr>
              <w:t>15,500</w:t>
            </w:r>
          </w:p>
        </w:tc>
        <w:tc>
          <w:tcPr>
            <w:tcW w:type="dxa" w:w="922"/>
          </w:tcPr>
          <w:p>
            <w:pPr>
              <w:spacing w:after="20" w:before="20"/>
              <w:jc w:val="right"/>
            </w:pPr>
            <w:r/>
            <w:r>
              <w:rPr>
                <w:rFonts w:ascii="Calibri" w:hAnsi="Calibri"/>
                <w:b w:val="0"/>
                <w:i w:val="0"/>
                <w:color w:val="20302C"/>
                <w:sz w:val="18"/>
              </w:rPr>
              <w:t>16,720</w:t>
            </w:r>
          </w:p>
        </w:tc>
        <w:tc>
          <w:tcPr>
            <w:tcW w:type="dxa" w:w="922"/>
          </w:tcPr>
          <w:p>
            <w:pPr>
              <w:spacing w:after="20" w:before="20"/>
              <w:jc w:val="right"/>
            </w:pPr>
            <w:r/>
            <w:r>
              <w:rPr>
                <w:rFonts w:ascii="Calibri" w:hAnsi="Calibri"/>
                <w:b w:val="0"/>
                <w:i w:val="0"/>
                <w:color w:val="20302C"/>
                <w:sz w:val="18"/>
              </w:rPr>
              <w:t>17,000</w:t>
            </w:r>
          </w:p>
        </w:tc>
        <w:tc>
          <w:tcPr>
            <w:tcW w:type="dxa" w:w="922"/>
          </w:tcPr>
          <w:p>
            <w:pPr>
              <w:spacing w:after="20" w:before="20"/>
              <w:jc w:val="right"/>
            </w:pPr>
            <w:r/>
            <w:r>
              <w:rPr>
                <w:rFonts w:ascii="Calibri" w:hAnsi="Calibri"/>
                <w:b w:val="0"/>
                <w:i w:val="0"/>
                <w:color w:val="20302C"/>
                <w:sz w:val="18"/>
              </w:rPr>
              <w:t>18,126</w:t>
            </w:r>
          </w:p>
        </w:tc>
        <w:tc>
          <w:tcPr>
            <w:tcW w:type="dxa" w:w="922"/>
          </w:tcPr>
          <w:p>
            <w:pPr>
              <w:spacing w:after="20" w:before="20"/>
              <w:jc w:val="right"/>
            </w:pPr>
            <w:r/>
            <w:r>
              <w:rPr>
                <w:rFonts w:ascii="Calibri" w:hAnsi="Calibri"/>
                <w:b w:val="0"/>
                <w:i w:val="0"/>
                <w:color w:val="20302C"/>
                <w:sz w:val="18"/>
              </w:rPr>
              <w:t>19,117</w:t>
            </w:r>
          </w:p>
        </w:tc>
        <w:tc>
          <w:tcPr>
            <w:tcW w:type="dxa" w:w="922"/>
          </w:tcPr>
          <w:p>
            <w:pPr>
              <w:spacing w:after="20" w:before="20"/>
              <w:jc w:val="right"/>
            </w:pPr>
            <w:r/>
            <w:r>
              <w:rPr>
                <w:rFonts w:ascii="Calibri" w:hAnsi="Calibri"/>
                <w:b w:val="0"/>
                <w:i w:val="0"/>
                <w:color w:val="20302C"/>
                <w:sz w:val="18"/>
              </w:rPr>
              <w:t>20,359</w:t>
            </w:r>
          </w:p>
        </w:tc>
        <w:tc>
          <w:tcPr>
            <w:tcW w:type="dxa" w:w="922"/>
          </w:tcPr>
          <w:p>
            <w:pPr>
              <w:spacing w:after="20" w:before="20"/>
              <w:jc w:val="right"/>
            </w:pPr>
            <w:r/>
            <w:r>
              <w:rPr>
                <w:rFonts w:ascii="Calibri" w:hAnsi="Calibri"/>
                <w:b w:val="0"/>
                <w:i w:val="0"/>
                <w:color w:val="20302C"/>
                <w:sz w:val="18"/>
              </w:rPr>
              <w:t>21,791</w:t>
            </w:r>
          </w:p>
        </w:tc>
        <w:tc>
          <w:tcPr>
            <w:tcW w:type="dxa" w:w="922"/>
          </w:tcPr>
          <w:p>
            <w:pPr>
              <w:spacing w:after="20" w:before="20"/>
              <w:jc w:val="right"/>
            </w:pPr>
            <w:r/>
            <w:r>
              <w:rPr>
                <w:rFonts w:ascii="Calibri" w:hAnsi="Calibri"/>
                <w:b w:val="0"/>
                <w:i w:val="0"/>
                <w:color w:val="20302C"/>
                <w:sz w:val="18"/>
              </w:rPr>
              <w:t>23,313</w:t>
            </w:r>
          </w:p>
        </w:tc>
      </w:tr>
      <w:tr>
        <w:tc>
          <w:tcPr>
            <w:tcW w:type="dxa" w:w="2736"/>
          </w:tcPr>
          <w:p>
            <w:pPr>
              <w:spacing w:after="20" w:before="20"/>
              <w:jc w:val="left"/>
            </w:pPr>
            <w:r/>
            <w:r>
              <w:rPr>
                <w:rFonts w:ascii="Calibri" w:hAnsi="Calibri"/>
                <w:b w:val="0"/>
                <w:i w:val="0"/>
                <w:color w:val="20302C"/>
                <w:sz w:val="18"/>
              </w:rPr>
              <w:t>Attributable EPS (QAR)</w:t>
            </w:r>
          </w:p>
        </w:tc>
        <w:tc>
          <w:tcPr>
            <w:tcW w:type="dxa" w:w="922"/>
          </w:tcPr>
          <w:p>
            <w:pPr>
              <w:spacing w:after="20" w:before="20"/>
              <w:jc w:val="right"/>
            </w:pPr>
            <w:r/>
            <w:r>
              <w:rPr>
                <w:rFonts w:ascii="Calibri" w:hAnsi="Calibri"/>
                <w:b w:val="0"/>
                <w:i w:val="0"/>
                <w:color w:val="20302C"/>
                <w:sz w:val="18"/>
              </w:rPr>
              <w:t>1.55</w:t>
            </w:r>
          </w:p>
        </w:tc>
        <w:tc>
          <w:tcPr>
            <w:tcW w:type="dxa" w:w="922"/>
          </w:tcPr>
          <w:p>
            <w:pPr>
              <w:spacing w:after="20" w:before="20"/>
              <w:jc w:val="right"/>
            </w:pPr>
            <w:r/>
            <w:r>
              <w:rPr>
                <w:rFonts w:ascii="Calibri" w:hAnsi="Calibri"/>
                <w:b w:val="0"/>
                <w:i w:val="0"/>
                <w:color w:val="20302C"/>
                <w:sz w:val="18"/>
              </w:rPr>
              <w:t>1.69</w:t>
            </w:r>
          </w:p>
        </w:tc>
        <w:tc>
          <w:tcPr>
            <w:tcW w:type="dxa" w:w="922"/>
          </w:tcPr>
          <w:p>
            <w:pPr>
              <w:spacing w:after="20" w:before="20"/>
              <w:jc w:val="right"/>
            </w:pPr>
            <w:r/>
            <w:r>
              <w:rPr>
                <w:rFonts w:ascii="Calibri" w:hAnsi="Calibri"/>
                <w:b w:val="0"/>
                <w:i w:val="0"/>
                <w:color w:val="20302C"/>
                <w:sz w:val="18"/>
              </w:rPr>
              <w:t>1.74</w:t>
            </w:r>
          </w:p>
        </w:tc>
        <w:tc>
          <w:tcPr>
            <w:tcW w:type="dxa" w:w="922"/>
          </w:tcPr>
          <w:p>
            <w:pPr>
              <w:spacing w:after="20" w:before="20"/>
              <w:jc w:val="right"/>
            </w:pPr>
            <w:r/>
            <w:r>
              <w:rPr>
                <w:rFonts w:ascii="Calibri" w:hAnsi="Calibri"/>
                <w:b w:val="0"/>
                <w:i w:val="0"/>
                <w:color w:val="20302C"/>
                <w:sz w:val="18"/>
              </w:rPr>
              <w:t>1.81</w:t>
            </w:r>
          </w:p>
        </w:tc>
        <w:tc>
          <w:tcPr>
            <w:tcW w:type="dxa" w:w="922"/>
          </w:tcPr>
          <w:p>
            <w:pPr>
              <w:spacing w:after="20" w:before="20"/>
              <w:jc w:val="right"/>
            </w:pPr>
            <w:r/>
            <w:r>
              <w:rPr>
                <w:rFonts w:ascii="Calibri" w:hAnsi="Calibri"/>
                <w:b w:val="0"/>
                <w:i w:val="0"/>
                <w:color w:val="20302C"/>
                <w:sz w:val="18"/>
              </w:rPr>
              <w:t>1.91</w:t>
            </w:r>
          </w:p>
        </w:tc>
        <w:tc>
          <w:tcPr>
            <w:tcW w:type="dxa" w:w="922"/>
          </w:tcPr>
          <w:p>
            <w:pPr>
              <w:spacing w:after="20" w:before="20"/>
              <w:jc w:val="right"/>
            </w:pPr>
            <w:r/>
            <w:r>
              <w:rPr>
                <w:rFonts w:ascii="Calibri" w:hAnsi="Calibri"/>
                <w:b w:val="0"/>
                <w:i w:val="0"/>
                <w:color w:val="20302C"/>
                <w:sz w:val="18"/>
              </w:rPr>
              <w:t>2.03</w:t>
            </w:r>
          </w:p>
        </w:tc>
        <w:tc>
          <w:tcPr>
            <w:tcW w:type="dxa" w:w="922"/>
          </w:tcPr>
          <w:p>
            <w:pPr>
              <w:spacing w:after="20" w:before="20"/>
              <w:jc w:val="right"/>
            </w:pPr>
            <w:r/>
            <w:r>
              <w:rPr>
                <w:rFonts w:ascii="Calibri" w:hAnsi="Calibri"/>
                <w:b w:val="0"/>
                <w:i w:val="0"/>
                <w:color w:val="20302C"/>
                <w:sz w:val="18"/>
              </w:rPr>
              <w:t>2.18</w:t>
            </w:r>
          </w:p>
        </w:tc>
        <w:tc>
          <w:tcPr>
            <w:tcW w:type="dxa" w:w="922"/>
          </w:tcPr>
          <w:p>
            <w:pPr>
              <w:spacing w:after="20" w:before="20"/>
              <w:jc w:val="right"/>
            </w:pPr>
            <w:r/>
            <w:r>
              <w:rPr>
                <w:rFonts w:ascii="Calibri" w:hAnsi="Calibri"/>
                <w:b w:val="0"/>
                <w:i w:val="0"/>
                <w:color w:val="20302C"/>
                <w:sz w:val="18"/>
              </w:rPr>
              <w:t>2.33</w:t>
            </w:r>
          </w:p>
        </w:tc>
      </w:tr>
    </w:tbl>
    <w:p>
      <w:pPr>
        <w:spacing w:after="160" w:before="40"/>
      </w:pPr>
      <w:r>
        <w:rPr>
          <w:rFonts w:ascii="Calibri" w:hAnsi="Calibri"/>
          <w:i/>
          <w:color w:val="667070"/>
          <w:sz w:val="17"/>
        </w:rPr>
        <w:t>FY25 pre-tax profit rose ~10% but net profit +1.7% as the effective tax rate stepped up under Pillar Two. Forecast opex at ~24% cost/income and ECL at ~19% of operating income; forecast EPS links to the dividend model.</w:t>
      </w:r>
    </w:p>
    <w:p>
      <w:pPr>
        <w:spacing w:before="180" w:after="40"/>
      </w:pPr>
      <w:r>
        <w:rPr>
          <w:rFonts w:ascii="Calibri" w:hAnsi="Calibri"/>
          <w:b/>
          <w:color w:val="1C3A36"/>
          <w:sz w:val="24"/>
        </w:rPr>
        <w:t>A.2  Balance sheet (consolidated, QAR mn) · 3-year actual + 5-year forecast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736"/>
            <w:shd w:val="clear" w:fill="1C3A36"/>
          </w:tcPr>
          <w:p>
            <w:pPr>
              <w:spacing w:after="20" w:before="20"/>
              <w:jc w:val="left"/>
            </w:pPr>
            <w:r/>
            <w:r>
              <w:rPr>
                <w:rFonts w:ascii="Calibri" w:hAnsi="Calibri"/>
                <w:b/>
                <w:i w:val="0"/>
                <w:color w:val="FFFFFF"/>
                <w:sz w:val="18"/>
              </w:rPr>
              <w:t>QAR mn</w:t>
            </w:r>
          </w:p>
        </w:tc>
        <w:tc>
          <w:tcPr>
            <w:tcW w:type="dxa" w:w="922"/>
            <w:shd w:val="clear" w:fill="1C3A36"/>
          </w:tcPr>
          <w:p>
            <w:pPr>
              <w:spacing w:after="20" w:before="20"/>
              <w:jc w:val="right"/>
            </w:pPr>
            <w:r/>
            <w:r>
              <w:rPr>
                <w:rFonts w:ascii="Calibri" w:hAnsi="Calibri"/>
                <w:b/>
                <w:i w:val="0"/>
                <w:color w:val="FFFFFF"/>
                <w:sz w:val="18"/>
              </w:rPr>
              <w:t>FY23</w:t>
            </w:r>
          </w:p>
        </w:tc>
        <w:tc>
          <w:tcPr>
            <w:tcW w:type="dxa" w:w="922"/>
            <w:shd w:val="clear" w:fill="1C3A36"/>
          </w:tcPr>
          <w:p>
            <w:pPr>
              <w:spacing w:after="20" w:before="20"/>
              <w:jc w:val="right"/>
            </w:pPr>
            <w:r/>
            <w:r>
              <w:rPr>
                <w:rFonts w:ascii="Calibri" w:hAnsi="Calibri"/>
                <w:b/>
                <w:i w:val="0"/>
                <w:color w:val="FFFFFF"/>
                <w:sz w:val="18"/>
              </w:rPr>
              <w:t>FY24</w:t>
            </w:r>
          </w:p>
        </w:tc>
        <w:tc>
          <w:tcPr>
            <w:tcW w:type="dxa" w:w="922"/>
            <w:shd w:val="clear" w:fill="1C3A36"/>
          </w:tcPr>
          <w:p>
            <w:pPr>
              <w:spacing w:after="20" w:before="20"/>
              <w:jc w:val="right"/>
            </w:pPr>
            <w:r/>
            <w:r>
              <w:rPr>
                <w:rFonts w:ascii="Calibri" w:hAnsi="Calibri"/>
                <w:b/>
                <w:i w:val="0"/>
                <w:color w:val="FFFFFF"/>
                <w:sz w:val="18"/>
              </w:rPr>
              <w:t>FY25</w:t>
            </w:r>
          </w:p>
        </w:tc>
        <w:tc>
          <w:tcPr>
            <w:tcW w:type="dxa" w:w="922"/>
            <w:shd w:val="clear" w:fill="1C3A36"/>
          </w:tcPr>
          <w:p>
            <w:pPr>
              <w:spacing w:after="20" w:before="20"/>
              <w:jc w:val="right"/>
            </w:pPr>
            <w:r/>
            <w:r>
              <w:rPr>
                <w:rFonts w:ascii="Calibri" w:hAnsi="Calibri"/>
                <w:b/>
                <w:i w:val="0"/>
                <w:color w:val="FFFFFF"/>
                <w:sz w:val="18"/>
              </w:rPr>
              <w:t>FY26E</w:t>
            </w:r>
          </w:p>
        </w:tc>
        <w:tc>
          <w:tcPr>
            <w:tcW w:type="dxa" w:w="922"/>
            <w:shd w:val="clear" w:fill="1C3A36"/>
          </w:tcPr>
          <w:p>
            <w:pPr>
              <w:spacing w:after="20" w:before="20"/>
              <w:jc w:val="right"/>
            </w:pPr>
            <w:r/>
            <w:r>
              <w:rPr>
                <w:rFonts w:ascii="Calibri" w:hAnsi="Calibri"/>
                <w:b/>
                <w:i w:val="0"/>
                <w:color w:val="FFFFFF"/>
                <w:sz w:val="18"/>
              </w:rPr>
              <w:t>FY27E</w:t>
            </w:r>
          </w:p>
        </w:tc>
        <w:tc>
          <w:tcPr>
            <w:tcW w:type="dxa" w:w="922"/>
            <w:shd w:val="clear" w:fill="1C3A36"/>
          </w:tcPr>
          <w:p>
            <w:pPr>
              <w:spacing w:after="20" w:before="20"/>
              <w:jc w:val="right"/>
            </w:pPr>
            <w:r/>
            <w:r>
              <w:rPr>
                <w:rFonts w:ascii="Calibri" w:hAnsi="Calibri"/>
                <w:b/>
                <w:i w:val="0"/>
                <w:color w:val="FFFFFF"/>
                <w:sz w:val="18"/>
              </w:rPr>
              <w:t>FY28E</w:t>
            </w:r>
          </w:p>
        </w:tc>
        <w:tc>
          <w:tcPr>
            <w:tcW w:type="dxa" w:w="922"/>
            <w:shd w:val="clear" w:fill="1C3A36"/>
          </w:tcPr>
          <w:p>
            <w:pPr>
              <w:spacing w:after="20" w:before="20"/>
              <w:jc w:val="right"/>
            </w:pPr>
            <w:r/>
            <w:r>
              <w:rPr>
                <w:rFonts w:ascii="Calibri" w:hAnsi="Calibri"/>
                <w:b/>
                <w:i w:val="0"/>
                <w:color w:val="FFFFFF"/>
                <w:sz w:val="18"/>
              </w:rPr>
              <w:t>FY29E</w:t>
            </w:r>
          </w:p>
        </w:tc>
        <w:tc>
          <w:tcPr>
            <w:tcW w:type="dxa" w:w="922"/>
            <w:shd w:val="clear" w:fill="1C3A36"/>
          </w:tcPr>
          <w:p>
            <w:pPr>
              <w:spacing w:after="20" w:before="20"/>
              <w:jc w:val="right"/>
            </w:pPr>
            <w:r/>
            <w:r>
              <w:rPr>
                <w:rFonts w:ascii="Calibri" w:hAnsi="Calibri"/>
                <w:b/>
                <w:i w:val="0"/>
                <w:color w:val="FFFFFF"/>
                <w:sz w:val="18"/>
              </w:rPr>
              <w:t>FY30E</w:t>
            </w:r>
          </w:p>
        </w:tc>
      </w:tr>
      <w:tr>
        <w:tc>
          <w:tcPr>
            <w:tcW w:type="dxa" w:w="2736"/>
          </w:tcPr>
          <w:p>
            <w:pPr>
              <w:spacing w:after="20" w:before="20"/>
              <w:jc w:val="left"/>
            </w:pPr>
            <w:r/>
            <w:r>
              <w:rPr>
                <w:rFonts w:ascii="Calibri" w:hAnsi="Calibri"/>
                <w:b w:val="0"/>
                <w:i w:val="0"/>
                <w:color w:val="20302C"/>
                <w:sz w:val="18"/>
              </w:rPr>
              <w:t>Loans &amp; advances</w:t>
            </w:r>
          </w:p>
        </w:tc>
        <w:tc>
          <w:tcPr>
            <w:tcW w:type="dxa" w:w="922"/>
          </w:tcPr>
          <w:p>
            <w:pPr>
              <w:spacing w:after="20" w:before="20"/>
              <w:jc w:val="right"/>
            </w:pPr>
            <w:r/>
            <w:r>
              <w:rPr>
                <w:rFonts w:ascii="Calibri" w:hAnsi="Calibri"/>
                <w:b w:val="0"/>
                <w:i w:val="0"/>
                <w:color w:val="20302C"/>
                <w:sz w:val="18"/>
              </w:rPr>
              <w:t>851,000</w:t>
            </w:r>
          </w:p>
        </w:tc>
        <w:tc>
          <w:tcPr>
            <w:tcW w:type="dxa" w:w="922"/>
          </w:tcPr>
          <w:p>
            <w:pPr>
              <w:spacing w:after="20" w:before="20"/>
              <w:jc w:val="right"/>
            </w:pPr>
            <w:r/>
            <w:r>
              <w:rPr>
                <w:rFonts w:ascii="Calibri" w:hAnsi="Calibri"/>
                <w:b w:val="0"/>
                <w:i w:val="0"/>
                <w:color w:val="20302C"/>
                <w:sz w:val="18"/>
              </w:rPr>
              <w:t>911,000</w:t>
            </w:r>
          </w:p>
        </w:tc>
        <w:tc>
          <w:tcPr>
            <w:tcW w:type="dxa" w:w="922"/>
          </w:tcPr>
          <w:p>
            <w:pPr>
              <w:spacing w:after="20" w:before="20"/>
              <w:jc w:val="right"/>
            </w:pPr>
            <w:r/>
            <w:r>
              <w:rPr>
                <w:rFonts w:ascii="Calibri" w:hAnsi="Calibri"/>
                <w:b w:val="0"/>
                <w:i w:val="0"/>
                <w:color w:val="20302C"/>
                <w:sz w:val="18"/>
              </w:rPr>
              <w:t>1,018,000</w:t>
            </w:r>
          </w:p>
        </w:tc>
        <w:tc>
          <w:tcPr>
            <w:tcW w:type="dxa" w:w="922"/>
          </w:tcPr>
          <w:p>
            <w:pPr>
              <w:spacing w:after="20" w:before="20"/>
              <w:jc w:val="right"/>
            </w:pPr>
            <w:r/>
            <w:r>
              <w:rPr>
                <w:rFonts w:ascii="Calibri" w:hAnsi="Calibri"/>
                <w:b w:val="0"/>
                <w:i w:val="0"/>
                <w:color w:val="20302C"/>
                <w:sz w:val="18"/>
              </w:rPr>
              <w:t>1,114,710</w:t>
            </w:r>
          </w:p>
        </w:tc>
        <w:tc>
          <w:tcPr>
            <w:tcW w:type="dxa" w:w="922"/>
          </w:tcPr>
          <w:p>
            <w:pPr>
              <w:spacing w:after="20" w:before="20"/>
              <w:jc w:val="right"/>
            </w:pPr>
            <w:r/>
            <w:r>
              <w:rPr>
                <w:rFonts w:ascii="Calibri" w:hAnsi="Calibri"/>
                <w:b w:val="0"/>
                <w:i w:val="0"/>
                <w:color w:val="20302C"/>
                <w:sz w:val="18"/>
              </w:rPr>
              <w:t>1,215,034</w:t>
            </w:r>
          </w:p>
        </w:tc>
        <w:tc>
          <w:tcPr>
            <w:tcW w:type="dxa" w:w="922"/>
          </w:tcPr>
          <w:p>
            <w:pPr>
              <w:spacing w:after="20" w:before="20"/>
              <w:jc w:val="right"/>
            </w:pPr>
            <w:r/>
            <w:r>
              <w:rPr>
                <w:rFonts w:ascii="Calibri" w:hAnsi="Calibri"/>
                <w:b w:val="0"/>
                <w:i w:val="0"/>
                <w:color w:val="20302C"/>
                <w:sz w:val="18"/>
              </w:rPr>
              <w:t>1,318,312</w:t>
            </w:r>
          </w:p>
        </w:tc>
        <w:tc>
          <w:tcPr>
            <w:tcW w:type="dxa" w:w="922"/>
          </w:tcPr>
          <w:p>
            <w:pPr>
              <w:spacing w:after="20" w:before="20"/>
              <w:jc w:val="right"/>
            </w:pPr>
            <w:r/>
            <w:r>
              <w:rPr>
                <w:rFonts w:ascii="Calibri" w:hAnsi="Calibri"/>
                <w:b w:val="0"/>
                <w:i w:val="0"/>
                <w:color w:val="20302C"/>
                <w:sz w:val="18"/>
              </w:rPr>
              <w:t>1,423,777</w:t>
            </w:r>
          </w:p>
        </w:tc>
        <w:tc>
          <w:tcPr>
            <w:tcW w:type="dxa" w:w="922"/>
          </w:tcPr>
          <w:p>
            <w:pPr>
              <w:spacing w:after="20" w:before="20"/>
              <w:jc w:val="right"/>
            </w:pPr>
            <w:r/>
            <w:r>
              <w:rPr>
                <w:rFonts w:ascii="Calibri" w:hAnsi="Calibri"/>
                <w:b w:val="0"/>
                <w:i w:val="0"/>
                <w:color w:val="20302C"/>
                <w:sz w:val="18"/>
              </w:rPr>
              <w:t>1,530,560</w:t>
            </w:r>
          </w:p>
        </w:tc>
      </w:tr>
      <w:tr>
        <w:tc>
          <w:tcPr>
            <w:tcW w:type="dxa" w:w="2736"/>
          </w:tcPr>
          <w:p>
            <w:pPr>
              <w:spacing w:after="20" w:before="20"/>
              <w:jc w:val="left"/>
            </w:pPr>
            <w:r/>
            <w:r>
              <w:rPr>
                <w:rFonts w:ascii="Calibri" w:hAnsi="Calibri"/>
                <w:b w:val="0"/>
                <w:i w:val="0"/>
                <w:color w:val="20302C"/>
                <w:sz w:val="18"/>
              </w:rPr>
              <w:t>Investments &amp; other assets</w:t>
            </w:r>
          </w:p>
        </w:tc>
        <w:tc>
          <w:tcPr>
            <w:tcW w:type="dxa" w:w="922"/>
          </w:tcPr>
          <w:p>
            <w:pPr>
              <w:spacing w:after="20" w:before="20"/>
              <w:jc w:val="right"/>
            </w:pPr>
            <w:r/>
            <w:r>
              <w:rPr>
                <w:rFonts w:ascii="Calibri" w:hAnsi="Calibri"/>
                <w:b w:val="0"/>
                <w:i w:val="0"/>
                <w:color w:val="20302C"/>
                <w:sz w:val="18"/>
              </w:rPr>
              <w:t>385,000</w:t>
            </w:r>
          </w:p>
        </w:tc>
        <w:tc>
          <w:tcPr>
            <w:tcW w:type="dxa" w:w="922"/>
          </w:tcPr>
          <w:p>
            <w:pPr>
              <w:spacing w:after="20" w:before="20"/>
              <w:jc w:val="right"/>
            </w:pPr>
            <w:r/>
            <w:r>
              <w:rPr>
                <w:rFonts w:ascii="Calibri" w:hAnsi="Calibri"/>
                <w:b w:val="0"/>
                <w:i w:val="0"/>
                <w:color w:val="20302C"/>
                <w:sz w:val="18"/>
              </w:rPr>
              <w:t>387,000</w:t>
            </w:r>
          </w:p>
        </w:tc>
        <w:tc>
          <w:tcPr>
            <w:tcW w:type="dxa" w:w="922"/>
          </w:tcPr>
          <w:p>
            <w:pPr>
              <w:spacing w:after="20" w:before="20"/>
              <w:jc w:val="right"/>
            </w:pPr>
            <w:r/>
            <w:r>
              <w:rPr>
                <w:rFonts w:ascii="Calibri" w:hAnsi="Calibri"/>
                <w:b w:val="0"/>
                <w:i w:val="0"/>
                <w:color w:val="20302C"/>
                <w:sz w:val="18"/>
              </w:rPr>
              <w:t>373,000</w:t>
            </w:r>
          </w:p>
        </w:tc>
        <w:tc>
          <w:tcPr>
            <w:tcW w:type="dxa" w:w="922"/>
          </w:tcPr>
          <w:p>
            <w:pPr>
              <w:spacing w:after="20" w:before="20"/>
              <w:jc w:val="right"/>
            </w:pPr>
            <w:r/>
            <w:r>
              <w:rPr>
                <w:rFonts w:ascii="Calibri" w:hAnsi="Calibri"/>
                <w:b w:val="0"/>
                <w:i w:val="0"/>
                <w:color w:val="20302C"/>
                <w:sz w:val="18"/>
              </w:rPr>
              <w:t>400,975</w:t>
            </w:r>
          </w:p>
        </w:tc>
        <w:tc>
          <w:tcPr>
            <w:tcW w:type="dxa" w:w="922"/>
          </w:tcPr>
          <w:p>
            <w:pPr>
              <w:spacing w:after="20" w:before="20"/>
              <w:jc w:val="right"/>
            </w:pPr>
            <w:r/>
            <w:r>
              <w:rPr>
                <w:rFonts w:ascii="Calibri" w:hAnsi="Calibri"/>
                <w:b w:val="0"/>
                <w:i w:val="0"/>
                <w:color w:val="20302C"/>
                <w:sz w:val="18"/>
              </w:rPr>
              <w:t>429,043</w:t>
            </w:r>
          </w:p>
        </w:tc>
        <w:tc>
          <w:tcPr>
            <w:tcW w:type="dxa" w:w="922"/>
          </w:tcPr>
          <w:p>
            <w:pPr>
              <w:spacing w:after="20" w:before="20"/>
              <w:jc w:val="right"/>
            </w:pPr>
            <w:r/>
            <w:r>
              <w:rPr>
                <w:rFonts w:ascii="Calibri" w:hAnsi="Calibri"/>
                <w:b w:val="0"/>
                <w:i w:val="0"/>
                <w:color w:val="20302C"/>
                <w:sz w:val="18"/>
              </w:rPr>
              <w:t>456,931</w:t>
            </w:r>
          </w:p>
        </w:tc>
        <w:tc>
          <w:tcPr>
            <w:tcW w:type="dxa" w:w="922"/>
          </w:tcPr>
          <w:p>
            <w:pPr>
              <w:spacing w:after="20" w:before="20"/>
              <w:jc w:val="right"/>
            </w:pPr>
            <w:r/>
            <w:r>
              <w:rPr>
                <w:rFonts w:ascii="Calibri" w:hAnsi="Calibri"/>
                <w:b w:val="0"/>
                <w:i w:val="0"/>
                <w:color w:val="20302C"/>
                <w:sz w:val="18"/>
              </w:rPr>
              <w:t>484,347</w:t>
            </w:r>
          </w:p>
        </w:tc>
        <w:tc>
          <w:tcPr>
            <w:tcW w:type="dxa" w:w="922"/>
          </w:tcPr>
          <w:p>
            <w:pPr>
              <w:spacing w:after="20" w:before="20"/>
              <w:jc w:val="right"/>
            </w:pPr>
            <w:r/>
            <w:r>
              <w:rPr>
                <w:rFonts w:ascii="Calibri" w:hAnsi="Calibri"/>
                <w:b w:val="0"/>
                <w:i w:val="0"/>
                <w:color w:val="20302C"/>
                <w:sz w:val="18"/>
              </w:rPr>
              <w:t>510,986</w:t>
            </w:r>
          </w:p>
        </w:tc>
      </w:tr>
      <w:tr>
        <w:tc>
          <w:tcPr>
            <w:tcW w:type="dxa" w:w="2736"/>
          </w:tcPr>
          <w:p>
            <w:pPr>
              <w:spacing w:after="20" w:before="20"/>
              <w:jc w:val="left"/>
            </w:pPr>
            <w:r/>
            <w:r>
              <w:rPr>
                <w:rFonts w:ascii="Calibri" w:hAnsi="Calibri"/>
                <w:b w:val="0"/>
                <w:i w:val="0"/>
                <w:color w:val="20302C"/>
                <w:sz w:val="18"/>
              </w:rPr>
              <w:t>Total assets</w:t>
            </w:r>
          </w:p>
        </w:tc>
        <w:tc>
          <w:tcPr>
            <w:tcW w:type="dxa" w:w="922"/>
          </w:tcPr>
          <w:p>
            <w:pPr>
              <w:spacing w:after="20" w:before="20"/>
              <w:jc w:val="right"/>
            </w:pPr>
            <w:r/>
            <w:r>
              <w:rPr>
                <w:rFonts w:ascii="Calibri" w:hAnsi="Calibri"/>
                <w:b w:val="0"/>
                <w:i w:val="0"/>
                <w:color w:val="20302C"/>
                <w:sz w:val="18"/>
              </w:rPr>
              <w:t>1,236,000</w:t>
            </w:r>
          </w:p>
        </w:tc>
        <w:tc>
          <w:tcPr>
            <w:tcW w:type="dxa" w:w="922"/>
          </w:tcPr>
          <w:p>
            <w:pPr>
              <w:spacing w:after="20" w:before="20"/>
              <w:jc w:val="right"/>
            </w:pPr>
            <w:r/>
            <w:r>
              <w:rPr>
                <w:rFonts w:ascii="Calibri" w:hAnsi="Calibri"/>
                <w:b w:val="0"/>
                <w:i w:val="0"/>
                <w:color w:val="20302C"/>
                <w:sz w:val="18"/>
              </w:rPr>
              <w:t>1,298,000</w:t>
            </w:r>
          </w:p>
        </w:tc>
        <w:tc>
          <w:tcPr>
            <w:tcW w:type="dxa" w:w="922"/>
          </w:tcPr>
          <w:p>
            <w:pPr>
              <w:spacing w:after="20" w:before="20"/>
              <w:jc w:val="right"/>
            </w:pPr>
            <w:r/>
            <w:r>
              <w:rPr>
                <w:rFonts w:ascii="Calibri" w:hAnsi="Calibri"/>
                <w:b w:val="0"/>
                <w:i w:val="0"/>
                <w:color w:val="20302C"/>
                <w:sz w:val="18"/>
              </w:rPr>
              <w:t>1,391,000</w:t>
            </w:r>
          </w:p>
        </w:tc>
        <w:tc>
          <w:tcPr>
            <w:tcW w:type="dxa" w:w="922"/>
          </w:tcPr>
          <w:p>
            <w:pPr>
              <w:spacing w:after="20" w:before="20"/>
              <w:jc w:val="right"/>
            </w:pPr>
            <w:r/>
            <w:r>
              <w:rPr>
                <w:rFonts w:ascii="Calibri" w:hAnsi="Calibri"/>
                <w:b w:val="0"/>
                <w:i w:val="0"/>
                <w:color w:val="20302C"/>
                <w:sz w:val="18"/>
              </w:rPr>
              <w:t>1,515,685</w:t>
            </w:r>
          </w:p>
        </w:tc>
        <w:tc>
          <w:tcPr>
            <w:tcW w:type="dxa" w:w="922"/>
          </w:tcPr>
          <w:p>
            <w:pPr>
              <w:spacing w:after="20" w:before="20"/>
              <w:jc w:val="right"/>
            </w:pPr>
            <w:r/>
            <w:r>
              <w:rPr>
                <w:rFonts w:ascii="Calibri" w:hAnsi="Calibri"/>
                <w:b w:val="0"/>
                <w:i w:val="0"/>
                <w:color w:val="20302C"/>
                <w:sz w:val="18"/>
              </w:rPr>
              <w:t>1,644,077</w:t>
            </w:r>
          </w:p>
        </w:tc>
        <w:tc>
          <w:tcPr>
            <w:tcW w:type="dxa" w:w="922"/>
          </w:tcPr>
          <w:p>
            <w:pPr>
              <w:spacing w:after="20" w:before="20"/>
              <w:jc w:val="right"/>
            </w:pPr>
            <w:r/>
            <w:r>
              <w:rPr>
                <w:rFonts w:ascii="Calibri" w:hAnsi="Calibri"/>
                <w:b w:val="0"/>
                <w:i w:val="0"/>
                <w:color w:val="20302C"/>
                <w:sz w:val="18"/>
              </w:rPr>
              <w:t>1,775,243</w:t>
            </w:r>
          </w:p>
        </w:tc>
        <w:tc>
          <w:tcPr>
            <w:tcW w:type="dxa" w:w="922"/>
          </w:tcPr>
          <w:p>
            <w:pPr>
              <w:spacing w:after="20" w:before="20"/>
              <w:jc w:val="right"/>
            </w:pPr>
            <w:r/>
            <w:r>
              <w:rPr>
                <w:rFonts w:ascii="Calibri" w:hAnsi="Calibri"/>
                <w:b w:val="0"/>
                <w:i w:val="0"/>
                <w:color w:val="20302C"/>
                <w:sz w:val="18"/>
              </w:rPr>
              <w:t>1,908,124</w:t>
            </w:r>
          </w:p>
        </w:tc>
        <w:tc>
          <w:tcPr>
            <w:tcW w:type="dxa" w:w="922"/>
          </w:tcPr>
          <w:p>
            <w:pPr>
              <w:spacing w:after="20" w:before="20"/>
              <w:jc w:val="right"/>
            </w:pPr>
            <w:r/>
            <w:r>
              <w:rPr>
                <w:rFonts w:ascii="Calibri" w:hAnsi="Calibri"/>
                <w:b w:val="0"/>
                <w:i w:val="0"/>
                <w:color w:val="20302C"/>
                <w:sz w:val="18"/>
              </w:rPr>
              <w:t>2,041,546</w:t>
            </w:r>
          </w:p>
        </w:tc>
      </w:tr>
      <w:tr>
        <w:tc>
          <w:tcPr>
            <w:tcW w:type="dxa" w:w="2736"/>
          </w:tcPr>
          <w:p>
            <w:pPr>
              <w:spacing w:after="20" w:before="20"/>
              <w:jc w:val="left"/>
            </w:pPr>
            <w:r/>
            <w:r>
              <w:rPr>
                <w:rFonts w:ascii="Calibri" w:hAnsi="Calibri"/>
                <w:b w:val="0"/>
                <w:i w:val="0"/>
                <w:color w:val="20302C"/>
                <w:sz w:val="18"/>
              </w:rPr>
              <w:t>Customer deposits</w:t>
            </w:r>
          </w:p>
        </w:tc>
        <w:tc>
          <w:tcPr>
            <w:tcW w:type="dxa" w:w="922"/>
          </w:tcPr>
          <w:p>
            <w:pPr>
              <w:spacing w:after="20" w:before="20"/>
              <w:jc w:val="right"/>
            </w:pPr>
            <w:r/>
            <w:r>
              <w:rPr>
                <w:rFonts w:ascii="Calibri" w:hAnsi="Calibri"/>
                <w:b w:val="0"/>
                <w:i w:val="0"/>
                <w:color w:val="20302C"/>
                <w:sz w:val="18"/>
              </w:rPr>
              <w:t>861,000</w:t>
            </w:r>
          </w:p>
        </w:tc>
        <w:tc>
          <w:tcPr>
            <w:tcW w:type="dxa" w:w="922"/>
          </w:tcPr>
          <w:p>
            <w:pPr>
              <w:spacing w:after="20" w:before="20"/>
              <w:jc w:val="right"/>
            </w:pPr>
            <w:r/>
            <w:r>
              <w:rPr>
                <w:rFonts w:ascii="Calibri" w:hAnsi="Calibri"/>
                <w:b w:val="0"/>
                <w:i w:val="0"/>
                <w:color w:val="20302C"/>
                <w:sz w:val="18"/>
              </w:rPr>
              <w:t>887,000</w:t>
            </w:r>
          </w:p>
        </w:tc>
        <w:tc>
          <w:tcPr>
            <w:tcW w:type="dxa" w:w="922"/>
          </w:tcPr>
          <w:p>
            <w:pPr>
              <w:spacing w:after="20" w:before="20"/>
              <w:jc w:val="right"/>
            </w:pPr>
            <w:r/>
            <w:r>
              <w:rPr>
                <w:rFonts w:ascii="Calibri" w:hAnsi="Calibri"/>
                <w:b w:val="0"/>
                <w:i w:val="0"/>
                <w:color w:val="20302C"/>
                <w:sz w:val="18"/>
              </w:rPr>
              <w:t>955,000</w:t>
            </w:r>
          </w:p>
        </w:tc>
        <w:tc>
          <w:tcPr>
            <w:tcW w:type="dxa" w:w="922"/>
          </w:tcPr>
          <w:p>
            <w:pPr>
              <w:spacing w:after="20" w:before="20"/>
              <w:jc w:val="right"/>
            </w:pPr>
            <w:r/>
            <w:r>
              <w:rPr>
                <w:rFonts w:ascii="Calibri" w:hAnsi="Calibri"/>
                <w:b w:val="0"/>
                <w:i w:val="0"/>
                <w:color w:val="20302C"/>
                <w:sz w:val="18"/>
              </w:rPr>
              <w:t>1,026,625</w:t>
            </w:r>
          </w:p>
        </w:tc>
        <w:tc>
          <w:tcPr>
            <w:tcW w:type="dxa" w:w="922"/>
          </w:tcPr>
          <w:p>
            <w:pPr>
              <w:spacing w:after="20" w:before="20"/>
              <w:jc w:val="right"/>
            </w:pPr>
            <w:r/>
            <w:r>
              <w:rPr>
                <w:rFonts w:ascii="Calibri" w:hAnsi="Calibri"/>
                <w:b w:val="0"/>
                <w:i w:val="0"/>
                <w:color w:val="20302C"/>
                <w:sz w:val="18"/>
              </w:rPr>
              <w:t>1,098,489</w:t>
            </w:r>
          </w:p>
        </w:tc>
        <w:tc>
          <w:tcPr>
            <w:tcW w:type="dxa" w:w="922"/>
          </w:tcPr>
          <w:p>
            <w:pPr>
              <w:spacing w:after="20" w:before="20"/>
              <w:jc w:val="right"/>
            </w:pPr>
            <w:r/>
            <w:r>
              <w:rPr>
                <w:rFonts w:ascii="Calibri" w:hAnsi="Calibri"/>
                <w:b w:val="0"/>
                <w:i w:val="0"/>
                <w:color w:val="20302C"/>
                <w:sz w:val="18"/>
              </w:rPr>
              <w:t>1,169,891</w:t>
            </w:r>
          </w:p>
        </w:tc>
        <w:tc>
          <w:tcPr>
            <w:tcW w:type="dxa" w:w="922"/>
          </w:tcPr>
          <w:p>
            <w:pPr>
              <w:spacing w:after="20" w:before="20"/>
              <w:jc w:val="right"/>
            </w:pPr>
            <w:r/>
            <w:r>
              <w:rPr>
                <w:rFonts w:ascii="Calibri" w:hAnsi="Calibri"/>
                <w:b w:val="0"/>
                <w:i w:val="0"/>
                <w:color w:val="20302C"/>
                <w:sz w:val="18"/>
              </w:rPr>
              <w:t>1,240,084</w:t>
            </w:r>
          </w:p>
        </w:tc>
        <w:tc>
          <w:tcPr>
            <w:tcW w:type="dxa" w:w="922"/>
          </w:tcPr>
          <w:p>
            <w:pPr>
              <w:spacing w:after="20" w:before="20"/>
              <w:jc w:val="right"/>
            </w:pPr>
            <w:r/>
            <w:r>
              <w:rPr>
                <w:rFonts w:ascii="Calibri" w:hAnsi="Calibri"/>
                <w:b w:val="0"/>
                <w:i w:val="0"/>
                <w:color w:val="20302C"/>
                <w:sz w:val="18"/>
              </w:rPr>
              <w:t>1,308,289</w:t>
            </w:r>
          </w:p>
        </w:tc>
      </w:tr>
      <w:tr>
        <w:tc>
          <w:tcPr>
            <w:tcW w:type="dxa" w:w="2736"/>
          </w:tcPr>
          <w:p>
            <w:pPr>
              <w:spacing w:after="20" w:before="20"/>
              <w:jc w:val="left"/>
            </w:pPr>
            <w:r/>
            <w:r>
              <w:rPr>
                <w:rFonts w:ascii="Calibri" w:hAnsi="Calibri"/>
                <w:b w:val="0"/>
                <w:i w:val="0"/>
                <w:color w:val="20302C"/>
                <w:sz w:val="18"/>
              </w:rPr>
              <w:t>Other liabilities &amp; debt (plug)</w:t>
            </w:r>
          </w:p>
        </w:tc>
        <w:tc>
          <w:tcPr>
            <w:tcW w:type="dxa" w:w="922"/>
          </w:tcPr>
          <w:p>
            <w:pPr>
              <w:spacing w:after="20" w:before="20"/>
              <w:jc w:val="right"/>
            </w:pPr>
            <w:r/>
            <w:r>
              <w:rPr>
                <w:rFonts w:ascii="Calibri" w:hAnsi="Calibri"/>
                <w:b w:val="0"/>
                <w:i w:val="0"/>
                <w:color w:val="20302C"/>
                <w:sz w:val="18"/>
              </w:rPr>
              <w:t>264,000</w:t>
            </w:r>
          </w:p>
        </w:tc>
        <w:tc>
          <w:tcPr>
            <w:tcW w:type="dxa" w:w="922"/>
          </w:tcPr>
          <w:p>
            <w:pPr>
              <w:spacing w:after="20" w:before="20"/>
              <w:jc w:val="right"/>
            </w:pPr>
            <w:r/>
            <w:r>
              <w:rPr>
                <w:rFonts w:ascii="Calibri" w:hAnsi="Calibri"/>
                <w:b w:val="0"/>
                <w:i w:val="0"/>
                <w:color w:val="20302C"/>
                <w:sz w:val="18"/>
              </w:rPr>
              <w:t>297,000</w:t>
            </w:r>
          </w:p>
        </w:tc>
        <w:tc>
          <w:tcPr>
            <w:tcW w:type="dxa" w:w="922"/>
          </w:tcPr>
          <w:p>
            <w:pPr>
              <w:spacing w:after="20" w:before="20"/>
              <w:jc w:val="right"/>
            </w:pPr>
            <w:r/>
            <w:r>
              <w:rPr>
                <w:rFonts w:ascii="Calibri" w:hAnsi="Calibri"/>
                <w:b w:val="0"/>
                <w:i w:val="0"/>
                <w:color w:val="20302C"/>
                <w:sz w:val="18"/>
              </w:rPr>
              <w:t>311,000</w:t>
            </w:r>
          </w:p>
        </w:tc>
        <w:tc>
          <w:tcPr>
            <w:tcW w:type="dxa" w:w="922"/>
          </w:tcPr>
          <w:p>
            <w:pPr>
              <w:spacing w:after="20" w:before="20"/>
              <w:jc w:val="right"/>
            </w:pPr>
            <w:r/>
            <w:r>
              <w:rPr>
                <w:rFonts w:ascii="Calibri" w:hAnsi="Calibri"/>
                <w:b w:val="0"/>
                <w:i w:val="0"/>
                <w:color w:val="20302C"/>
                <w:sz w:val="18"/>
              </w:rPr>
              <w:t>353,728</w:t>
            </w:r>
          </w:p>
        </w:tc>
        <w:tc>
          <w:tcPr>
            <w:tcW w:type="dxa" w:w="922"/>
          </w:tcPr>
          <w:p>
            <w:pPr>
              <w:spacing w:after="20" w:before="20"/>
              <w:jc w:val="right"/>
            </w:pPr>
            <w:r/>
            <w:r>
              <w:rPr>
                <w:rFonts w:ascii="Calibri" w:hAnsi="Calibri"/>
                <w:b w:val="0"/>
                <w:i w:val="0"/>
                <w:color w:val="20302C"/>
                <w:sz w:val="18"/>
              </w:rPr>
              <w:t>399,551</w:t>
            </w:r>
          </w:p>
        </w:tc>
        <w:tc>
          <w:tcPr>
            <w:tcW w:type="dxa" w:w="922"/>
          </w:tcPr>
          <w:p>
            <w:pPr>
              <w:spacing w:after="20" w:before="20"/>
              <w:jc w:val="right"/>
            </w:pPr>
            <w:r/>
            <w:r>
              <w:rPr>
                <w:rFonts w:ascii="Calibri" w:hAnsi="Calibri"/>
                <w:b w:val="0"/>
                <w:i w:val="0"/>
                <w:color w:val="20302C"/>
                <w:sz w:val="18"/>
              </w:rPr>
              <w:t>448,117</w:t>
            </w:r>
          </w:p>
        </w:tc>
        <w:tc>
          <w:tcPr>
            <w:tcW w:type="dxa" w:w="922"/>
          </w:tcPr>
          <w:p>
            <w:pPr>
              <w:spacing w:after="20" w:before="20"/>
              <w:jc w:val="right"/>
            </w:pPr>
            <w:r/>
            <w:r>
              <w:rPr>
                <w:rFonts w:ascii="Calibri" w:hAnsi="Calibri"/>
                <w:b w:val="0"/>
                <w:i w:val="0"/>
                <w:color w:val="20302C"/>
                <w:sz w:val="18"/>
              </w:rPr>
              <w:t>499,038</w:t>
            </w:r>
          </w:p>
        </w:tc>
        <w:tc>
          <w:tcPr>
            <w:tcW w:type="dxa" w:w="922"/>
          </w:tcPr>
          <w:p>
            <w:pPr>
              <w:spacing w:after="20" w:before="20"/>
              <w:jc w:val="right"/>
            </w:pPr>
            <w:r/>
            <w:r>
              <w:rPr>
                <w:rFonts w:ascii="Calibri" w:hAnsi="Calibri"/>
                <w:b w:val="0"/>
                <w:i w:val="0"/>
                <w:color w:val="20302C"/>
                <w:sz w:val="18"/>
              </w:rPr>
              <w:t>551,899</w:t>
            </w:r>
          </w:p>
        </w:tc>
      </w:tr>
      <w:tr>
        <w:tc>
          <w:tcPr>
            <w:tcW w:type="dxa" w:w="2736"/>
          </w:tcPr>
          <w:p>
            <w:pPr>
              <w:spacing w:after="20" w:before="20"/>
              <w:jc w:val="left"/>
            </w:pPr>
            <w:r/>
            <w:r>
              <w:rPr>
                <w:rFonts w:ascii="Calibri" w:hAnsi="Calibri"/>
                <w:b w:val="0"/>
                <w:i w:val="0"/>
                <w:color w:val="20302C"/>
                <w:sz w:val="18"/>
              </w:rPr>
              <w:t>Total equity</w:t>
            </w:r>
          </w:p>
        </w:tc>
        <w:tc>
          <w:tcPr>
            <w:tcW w:type="dxa" w:w="922"/>
          </w:tcPr>
          <w:p>
            <w:pPr>
              <w:spacing w:after="20" w:before="20"/>
              <w:jc w:val="right"/>
            </w:pPr>
            <w:r/>
            <w:r>
              <w:rPr>
                <w:rFonts w:ascii="Calibri" w:hAnsi="Calibri"/>
                <w:b w:val="0"/>
                <w:i w:val="0"/>
                <w:color w:val="20302C"/>
                <w:sz w:val="18"/>
              </w:rPr>
              <w:t>111,000</w:t>
            </w:r>
          </w:p>
        </w:tc>
        <w:tc>
          <w:tcPr>
            <w:tcW w:type="dxa" w:w="922"/>
          </w:tcPr>
          <w:p>
            <w:pPr>
              <w:spacing w:after="20" w:before="20"/>
              <w:jc w:val="right"/>
            </w:pPr>
            <w:r/>
            <w:r>
              <w:rPr>
                <w:rFonts w:ascii="Calibri" w:hAnsi="Calibri"/>
                <w:b w:val="0"/>
                <w:i w:val="0"/>
                <w:color w:val="20302C"/>
                <w:sz w:val="18"/>
              </w:rPr>
              <w:t>114,000</w:t>
            </w:r>
          </w:p>
        </w:tc>
        <w:tc>
          <w:tcPr>
            <w:tcW w:type="dxa" w:w="922"/>
          </w:tcPr>
          <w:p>
            <w:pPr>
              <w:spacing w:after="20" w:before="20"/>
              <w:jc w:val="right"/>
            </w:pPr>
            <w:r/>
            <w:r>
              <w:rPr>
                <w:rFonts w:ascii="Calibri" w:hAnsi="Calibri"/>
                <w:b w:val="0"/>
                <w:i w:val="0"/>
                <w:color w:val="20302C"/>
                <w:sz w:val="18"/>
              </w:rPr>
              <w:t>125,000</w:t>
            </w:r>
          </w:p>
        </w:tc>
        <w:tc>
          <w:tcPr>
            <w:tcW w:type="dxa" w:w="922"/>
          </w:tcPr>
          <w:p>
            <w:pPr>
              <w:spacing w:after="20" w:before="20"/>
              <w:jc w:val="right"/>
            </w:pPr>
            <w:r/>
            <w:r>
              <w:rPr>
                <w:rFonts w:ascii="Calibri" w:hAnsi="Calibri"/>
                <w:b w:val="0"/>
                <w:i w:val="0"/>
                <w:color w:val="20302C"/>
                <w:sz w:val="18"/>
              </w:rPr>
              <w:t>135,332</w:t>
            </w:r>
          </w:p>
        </w:tc>
        <w:tc>
          <w:tcPr>
            <w:tcW w:type="dxa" w:w="922"/>
          </w:tcPr>
          <w:p>
            <w:pPr>
              <w:spacing w:after="20" w:before="20"/>
              <w:jc w:val="right"/>
            </w:pPr>
            <w:r/>
            <w:r>
              <w:rPr>
                <w:rFonts w:ascii="Calibri" w:hAnsi="Calibri"/>
                <w:b w:val="0"/>
                <w:i w:val="0"/>
                <w:color w:val="20302C"/>
                <w:sz w:val="18"/>
              </w:rPr>
              <w:t>146,037</w:t>
            </w:r>
          </w:p>
        </w:tc>
        <w:tc>
          <w:tcPr>
            <w:tcW w:type="dxa" w:w="922"/>
          </w:tcPr>
          <w:p>
            <w:pPr>
              <w:spacing w:after="20" w:before="20"/>
              <w:jc w:val="right"/>
            </w:pPr>
            <w:r/>
            <w:r>
              <w:rPr>
                <w:rFonts w:ascii="Calibri" w:hAnsi="Calibri"/>
                <w:b w:val="0"/>
                <w:i w:val="0"/>
                <w:color w:val="20302C"/>
                <w:sz w:val="18"/>
              </w:rPr>
              <w:t>157,235</w:t>
            </w:r>
          </w:p>
        </w:tc>
        <w:tc>
          <w:tcPr>
            <w:tcW w:type="dxa" w:w="922"/>
          </w:tcPr>
          <w:p>
            <w:pPr>
              <w:spacing w:after="20" w:before="20"/>
              <w:jc w:val="right"/>
            </w:pPr>
            <w:r/>
            <w:r>
              <w:rPr>
                <w:rFonts w:ascii="Calibri" w:hAnsi="Calibri"/>
                <w:b w:val="0"/>
                <w:i w:val="0"/>
                <w:color w:val="20302C"/>
                <w:sz w:val="18"/>
              </w:rPr>
              <w:t>169,002</w:t>
            </w:r>
          </w:p>
        </w:tc>
        <w:tc>
          <w:tcPr>
            <w:tcW w:type="dxa" w:w="922"/>
          </w:tcPr>
          <w:p>
            <w:pPr>
              <w:spacing w:after="20" w:before="20"/>
              <w:jc w:val="right"/>
            </w:pPr>
            <w:r/>
            <w:r>
              <w:rPr>
                <w:rFonts w:ascii="Calibri" w:hAnsi="Calibri"/>
                <w:b w:val="0"/>
                <w:i w:val="0"/>
                <w:color w:val="20302C"/>
                <w:sz w:val="18"/>
              </w:rPr>
              <w:t>181,358</w:t>
            </w:r>
          </w:p>
        </w:tc>
      </w:tr>
      <w:tr>
        <w:tc>
          <w:tcPr>
            <w:tcW w:type="dxa" w:w="2736"/>
          </w:tcPr>
          <w:p>
            <w:pPr>
              <w:spacing w:after="20" w:before="20"/>
              <w:jc w:val="left"/>
            </w:pPr>
            <w:r/>
            <w:r>
              <w:rPr>
                <w:rFonts w:ascii="Calibri" w:hAnsi="Calibri"/>
                <w:b w:val="0"/>
                <w:i w:val="0"/>
                <w:color w:val="20302C"/>
                <w:sz w:val="18"/>
              </w:rPr>
              <w:t>CAR (%)</w:t>
            </w:r>
          </w:p>
        </w:tc>
        <w:tc>
          <w:tcPr>
            <w:tcW w:type="dxa" w:w="922"/>
          </w:tcPr>
          <w:p>
            <w:pPr>
              <w:spacing w:after="20" w:before="20"/>
              <w:jc w:val="right"/>
            </w:pPr>
            <w:r/>
            <w:r>
              <w:rPr>
                <w:rFonts w:ascii="Calibri" w:hAnsi="Calibri"/>
                <w:b w:val="0"/>
                <w:i w:val="0"/>
                <w:color w:val="20302C"/>
                <w:sz w:val="18"/>
              </w:rPr>
              <w:t>19.4%</w:t>
            </w:r>
          </w:p>
        </w:tc>
        <w:tc>
          <w:tcPr>
            <w:tcW w:type="dxa" w:w="922"/>
          </w:tcPr>
          <w:p>
            <w:pPr>
              <w:spacing w:after="20" w:before="20"/>
              <w:jc w:val="right"/>
            </w:pPr>
            <w:r/>
            <w:r>
              <w:rPr>
                <w:rFonts w:ascii="Calibri" w:hAnsi="Calibri"/>
                <w:b w:val="0"/>
                <w:i w:val="0"/>
                <w:color w:val="20302C"/>
                <w:sz w:val="18"/>
              </w:rPr>
              <w:t>19.2%</w:t>
            </w:r>
          </w:p>
        </w:tc>
        <w:tc>
          <w:tcPr>
            <w:tcW w:type="dxa" w:w="922"/>
          </w:tcPr>
          <w:p>
            <w:pPr>
              <w:spacing w:after="20" w:before="20"/>
              <w:jc w:val="right"/>
            </w:pPr>
            <w:r/>
            <w:r>
              <w:rPr>
                <w:rFonts w:ascii="Calibri" w:hAnsi="Calibri"/>
                <w:b w:val="0"/>
                <w:i w:val="0"/>
                <w:color w:val="20302C"/>
                <w:sz w:val="18"/>
              </w:rPr>
              <w:t>19.3%</w:t>
            </w:r>
          </w:p>
        </w:tc>
        <w:tc>
          <w:tcPr>
            <w:tcW w:type="dxa" w:w="922"/>
          </w:tcPr>
          <w:p>
            <w:pPr>
              <w:spacing w:after="20" w:before="20"/>
              <w:jc w:val="right"/>
            </w:pPr>
            <w:r/>
            <w:r>
              <w:rPr>
                <w:rFonts w:ascii="Calibri" w:hAnsi="Calibri"/>
                <w:b w:val="0"/>
                <w:i w:val="0"/>
                <w:color w:val="20302C"/>
                <w:sz w:val="18"/>
              </w:rPr>
              <w:t>19.4%</w:t>
            </w:r>
          </w:p>
        </w:tc>
        <w:tc>
          <w:tcPr>
            <w:tcW w:type="dxa" w:w="922"/>
          </w:tcPr>
          <w:p>
            <w:pPr>
              <w:spacing w:after="20" w:before="20"/>
              <w:jc w:val="right"/>
            </w:pPr>
            <w:r/>
            <w:r>
              <w:rPr>
                <w:rFonts w:ascii="Calibri" w:hAnsi="Calibri"/>
                <w:b w:val="0"/>
                <w:i w:val="0"/>
                <w:color w:val="20302C"/>
                <w:sz w:val="18"/>
              </w:rPr>
              <w:t>19.5%</w:t>
            </w:r>
          </w:p>
        </w:tc>
        <w:tc>
          <w:tcPr>
            <w:tcW w:type="dxa" w:w="922"/>
          </w:tcPr>
          <w:p>
            <w:pPr>
              <w:spacing w:after="20" w:before="20"/>
              <w:jc w:val="right"/>
            </w:pPr>
            <w:r/>
            <w:r>
              <w:rPr>
                <w:rFonts w:ascii="Calibri" w:hAnsi="Calibri"/>
                <w:b w:val="0"/>
                <w:i w:val="0"/>
                <w:color w:val="20302C"/>
                <w:sz w:val="18"/>
              </w:rPr>
              <w:t>19.6%</w:t>
            </w:r>
          </w:p>
        </w:tc>
        <w:tc>
          <w:tcPr>
            <w:tcW w:type="dxa" w:w="922"/>
          </w:tcPr>
          <w:p>
            <w:pPr>
              <w:spacing w:after="20" w:before="20"/>
              <w:jc w:val="right"/>
            </w:pPr>
            <w:r/>
            <w:r>
              <w:rPr>
                <w:rFonts w:ascii="Calibri" w:hAnsi="Calibri"/>
                <w:b w:val="0"/>
                <w:i w:val="0"/>
                <w:color w:val="20302C"/>
                <w:sz w:val="18"/>
              </w:rPr>
              <w:t>19.7%</w:t>
            </w:r>
          </w:p>
        </w:tc>
        <w:tc>
          <w:tcPr>
            <w:tcW w:type="dxa" w:w="922"/>
          </w:tcPr>
          <w:p>
            <w:pPr>
              <w:spacing w:after="20" w:before="20"/>
              <w:jc w:val="right"/>
            </w:pPr>
            <w:r/>
            <w:r>
              <w:rPr>
                <w:rFonts w:ascii="Calibri" w:hAnsi="Calibri"/>
                <w:b w:val="0"/>
                <w:i w:val="0"/>
                <w:color w:val="20302C"/>
                <w:sz w:val="18"/>
              </w:rPr>
              <w:t>19.8%</w:t>
            </w:r>
          </w:p>
        </w:tc>
      </w:tr>
    </w:tbl>
    <w:p>
      <w:pPr>
        <w:spacing w:after="160" w:before="40"/>
      </w:pPr>
      <w:r>
        <w:rPr>
          <w:rFonts w:ascii="Calibri" w:hAnsi="Calibri"/>
          <w:i/>
          <w:color w:val="667070"/>
          <w:sz w:val="17"/>
        </w:rPr>
        <w:t>Total assets = loans + investments; equity rolls forward as prior equity plus retained earnings; deposits and assets grow with the RWA-growth driver. Other liabilities are the funding plug so assets = liabilities + equity.</w:t>
      </w:r>
    </w:p>
    <w:p>
      <w:pPr>
        <w:spacing w:before="180" w:after="40"/>
      </w:pPr>
      <w:r>
        <w:rPr>
          <w:rFonts w:ascii="Calibri" w:hAnsi="Calibri"/>
          <w:b/>
          <w:color w:val="1C3A36"/>
          <w:sz w:val="24"/>
        </w:rPr>
        <w:t>A.3  Capital generation &amp; distribution (QAR mn) · 3-year actual + 5-year forecast</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2880"/>
            <w:shd w:val="clear" w:fill="1C3A36"/>
          </w:tcPr>
          <w:p>
            <w:pPr>
              <w:spacing w:after="20" w:before="20"/>
              <w:jc w:val="left"/>
            </w:pPr>
            <w:r/>
            <w:r>
              <w:rPr>
                <w:rFonts w:ascii="Calibri" w:hAnsi="Calibri"/>
                <w:b/>
                <w:i w:val="0"/>
                <w:color w:val="FFFFFF"/>
                <w:sz w:val="18"/>
              </w:rPr>
              <w:t>QAR mn</w:t>
            </w:r>
          </w:p>
        </w:tc>
        <w:tc>
          <w:tcPr>
            <w:tcW w:type="dxa" w:w="893"/>
            <w:shd w:val="clear" w:fill="1C3A36"/>
          </w:tcPr>
          <w:p>
            <w:pPr>
              <w:spacing w:after="20" w:before="20"/>
              <w:jc w:val="right"/>
            </w:pPr>
            <w:r/>
            <w:r>
              <w:rPr>
                <w:rFonts w:ascii="Calibri" w:hAnsi="Calibri"/>
                <w:b/>
                <w:i w:val="0"/>
                <w:color w:val="FFFFFF"/>
                <w:sz w:val="18"/>
              </w:rPr>
              <w:t>FY23</w:t>
            </w:r>
          </w:p>
        </w:tc>
        <w:tc>
          <w:tcPr>
            <w:tcW w:type="dxa" w:w="893"/>
            <w:shd w:val="clear" w:fill="1C3A36"/>
          </w:tcPr>
          <w:p>
            <w:pPr>
              <w:spacing w:after="20" w:before="20"/>
              <w:jc w:val="right"/>
            </w:pPr>
            <w:r/>
            <w:r>
              <w:rPr>
                <w:rFonts w:ascii="Calibri" w:hAnsi="Calibri"/>
                <w:b/>
                <w:i w:val="0"/>
                <w:color w:val="FFFFFF"/>
                <w:sz w:val="18"/>
              </w:rPr>
              <w:t>FY24</w:t>
            </w:r>
          </w:p>
        </w:tc>
        <w:tc>
          <w:tcPr>
            <w:tcW w:type="dxa" w:w="893"/>
            <w:shd w:val="clear" w:fill="1C3A36"/>
          </w:tcPr>
          <w:p>
            <w:pPr>
              <w:spacing w:after="20" w:before="20"/>
              <w:jc w:val="right"/>
            </w:pPr>
            <w:r/>
            <w:r>
              <w:rPr>
                <w:rFonts w:ascii="Calibri" w:hAnsi="Calibri"/>
                <w:b/>
                <w:i w:val="0"/>
                <w:color w:val="FFFFFF"/>
                <w:sz w:val="18"/>
              </w:rPr>
              <w:t>FY25</w:t>
            </w:r>
          </w:p>
        </w:tc>
        <w:tc>
          <w:tcPr>
            <w:tcW w:type="dxa" w:w="893"/>
            <w:shd w:val="clear" w:fill="1C3A36"/>
          </w:tcPr>
          <w:p>
            <w:pPr>
              <w:spacing w:after="20" w:before="20"/>
              <w:jc w:val="right"/>
            </w:pPr>
            <w:r/>
            <w:r>
              <w:rPr>
                <w:rFonts w:ascii="Calibri" w:hAnsi="Calibri"/>
                <w:b/>
                <w:i w:val="0"/>
                <w:color w:val="FFFFFF"/>
                <w:sz w:val="18"/>
              </w:rPr>
              <w:t>FY26E</w:t>
            </w:r>
          </w:p>
        </w:tc>
        <w:tc>
          <w:tcPr>
            <w:tcW w:type="dxa" w:w="893"/>
            <w:shd w:val="clear" w:fill="1C3A36"/>
          </w:tcPr>
          <w:p>
            <w:pPr>
              <w:spacing w:after="20" w:before="20"/>
              <w:jc w:val="right"/>
            </w:pPr>
            <w:r/>
            <w:r>
              <w:rPr>
                <w:rFonts w:ascii="Calibri" w:hAnsi="Calibri"/>
                <w:b/>
                <w:i w:val="0"/>
                <w:color w:val="FFFFFF"/>
                <w:sz w:val="18"/>
              </w:rPr>
              <w:t>FY27E</w:t>
            </w:r>
          </w:p>
        </w:tc>
        <w:tc>
          <w:tcPr>
            <w:tcW w:type="dxa" w:w="893"/>
            <w:shd w:val="clear" w:fill="1C3A36"/>
          </w:tcPr>
          <w:p>
            <w:pPr>
              <w:spacing w:after="20" w:before="20"/>
              <w:jc w:val="right"/>
            </w:pPr>
            <w:r/>
            <w:r>
              <w:rPr>
                <w:rFonts w:ascii="Calibri" w:hAnsi="Calibri"/>
                <w:b/>
                <w:i w:val="0"/>
                <w:color w:val="FFFFFF"/>
                <w:sz w:val="18"/>
              </w:rPr>
              <w:t>FY28E</w:t>
            </w:r>
          </w:p>
        </w:tc>
        <w:tc>
          <w:tcPr>
            <w:tcW w:type="dxa" w:w="893"/>
            <w:shd w:val="clear" w:fill="1C3A36"/>
          </w:tcPr>
          <w:p>
            <w:pPr>
              <w:spacing w:after="20" w:before="20"/>
              <w:jc w:val="right"/>
            </w:pPr>
            <w:r/>
            <w:r>
              <w:rPr>
                <w:rFonts w:ascii="Calibri" w:hAnsi="Calibri"/>
                <w:b/>
                <w:i w:val="0"/>
                <w:color w:val="FFFFFF"/>
                <w:sz w:val="18"/>
              </w:rPr>
              <w:t>FY29E</w:t>
            </w:r>
          </w:p>
        </w:tc>
        <w:tc>
          <w:tcPr>
            <w:tcW w:type="dxa" w:w="893"/>
            <w:shd w:val="clear" w:fill="1C3A36"/>
          </w:tcPr>
          <w:p>
            <w:pPr>
              <w:spacing w:after="20" w:before="20"/>
              <w:jc w:val="right"/>
            </w:pPr>
            <w:r/>
            <w:r>
              <w:rPr>
                <w:rFonts w:ascii="Calibri" w:hAnsi="Calibri"/>
                <w:b/>
                <w:i w:val="0"/>
                <w:color w:val="FFFFFF"/>
                <w:sz w:val="18"/>
              </w:rPr>
              <w:t>FY30E</w:t>
            </w:r>
          </w:p>
        </w:tc>
      </w:tr>
      <w:tr>
        <w:tc>
          <w:tcPr>
            <w:tcW w:type="dxa" w:w="2880"/>
          </w:tcPr>
          <w:p>
            <w:pPr>
              <w:spacing w:after="20" w:before="20"/>
              <w:jc w:val="left"/>
            </w:pPr>
            <w:r/>
            <w:r>
              <w:rPr>
                <w:rFonts w:ascii="Calibri" w:hAnsi="Calibri"/>
                <w:b w:val="0"/>
                <w:i w:val="0"/>
                <w:color w:val="20302C"/>
                <w:sz w:val="18"/>
              </w:rPr>
              <w:t>Net profit</w:t>
            </w:r>
          </w:p>
        </w:tc>
        <w:tc>
          <w:tcPr>
            <w:tcW w:type="dxa" w:w="893"/>
          </w:tcPr>
          <w:p>
            <w:pPr>
              <w:spacing w:after="20" w:before="20"/>
              <w:jc w:val="right"/>
            </w:pPr>
            <w:r/>
            <w:r>
              <w:rPr>
                <w:rFonts w:ascii="Calibri" w:hAnsi="Calibri"/>
                <w:b w:val="0"/>
                <w:i w:val="0"/>
                <w:color w:val="20302C"/>
                <w:sz w:val="18"/>
              </w:rPr>
              <w:t>15,500</w:t>
            </w:r>
          </w:p>
        </w:tc>
        <w:tc>
          <w:tcPr>
            <w:tcW w:type="dxa" w:w="893"/>
          </w:tcPr>
          <w:p>
            <w:pPr>
              <w:spacing w:after="20" w:before="20"/>
              <w:jc w:val="right"/>
            </w:pPr>
            <w:r/>
            <w:r>
              <w:rPr>
                <w:rFonts w:ascii="Calibri" w:hAnsi="Calibri"/>
                <w:b w:val="0"/>
                <w:i w:val="0"/>
                <w:color w:val="20302C"/>
                <w:sz w:val="18"/>
              </w:rPr>
              <w:t>16,720</w:t>
            </w:r>
          </w:p>
        </w:tc>
        <w:tc>
          <w:tcPr>
            <w:tcW w:type="dxa" w:w="893"/>
          </w:tcPr>
          <w:p>
            <w:pPr>
              <w:spacing w:after="20" w:before="20"/>
              <w:jc w:val="right"/>
            </w:pPr>
            <w:r/>
            <w:r>
              <w:rPr>
                <w:rFonts w:ascii="Calibri" w:hAnsi="Calibri"/>
                <w:b w:val="0"/>
                <w:i w:val="0"/>
                <w:color w:val="20302C"/>
                <w:sz w:val="18"/>
              </w:rPr>
              <w:t>17,000</w:t>
            </w:r>
          </w:p>
        </w:tc>
        <w:tc>
          <w:tcPr>
            <w:tcW w:type="dxa" w:w="893"/>
          </w:tcPr>
          <w:p>
            <w:pPr>
              <w:spacing w:after="20" w:before="20"/>
              <w:jc w:val="right"/>
            </w:pPr>
            <w:r/>
            <w:r>
              <w:rPr>
                <w:rFonts w:ascii="Calibri" w:hAnsi="Calibri"/>
                <w:b w:val="0"/>
                <w:i w:val="0"/>
                <w:color w:val="20302C"/>
                <w:sz w:val="18"/>
              </w:rPr>
              <w:t>18,126</w:t>
            </w:r>
          </w:p>
        </w:tc>
        <w:tc>
          <w:tcPr>
            <w:tcW w:type="dxa" w:w="893"/>
          </w:tcPr>
          <w:p>
            <w:pPr>
              <w:spacing w:after="20" w:before="20"/>
              <w:jc w:val="right"/>
            </w:pPr>
            <w:r/>
            <w:r>
              <w:rPr>
                <w:rFonts w:ascii="Calibri" w:hAnsi="Calibri"/>
                <w:b w:val="0"/>
                <w:i w:val="0"/>
                <w:color w:val="20302C"/>
                <w:sz w:val="18"/>
              </w:rPr>
              <w:t>19,117</w:t>
            </w:r>
          </w:p>
        </w:tc>
        <w:tc>
          <w:tcPr>
            <w:tcW w:type="dxa" w:w="893"/>
          </w:tcPr>
          <w:p>
            <w:pPr>
              <w:spacing w:after="20" w:before="20"/>
              <w:jc w:val="right"/>
            </w:pPr>
            <w:r/>
            <w:r>
              <w:rPr>
                <w:rFonts w:ascii="Calibri" w:hAnsi="Calibri"/>
                <w:b w:val="0"/>
                <w:i w:val="0"/>
                <w:color w:val="20302C"/>
                <w:sz w:val="18"/>
              </w:rPr>
              <w:t>20,359</w:t>
            </w:r>
          </w:p>
        </w:tc>
        <w:tc>
          <w:tcPr>
            <w:tcW w:type="dxa" w:w="893"/>
          </w:tcPr>
          <w:p>
            <w:pPr>
              <w:spacing w:after="20" w:before="20"/>
              <w:jc w:val="right"/>
            </w:pPr>
            <w:r/>
            <w:r>
              <w:rPr>
                <w:rFonts w:ascii="Calibri" w:hAnsi="Calibri"/>
                <w:b w:val="0"/>
                <w:i w:val="0"/>
                <w:color w:val="20302C"/>
                <w:sz w:val="18"/>
              </w:rPr>
              <w:t>21,791</w:t>
            </w:r>
          </w:p>
        </w:tc>
        <w:tc>
          <w:tcPr>
            <w:tcW w:type="dxa" w:w="893"/>
          </w:tcPr>
          <w:p>
            <w:pPr>
              <w:spacing w:after="20" w:before="20"/>
              <w:jc w:val="right"/>
            </w:pPr>
            <w:r/>
            <w:r>
              <w:rPr>
                <w:rFonts w:ascii="Calibri" w:hAnsi="Calibri"/>
                <w:b w:val="0"/>
                <w:i w:val="0"/>
                <w:color w:val="20302C"/>
                <w:sz w:val="18"/>
              </w:rPr>
              <w:t>23,313</w:t>
            </w:r>
          </w:p>
        </w:tc>
      </w:tr>
      <w:tr>
        <w:tc>
          <w:tcPr>
            <w:tcW w:type="dxa" w:w="2880"/>
          </w:tcPr>
          <w:p>
            <w:pPr>
              <w:spacing w:after="20" w:before="20"/>
              <w:jc w:val="left"/>
            </w:pPr>
            <w:r/>
            <w:r>
              <w:rPr>
                <w:rFonts w:ascii="Calibri" w:hAnsi="Calibri"/>
                <w:b w:val="0"/>
                <w:i w:val="0"/>
                <w:color w:val="20302C"/>
                <w:sz w:val="18"/>
              </w:rPr>
              <w:t>Less: capital retained for RWA growth</w:t>
            </w:r>
          </w:p>
        </w:tc>
        <w:tc>
          <w:tcPr>
            <w:tcW w:type="dxa" w:w="893"/>
          </w:tcPr>
          <w:p>
            <w:pPr>
              <w:spacing w:after="20" w:before="20"/>
              <w:jc w:val="right"/>
            </w:pPr>
            <w:r/>
            <w:r>
              <w:rPr>
                <w:rFonts w:ascii="Calibri" w:hAnsi="Calibri"/>
                <w:b w:val="0"/>
                <w:i w:val="0"/>
                <w:color w:val="20302C"/>
                <w:sz w:val="18"/>
              </w:rPr>
              <w:t>(8,525)</w:t>
            </w:r>
          </w:p>
        </w:tc>
        <w:tc>
          <w:tcPr>
            <w:tcW w:type="dxa" w:w="893"/>
          </w:tcPr>
          <w:p>
            <w:pPr>
              <w:spacing w:after="20" w:before="20"/>
              <w:jc w:val="right"/>
            </w:pPr>
            <w:r/>
            <w:r>
              <w:rPr>
                <w:rFonts w:ascii="Calibri" w:hAnsi="Calibri"/>
                <w:b w:val="0"/>
                <w:i w:val="0"/>
                <w:color w:val="20302C"/>
                <w:sz w:val="18"/>
              </w:rPr>
              <w:t>(8,910)</w:t>
            </w:r>
          </w:p>
        </w:tc>
        <w:tc>
          <w:tcPr>
            <w:tcW w:type="dxa" w:w="893"/>
          </w:tcPr>
          <w:p>
            <w:pPr>
              <w:spacing w:after="20" w:before="20"/>
              <w:jc w:val="right"/>
            </w:pPr>
            <w:r/>
            <w:r>
              <w:rPr>
                <w:rFonts w:ascii="Calibri" w:hAnsi="Calibri"/>
                <w:b w:val="0"/>
                <w:i w:val="0"/>
                <w:color w:val="20302C"/>
                <w:sz w:val="18"/>
              </w:rPr>
              <w:t>(9,350)</w:t>
            </w:r>
          </w:p>
        </w:tc>
        <w:tc>
          <w:tcPr>
            <w:tcW w:type="dxa" w:w="893"/>
          </w:tcPr>
          <w:p>
            <w:pPr>
              <w:spacing w:after="20" w:before="20"/>
              <w:jc w:val="right"/>
            </w:pPr>
            <w:r/>
            <w:r>
              <w:rPr>
                <w:rFonts w:ascii="Calibri" w:hAnsi="Calibri"/>
                <w:b w:val="0"/>
                <w:i w:val="0"/>
                <w:color w:val="20302C"/>
                <w:sz w:val="18"/>
              </w:rPr>
              <w:t>-7</w:t>
            </w:r>
          </w:p>
        </w:tc>
        <w:tc>
          <w:tcPr>
            <w:tcW w:type="dxa" w:w="893"/>
          </w:tcPr>
          <w:p>
            <w:pPr>
              <w:spacing w:after="20" w:before="20"/>
              <w:jc w:val="right"/>
            </w:pPr>
            <w:r/>
            <w:r>
              <w:rPr>
                <w:rFonts w:ascii="Calibri" w:hAnsi="Calibri"/>
                <w:b w:val="0"/>
                <w:i w:val="0"/>
                <w:color w:val="20302C"/>
                <w:sz w:val="18"/>
              </w:rPr>
              <w:t>-6</w:t>
            </w:r>
          </w:p>
        </w:tc>
        <w:tc>
          <w:tcPr>
            <w:tcW w:type="dxa" w:w="893"/>
          </w:tcPr>
          <w:p>
            <w:pPr>
              <w:spacing w:after="20" w:before="20"/>
              <w:jc w:val="right"/>
            </w:pPr>
            <w:r/>
            <w:r>
              <w:rPr>
                <w:rFonts w:ascii="Calibri" w:hAnsi="Calibri"/>
                <w:b w:val="0"/>
                <w:i w:val="0"/>
                <w:color w:val="20302C"/>
                <w:sz w:val="18"/>
              </w:rPr>
              <w:t>-7</w:t>
            </w:r>
          </w:p>
        </w:tc>
        <w:tc>
          <w:tcPr>
            <w:tcW w:type="dxa" w:w="893"/>
          </w:tcPr>
          <w:p>
            <w:pPr>
              <w:spacing w:after="20" w:before="20"/>
              <w:jc w:val="right"/>
            </w:pPr>
            <w:r/>
            <w:r>
              <w:rPr>
                <w:rFonts w:ascii="Calibri" w:hAnsi="Calibri"/>
                <w:b w:val="0"/>
                <w:i w:val="0"/>
                <w:color w:val="20302C"/>
                <w:sz w:val="18"/>
              </w:rPr>
              <w:t>-6</w:t>
            </w:r>
          </w:p>
        </w:tc>
        <w:tc>
          <w:tcPr>
            <w:tcW w:type="dxa" w:w="893"/>
          </w:tcPr>
          <w:p>
            <w:pPr>
              <w:spacing w:after="20" w:before="20"/>
              <w:jc w:val="right"/>
            </w:pPr>
            <w:r/>
            <w:r>
              <w:rPr>
                <w:rFonts w:ascii="Calibri" w:hAnsi="Calibri"/>
                <w:b w:val="0"/>
                <w:i w:val="0"/>
                <w:color w:val="20302C"/>
                <w:sz w:val="18"/>
              </w:rPr>
              <w:t>-6</w:t>
            </w:r>
          </w:p>
        </w:tc>
      </w:tr>
      <w:tr>
        <w:tc>
          <w:tcPr>
            <w:tcW w:type="dxa" w:w="2880"/>
          </w:tcPr>
          <w:p>
            <w:pPr>
              <w:spacing w:after="20" w:before="20"/>
              <w:jc w:val="left"/>
            </w:pPr>
            <w:r/>
            <w:r>
              <w:rPr>
                <w:rFonts w:ascii="Calibri" w:hAnsi="Calibri"/>
                <w:b w:val="0"/>
                <w:i w:val="0"/>
                <w:color w:val="20302C"/>
                <w:sz w:val="18"/>
              </w:rPr>
              <w:t>Distributable capital (FCFE)</w:t>
            </w:r>
          </w:p>
        </w:tc>
        <w:tc>
          <w:tcPr>
            <w:tcW w:type="dxa" w:w="893"/>
          </w:tcPr>
          <w:p>
            <w:pPr>
              <w:spacing w:after="20" w:before="20"/>
              <w:jc w:val="right"/>
            </w:pPr>
            <w:r/>
            <w:r>
              <w:rPr>
                <w:rFonts w:ascii="Calibri" w:hAnsi="Calibri"/>
                <w:b w:val="0"/>
                <w:i w:val="0"/>
                <w:color w:val="20302C"/>
                <w:sz w:val="18"/>
              </w:rPr>
              <w:t>6,975</w:t>
            </w:r>
          </w:p>
        </w:tc>
        <w:tc>
          <w:tcPr>
            <w:tcW w:type="dxa" w:w="893"/>
          </w:tcPr>
          <w:p>
            <w:pPr>
              <w:spacing w:after="20" w:before="20"/>
              <w:jc w:val="right"/>
            </w:pPr>
            <w:r/>
            <w:r>
              <w:rPr>
                <w:rFonts w:ascii="Calibri" w:hAnsi="Calibri"/>
                <w:b w:val="0"/>
                <w:i w:val="0"/>
                <w:color w:val="20302C"/>
                <w:sz w:val="18"/>
              </w:rPr>
              <w:t>7,810</w:t>
            </w:r>
          </w:p>
        </w:tc>
        <w:tc>
          <w:tcPr>
            <w:tcW w:type="dxa" w:w="893"/>
          </w:tcPr>
          <w:p>
            <w:pPr>
              <w:spacing w:after="20" w:before="20"/>
              <w:jc w:val="right"/>
            </w:pPr>
            <w:r/>
            <w:r>
              <w:rPr>
                <w:rFonts w:ascii="Calibri" w:hAnsi="Calibri"/>
                <w:b w:val="0"/>
                <w:i w:val="0"/>
                <w:color w:val="20302C"/>
                <w:sz w:val="18"/>
              </w:rPr>
              <w:t>7,650</w:t>
            </w:r>
          </w:p>
        </w:tc>
        <w:tc>
          <w:tcPr>
            <w:tcW w:type="dxa" w:w="893"/>
          </w:tcPr>
          <w:p>
            <w:pPr>
              <w:spacing w:after="20" w:before="20"/>
              <w:jc w:val="right"/>
            </w:pPr>
            <w:r/>
            <w:r>
              <w:rPr>
                <w:rFonts w:ascii="Calibri" w:hAnsi="Calibri"/>
                <w:b w:val="0"/>
                <w:i w:val="0"/>
                <w:color w:val="20302C"/>
                <w:sz w:val="18"/>
              </w:rPr>
              <w:t>18,119</w:t>
            </w:r>
          </w:p>
        </w:tc>
        <w:tc>
          <w:tcPr>
            <w:tcW w:type="dxa" w:w="893"/>
          </w:tcPr>
          <w:p>
            <w:pPr>
              <w:spacing w:after="20" w:before="20"/>
              <w:jc w:val="right"/>
            </w:pPr>
            <w:r/>
            <w:r>
              <w:rPr>
                <w:rFonts w:ascii="Calibri" w:hAnsi="Calibri"/>
                <w:b w:val="0"/>
                <w:i w:val="0"/>
                <w:color w:val="20302C"/>
                <w:sz w:val="18"/>
              </w:rPr>
              <w:t>19,111</w:t>
            </w:r>
          </w:p>
        </w:tc>
        <w:tc>
          <w:tcPr>
            <w:tcW w:type="dxa" w:w="893"/>
          </w:tcPr>
          <w:p>
            <w:pPr>
              <w:spacing w:after="20" w:before="20"/>
              <w:jc w:val="right"/>
            </w:pPr>
            <w:r/>
            <w:r>
              <w:rPr>
                <w:rFonts w:ascii="Calibri" w:hAnsi="Calibri"/>
                <w:b w:val="0"/>
                <w:i w:val="0"/>
                <w:color w:val="20302C"/>
                <w:sz w:val="18"/>
              </w:rPr>
              <w:t>20,352</w:t>
            </w:r>
          </w:p>
        </w:tc>
        <w:tc>
          <w:tcPr>
            <w:tcW w:type="dxa" w:w="893"/>
          </w:tcPr>
          <w:p>
            <w:pPr>
              <w:spacing w:after="20" w:before="20"/>
              <w:jc w:val="right"/>
            </w:pPr>
            <w:r/>
            <w:r>
              <w:rPr>
                <w:rFonts w:ascii="Calibri" w:hAnsi="Calibri"/>
                <w:b w:val="0"/>
                <w:i w:val="0"/>
                <w:color w:val="20302C"/>
                <w:sz w:val="18"/>
              </w:rPr>
              <w:t>21,785</w:t>
            </w:r>
          </w:p>
        </w:tc>
        <w:tc>
          <w:tcPr>
            <w:tcW w:type="dxa" w:w="893"/>
          </w:tcPr>
          <w:p>
            <w:pPr>
              <w:spacing w:after="20" w:before="20"/>
              <w:jc w:val="right"/>
            </w:pPr>
            <w:r/>
            <w:r>
              <w:rPr>
                <w:rFonts w:ascii="Calibri" w:hAnsi="Calibri"/>
                <w:b w:val="0"/>
                <w:i w:val="0"/>
                <w:color w:val="20302C"/>
                <w:sz w:val="18"/>
              </w:rPr>
              <w:t>23,307</w:t>
            </w:r>
          </w:p>
        </w:tc>
      </w:tr>
      <w:tr>
        <w:tc>
          <w:tcPr>
            <w:tcW w:type="dxa" w:w="2880"/>
          </w:tcPr>
          <w:p>
            <w:pPr>
              <w:spacing w:after="20" w:before="20"/>
              <w:jc w:val="left"/>
            </w:pPr>
            <w:r/>
            <w:r>
              <w:rPr>
                <w:rFonts w:ascii="Calibri" w:hAnsi="Calibri"/>
                <w:b w:val="0"/>
                <w:i w:val="0"/>
                <w:color w:val="20302C"/>
                <w:sz w:val="18"/>
              </w:rPr>
              <w:t>Cash dividends paid</w:t>
            </w:r>
          </w:p>
        </w:tc>
        <w:tc>
          <w:tcPr>
            <w:tcW w:type="dxa" w:w="893"/>
          </w:tcPr>
          <w:p>
            <w:pPr>
              <w:spacing w:after="20" w:before="20"/>
              <w:jc w:val="right"/>
            </w:pPr>
            <w:r/>
            <w:r>
              <w:rPr>
                <w:rFonts w:ascii="Calibri" w:hAnsi="Calibri"/>
                <w:b w:val="0"/>
                <w:i w:val="0"/>
                <w:color w:val="20302C"/>
                <w:sz w:val="18"/>
              </w:rPr>
              <w:t>-5,923</w:t>
            </w:r>
          </w:p>
        </w:tc>
        <w:tc>
          <w:tcPr>
            <w:tcW w:type="dxa" w:w="893"/>
          </w:tcPr>
          <w:p>
            <w:pPr>
              <w:spacing w:after="20" w:before="20"/>
              <w:jc w:val="right"/>
            </w:pPr>
            <w:r/>
            <w:r>
              <w:rPr>
                <w:rFonts w:ascii="Calibri" w:hAnsi="Calibri"/>
                <w:b w:val="0"/>
                <w:i w:val="0"/>
                <w:color w:val="20302C"/>
                <w:sz w:val="18"/>
              </w:rPr>
              <w:t>-6,379</w:t>
            </w:r>
          </w:p>
        </w:tc>
        <w:tc>
          <w:tcPr>
            <w:tcW w:type="dxa" w:w="893"/>
          </w:tcPr>
          <w:p>
            <w:pPr>
              <w:spacing w:after="20" w:before="20"/>
              <w:jc w:val="right"/>
            </w:pPr>
            <w:r/>
            <w:r>
              <w:rPr>
                <w:rFonts w:ascii="Calibri" w:hAnsi="Calibri"/>
                <w:b w:val="0"/>
                <w:i w:val="0"/>
                <w:color w:val="20302C"/>
                <w:sz w:val="18"/>
              </w:rPr>
              <w:t>-6,607</w:t>
            </w:r>
          </w:p>
        </w:tc>
        <w:tc>
          <w:tcPr>
            <w:tcW w:type="dxa" w:w="893"/>
          </w:tcPr>
          <w:p>
            <w:pPr>
              <w:spacing w:after="20" w:before="20"/>
              <w:jc w:val="right"/>
            </w:pPr>
            <w:r/>
            <w:r>
              <w:rPr>
                <w:rFonts w:ascii="Calibri" w:hAnsi="Calibri"/>
                <w:b w:val="0"/>
                <w:i w:val="0"/>
                <w:color w:val="20302C"/>
                <w:sz w:val="18"/>
              </w:rPr>
              <w:t>-7,090</w:t>
            </w:r>
          </w:p>
        </w:tc>
        <w:tc>
          <w:tcPr>
            <w:tcW w:type="dxa" w:w="893"/>
          </w:tcPr>
          <w:p>
            <w:pPr>
              <w:spacing w:after="20" w:before="20"/>
              <w:jc w:val="right"/>
            </w:pPr>
            <w:r/>
            <w:r>
              <w:rPr>
                <w:rFonts w:ascii="Calibri" w:hAnsi="Calibri"/>
                <w:b w:val="0"/>
                <w:i w:val="0"/>
                <w:color w:val="20302C"/>
                <w:sz w:val="18"/>
              </w:rPr>
              <w:t>-7,655</w:t>
            </w:r>
          </w:p>
        </w:tc>
        <w:tc>
          <w:tcPr>
            <w:tcW w:type="dxa" w:w="893"/>
          </w:tcPr>
          <w:p>
            <w:pPr>
              <w:spacing w:after="20" w:before="20"/>
              <w:jc w:val="right"/>
            </w:pPr>
            <w:r/>
            <w:r>
              <w:rPr>
                <w:rFonts w:ascii="Calibri" w:hAnsi="Calibri"/>
                <w:b w:val="0"/>
                <w:i w:val="0"/>
                <w:color w:val="20302C"/>
                <w:sz w:val="18"/>
              </w:rPr>
              <w:t>-8,338</w:t>
            </w:r>
          </w:p>
        </w:tc>
        <w:tc>
          <w:tcPr>
            <w:tcW w:type="dxa" w:w="893"/>
          </w:tcPr>
          <w:p>
            <w:pPr>
              <w:spacing w:after="20" w:before="20"/>
              <w:jc w:val="right"/>
            </w:pPr>
            <w:r/>
            <w:r>
              <w:rPr>
                <w:rFonts w:ascii="Calibri" w:hAnsi="Calibri"/>
                <w:b w:val="0"/>
                <w:i w:val="0"/>
                <w:color w:val="20302C"/>
                <w:sz w:val="18"/>
              </w:rPr>
              <w:t>-9,122</w:t>
            </w:r>
          </w:p>
        </w:tc>
        <w:tc>
          <w:tcPr>
            <w:tcW w:type="dxa" w:w="893"/>
          </w:tcPr>
          <w:p>
            <w:pPr>
              <w:spacing w:after="20" w:before="20"/>
              <w:jc w:val="right"/>
            </w:pPr>
            <w:r/>
            <w:r>
              <w:rPr>
                <w:rFonts w:ascii="Calibri" w:hAnsi="Calibri"/>
                <w:b w:val="0"/>
                <w:i w:val="0"/>
                <w:color w:val="20302C"/>
                <w:sz w:val="18"/>
              </w:rPr>
              <w:t>-9,970</w:t>
            </w:r>
          </w:p>
        </w:tc>
      </w:tr>
      <w:tr>
        <w:tc>
          <w:tcPr>
            <w:tcW w:type="dxa" w:w="2880"/>
          </w:tcPr>
          <w:p>
            <w:pPr>
              <w:spacing w:after="20" w:before="20"/>
              <w:jc w:val="left"/>
            </w:pPr>
            <w:r/>
            <w:r>
              <w:rPr>
                <w:rFonts w:ascii="Calibri" w:hAnsi="Calibri"/>
                <w:b w:val="0"/>
                <w:i w:val="0"/>
                <w:color w:val="20302C"/>
                <w:sz w:val="18"/>
              </w:rPr>
              <w:t>Share buyback</w:t>
            </w:r>
          </w:p>
        </w:tc>
        <w:tc>
          <w:tcPr>
            <w:tcW w:type="dxa" w:w="893"/>
          </w:tcPr>
          <w:p>
            <w:pPr>
              <w:spacing w:after="20" w:before="20"/>
              <w:jc w:val="right"/>
            </w:pPr>
            <w:r/>
            <w:r>
              <w:rPr>
                <w:rFonts w:ascii="Calibri" w:hAnsi="Calibri"/>
                <w:b w:val="0"/>
                <w:i w:val="0"/>
                <w:color w:val="20302C"/>
                <w:sz w:val="18"/>
              </w:rPr>
              <w:t>—</w:t>
            </w:r>
          </w:p>
        </w:tc>
        <w:tc>
          <w:tcPr>
            <w:tcW w:type="dxa" w:w="893"/>
          </w:tcPr>
          <w:p>
            <w:pPr>
              <w:spacing w:after="20" w:before="20"/>
              <w:jc w:val="right"/>
            </w:pPr>
            <w:r/>
            <w:r>
              <w:rPr>
                <w:rFonts w:ascii="Calibri" w:hAnsi="Calibri"/>
                <w:b w:val="0"/>
                <w:i w:val="0"/>
                <w:color w:val="20302C"/>
                <w:sz w:val="18"/>
              </w:rPr>
              <w:t>—</w:t>
            </w:r>
          </w:p>
        </w:tc>
        <w:tc>
          <w:tcPr>
            <w:tcW w:type="dxa" w:w="893"/>
          </w:tcPr>
          <w:p>
            <w:pPr>
              <w:spacing w:after="20" w:before="20"/>
              <w:jc w:val="right"/>
            </w:pPr>
            <w:r/>
            <w:r>
              <w:rPr>
                <w:rFonts w:ascii="Calibri" w:hAnsi="Calibri"/>
                <w:b w:val="0"/>
                <w:i w:val="0"/>
                <w:color w:val="20302C"/>
                <w:sz w:val="18"/>
              </w:rPr>
              <w:t>(2,100)</w:t>
            </w:r>
          </w:p>
        </w:tc>
        <w:tc>
          <w:tcPr>
            <w:tcW w:type="dxa" w:w="893"/>
          </w:tcPr>
          <w:p>
            <w:pPr>
              <w:spacing w:after="20" w:before="20"/>
              <w:jc w:val="right"/>
            </w:pPr>
            <w:r/>
            <w:r>
              <w:rPr>
                <w:rFonts w:ascii="Calibri" w:hAnsi="Calibri"/>
                <w:b w:val="0"/>
                <w:i w:val="0"/>
                <w:color w:val="20302C"/>
                <w:sz w:val="18"/>
              </w:rPr>
              <w:t>—</w:t>
            </w:r>
          </w:p>
        </w:tc>
        <w:tc>
          <w:tcPr>
            <w:tcW w:type="dxa" w:w="893"/>
          </w:tcPr>
          <w:p>
            <w:pPr>
              <w:spacing w:after="20" w:before="20"/>
              <w:jc w:val="right"/>
            </w:pPr>
            <w:r/>
            <w:r>
              <w:rPr>
                <w:rFonts w:ascii="Calibri" w:hAnsi="Calibri"/>
                <w:b w:val="0"/>
                <w:i w:val="0"/>
                <w:color w:val="20302C"/>
                <w:sz w:val="18"/>
              </w:rPr>
              <w:t>—</w:t>
            </w:r>
          </w:p>
        </w:tc>
        <w:tc>
          <w:tcPr>
            <w:tcW w:type="dxa" w:w="893"/>
          </w:tcPr>
          <w:p>
            <w:pPr>
              <w:spacing w:after="20" w:before="20"/>
              <w:jc w:val="right"/>
            </w:pPr>
            <w:r/>
            <w:r>
              <w:rPr>
                <w:rFonts w:ascii="Calibri" w:hAnsi="Calibri"/>
                <w:b w:val="0"/>
                <w:i w:val="0"/>
                <w:color w:val="20302C"/>
                <w:sz w:val="18"/>
              </w:rPr>
              <w:t>—</w:t>
            </w:r>
          </w:p>
        </w:tc>
        <w:tc>
          <w:tcPr>
            <w:tcW w:type="dxa" w:w="893"/>
          </w:tcPr>
          <w:p>
            <w:pPr>
              <w:spacing w:after="20" w:before="20"/>
              <w:jc w:val="right"/>
            </w:pPr>
            <w:r/>
            <w:r>
              <w:rPr>
                <w:rFonts w:ascii="Calibri" w:hAnsi="Calibri"/>
                <w:b w:val="0"/>
                <w:i w:val="0"/>
                <w:color w:val="20302C"/>
                <w:sz w:val="18"/>
              </w:rPr>
              <w:t>—</w:t>
            </w:r>
          </w:p>
        </w:tc>
        <w:tc>
          <w:tcPr>
            <w:tcW w:type="dxa" w:w="893"/>
          </w:tcPr>
          <w:p>
            <w:pPr>
              <w:spacing w:after="20" w:before="20"/>
              <w:jc w:val="right"/>
            </w:pPr>
            <w:r/>
            <w:r>
              <w:rPr>
                <w:rFonts w:ascii="Calibri" w:hAnsi="Calibri"/>
                <w:b w:val="0"/>
                <w:i w:val="0"/>
                <w:color w:val="20302C"/>
                <w:sz w:val="18"/>
              </w:rPr>
              <w:t>—</w:t>
            </w:r>
          </w:p>
        </w:tc>
      </w:tr>
      <w:tr>
        <w:tc>
          <w:tcPr>
            <w:tcW w:type="dxa" w:w="2880"/>
          </w:tcPr>
          <w:p>
            <w:pPr>
              <w:spacing w:after="20" w:before="20"/>
              <w:jc w:val="left"/>
            </w:pPr>
            <w:r/>
            <w:r>
              <w:rPr>
                <w:rFonts w:ascii="Calibri" w:hAnsi="Calibri"/>
                <w:b w:val="0"/>
                <w:i w:val="0"/>
                <w:color w:val="20302C"/>
                <w:sz w:val="18"/>
              </w:rPr>
              <w:t>Retained / excess-capital build</w:t>
            </w:r>
          </w:p>
        </w:tc>
        <w:tc>
          <w:tcPr>
            <w:tcW w:type="dxa" w:w="893"/>
          </w:tcPr>
          <w:p>
            <w:pPr>
              <w:spacing w:after="20" w:before="20"/>
              <w:jc w:val="right"/>
            </w:pPr>
            <w:r/>
            <w:r>
              <w:rPr>
                <w:rFonts w:ascii="Calibri" w:hAnsi="Calibri"/>
                <w:b w:val="0"/>
                <w:i w:val="0"/>
                <w:color w:val="20302C"/>
                <w:sz w:val="18"/>
              </w:rPr>
              <w:t>1,528</w:t>
            </w:r>
          </w:p>
        </w:tc>
        <w:tc>
          <w:tcPr>
            <w:tcW w:type="dxa" w:w="893"/>
          </w:tcPr>
          <w:p>
            <w:pPr>
              <w:spacing w:after="20" w:before="20"/>
              <w:jc w:val="right"/>
            </w:pPr>
            <w:r/>
            <w:r>
              <w:rPr>
                <w:rFonts w:ascii="Calibri" w:hAnsi="Calibri"/>
                <w:b w:val="0"/>
                <w:i w:val="0"/>
                <w:color w:val="20302C"/>
                <w:sz w:val="18"/>
              </w:rPr>
              <w:t>2,140</w:t>
            </w:r>
          </w:p>
        </w:tc>
        <w:tc>
          <w:tcPr>
            <w:tcW w:type="dxa" w:w="893"/>
          </w:tcPr>
          <w:p>
            <w:pPr>
              <w:spacing w:after="20" w:before="20"/>
              <w:jc w:val="right"/>
            </w:pPr>
            <w:r/>
            <w:r>
              <w:rPr>
                <w:rFonts w:ascii="Calibri" w:hAnsi="Calibri"/>
                <w:b w:val="0"/>
                <w:i w:val="0"/>
                <w:color w:val="20302C"/>
                <w:sz w:val="18"/>
              </w:rPr>
              <w:t>135</w:t>
            </w:r>
          </w:p>
        </w:tc>
        <w:tc>
          <w:tcPr>
            <w:tcW w:type="dxa" w:w="893"/>
          </w:tcPr>
          <w:p>
            <w:pPr>
              <w:spacing w:after="20" w:before="20"/>
              <w:jc w:val="right"/>
            </w:pPr>
            <w:r/>
            <w:r>
              <w:rPr>
                <w:rFonts w:ascii="Calibri" w:hAnsi="Calibri"/>
                <w:b w:val="0"/>
                <w:i w:val="0"/>
                <w:color w:val="20302C"/>
                <w:sz w:val="18"/>
              </w:rPr>
              <w:t>11,029</w:t>
            </w:r>
          </w:p>
        </w:tc>
        <w:tc>
          <w:tcPr>
            <w:tcW w:type="dxa" w:w="893"/>
          </w:tcPr>
          <w:p>
            <w:pPr>
              <w:spacing w:after="20" w:before="20"/>
              <w:jc w:val="right"/>
            </w:pPr>
            <w:r/>
            <w:r>
              <w:rPr>
                <w:rFonts w:ascii="Calibri" w:hAnsi="Calibri"/>
                <w:b w:val="0"/>
                <w:i w:val="0"/>
                <w:color w:val="20302C"/>
                <w:sz w:val="18"/>
              </w:rPr>
              <w:t>11,456</w:t>
            </w:r>
          </w:p>
        </w:tc>
        <w:tc>
          <w:tcPr>
            <w:tcW w:type="dxa" w:w="893"/>
          </w:tcPr>
          <w:p>
            <w:pPr>
              <w:spacing w:after="20" w:before="20"/>
              <w:jc w:val="right"/>
            </w:pPr>
            <w:r/>
            <w:r>
              <w:rPr>
                <w:rFonts w:ascii="Calibri" w:hAnsi="Calibri"/>
                <w:b w:val="0"/>
                <w:i w:val="0"/>
                <w:color w:val="20302C"/>
                <w:sz w:val="18"/>
              </w:rPr>
              <w:t>12,014</w:t>
            </w:r>
          </w:p>
        </w:tc>
        <w:tc>
          <w:tcPr>
            <w:tcW w:type="dxa" w:w="893"/>
          </w:tcPr>
          <w:p>
            <w:pPr>
              <w:spacing w:after="20" w:before="20"/>
              <w:jc w:val="right"/>
            </w:pPr>
            <w:r/>
            <w:r>
              <w:rPr>
                <w:rFonts w:ascii="Calibri" w:hAnsi="Calibri"/>
                <w:b w:val="0"/>
                <w:i w:val="0"/>
                <w:color w:val="20302C"/>
                <w:sz w:val="18"/>
              </w:rPr>
              <w:t>12,663</w:t>
            </w:r>
          </w:p>
        </w:tc>
        <w:tc>
          <w:tcPr>
            <w:tcW w:type="dxa" w:w="893"/>
          </w:tcPr>
          <w:p>
            <w:pPr>
              <w:spacing w:after="20" w:before="20"/>
              <w:jc w:val="right"/>
            </w:pPr>
            <w:r/>
            <w:r>
              <w:rPr>
                <w:rFonts w:ascii="Calibri" w:hAnsi="Calibri"/>
                <w:b w:val="0"/>
                <w:i w:val="0"/>
                <w:color w:val="20302C"/>
                <w:sz w:val="18"/>
              </w:rPr>
              <w:t>13,337</w:t>
            </w:r>
          </w:p>
        </w:tc>
      </w:tr>
    </w:tbl>
    <w:p>
      <w:pPr>
        <w:spacing w:after="160" w:before="40"/>
      </w:pPr>
      <w:r>
        <w:rPr>
          <w:rFonts w:ascii="Calibri" w:hAnsi="Calibri"/>
          <w:i/>
          <w:color w:val="667070"/>
          <w:sz w:val="17"/>
        </w:rPr>
        <w:t>The bank cash-flow analogue: distributable capital = net profit less the capital retained to fund RWA growth at the CET1 target. The gap between FCFE and dividends is the excess-capital build — the crux for the DDM-versus-FCFE spread. FY25 buyback QAR 2.1bn (123.1mn shares).</w:t>
      </w:r>
    </w:p>
    <w:p>
      <w:pPr>
        <w:spacing w:before="240" w:after="80"/>
        <w:pBdr>
          <w:bottom w:val="single" w:sz="6" w:space="2" w:color="C0A45F"/>
        </w:pBdr>
      </w:pPr>
      <w:r>
        <w:rPr>
          <w:rFonts w:ascii="Calibri" w:hAnsi="Calibri"/>
          <w:b/>
          <w:color w:val="2E6E68"/>
          <w:sz w:val="30"/>
        </w:rPr>
        <w:t>Appendix B  Step 0 — calibration backtest</w:t>
      </w:r>
    </w:p>
    <w:p>
      <w:pPr>
        <w:spacing w:after="120" w:line="259" w:lineRule="auto"/>
      </w:pPr>
      <w:r>
        <w:rPr>
          <w:rFonts w:ascii="Calibri" w:hAnsi="Calibri"/>
          <w:b w:val="0"/>
          <w:i w:val="0"/>
          <w:color w:val="20302C"/>
          <w:sz w:val="21"/>
        </w:rPr>
        <w:t xml:space="preserve">Before any forecast we test the Monte-Carlo lens on QNB's own five years of history: at each origin, using only prior data, the YZ-HAR engine (zero drift for a non-EGX name, Student-t(5) shape) generates a three-month-ahead distribution, and we score the realized close against it. The grade is </w:t>
      </w:r>
      <w:r>
        <w:rPr>
          <w:rFonts w:ascii="Calibri" w:hAnsi="Calibri"/>
          <w:b/>
          <w:i w:val="0"/>
          <w:color w:val="20302C"/>
          <w:sz w:val="21"/>
        </w:rPr>
        <w:t>skill versus a naïve benchmark</w:t>
      </w:r>
      <w:r>
        <w:rPr>
          <w:rFonts w:ascii="Calibri" w:hAnsi="Calibri"/>
          <w:b w:val="0"/>
          <w:i w:val="0"/>
          <w:color w:val="20302C"/>
          <w:sz w:val="21"/>
        </w:rPr>
        <w:t xml:space="preserve"> — a zero-drift random-walk lognormal cone at the trailing realized vol — measured by CRPS skill (must be &gt; 0) and the interval (Winkler) score. The PIT histogram and interval coverage are shown as diagnostics only; band-containment rewards width and is never the pass criterion.</w:t>
      </w:r>
    </w:p>
    <w:p>
      <w:pPr>
        <w:spacing w:before="80"/>
        <w:jc w:val="center"/>
      </w:pPr>
      <w:r>
        <w:drawing>
          <wp:inline xmlns:a="http://schemas.openxmlformats.org/drawingml/2006/main" xmlns:pic="http://schemas.openxmlformats.org/drawingml/2006/picture">
            <wp:extent cx="6035040" cy="1641531"/>
            <wp:docPr id="8" name="Picture 8"/>
            <wp:cNvGraphicFramePr>
              <a:graphicFrameLocks noChangeAspect="1"/>
            </wp:cNvGraphicFramePr>
            <a:graphic>
              <a:graphicData uri="http://schemas.openxmlformats.org/drawingml/2006/picture">
                <pic:pic>
                  <pic:nvPicPr>
                    <pic:cNvPr id="0" name="figB1_calibration.png"/>
                    <pic:cNvPicPr/>
                  </pic:nvPicPr>
                  <pic:blipFill>
                    <a:blip r:embed="rId16"/>
                    <a:stretch>
                      <a:fillRect/>
                    </a:stretch>
                  </pic:blipFill>
                  <pic:spPr>
                    <a:xfrm>
                      <a:off x="0" y="0"/>
                      <a:ext cx="6035040" cy="1641531"/>
                    </a:xfrm>
                    <a:prstGeom prst="rect"/>
                  </pic:spPr>
                </pic:pic>
              </a:graphicData>
            </a:graphic>
          </wp:inline>
        </w:drawing>
      </w:r>
    </w:p>
    <w:p>
      <w:pPr>
        <w:spacing w:after="160" w:before="40"/>
      </w:pPr>
      <w:r>
        <w:rPr>
          <w:rFonts w:ascii="Calibri" w:hAnsi="Calibri"/>
          <w:i/>
          <w:color w:val="667070"/>
          <w:sz w:val="17"/>
        </w:rPr>
        <w:t>Figure B-1 — Calibration backtest: non-overlapping quarterly cone replay (left), PIT histogram on monthly origins (centre), and interval coverage versus target (right).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312"/>
            <w:shd w:val="clear" w:fill="1C3A36"/>
          </w:tcPr>
          <w:p>
            <w:pPr>
              <w:spacing w:after="20" w:before="20"/>
              <w:jc w:val="left"/>
            </w:pPr>
            <w:r/>
            <w:r>
              <w:rPr>
                <w:rFonts w:ascii="Calibri" w:hAnsi="Calibri"/>
                <w:b/>
                <w:i w:val="0"/>
                <w:color w:val="FFFFFF"/>
                <w:sz w:val="18"/>
              </w:rPr>
              <w:t>Window scheme</w:t>
            </w:r>
          </w:p>
        </w:tc>
        <w:tc>
          <w:tcPr>
            <w:tcW w:type="dxa" w:w="1152"/>
            <w:shd w:val="clear" w:fill="1C3A36"/>
          </w:tcPr>
          <w:p>
            <w:pPr>
              <w:spacing w:after="20" w:before="20"/>
              <w:jc w:val="right"/>
            </w:pPr>
            <w:r/>
            <w:r>
              <w:rPr>
                <w:rFonts w:ascii="Calibri" w:hAnsi="Calibri"/>
                <w:b/>
                <w:i w:val="0"/>
                <w:color w:val="FFFFFF"/>
                <w:sz w:val="18"/>
              </w:rPr>
              <w:t>n</w:t>
            </w:r>
          </w:p>
        </w:tc>
        <w:tc>
          <w:tcPr>
            <w:tcW w:type="dxa" w:w="1944"/>
            <w:shd w:val="clear" w:fill="1C3A36"/>
          </w:tcPr>
          <w:p>
            <w:pPr>
              <w:spacing w:after="20" w:before="20"/>
              <w:jc w:val="right"/>
            </w:pPr>
            <w:r/>
            <w:r>
              <w:rPr>
                <w:rFonts w:ascii="Calibri" w:hAnsi="Calibri"/>
                <w:b/>
                <w:i w:val="0"/>
                <w:color w:val="FFFFFF"/>
                <w:sz w:val="18"/>
              </w:rPr>
              <w:t>CRPS skill</w:t>
            </w:r>
          </w:p>
        </w:tc>
        <w:tc>
          <w:tcPr>
            <w:tcW w:type="dxa" w:w="2232"/>
            <w:shd w:val="clear" w:fill="1C3A36"/>
          </w:tcPr>
          <w:p>
            <w:pPr>
              <w:spacing w:after="20" w:before="20"/>
              <w:jc w:val="right"/>
            </w:pPr>
            <w:r/>
            <w:r>
              <w:rPr>
                <w:rFonts w:ascii="Calibri" w:hAnsi="Calibri"/>
                <w:b/>
                <w:i w:val="0"/>
                <w:color w:val="FFFFFF"/>
                <w:sz w:val="18"/>
              </w:rPr>
              <w:t>Winkler-80 skill</w:t>
            </w:r>
          </w:p>
        </w:tc>
        <w:tc>
          <w:tcPr>
            <w:tcW w:type="dxa" w:w="1440"/>
            <w:shd w:val="clear" w:fill="1C3A36"/>
          </w:tcPr>
          <w:p>
            <w:pPr>
              <w:spacing w:after="20" w:before="20"/>
              <w:jc w:val="right"/>
            </w:pPr>
            <w:r/>
            <w:r>
              <w:rPr>
                <w:rFonts w:ascii="Calibri" w:hAnsi="Calibri"/>
                <w:b/>
                <w:i w:val="0"/>
                <w:color w:val="FFFFFF"/>
                <w:sz w:val="18"/>
              </w:rPr>
              <w:t>PIT mean</w:t>
            </w:r>
          </w:p>
        </w:tc>
      </w:tr>
      <w:tr>
        <w:tc>
          <w:tcPr>
            <w:tcW w:type="dxa" w:w="3312"/>
          </w:tcPr>
          <w:p>
            <w:pPr>
              <w:spacing w:after="20" w:before="20"/>
              <w:jc w:val="left"/>
            </w:pPr>
            <w:r/>
            <w:r>
              <w:rPr>
                <w:rFonts w:ascii="Calibri" w:hAnsi="Calibri"/>
                <w:b w:val="0"/>
                <w:i w:val="0"/>
                <w:color w:val="20302C"/>
                <w:sz w:val="18"/>
              </w:rPr>
              <w:t>Non-overlapping (step 63d)</w:t>
            </w:r>
          </w:p>
        </w:tc>
        <w:tc>
          <w:tcPr>
            <w:tcW w:type="dxa" w:w="1152"/>
          </w:tcPr>
          <w:p>
            <w:pPr>
              <w:spacing w:after="20" w:before="20"/>
              <w:jc w:val="right"/>
            </w:pPr>
            <w:r/>
            <w:r>
              <w:rPr>
                <w:rFonts w:ascii="Calibri" w:hAnsi="Calibri"/>
                <w:b w:val="0"/>
                <w:i w:val="0"/>
                <w:color w:val="20302C"/>
                <w:sz w:val="18"/>
              </w:rPr>
              <w:t>17</w:t>
            </w:r>
          </w:p>
        </w:tc>
        <w:tc>
          <w:tcPr>
            <w:tcW w:type="dxa" w:w="1944"/>
          </w:tcPr>
          <w:p>
            <w:pPr>
              <w:spacing w:after="20" w:before="20"/>
              <w:jc w:val="right"/>
            </w:pPr>
            <w:r/>
            <w:r>
              <w:rPr>
                <w:rFonts w:ascii="Calibri" w:hAnsi="Calibri"/>
                <w:b w:val="0"/>
                <w:i w:val="0"/>
                <w:color w:val="20302C"/>
                <w:sz w:val="18"/>
              </w:rPr>
              <w:t>+0.011</w:t>
            </w:r>
          </w:p>
        </w:tc>
        <w:tc>
          <w:tcPr>
            <w:tcW w:type="dxa" w:w="2232"/>
          </w:tcPr>
          <w:p>
            <w:pPr>
              <w:spacing w:after="20" w:before="20"/>
              <w:jc w:val="right"/>
            </w:pPr>
            <w:r/>
            <w:r>
              <w:rPr>
                <w:rFonts w:ascii="Calibri" w:hAnsi="Calibri"/>
                <w:b w:val="0"/>
                <w:i w:val="0"/>
                <w:color w:val="20302C"/>
                <w:sz w:val="18"/>
              </w:rPr>
              <w:t>+0.017</w:t>
            </w:r>
          </w:p>
        </w:tc>
        <w:tc>
          <w:tcPr>
            <w:tcW w:type="dxa" w:w="1440"/>
          </w:tcPr>
          <w:p>
            <w:pPr>
              <w:spacing w:after="20" w:before="20"/>
              <w:jc w:val="right"/>
            </w:pPr>
            <w:r/>
            <w:r>
              <w:rPr>
                <w:rFonts w:ascii="Calibri" w:hAnsi="Calibri"/>
                <w:b w:val="0"/>
                <w:i w:val="0"/>
                <w:color w:val="20302C"/>
                <w:sz w:val="18"/>
              </w:rPr>
              <w:t>0.50</w:t>
            </w:r>
          </w:p>
        </w:tc>
      </w:tr>
      <w:tr>
        <w:tc>
          <w:tcPr>
            <w:tcW w:type="dxa" w:w="3312"/>
          </w:tcPr>
          <w:p>
            <w:pPr>
              <w:spacing w:after="20" w:before="20"/>
              <w:jc w:val="left"/>
            </w:pPr>
            <w:r/>
            <w:r>
              <w:rPr>
                <w:rFonts w:ascii="Calibri" w:hAnsi="Calibri"/>
                <w:b w:val="0"/>
                <w:i w:val="0"/>
                <w:color w:val="20302C"/>
                <w:sz w:val="18"/>
              </w:rPr>
              <w:t>Monthly origins (step 21d)</w:t>
            </w:r>
          </w:p>
        </w:tc>
        <w:tc>
          <w:tcPr>
            <w:tcW w:type="dxa" w:w="1152"/>
          </w:tcPr>
          <w:p>
            <w:pPr>
              <w:spacing w:after="20" w:before="20"/>
              <w:jc w:val="right"/>
            </w:pPr>
            <w:r/>
            <w:r>
              <w:rPr>
                <w:rFonts w:ascii="Calibri" w:hAnsi="Calibri"/>
                <w:b w:val="0"/>
                <w:i w:val="0"/>
                <w:color w:val="20302C"/>
                <w:sz w:val="18"/>
              </w:rPr>
              <w:t>51</w:t>
            </w:r>
          </w:p>
        </w:tc>
        <w:tc>
          <w:tcPr>
            <w:tcW w:type="dxa" w:w="1944"/>
          </w:tcPr>
          <w:p>
            <w:pPr>
              <w:spacing w:after="20" w:before="20"/>
              <w:jc w:val="right"/>
            </w:pPr>
            <w:r/>
            <w:r>
              <w:rPr>
                <w:rFonts w:ascii="Calibri" w:hAnsi="Calibri"/>
                <w:b w:val="0"/>
                <w:i w:val="0"/>
                <w:color w:val="20302C"/>
                <w:sz w:val="18"/>
              </w:rPr>
              <w:t>+0.028</w:t>
            </w:r>
          </w:p>
        </w:tc>
        <w:tc>
          <w:tcPr>
            <w:tcW w:type="dxa" w:w="2232"/>
          </w:tcPr>
          <w:p>
            <w:pPr>
              <w:spacing w:after="20" w:before="20"/>
              <w:jc w:val="right"/>
            </w:pPr>
            <w:r/>
            <w:r>
              <w:rPr>
                <w:rFonts w:ascii="Calibri" w:hAnsi="Calibri"/>
                <w:b w:val="0"/>
                <w:i w:val="0"/>
                <w:color w:val="20302C"/>
                <w:sz w:val="18"/>
              </w:rPr>
              <w:t>+0.071</w:t>
            </w:r>
          </w:p>
        </w:tc>
        <w:tc>
          <w:tcPr>
            <w:tcW w:type="dxa" w:w="1440"/>
          </w:tcPr>
          <w:p>
            <w:pPr>
              <w:spacing w:after="20" w:before="20"/>
              <w:jc w:val="right"/>
            </w:pPr>
            <w:r/>
            <w:r>
              <w:rPr>
                <w:rFonts w:ascii="Calibri" w:hAnsi="Calibri"/>
                <w:b w:val="0"/>
                <w:i w:val="0"/>
                <w:color w:val="20302C"/>
                <w:sz w:val="18"/>
              </w:rPr>
              <w:t>0.49</w:t>
            </w:r>
          </w:p>
        </w:tc>
      </w:tr>
      <w:tr>
        <w:tc>
          <w:tcPr>
            <w:tcW w:type="dxa" w:w="3312"/>
          </w:tcPr>
          <w:p>
            <w:pPr>
              <w:spacing w:after="20" w:before="20"/>
              <w:jc w:val="left"/>
            </w:pPr>
            <w:r/>
            <w:r>
              <w:rPr>
                <w:rFonts w:ascii="Calibri" w:hAnsi="Calibri"/>
                <w:b w:val="0"/>
                <w:i w:val="0"/>
                <w:color w:val="20302C"/>
                <w:sz w:val="18"/>
              </w:rPr>
              <w:t>Fortnightly (step 10d)</w:t>
            </w:r>
          </w:p>
        </w:tc>
        <w:tc>
          <w:tcPr>
            <w:tcW w:type="dxa" w:w="1152"/>
          </w:tcPr>
          <w:p>
            <w:pPr>
              <w:spacing w:after="20" w:before="20"/>
              <w:jc w:val="right"/>
            </w:pPr>
            <w:r/>
            <w:r>
              <w:rPr>
                <w:rFonts w:ascii="Calibri" w:hAnsi="Calibri"/>
                <w:b w:val="0"/>
                <w:i w:val="0"/>
                <w:color w:val="20302C"/>
                <w:sz w:val="18"/>
              </w:rPr>
              <w:t>106</w:t>
            </w:r>
          </w:p>
        </w:tc>
        <w:tc>
          <w:tcPr>
            <w:tcW w:type="dxa" w:w="1944"/>
          </w:tcPr>
          <w:p>
            <w:pPr>
              <w:spacing w:after="20" w:before="20"/>
              <w:jc w:val="right"/>
            </w:pPr>
            <w:r/>
            <w:r>
              <w:rPr>
                <w:rFonts w:ascii="Calibri" w:hAnsi="Calibri"/>
                <w:b w:val="0"/>
                <w:i w:val="0"/>
                <w:color w:val="20302C"/>
                <w:sz w:val="18"/>
              </w:rPr>
              <w:t>+0.010</w:t>
            </w:r>
          </w:p>
        </w:tc>
        <w:tc>
          <w:tcPr>
            <w:tcW w:type="dxa" w:w="2232"/>
          </w:tcPr>
          <w:p>
            <w:pPr>
              <w:spacing w:after="20" w:before="20"/>
              <w:jc w:val="right"/>
            </w:pPr>
            <w:r/>
            <w:r>
              <w:rPr>
                <w:rFonts w:ascii="Calibri" w:hAnsi="Calibri"/>
                <w:b w:val="0"/>
                <w:i w:val="0"/>
                <w:color w:val="20302C"/>
                <w:sz w:val="18"/>
              </w:rPr>
              <w:t>+0.043</w:t>
            </w:r>
          </w:p>
        </w:tc>
        <w:tc>
          <w:tcPr>
            <w:tcW w:type="dxa" w:w="1440"/>
          </w:tcPr>
          <w:p>
            <w:pPr>
              <w:spacing w:after="20" w:before="20"/>
              <w:jc w:val="right"/>
            </w:pPr>
            <w:r/>
            <w:r>
              <w:rPr>
                <w:rFonts w:ascii="Calibri" w:hAnsi="Calibri"/>
                <w:b w:val="0"/>
                <w:i w:val="0"/>
                <w:color w:val="20302C"/>
                <w:sz w:val="18"/>
              </w:rPr>
              <w:t>0.48</w:t>
            </w:r>
          </w:p>
        </w:tc>
      </w:tr>
      <w:tr>
        <w:tc>
          <w:tcPr>
            <w:tcW w:type="dxa" w:w="3312"/>
            <w:shd w:val="clear" w:fill="F2ECDD"/>
          </w:tcPr>
          <w:p>
            <w:pPr>
              <w:spacing w:after="20" w:before="20"/>
              <w:jc w:val="left"/>
            </w:pPr>
            <w:r/>
            <w:r>
              <w:rPr>
                <w:rFonts w:ascii="Calibri" w:hAnsi="Calibri"/>
                <w:b/>
                <w:i w:val="0"/>
                <w:color w:val="20302C"/>
                <w:sz w:val="18"/>
              </w:rPr>
              <w:t>Pass criterion</w:t>
            </w:r>
          </w:p>
        </w:tc>
        <w:tc>
          <w:tcPr>
            <w:tcW w:type="dxa" w:w="1152"/>
            <w:shd w:val="clear" w:fill="F2ECDD"/>
          </w:tcPr>
          <w:p>
            <w:pPr>
              <w:spacing w:after="20" w:before="20"/>
              <w:jc w:val="right"/>
            </w:pPr>
            <w:r/>
            <w:r>
              <w:rPr>
                <w:rFonts w:ascii="Calibri" w:hAnsi="Calibri"/>
                <w:b/>
                <w:i w:val="0"/>
                <w:color w:val="20302C"/>
                <w:sz w:val="18"/>
              </w:rPr>
              <w:t>—</w:t>
            </w:r>
          </w:p>
        </w:tc>
        <w:tc>
          <w:tcPr>
            <w:tcW w:type="dxa" w:w="1944"/>
            <w:shd w:val="clear" w:fill="F2ECDD"/>
          </w:tcPr>
          <w:p>
            <w:pPr>
              <w:spacing w:after="20" w:before="20"/>
              <w:jc w:val="right"/>
            </w:pPr>
            <w:r/>
            <w:r>
              <w:rPr>
                <w:rFonts w:ascii="Calibri" w:hAnsi="Calibri"/>
                <w:b/>
                <w:i w:val="0"/>
                <w:color w:val="20302C"/>
                <w:sz w:val="18"/>
              </w:rPr>
              <w:t>&gt; 0</w:t>
            </w:r>
          </w:p>
        </w:tc>
        <w:tc>
          <w:tcPr>
            <w:tcW w:type="dxa" w:w="2232"/>
            <w:shd w:val="clear" w:fill="F2ECDD"/>
          </w:tcPr>
          <w:p>
            <w:pPr>
              <w:spacing w:after="20" w:before="20"/>
              <w:jc w:val="right"/>
            </w:pPr>
            <w:r/>
            <w:r>
              <w:rPr>
                <w:rFonts w:ascii="Calibri" w:hAnsi="Calibri"/>
                <w:b/>
                <w:i w:val="0"/>
                <w:color w:val="20302C"/>
                <w:sz w:val="18"/>
              </w:rPr>
              <w:t>&gt; 0</w:t>
            </w:r>
          </w:p>
        </w:tc>
        <w:tc>
          <w:tcPr>
            <w:tcW w:type="dxa" w:w="1440"/>
            <w:shd w:val="clear" w:fill="F2ECDD"/>
          </w:tcPr>
          <w:p>
            <w:pPr>
              <w:spacing w:after="20" w:before="20"/>
              <w:jc w:val="right"/>
            </w:pPr>
            <w:r/>
            <w:r>
              <w:rPr>
                <w:rFonts w:ascii="Calibri" w:hAnsi="Calibri"/>
                <w:b/>
                <w:i w:val="0"/>
                <w:color w:val="20302C"/>
                <w:sz w:val="18"/>
              </w:rPr>
              <w:t>≈ 0.50</w:t>
            </w:r>
          </w:p>
        </w:tc>
      </w:tr>
    </w:tbl>
    <w:p>
      <w:pPr>
        <w:spacing w:after="120" w:line="259" w:lineRule="auto"/>
      </w:pPr>
      <w:r>
        <w:rPr>
          <w:rFonts w:ascii="Calibri" w:hAnsi="Calibri"/>
          <w:b w:val="0"/>
          <w:i w:val="0"/>
          <w:color w:val="20302C"/>
          <w:sz w:val="20"/>
        </w:rPr>
        <w:t>The engine beats the random-walk benchmark on CRPS skill in every scheme (+0.011 to +0.028) and on the interval score at the 50/80/90 bands, with a PIT mean of ~0.49 — well-centred, no directional bias. The margin is honest rather than heroic: for a mature mega-cap the naïve cone is already hard to beat, and the skill comes from the regime-conditional width and the tighter t5 body, not from a drift assumption. Interval coverage sits a little inside the 50% band (a tight t5 body) but the PIT is roughly uniform. The lens is accepted; this engine carries into the §3 forward run.</w:t>
      </w:r>
    </w:p>
    <w:p>
      <w:pPr>
        <w:spacing w:before="240" w:after="80"/>
        <w:pBdr>
          <w:bottom w:val="single" w:sz="6" w:space="2" w:color="C0A45F"/>
        </w:pBdr>
      </w:pPr>
      <w:r>
        <w:rPr>
          <w:rFonts w:ascii="Calibri" w:hAnsi="Calibri"/>
          <w:b/>
          <w:color w:val="2E6E68"/>
          <w:sz w:val="30"/>
        </w:rPr>
        <w:t>Appendix C  Peer set, sector structure, and risks</w:t>
      </w:r>
    </w:p>
    <w:p>
      <w:pPr>
        <w:spacing w:after="120" w:line="259" w:lineRule="auto"/>
      </w:pPr>
      <w:r>
        <w:rPr>
          <w:rFonts w:ascii="Calibri" w:hAnsi="Calibri"/>
          <w:b w:val="0"/>
          <w:i w:val="0"/>
          <w:color w:val="20302C"/>
          <w:sz w:val="21"/>
        </w:rPr>
        <w:t>QNB's cleanest comparables are the other GCC banking champions, though none is a perfect match: QNB is larger, more sovereign-linked and more geographically spread (Türkiye, Egypt) than most. Multiples below are indicative and dated (mid-2025 to mid-2026); they move continuously.</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3024"/>
            <w:shd w:val="clear" w:fill="1C3A36"/>
          </w:tcPr>
          <w:p>
            <w:pPr>
              <w:spacing w:after="20" w:before="20"/>
              <w:jc w:val="left"/>
            </w:pPr>
            <w:r/>
            <w:r>
              <w:rPr>
                <w:rFonts w:ascii="Calibri" w:hAnsi="Calibri"/>
                <w:b/>
                <w:i w:val="0"/>
                <w:color w:val="FFFFFF"/>
                <w:sz w:val="18"/>
              </w:rPr>
              <w:t>Bank</w:t>
            </w:r>
          </w:p>
        </w:tc>
        <w:tc>
          <w:tcPr>
            <w:tcW w:type="dxa" w:w="1224"/>
            <w:shd w:val="clear" w:fill="1C3A36"/>
          </w:tcPr>
          <w:p>
            <w:pPr>
              <w:spacing w:after="20" w:before="20"/>
              <w:jc w:val="right"/>
            </w:pPr>
            <w:r/>
            <w:r>
              <w:rPr>
                <w:rFonts w:ascii="Calibri" w:hAnsi="Calibri"/>
                <w:b/>
                <w:i w:val="0"/>
                <w:color w:val="FFFFFF"/>
                <w:sz w:val="18"/>
              </w:rPr>
              <w:t>P/B</w:t>
            </w:r>
          </w:p>
        </w:tc>
        <w:tc>
          <w:tcPr>
            <w:tcW w:type="dxa" w:w="1224"/>
            <w:shd w:val="clear" w:fill="1C3A36"/>
          </w:tcPr>
          <w:p>
            <w:pPr>
              <w:spacing w:after="20" w:before="20"/>
              <w:jc w:val="right"/>
            </w:pPr>
            <w:r/>
            <w:r>
              <w:rPr>
                <w:rFonts w:ascii="Calibri" w:hAnsi="Calibri"/>
                <w:b/>
                <w:i w:val="0"/>
                <w:color w:val="FFFFFF"/>
                <w:sz w:val="18"/>
              </w:rPr>
              <w:t>P/E</w:t>
            </w:r>
          </w:p>
        </w:tc>
        <w:tc>
          <w:tcPr>
            <w:tcW w:type="dxa" w:w="1224"/>
            <w:shd w:val="clear" w:fill="1C3A36"/>
          </w:tcPr>
          <w:p>
            <w:pPr>
              <w:spacing w:after="20" w:before="20"/>
              <w:jc w:val="right"/>
            </w:pPr>
            <w:r/>
            <w:r>
              <w:rPr>
                <w:rFonts w:ascii="Calibri" w:hAnsi="Calibri"/>
                <w:b/>
                <w:i w:val="0"/>
                <w:color w:val="FFFFFF"/>
                <w:sz w:val="18"/>
              </w:rPr>
              <w:t>RoE</w:t>
            </w:r>
          </w:p>
        </w:tc>
        <w:tc>
          <w:tcPr>
            <w:tcW w:type="dxa" w:w="1224"/>
            <w:shd w:val="clear" w:fill="1C3A36"/>
          </w:tcPr>
          <w:p>
            <w:pPr>
              <w:spacing w:after="20" w:before="20"/>
              <w:jc w:val="right"/>
            </w:pPr>
            <w:r/>
            <w:r>
              <w:rPr>
                <w:rFonts w:ascii="Calibri" w:hAnsi="Calibri"/>
                <w:b/>
                <w:i w:val="0"/>
                <w:color w:val="FFFFFF"/>
                <w:sz w:val="18"/>
              </w:rPr>
              <w:t>Div yld</w:t>
            </w:r>
          </w:p>
        </w:tc>
        <w:tc>
          <w:tcPr>
            <w:tcW w:type="dxa" w:w="2160"/>
            <w:shd w:val="clear" w:fill="1C3A36"/>
          </w:tcPr>
          <w:p>
            <w:pPr>
              <w:spacing w:after="20" w:before="20"/>
              <w:jc w:val="right"/>
            </w:pPr>
            <w:r/>
            <w:r>
              <w:rPr>
                <w:rFonts w:ascii="Calibri" w:hAnsi="Calibri"/>
                <w:b/>
                <w:i w:val="0"/>
                <w:color w:val="FFFFFF"/>
                <w:sz w:val="18"/>
              </w:rPr>
              <w:t>Note</w:t>
            </w:r>
          </w:p>
        </w:tc>
      </w:tr>
      <w:tr>
        <w:tc>
          <w:tcPr>
            <w:tcW w:type="dxa" w:w="3024"/>
          </w:tcPr>
          <w:p>
            <w:pPr>
              <w:spacing w:after="20" w:before="20"/>
              <w:jc w:val="left"/>
            </w:pPr>
            <w:r/>
            <w:r>
              <w:rPr>
                <w:rFonts w:ascii="Calibri" w:hAnsi="Calibri"/>
                <w:b w:val="0"/>
                <w:i w:val="0"/>
                <w:color w:val="20302C"/>
                <w:sz w:val="18"/>
              </w:rPr>
              <w:t>QNB Group (QNBK)</w:t>
            </w:r>
          </w:p>
        </w:tc>
        <w:tc>
          <w:tcPr>
            <w:tcW w:type="dxa" w:w="1224"/>
          </w:tcPr>
          <w:p>
            <w:pPr>
              <w:spacing w:after="20" w:before="20"/>
              <w:jc w:val="right"/>
            </w:pPr>
            <w:r/>
            <w:r>
              <w:rPr>
                <w:rFonts w:ascii="Calibri" w:hAnsi="Calibri"/>
                <w:b w:val="0"/>
                <w:i w:val="0"/>
                <w:color w:val="20302C"/>
                <w:sz w:val="18"/>
              </w:rPr>
              <w:t>1.48×</w:t>
            </w:r>
          </w:p>
        </w:tc>
        <w:tc>
          <w:tcPr>
            <w:tcW w:type="dxa" w:w="1224"/>
          </w:tcPr>
          <w:p>
            <w:pPr>
              <w:spacing w:after="20" w:before="20"/>
              <w:jc w:val="right"/>
            </w:pPr>
            <w:r/>
            <w:r>
              <w:rPr>
                <w:rFonts w:ascii="Calibri" w:hAnsi="Calibri"/>
                <w:b w:val="0"/>
                <w:i w:val="0"/>
                <w:color w:val="20302C"/>
                <w:sz w:val="18"/>
              </w:rPr>
              <w:t>10.1×</w:t>
            </w:r>
          </w:p>
        </w:tc>
        <w:tc>
          <w:tcPr>
            <w:tcW w:type="dxa" w:w="1224"/>
          </w:tcPr>
          <w:p>
            <w:pPr>
              <w:spacing w:after="20" w:before="20"/>
              <w:jc w:val="right"/>
            </w:pPr>
            <w:r/>
            <w:r>
              <w:rPr>
                <w:rFonts w:ascii="Calibri" w:hAnsi="Calibri"/>
                <w:b w:val="0"/>
                <w:i w:val="0"/>
                <w:color w:val="20302C"/>
                <w:sz w:val="18"/>
              </w:rPr>
              <w:t>~15%</w:t>
            </w:r>
          </w:p>
        </w:tc>
        <w:tc>
          <w:tcPr>
            <w:tcW w:type="dxa" w:w="1224"/>
          </w:tcPr>
          <w:p>
            <w:pPr>
              <w:spacing w:after="20" w:before="20"/>
              <w:jc w:val="right"/>
            </w:pPr>
            <w:r/>
            <w:r>
              <w:rPr>
                <w:rFonts w:ascii="Calibri" w:hAnsi="Calibri"/>
                <w:b w:val="0"/>
                <w:i w:val="0"/>
                <w:color w:val="20302C"/>
                <w:sz w:val="18"/>
              </w:rPr>
              <w:t>4.1%</w:t>
            </w:r>
          </w:p>
        </w:tc>
        <w:tc>
          <w:tcPr>
            <w:tcW w:type="dxa" w:w="2160"/>
          </w:tcPr>
          <w:p>
            <w:pPr>
              <w:spacing w:after="20" w:before="20"/>
              <w:jc w:val="right"/>
            </w:pPr>
            <w:r/>
            <w:r>
              <w:rPr>
                <w:rFonts w:ascii="Calibri" w:hAnsi="Calibri"/>
                <w:b w:val="0"/>
                <w:i w:val="0"/>
                <w:color w:val="20302C"/>
                <w:sz w:val="18"/>
              </w:rPr>
              <w:t>This study</w:t>
            </w:r>
          </w:p>
        </w:tc>
      </w:tr>
      <w:tr>
        <w:tc>
          <w:tcPr>
            <w:tcW w:type="dxa" w:w="3024"/>
          </w:tcPr>
          <w:p>
            <w:pPr>
              <w:spacing w:after="20" w:before="20"/>
              <w:jc w:val="left"/>
            </w:pPr>
            <w:r/>
            <w:r>
              <w:rPr>
                <w:rFonts w:ascii="Calibri" w:hAnsi="Calibri"/>
                <w:b w:val="0"/>
                <w:i w:val="0"/>
                <w:color w:val="20302C"/>
                <w:sz w:val="18"/>
              </w:rPr>
              <w:t>Al Rajhi (1120)</w:t>
            </w:r>
          </w:p>
        </w:tc>
        <w:tc>
          <w:tcPr>
            <w:tcW w:type="dxa" w:w="1224"/>
          </w:tcPr>
          <w:p>
            <w:pPr>
              <w:spacing w:after="20" w:before="20"/>
              <w:jc w:val="right"/>
            </w:pPr>
            <w:r/>
            <w:r>
              <w:rPr>
                <w:rFonts w:ascii="Calibri" w:hAnsi="Calibri"/>
                <w:b w:val="0"/>
                <w:i w:val="0"/>
                <w:color w:val="20302C"/>
                <w:sz w:val="18"/>
              </w:rPr>
              <w:t>4.0×</w:t>
            </w:r>
          </w:p>
        </w:tc>
        <w:tc>
          <w:tcPr>
            <w:tcW w:type="dxa" w:w="1224"/>
          </w:tcPr>
          <w:p>
            <w:pPr>
              <w:spacing w:after="20" w:before="20"/>
              <w:jc w:val="right"/>
            </w:pPr>
            <w:r/>
            <w:r>
              <w:rPr>
                <w:rFonts w:ascii="Calibri" w:hAnsi="Calibri"/>
                <w:b w:val="0"/>
                <w:i w:val="0"/>
                <w:color w:val="20302C"/>
                <w:sz w:val="18"/>
              </w:rPr>
              <w:t>19×</w:t>
            </w:r>
          </w:p>
        </w:tc>
        <w:tc>
          <w:tcPr>
            <w:tcW w:type="dxa" w:w="1224"/>
          </w:tcPr>
          <w:p>
            <w:pPr>
              <w:spacing w:after="20" w:before="20"/>
              <w:jc w:val="right"/>
            </w:pPr>
            <w:r/>
            <w:r>
              <w:rPr>
                <w:rFonts w:ascii="Calibri" w:hAnsi="Calibri"/>
                <w:b w:val="0"/>
                <w:i w:val="0"/>
                <w:color w:val="20302C"/>
                <w:sz w:val="18"/>
              </w:rPr>
              <w:t>~20%</w:t>
            </w:r>
          </w:p>
        </w:tc>
        <w:tc>
          <w:tcPr>
            <w:tcW w:type="dxa" w:w="1224"/>
          </w:tcPr>
          <w:p>
            <w:pPr>
              <w:spacing w:after="20" w:before="20"/>
              <w:jc w:val="right"/>
            </w:pPr>
            <w:r/>
            <w:r>
              <w:rPr>
                <w:rFonts w:ascii="Calibri" w:hAnsi="Calibri"/>
                <w:b w:val="0"/>
                <w:i w:val="0"/>
                <w:color w:val="20302C"/>
                <w:sz w:val="18"/>
              </w:rPr>
              <w:t>2.1%</w:t>
            </w:r>
          </w:p>
        </w:tc>
        <w:tc>
          <w:tcPr>
            <w:tcW w:type="dxa" w:w="2160"/>
          </w:tcPr>
          <w:p>
            <w:pPr>
              <w:spacing w:after="20" w:before="20"/>
              <w:jc w:val="right"/>
            </w:pPr>
            <w:r/>
            <w:r>
              <w:rPr>
                <w:rFonts w:ascii="Calibri" w:hAnsi="Calibri"/>
                <w:b w:val="0"/>
                <w:i w:val="0"/>
                <w:color w:val="20302C"/>
                <w:sz w:val="18"/>
              </w:rPr>
              <w:t>Islamic premium</w:t>
            </w:r>
          </w:p>
        </w:tc>
      </w:tr>
      <w:tr>
        <w:tc>
          <w:tcPr>
            <w:tcW w:type="dxa" w:w="3024"/>
          </w:tcPr>
          <w:p>
            <w:pPr>
              <w:spacing w:after="20" w:before="20"/>
              <w:jc w:val="left"/>
            </w:pPr>
            <w:r/>
            <w:r>
              <w:rPr>
                <w:rFonts w:ascii="Calibri" w:hAnsi="Calibri"/>
                <w:b w:val="0"/>
                <w:i w:val="0"/>
                <w:color w:val="20302C"/>
                <w:sz w:val="18"/>
              </w:rPr>
              <w:t>First Abu Dhabi (FAB)</w:t>
            </w:r>
          </w:p>
        </w:tc>
        <w:tc>
          <w:tcPr>
            <w:tcW w:type="dxa" w:w="1224"/>
          </w:tcPr>
          <w:p>
            <w:pPr>
              <w:spacing w:after="20" w:before="20"/>
              <w:jc w:val="right"/>
            </w:pPr>
            <w:r/>
            <w:r>
              <w:rPr>
                <w:rFonts w:ascii="Calibri" w:hAnsi="Calibri"/>
                <w:b w:val="0"/>
                <w:i w:val="0"/>
                <w:color w:val="20302C"/>
                <w:sz w:val="18"/>
              </w:rPr>
              <w:t>1.5×</w:t>
            </w:r>
          </w:p>
        </w:tc>
        <w:tc>
          <w:tcPr>
            <w:tcW w:type="dxa" w:w="1224"/>
          </w:tcPr>
          <w:p>
            <w:pPr>
              <w:spacing w:after="20" w:before="20"/>
              <w:jc w:val="right"/>
            </w:pPr>
            <w:r/>
            <w:r>
              <w:rPr>
                <w:rFonts w:ascii="Calibri" w:hAnsi="Calibri"/>
                <w:b w:val="0"/>
                <w:i w:val="0"/>
                <w:color w:val="20302C"/>
                <w:sz w:val="18"/>
              </w:rPr>
              <w:t>10.5×</w:t>
            </w:r>
          </w:p>
        </w:tc>
        <w:tc>
          <w:tcPr>
            <w:tcW w:type="dxa" w:w="1224"/>
          </w:tcPr>
          <w:p>
            <w:pPr>
              <w:spacing w:after="20" w:before="20"/>
              <w:jc w:val="right"/>
            </w:pPr>
            <w:r/>
            <w:r>
              <w:rPr>
                <w:rFonts w:ascii="Calibri" w:hAnsi="Calibri"/>
                <w:b w:val="0"/>
                <w:i w:val="0"/>
                <w:color w:val="20302C"/>
                <w:sz w:val="18"/>
              </w:rPr>
              <w:t>~16%</w:t>
            </w:r>
          </w:p>
        </w:tc>
        <w:tc>
          <w:tcPr>
            <w:tcW w:type="dxa" w:w="1224"/>
          </w:tcPr>
          <w:p>
            <w:pPr>
              <w:spacing w:after="20" w:before="20"/>
              <w:jc w:val="right"/>
            </w:pPr>
            <w:r/>
            <w:r>
              <w:rPr>
                <w:rFonts w:ascii="Calibri" w:hAnsi="Calibri"/>
                <w:b w:val="0"/>
                <w:i w:val="0"/>
                <w:color w:val="20302C"/>
                <w:sz w:val="18"/>
              </w:rPr>
              <w:t>4.5%</w:t>
            </w:r>
          </w:p>
        </w:tc>
        <w:tc>
          <w:tcPr>
            <w:tcW w:type="dxa" w:w="2160"/>
          </w:tcPr>
          <w:p>
            <w:pPr>
              <w:spacing w:after="20" w:before="20"/>
              <w:jc w:val="right"/>
            </w:pPr>
            <w:r/>
            <w:r>
              <w:rPr>
                <w:rFonts w:ascii="Calibri" w:hAnsi="Calibri"/>
                <w:b w:val="0"/>
                <w:i w:val="0"/>
                <w:color w:val="20302C"/>
                <w:sz w:val="18"/>
              </w:rPr>
              <w:t>Largest UAE</w:t>
            </w:r>
          </w:p>
        </w:tc>
      </w:tr>
      <w:tr>
        <w:tc>
          <w:tcPr>
            <w:tcW w:type="dxa" w:w="3024"/>
          </w:tcPr>
          <w:p>
            <w:pPr>
              <w:spacing w:after="20" w:before="20"/>
              <w:jc w:val="left"/>
            </w:pPr>
            <w:r/>
            <w:r>
              <w:rPr>
                <w:rFonts w:ascii="Calibri" w:hAnsi="Calibri"/>
                <w:b w:val="0"/>
                <w:i w:val="0"/>
                <w:color w:val="20302C"/>
                <w:sz w:val="18"/>
              </w:rPr>
              <w:t>Emirates NBD</w:t>
            </w:r>
          </w:p>
        </w:tc>
        <w:tc>
          <w:tcPr>
            <w:tcW w:type="dxa" w:w="1224"/>
          </w:tcPr>
          <w:p>
            <w:pPr>
              <w:spacing w:after="20" w:before="20"/>
              <w:jc w:val="right"/>
            </w:pPr>
            <w:r/>
            <w:r>
              <w:rPr>
                <w:rFonts w:ascii="Calibri" w:hAnsi="Calibri"/>
                <w:b w:val="0"/>
                <w:i w:val="0"/>
                <w:color w:val="20302C"/>
                <w:sz w:val="18"/>
              </w:rPr>
              <w:t>1.3×</w:t>
            </w:r>
          </w:p>
        </w:tc>
        <w:tc>
          <w:tcPr>
            <w:tcW w:type="dxa" w:w="1224"/>
          </w:tcPr>
          <w:p>
            <w:pPr>
              <w:spacing w:after="20" w:before="20"/>
              <w:jc w:val="right"/>
            </w:pPr>
            <w:r/>
            <w:r>
              <w:rPr>
                <w:rFonts w:ascii="Calibri" w:hAnsi="Calibri"/>
                <w:b w:val="0"/>
                <w:i w:val="0"/>
                <w:color w:val="20302C"/>
                <w:sz w:val="18"/>
              </w:rPr>
              <w:t>7.0×</w:t>
            </w:r>
          </w:p>
        </w:tc>
        <w:tc>
          <w:tcPr>
            <w:tcW w:type="dxa" w:w="1224"/>
          </w:tcPr>
          <w:p>
            <w:pPr>
              <w:spacing w:after="20" w:before="20"/>
              <w:jc w:val="right"/>
            </w:pPr>
            <w:r/>
            <w:r>
              <w:rPr>
                <w:rFonts w:ascii="Calibri" w:hAnsi="Calibri"/>
                <w:b w:val="0"/>
                <w:i w:val="0"/>
                <w:color w:val="20302C"/>
                <w:sz w:val="18"/>
              </w:rPr>
              <w:t>~19%</w:t>
            </w:r>
          </w:p>
        </w:tc>
        <w:tc>
          <w:tcPr>
            <w:tcW w:type="dxa" w:w="1224"/>
          </w:tcPr>
          <w:p>
            <w:pPr>
              <w:spacing w:after="20" w:before="20"/>
              <w:jc w:val="right"/>
            </w:pPr>
            <w:r/>
            <w:r>
              <w:rPr>
                <w:rFonts w:ascii="Calibri" w:hAnsi="Calibri"/>
                <w:b w:val="0"/>
                <w:i w:val="0"/>
                <w:color w:val="20302C"/>
                <w:sz w:val="18"/>
              </w:rPr>
              <w:t>4.0%</w:t>
            </w:r>
          </w:p>
        </w:tc>
        <w:tc>
          <w:tcPr>
            <w:tcW w:type="dxa" w:w="2160"/>
          </w:tcPr>
          <w:p>
            <w:pPr>
              <w:spacing w:after="20" w:before="20"/>
              <w:jc w:val="right"/>
            </w:pPr>
            <w:r/>
            <w:r>
              <w:rPr>
                <w:rFonts w:ascii="Calibri" w:hAnsi="Calibri"/>
                <w:b w:val="0"/>
                <w:i w:val="0"/>
                <w:color w:val="20302C"/>
                <w:sz w:val="18"/>
              </w:rPr>
              <w:t>Türkiye/EM drag</w:t>
            </w:r>
          </w:p>
        </w:tc>
      </w:tr>
      <w:tr>
        <w:tc>
          <w:tcPr>
            <w:tcW w:type="dxa" w:w="3024"/>
          </w:tcPr>
          <w:p>
            <w:pPr>
              <w:spacing w:after="20" w:before="20"/>
              <w:jc w:val="left"/>
            </w:pPr>
            <w:r/>
            <w:r>
              <w:rPr>
                <w:rFonts w:ascii="Calibri" w:hAnsi="Calibri"/>
                <w:b w:val="0"/>
                <w:i w:val="0"/>
                <w:color w:val="20302C"/>
                <w:sz w:val="18"/>
              </w:rPr>
              <w:t>Saudi National Bank</w:t>
            </w:r>
          </w:p>
        </w:tc>
        <w:tc>
          <w:tcPr>
            <w:tcW w:type="dxa" w:w="1224"/>
          </w:tcPr>
          <w:p>
            <w:pPr>
              <w:spacing w:after="20" w:before="20"/>
              <w:jc w:val="right"/>
            </w:pPr>
            <w:r/>
            <w:r>
              <w:rPr>
                <w:rFonts w:ascii="Calibri" w:hAnsi="Calibri"/>
                <w:b w:val="0"/>
                <w:i w:val="0"/>
                <w:color w:val="20302C"/>
                <w:sz w:val="18"/>
              </w:rPr>
              <w:t>1.4×</w:t>
            </w:r>
          </w:p>
        </w:tc>
        <w:tc>
          <w:tcPr>
            <w:tcW w:type="dxa" w:w="1224"/>
          </w:tcPr>
          <w:p>
            <w:pPr>
              <w:spacing w:after="20" w:before="20"/>
              <w:jc w:val="right"/>
            </w:pPr>
            <w:r/>
            <w:r>
              <w:rPr>
                <w:rFonts w:ascii="Calibri" w:hAnsi="Calibri"/>
                <w:b w:val="0"/>
                <w:i w:val="0"/>
                <w:color w:val="20302C"/>
                <w:sz w:val="18"/>
              </w:rPr>
              <w:t>11.5×</w:t>
            </w:r>
          </w:p>
        </w:tc>
        <w:tc>
          <w:tcPr>
            <w:tcW w:type="dxa" w:w="1224"/>
          </w:tcPr>
          <w:p>
            <w:pPr>
              <w:spacing w:after="20" w:before="20"/>
              <w:jc w:val="right"/>
            </w:pPr>
            <w:r/>
            <w:r>
              <w:rPr>
                <w:rFonts w:ascii="Calibri" w:hAnsi="Calibri"/>
                <w:b w:val="0"/>
                <w:i w:val="0"/>
                <w:color w:val="20302C"/>
                <w:sz w:val="18"/>
              </w:rPr>
              <w:t>~13%</w:t>
            </w:r>
          </w:p>
        </w:tc>
        <w:tc>
          <w:tcPr>
            <w:tcW w:type="dxa" w:w="1224"/>
          </w:tcPr>
          <w:p>
            <w:pPr>
              <w:spacing w:after="20" w:before="20"/>
              <w:jc w:val="right"/>
            </w:pPr>
            <w:r/>
            <w:r>
              <w:rPr>
                <w:rFonts w:ascii="Calibri" w:hAnsi="Calibri"/>
                <w:b w:val="0"/>
                <w:i w:val="0"/>
                <w:color w:val="20302C"/>
                <w:sz w:val="18"/>
              </w:rPr>
              <w:t>3.5%</w:t>
            </w:r>
          </w:p>
        </w:tc>
        <w:tc>
          <w:tcPr>
            <w:tcW w:type="dxa" w:w="2160"/>
          </w:tcPr>
          <w:p>
            <w:pPr>
              <w:spacing w:after="20" w:before="20"/>
              <w:jc w:val="right"/>
            </w:pPr>
            <w:r/>
            <w:r>
              <w:rPr>
                <w:rFonts w:ascii="Calibri" w:hAnsi="Calibri"/>
                <w:b w:val="0"/>
                <w:i w:val="0"/>
                <w:color w:val="20302C"/>
                <w:sz w:val="18"/>
              </w:rPr>
              <w:t>Biggest by equity</w:t>
            </w:r>
          </w:p>
        </w:tc>
      </w:tr>
      <w:tr>
        <w:tc>
          <w:tcPr>
            <w:tcW w:type="dxa" w:w="3024"/>
          </w:tcPr>
          <w:p>
            <w:pPr>
              <w:spacing w:after="20" w:before="20"/>
              <w:jc w:val="left"/>
            </w:pPr>
            <w:r/>
            <w:r>
              <w:rPr>
                <w:rFonts w:ascii="Calibri" w:hAnsi="Calibri"/>
                <w:b w:val="0"/>
                <w:i w:val="0"/>
                <w:color w:val="20302C"/>
                <w:sz w:val="18"/>
              </w:rPr>
              <w:t>Commercial Bank of Qatar</w:t>
            </w:r>
          </w:p>
        </w:tc>
        <w:tc>
          <w:tcPr>
            <w:tcW w:type="dxa" w:w="1224"/>
          </w:tcPr>
          <w:p>
            <w:pPr>
              <w:spacing w:after="20" w:before="20"/>
              <w:jc w:val="right"/>
            </w:pPr>
            <w:r/>
            <w:r>
              <w:rPr>
                <w:rFonts w:ascii="Calibri" w:hAnsi="Calibri"/>
                <w:b w:val="0"/>
                <w:i w:val="0"/>
                <w:color w:val="20302C"/>
                <w:sz w:val="18"/>
              </w:rPr>
              <w:t>0.7×</w:t>
            </w:r>
          </w:p>
        </w:tc>
        <w:tc>
          <w:tcPr>
            <w:tcW w:type="dxa" w:w="1224"/>
          </w:tcPr>
          <w:p>
            <w:pPr>
              <w:spacing w:after="20" w:before="20"/>
              <w:jc w:val="right"/>
            </w:pPr>
            <w:r/>
            <w:r>
              <w:rPr>
                <w:rFonts w:ascii="Calibri" w:hAnsi="Calibri"/>
                <w:b w:val="0"/>
                <w:i w:val="0"/>
                <w:color w:val="20302C"/>
                <w:sz w:val="18"/>
              </w:rPr>
              <w:t>7.5×</w:t>
            </w:r>
          </w:p>
        </w:tc>
        <w:tc>
          <w:tcPr>
            <w:tcW w:type="dxa" w:w="1224"/>
          </w:tcPr>
          <w:p>
            <w:pPr>
              <w:spacing w:after="20" w:before="20"/>
              <w:jc w:val="right"/>
            </w:pPr>
            <w:r/>
            <w:r>
              <w:rPr>
                <w:rFonts w:ascii="Calibri" w:hAnsi="Calibri"/>
                <w:b w:val="0"/>
                <w:i w:val="0"/>
                <w:color w:val="20302C"/>
                <w:sz w:val="18"/>
              </w:rPr>
              <w:t>~11%</w:t>
            </w:r>
          </w:p>
        </w:tc>
        <w:tc>
          <w:tcPr>
            <w:tcW w:type="dxa" w:w="1224"/>
          </w:tcPr>
          <w:p>
            <w:pPr>
              <w:spacing w:after="20" w:before="20"/>
              <w:jc w:val="right"/>
            </w:pPr>
            <w:r/>
            <w:r>
              <w:rPr>
                <w:rFonts w:ascii="Calibri" w:hAnsi="Calibri"/>
                <w:b w:val="0"/>
                <w:i w:val="0"/>
                <w:color w:val="20302C"/>
                <w:sz w:val="18"/>
              </w:rPr>
              <w:t>4.5%</w:t>
            </w:r>
          </w:p>
        </w:tc>
        <w:tc>
          <w:tcPr>
            <w:tcW w:type="dxa" w:w="2160"/>
          </w:tcPr>
          <w:p>
            <w:pPr>
              <w:spacing w:after="20" w:before="20"/>
              <w:jc w:val="right"/>
            </w:pPr>
            <w:r/>
            <w:r>
              <w:rPr>
                <w:rFonts w:ascii="Calibri" w:hAnsi="Calibri"/>
                <w:b w:val="0"/>
                <w:i w:val="0"/>
                <w:color w:val="20302C"/>
                <w:sz w:val="18"/>
              </w:rPr>
              <w:t>Cheapest Qatari</w:t>
            </w:r>
          </w:p>
        </w:tc>
      </w:tr>
      <w:tr>
        <w:tc>
          <w:tcPr>
            <w:tcW w:type="dxa" w:w="3024"/>
          </w:tcPr>
          <w:p>
            <w:pPr>
              <w:spacing w:after="20" w:before="20"/>
              <w:jc w:val="left"/>
            </w:pPr>
            <w:r/>
            <w:r>
              <w:rPr>
                <w:rFonts w:ascii="Calibri" w:hAnsi="Calibri"/>
                <w:b w:val="0"/>
                <w:i w:val="0"/>
                <w:color w:val="20302C"/>
                <w:sz w:val="18"/>
              </w:rPr>
              <w:t>Qatar Islamic Bank</w:t>
            </w:r>
          </w:p>
        </w:tc>
        <w:tc>
          <w:tcPr>
            <w:tcW w:type="dxa" w:w="1224"/>
          </w:tcPr>
          <w:p>
            <w:pPr>
              <w:spacing w:after="20" w:before="20"/>
              <w:jc w:val="right"/>
            </w:pPr>
            <w:r/>
            <w:r>
              <w:rPr>
                <w:rFonts w:ascii="Calibri" w:hAnsi="Calibri"/>
                <w:b w:val="0"/>
                <w:i w:val="0"/>
                <w:color w:val="20302C"/>
                <w:sz w:val="18"/>
              </w:rPr>
              <w:t>1.8×</w:t>
            </w:r>
          </w:p>
        </w:tc>
        <w:tc>
          <w:tcPr>
            <w:tcW w:type="dxa" w:w="1224"/>
          </w:tcPr>
          <w:p>
            <w:pPr>
              <w:spacing w:after="20" w:before="20"/>
              <w:jc w:val="right"/>
            </w:pPr>
            <w:r/>
            <w:r>
              <w:rPr>
                <w:rFonts w:ascii="Calibri" w:hAnsi="Calibri"/>
                <w:b w:val="0"/>
                <w:i w:val="0"/>
                <w:color w:val="20302C"/>
                <w:sz w:val="18"/>
              </w:rPr>
              <w:t>11×</w:t>
            </w:r>
          </w:p>
        </w:tc>
        <w:tc>
          <w:tcPr>
            <w:tcW w:type="dxa" w:w="1224"/>
          </w:tcPr>
          <w:p>
            <w:pPr>
              <w:spacing w:after="20" w:before="20"/>
              <w:jc w:val="right"/>
            </w:pPr>
            <w:r/>
            <w:r>
              <w:rPr>
                <w:rFonts w:ascii="Calibri" w:hAnsi="Calibri"/>
                <w:b w:val="0"/>
                <w:i w:val="0"/>
                <w:color w:val="20302C"/>
                <w:sz w:val="18"/>
              </w:rPr>
              <w:t>~17%</w:t>
            </w:r>
          </w:p>
        </w:tc>
        <w:tc>
          <w:tcPr>
            <w:tcW w:type="dxa" w:w="1224"/>
          </w:tcPr>
          <w:p>
            <w:pPr>
              <w:spacing w:after="20" w:before="20"/>
              <w:jc w:val="right"/>
            </w:pPr>
            <w:r/>
            <w:r>
              <w:rPr>
                <w:rFonts w:ascii="Calibri" w:hAnsi="Calibri"/>
                <w:b w:val="0"/>
                <w:i w:val="0"/>
                <w:color w:val="20302C"/>
                <w:sz w:val="18"/>
              </w:rPr>
              <w:t>3.7%</w:t>
            </w:r>
          </w:p>
        </w:tc>
        <w:tc>
          <w:tcPr>
            <w:tcW w:type="dxa" w:w="2160"/>
          </w:tcPr>
          <w:p>
            <w:pPr>
              <w:spacing w:after="20" w:before="20"/>
              <w:jc w:val="right"/>
            </w:pPr>
            <w:r/>
            <w:r>
              <w:rPr>
                <w:rFonts w:ascii="Calibri" w:hAnsi="Calibri"/>
                <w:b w:val="0"/>
                <w:i w:val="0"/>
                <w:color w:val="20302C"/>
                <w:sz w:val="18"/>
              </w:rPr>
              <w:t>Qatar Islamic</w:t>
            </w:r>
          </w:p>
        </w:tc>
      </w:tr>
      <w:tr>
        <w:tc>
          <w:tcPr>
            <w:tcW w:type="dxa" w:w="3024"/>
            <w:shd w:val="clear" w:fill="F2ECDD"/>
          </w:tcPr>
          <w:p>
            <w:pPr>
              <w:spacing w:after="20" w:before="20"/>
              <w:jc w:val="left"/>
            </w:pPr>
            <w:r/>
            <w:r>
              <w:rPr>
                <w:rFonts w:ascii="Calibri" w:hAnsi="Calibri"/>
                <w:b/>
                <w:i w:val="0"/>
                <w:color w:val="20302C"/>
                <w:sz w:val="18"/>
              </w:rPr>
              <w:t>Peer median (ex-Al Rajhi)</w:t>
            </w:r>
          </w:p>
        </w:tc>
        <w:tc>
          <w:tcPr>
            <w:tcW w:type="dxa" w:w="1224"/>
            <w:shd w:val="clear" w:fill="F2ECDD"/>
          </w:tcPr>
          <w:p>
            <w:pPr>
              <w:spacing w:after="20" w:before="20"/>
              <w:jc w:val="right"/>
            </w:pPr>
            <w:r/>
            <w:r>
              <w:rPr>
                <w:rFonts w:ascii="Calibri" w:hAnsi="Calibri"/>
                <w:b/>
                <w:i w:val="0"/>
                <w:color w:val="20302C"/>
                <w:sz w:val="18"/>
              </w:rPr>
              <w:t>1.4×</w:t>
            </w:r>
          </w:p>
        </w:tc>
        <w:tc>
          <w:tcPr>
            <w:tcW w:type="dxa" w:w="1224"/>
            <w:shd w:val="clear" w:fill="F2ECDD"/>
          </w:tcPr>
          <w:p>
            <w:pPr>
              <w:spacing w:after="20" w:before="20"/>
              <w:jc w:val="right"/>
            </w:pPr>
            <w:r/>
            <w:r>
              <w:rPr>
                <w:rFonts w:ascii="Calibri" w:hAnsi="Calibri"/>
                <w:b/>
                <w:i w:val="0"/>
                <w:color w:val="20302C"/>
                <w:sz w:val="18"/>
              </w:rPr>
              <w:t>10.5×</w:t>
            </w:r>
          </w:p>
        </w:tc>
        <w:tc>
          <w:tcPr>
            <w:tcW w:type="dxa" w:w="1224"/>
            <w:shd w:val="clear" w:fill="F2ECDD"/>
          </w:tcPr>
          <w:p>
            <w:pPr>
              <w:spacing w:after="20" w:before="20"/>
              <w:jc w:val="right"/>
            </w:pPr>
            <w:r/>
            <w:r>
              <w:rPr>
                <w:rFonts w:ascii="Calibri" w:hAnsi="Calibri"/>
                <w:b/>
                <w:i w:val="0"/>
                <w:color w:val="20302C"/>
                <w:sz w:val="18"/>
              </w:rPr>
              <w:t>~16%</w:t>
            </w:r>
          </w:p>
        </w:tc>
        <w:tc>
          <w:tcPr>
            <w:tcW w:type="dxa" w:w="1224"/>
            <w:shd w:val="clear" w:fill="F2ECDD"/>
          </w:tcPr>
          <w:p>
            <w:pPr>
              <w:spacing w:after="20" w:before="20"/>
              <w:jc w:val="right"/>
            </w:pPr>
            <w:r/>
            <w:r>
              <w:rPr>
                <w:rFonts w:ascii="Calibri" w:hAnsi="Calibri"/>
                <w:b/>
                <w:i w:val="0"/>
                <w:color w:val="20302C"/>
                <w:sz w:val="18"/>
              </w:rPr>
              <w:t>4.1%</w:t>
            </w:r>
          </w:p>
        </w:tc>
        <w:tc>
          <w:tcPr>
            <w:tcW w:type="dxa" w:w="2160"/>
            <w:shd w:val="clear" w:fill="F2ECDD"/>
          </w:tcPr>
          <w:p>
            <w:pPr>
              <w:spacing w:after="20" w:before="20"/>
              <w:jc w:val="right"/>
            </w:pPr>
            <w:r/>
            <w:r>
              <w:rPr>
                <w:rFonts w:ascii="Calibri" w:hAnsi="Calibri"/>
                <w:b/>
                <w:i w:val="0"/>
                <w:color w:val="20302C"/>
                <w:sz w:val="18"/>
              </w:rPr>
              <w:t>—</w:t>
            </w:r>
          </w:p>
        </w:tc>
      </w:tr>
    </w:tbl>
    <w:p>
      <w:pPr>
        <w:spacing w:after="120" w:line="259" w:lineRule="auto"/>
      </w:pPr>
      <w:r>
        <w:rPr>
          <w:rFonts w:ascii="Calibri" w:hAnsi="Calibri"/>
          <w:b/>
          <w:i w:val="0"/>
          <w:color w:val="20302C"/>
          <w:sz w:val="20"/>
        </w:rPr>
        <w:t>Sector structure.</w:t>
      </w:r>
      <w:r>
        <w:rPr>
          <w:rFonts w:ascii="Calibri" w:hAnsi="Calibri"/>
          <w:b w:val="0"/>
          <w:i w:val="0"/>
          <w:color w:val="20302C"/>
          <w:sz w:val="20"/>
        </w:rPr>
        <w:t xml:space="preserve"> GCC banking is well-capitalised, sovereign-anchored and consolidating; the near-term swing variables are the Fed-linked rate cycle (pressuring margins), the new global-minimum-tax regime (Qatar, UAE) and, for the internationally-spread banks, emerging-market translation. QNB at ~1.48× book on ~15% RoE sits a clear premium to the cheap Qatari/Saudi cluster (0.7–0.9×) and far below Al Rajhi (~4×), which the market justifies by QNB's scale, sovereign linkage, best-in-class asset quality and efficiency — but caps by its modest post-tax return and EM exposure. </w:t>
      </w:r>
      <w:r>
        <w:rPr>
          <w:rFonts w:ascii="Calibri" w:hAnsi="Calibri"/>
          <w:b/>
          <w:i w:val="0"/>
          <w:color w:val="20302C"/>
          <w:sz w:val="20"/>
        </w:rPr>
        <w:t>Principal risks:</w:t>
      </w:r>
      <w:r>
        <w:rPr>
          <w:rFonts w:ascii="Calibri" w:hAnsi="Calibri"/>
          <w:b w:val="0"/>
          <w:i w:val="0"/>
          <w:color w:val="20302C"/>
          <w:sz w:val="20"/>
        </w:rPr>
        <w:t xml:space="preserve"> a deeper or faster rate-cut cycle; a higher effective tax rate; a Türkiye or Egypt shock; Qatar/sovereign concentration; and the possibility that surplus capital is retained rather than returned.</w:t>
      </w:r>
    </w:p>
    <w:p>
      <w:pPr>
        <w:spacing w:after="160" w:before="40"/>
      </w:pPr>
      <w:r>
        <w:rPr>
          <w:rFonts w:ascii="Calibri" w:hAnsi="Calibri"/>
          <w:i/>
          <w:color w:val="667070"/>
          <w:sz w:val="17"/>
        </w:rPr>
        <w:t>Source: AGBI, Bloomberg Intelligence, company disclosures, exchange data. Multiples indicative and dated.</w:t>
      </w:r>
    </w:p>
    <w:p>
      <w:r>
        <w:br w:type="page"/>
      </w:r>
    </w:p>
    <w:p>
      <w:pPr>
        <w:spacing w:before="240" w:after="80"/>
        <w:pBdr>
          <w:bottom w:val="single" w:sz="6" w:space="2" w:color="C0A45F"/>
        </w:pBdr>
      </w:pPr>
      <w:r>
        <w:rPr>
          <w:rFonts w:ascii="Calibri" w:hAnsi="Calibri"/>
          <w:b/>
          <w:color w:val="2E6E68"/>
          <w:sz w:val="30"/>
        </w:rPr>
        <w:t>Appendix D  The expert valuation panel</w:t>
      </w:r>
    </w:p>
    <w:p>
      <w:pPr>
        <w:spacing w:after="120" w:line="259" w:lineRule="auto"/>
      </w:pPr>
      <w:r>
        <w:rPr>
          <w:rFonts w:ascii="Calibri" w:hAnsi="Calibri"/>
          <w:b w:val="0"/>
          <w:i w:val="0"/>
          <w:color w:val="20302C"/>
          <w:sz w:val="21"/>
        </w:rPr>
        <w:t xml:space="preserve">Every Testahil study closes with a panel of standing expert personas — drawn from the house Expert Persona Library, not invented for the occasion, so that each accumulates a track record across studies and a quarterly update is a re-run, not a re-training. For a bank we cast the three whose methods both fit a deposit-taking, capital-constrained institution and genuinely disagree: </w:t>
      </w:r>
      <w:r>
        <w:rPr>
          <w:rFonts w:ascii="Calibri" w:hAnsi="Calibri"/>
          <w:b/>
          <w:i w:val="0"/>
          <w:color w:val="20302C"/>
          <w:sz w:val="21"/>
        </w:rPr>
        <w:t>Expert 1</w:t>
      </w:r>
      <w:r>
        <w:rPr>
          <w:rFonts w:ascii="Calibri" w:hAnsi="Calibri"/>
          <w:b w:val="0"/>
          <w:i w:val="0"/>
          <w:color w:val="20302C"/>
          <w:sz w:val="21"/>
        </w:rPr>
        <w:t xml:space="preserve"> (capital and returns — what the bank can distribute against its cost of equity), </w:t>
      </w:r>
      <w:r>
        <w:rPr>
          <w:rFonts w:ascii="Calibri" w:hAnsi="Calibri"/>
          <w:b/>
          <w:i w:val="0"/>
          <w:color w:val="20302C"/>
          <w:sz w:val="21"/>
        </w:rPr>
        <w:t>Expert 2</w:t>
      </w:r>
      <w:r>
        <w:rPr>
          <w:rFonts w:ascii="Calibri" w:hAnsi="Calibri"/>
          <w:b w:val="0"/>
          <w:i w:val="0"/>
          <w:color w:val="20302C"/>
          <w:sz w:val="21"/>
        </w:rPr>
        <w:t xml:space="preserve"> (the credit cycle — what through-cycle provisioning does to normalized earnings), and </w:t>
      </w:r>
      <w:r>
        <w:rPr>
          <w:rFonts w:ascii="Calibri" w:hAnsi="Calibri"/>
          <w:b/>
          <w:i w:val="0"/>
          <w:color w:val="20302C"/>
          <w:sz w:val="21"/>
        </w:rPr>
        <w:t>Expert 3</w:t>
      </w:r>
      <w:r>
        <w:rPr>
          <w:rFonts w:ascii="Calibri" w:hAnsi="Calibri"/>
          <w:b w:val="0"/>
          <w:i w:val="0"/>
          <w:color w:val="20302C"/>
          <w:sz w:val="21"/>
        </w:rPr>
        <w:t xml:space="preserve"> (macro-policy — rates, the peg, the LNG cycle and the emerging-market books). Each runs a different method, derives its fair value from shown workings, and states a falsification condition.</w:t>
      </w:r>
    </w:p>
    <w:p>
      <w:pPr>
        <w:spacing w:before="180" w:after="40"/>
      </w:pPr>
      <w:r>
        <w:rPr>
          <w:rFonts w:ascii="Calibri" w:hAnsi="Calibri"/>
          <w:b/>
          <w:color w:val="1C3A36"/>
          <w:sz w:val="24"/>
        </w:rPr>
        <w:t>D.1  Expert 1 — capital and returns</w:t>
      </w:r>
    </w:p>
    <w:p>
      <w:pPr>
        <w:spacing w:after="120" w:line="259" w:lineRule="auto"/>
      </w:pPr>
      <w:r>
        <w:rPr>
          <w:rFonts w:ascii="Calibri" w:hAnsi="Calibri"/>
          <w:b/>
          <w:i w:val="0"/>
          <w:color w:val="20302C"/>
          <w:sz w:val="21"/>
        </w:rPr>
        <w:t>Worldview and tradition.</w:t>
      </w:r>
      <w:r>
        <w:rPr>
          <w:rFonts w:ascii="Calibri" w:hAnsi="Calibri"/>
          <w:b w:val="0"/>
          <w:i w:val="0"/>
          <w:color w:val="20302C"/>
          <w:sz w:val="21"/>
        </w:rPr>
        <w:t xml:space="preserve"> A bank is worth the present value of the capital it can hand back to owners after funding its own growth, discounted at the cost of equity. In this tradition the two numbers that matter are the return on tangible equity and the cost of that equity: when RoTE exceeds Ke, retained capital compounds value and the bank deserves a premium to book; when it does not, book value is the ceiling. Expert 1 works in dividends, distributable capital and residual income, and treats reported payout as a policy choice to be seen through.</w:t>
      </w:r>
    </w:p>
    <w:p>
      <w:pPr>
        <w:spacing w:after="120" w:line="259" w:lineRule="auto"/>
      </w:pPr>
      <w:r>
        <w:rPr>
          <w:rFonts w:ascii="Calibri" w:hAnsi="Calibri"/>
          <w:b/>
          <w:i w:val="0"/>
          <w:color w:val="20302C"/>
          <w:sz w:val="21"/>
        </w:rPr>
        <w:t>When it works / fails.</w:t>
      </w:r>
      <w:r>
        <w:rPr>
          <w:rFonts w:ascii="Calibri" w:hAnsi="Calibri"/>
          <w:b w:val="0"/>
          <w:i w:val="0"/>
          <w:color w:val="20302C"/>
          <w:sz w:val="21"/>
        </w:rPr>
        <w:t xml:space="preserve"> It is the right lens for a stable, well-capitalised deposit franchise with a visible return profile — which QNB is. It fails when returns are volatile or opaque (a bank mid-restructuring), when the capital position is a moving target, or when hyperinflation accounting distorts the reported return — a real caveat for QNB's Türkiye book, which Expert 1 handles by leaning on the group tangible return rather than segment nominal RoEs.</w:t>
      </w:r>
    </w:p>
    <w:p>
      <w:pPr>
        <w:spacing w:after="120" w:line="259" w:lineRule="auto"/>
      </w:pPr>
      <w:r>
        <w:rPr>
          <w:rFonts w:ascii="Calibri" w:hAnsi="Calibri"/>
          <w:b/>
          <w:i w:val="0"/>
          <w:color w:val="20302C"/>
          <w:sz w:val="21"/>
        </w:rPr>
        <w:t>Standard workings and worked example.</w:t>
      </w:r>
      <w:r>
        <w:rPr>
          <w:rFonts w:ascii="Calibri" w:hAnsi="Calibri"/>
          <w:b w:val="0"/>
          <w:i w:val="0"/>
          <w:color w:val="20302C"/>
          <w:sz w:val="21"/>
        </w:rPr>
        <w:t xml:space="preserve"> Grow EPS, set a payout, discount dividends at Ke, and capitalize a terminal on (Ke − g); cross-check with residual income (RoTE − Ke) × book. The workings below are Expert 1's base.</w:t>
      </w:r>
    </w:p>
    <w:tbl>
      <w:tblPr>
        <w:tblStyle w:val="TableGrid"/>
        <w:tblW w:type="auto" w:w="0"/>
        <w:jc w:val="center"/>
        <w:tblLook w:firstColumn="1" w:firstRow="1" w:lastColumn="0" w:lastRow="0" w:noHBand="0" w:noVBand="1" w:val="04A0"/>
      </w:tblPr>
      <w:tblGrid>
        <w:gridCol w:w="4968"/>
        <w:gridCol w:w="4968"/>
      </w:tblGrid>
      <w:tr>
        <w:tc>
          <w:tcPr>
            <w:tcW w:type="dxa" w:w="6624"/>
            <w:shd w:val="clear" w:fill="1C3A36"/>
          </w:tcPr>
          <w:p>
            <w:pPr>
              <w:spacing w:after="20" w:before="20"/>
              <w:jc w:val="left"/>
            </w:pPr>
            <w:r/>
            <w:r>
              <w:rPr>
                <w:rFonts w:ascii="Calibri" w:hAnsi="Calibri"/>
                <w:b/>
                <w:i w:val="0"/>
                <w:color w:val="FFFFFF"/>
                <w:sz w:val="18"/>
              </w:rPr>
              <w:t>Expert 1 — capital &amp; returns</w:t>
            </w:r>
          </w:p>
        </w:tc>
        <w:tc>
          <w:tcPr>
            <w:tcW w:type="dxa" w:w="3456"/>
            <w:shd w:val="clear" w:fill="1C3A36"/>
          </w:tcPr>
          <w:p>
            <w:pPr>
              <w:spacing w:after="20" w:before="20"/>
              <w:jc w:val="right"/>
            </w:pPr>
            <w:r/>
            <w:r>
              <w:rPr>
                <w:rFonts w:ascii="Calibri" w:hAnsi="Calibri"/>
                <w:b/>
                <w:i w:val="0"/>
                <w:color w:val="FFFFFF"/>
                <w:sz w:val="18"/>
              </w:rPr>
              <w:t>Value</w:t>
            </w:r>
          </w:p>
        </w:tc>
      </w:tr>
      <w:tr>
        <w:tc>
          <w:tcPr>
            <w:tcW w:type="dxa" w:w="6624"/>
          </w:tcPr>
          <w:p>
            <w:pPr>
              <w:spacing w:after="20" w:before="20"/>
              <w:jc w:val="left"/>
            </w:pPr>
            <w:r/>
            <w:r>
              <w:rPr>
                <w:rFonts w:ascii="Calibri" w:hAnsi="Calibri"/>
                <w:b w:val="0"/>
                <w:i w:val="0"/>
                <w:color w:val="20302C"/>
                <w:sz w:val="18"/>
              </w:rPr>
              <w:t>Through-cycle RoTE</w:t>
            </w:r>
          </w:p>
        </w:tc>
        <w:tc>
          <w:tcPr>
            <w:tcW w:type="dxa" w:w="3456"/>
          </w:tcPr>
          <w:p>
            <w:pPr>
              <w:spacing w:after="20" w:before="20"/>
              <w:jc w:val="right"/>
            </w:pPr>
            <w:r/>
            <w:r>
              <w:rPr>
                <w:rFonts w:ascii="Calibri" w:hAnsi="Calibri"/>
                <w:b w:val="0"/>
                <w:i w:val="0"/>
                <w:color w:val="20302C"/>
                <w:sz w:val="18"/>
              </w:rPr>
              <w:t>14.5%</w:t>
            </w:r>
          </w:p>
        </w:tc>
      </w:tr>
      <w:tr>
        <w:tc>
          <w:tcPr>
            <w:tcW w:type="dxa" w:w="6624"/>
          </w:tcPr>
          <w:p>
            <w:pPr>
              <w:spacing w:after="20" w:before="20"/>
              <w:jc w:val="left"/>
            </w:pPr>
            <w:r/>
            <w:r>
              <w:rPr>
                <w:rFonts w:ascii="Calibri" w:hAnsi="Calibri"/>
                <w:b w:val="0"/>
                <w:i w:val="0"/>
                <w:color w:val="20302C"/>
                <w:sz w:val="18"/>
              </w:rPr>
              <w:t>Cost of equity Ke = rf + β·ERP</w:t>
            </w:r>
          </w:p>
        </w:tc>
        <w:tc>
          <w:tcPr>
            <w:tcW w:type="dxa" w:w="3456"/>
          </w:tcPr>
          <w:p>
            <w:pPr>
              <w:spacing w:after="20" w:before="20"/>
              <w:jc w:val="right"/>
            </w:pPr>
            <w:r/>
            <w:r>
              <w:rPr>
                <w:rFonts w:ascii="Calibri" w:hAnsi="Calibri"/>
                <w:b w:val="0"/>
                <w:i w:val="0"/>
                <w:color w:val="20302C"/>
                <w:sz w:val="18"/>
              </w:rPr>
              <w:t>10.5%</w:t>
            </w:r>
          </w:p>
        </w:tc>
      </w:tr>
      <w:tr>
        <w:tc>
          <w:tcPr>
            <w:tcW w:type="dxa" w:w="6624"/>
          </w:tcPr>
          <w:p>
            <w:pPr>
              <w:spacing w:after="20" w:before="20"/>
              <w:jc w:val="left"/>
            </w:pPr>
            <w:r/>
            <w:r>
              <w:rPr>
                <w:rFonts w:ascii="Calibri" w:hAnsi="Calibri"/>
                <w:b w:val="0"/>
                <w:i w:val="0"/>
                <w:color w:val="20302C"/>
                <w:sz w:val="18"/>
              </w:rPr>
              <w:t>Terminal growth g</w:t>
            </w:r>
          </w:p>
        </w:tc>
        <w:tc>
          <w:tcPr>
            <w:tcW w:type="dxa" w:w="3456"/>
          </w:tcPr>
          <w:p>
            <w:pPr>
              <w:spacing w:after="20" w:before="20"/>
              <w:jc w:val="right"/>
            </w:pPr>
            <w:r/>
            <w:r>
              <w:rPr>
                <w:rFonts w:ascii="Calibri" w:hAnsi="Calibri"/>
                <w:b w:val="0"/>
                <w:i w:val="0"/>
                <w:color w:val="20302C"/>
                <w:sz w:val="18"/>
              </w:rPr>
              <w:t>4.8%</w:t>
            </w:r>
          </w:p>
        </w:tc>
      </w:tr>
      <w:tr>
        <w:tc>
          <w:tcPr>
            <w:tcW w:type="dxa" w:w="6624"/>
          </w:tcPr>
          <w:p>
            <w:pPr>
              <w:spacing w:after="20" w:before="20"/>
              <w:jc w:val="left"/>
            </w:pPr>
            <w:r/>
            <w:r>
              <w:rPr>
                <w:rFonts w:ascii="Calibri" w:hAnsi="Calibri"/>
                <w:b w:val="0"/>
                <w:i w:val="0"/>
                <w:color w:val="20302C"/>
                <w:sz w:val="18"/>
              </w:rPr>
              <w:t>Justified P/B = (RoTE − g)/(Ke − g)</w:t>
            </w:r>
          </w:p>
        </w:tc>
        <w:tc>
          <w:tcPr>
            <w:tcW w:type="dxa" w:w="3456"/>
          </w:tcPr>
          <w:p>
            <w:pPr>
              <w:spacing w:after="20" w:before="20"/>
              <w:jc w:val="right"/>
            </w:pPr>
            <w:r/>
            <w:r>
              <w:rPr>
                <w:rFonts w:ascii="Calibri" w:hAnsi="Calibri"/>
                <w:b w:val="0"/>
                <w:i w:val="0"/>
                <w:color w:val="20302C"/>
                <w:sz w:val="18"/>
              </w:rPr>
              <w:t>1.68×</w:t>
            </w:r>
          </w:p>
        </w:tc>
      </w:tr>
      <w:tr>
        <w:tc>
          <w:tcPr>
            <w:tcW w:type="dxa" w:w="6624"/>
          </w:tcPr>
          <w:p>
            <w:pPr>
              <w:spacing w:after="20" w:before="20"/>
              <w:jc w:val="left"/>
            </w:pPr>
            <w:r/>
            <w:r>
              <w:rPr>
                <w:rFonts w:ascii="Calibri" w:hAnsi="Calibri"/>
                <w:b w:val="0"/>
                <w:i w:val="0"/>
                <w:color w:val="20302C"/>
                <w:sz w:val="18"/>
              </w:rPr>
              <w:t>Two-stage DDM on actual policy</w:t>
            </w:r>
          </w:p>
        </w:tc>
        <w:tc>
          <w:tcPr>
            <w:tcW w:type="dxa" w:w="3456"/>
          </w:tcPr>
          <w:p>
            <w:pPr>
              <w:spacing w:after="20" w:before="20"/>
              <w:jc w:val="right"/>
            </w:pPr>
            <w:r/>
            <w:r>
              <w:rPr>
                <w:rFonts w:ascii="Calibri" w:hAnsi="Calibri"/>
                <w:b w:val="0"/>
                <w:i w:val="0"/>
                <w:color w:val="20302C"/>
                <w:sz w:val="18"/>
              </w:rPr>
              <w:t>QAR 18.68</w:t>
            </w:r>
          </w:p>
        </w:tc>
      </w:tr>
      <w:tr>
        <w:tc>
          <w:tcPr>
            <w:tcW w:type="dxa" w:w="6624"/>
          </w:tcPr>
          <w:p>
            <w:pPr>
              <w:spacing w:after="20" w:before="20"/>
              <w:jc w:val="left"/>
            </w:pPr>
            <w:r/>
            <w:r>
              <w:rPr>
                <w:rFonts w:ascii="Calibri" w:hAnsi="Calibri"/>
                <w:b w:val="0"/>
                <w:i w:val="0"/>
                <w:color w:val="20302C"/>
                <w:sz w:val="18"/>
              </w:rPr>
              <w:t>Residual-income cross-check</w:t>
            </w:r>
          </w:p>
        </w:tc>
        <w:tc>
          <w:tcPr>
            <w:tcW w:type="dxa" w:w="3456"/>
          </w:tcPr>
          <w:p>
            <w:pPr>
              <w:spacing w:after="20" w:before="20"/>
              <w:jc w:val="right"/>
            </w:pPr>
            <w:r/>
            <w:r>
              <w:rPr>
                <w:rFonts w:ascii="Calibri" w:hAnsi="Calibri"/>
                <w:b w:val="0"/>
                <w:i w:val="0"/>
                <w:color w:val="20302C"/>
                <w:sz w:val="18"/>
              </w:rPr>
              <w:t>QAR 18.5–19.0</w:t>
            </w:r>
          </w:p>
        </w:tc>
      </w:tr>
      <w:tr>
        <w:tc>
          <w:tcPr>
            <w:tcW w:type="dxa" w:w="6624"/>
            <w:shd w:val="clear" w:fill="F2ECDD"/>
          </w:tcPr>
          <w:p>
            <w:pPr>
              <w:spacing w:after="20" w:before="20"/>
              <w:jc w:val="left"/>
            </w:pPr>
            <w:r/>
            <w:r>
              <w:rPr>
                <w:rFonts w:ascii="Calibri" w:hAnsi="Calibri"/>
                <w:b/>
                <w:i w:val="0"/>
                <w:color w:val="20302C"/>
                <w:sz w:val="18"/>
              </w:rPr>
              <w:t>Expert 1 fair value</w:t>
            </w:r>
          </w:p>
        </w:tc>
        <w:tc>
          <w:tcPr>
            <w:tcW w:type="dxa" w:w="3456"/>
            <w:shd w:val="clear" w:fill="F2ECDD"/>
          </w:tcPr>
          <w:p>
            <w:pPr>
              <w:spacing w:after="20" w:before="20"/>
              <w:jc w:val="right"/>
            </w:pPr>
            <w:r/>
            <w:r>
              <w:rPr>
                <w:rFonts w:ascii="Calibri" w:hAnsi="Calibri"/>
                <w:b/>
                <w:i w:val="0"/>
                <w:color w:val="20302C"/>
                <w:sz w:val="18"/>
              </w:rPr>
              <w:t>QAR 18.7</w:t>
            </w:r>
          </w:p>
        </w:tc>
      </w:tr>
    </w:tbl>
    <w:p>
      <w:pPr>
        <w:spacing w:after="120" w:line="259" w:lineRule="auto"/>
      </w:pPr>
      <w:r>
        <w:rPr>
          <w:rFonts w:ascii="Calibri" w:hAnsi="Calibri"/>
          <w:b/>
          <w:i w:val="0"/>
          <w:color w:val="20302C"/>
          <w:sz w:val="21"/>
        </w:rPr>
        <w:t>Sensitivity (swing = Ke − g).</w:t>
      </w:r>
      <w:r>
        <w:rPr>
          <w:rFonts w:ascii="Calibri" w:hAnsi="Calibri"/>
          <w:b w:val="0"/>
          <w:i w:val="0"/>
          <w:color w:val="20302C"/>
          <w:sz w:val="21"/>
        </w:rPr>
        <w:t xml:space="preserve"> At Ke 11.5% / g 4.0% the value falls to ~QAR 15; at Ke 9.5% / g 5.25% it rises to ~QAR 23 (§1.9 grid). </w:t>
      </w:r>
      <w:r>
        <w:rPr>
          <w:rFonts w:ascii="Calibri" w:hAnsi="Calibri"/>
          <w:b/>
          <w:i w:val="0"/>
          <w:color w:val="20302C"/>
          <w:sz w:val="21"/>
        </w:rPr>
        <w:t>Cross-examination.</w:t>
      </w:r>
      <w:r>
        <w:rPr>
          <w:rFonts w:ascii="Calibri" w:hAnsi="Calibri"/>
          <w:b w:val="0"/>
          <w:i w:val="0"/>
          <w:color w:val="20302C"/>
          <w:sz w:val="21"/>
        </w:rPr>
        <w:t xml:space="preserve"> Expert 1 tells Expert 2 that normalizing cost of risk to a punitive mid-cycle level ignores QNB's actual through-the-cycle record — 100% coverage and a ~2.6% NPL ratio earned through real stress — so his provisions are too heavy; he tells Expert 3 that a macro scenario is a story about the path, not the value, and that the discipline of RoTE-versus-Ke is what turns the story into a number. </w:t>
      </w:r>
      <w:r>
        <w:rPr>
          <w:rFonts w:ascii="Calibri" w:hAnsi="Calibri"/>
          <w:b/>
          <w:i w:val="0"/>
          <w:color w:val="20302C"/>
          <w:sz w:val="21"/>
        </w:rPr>
        <w:t>Verdict, falsification, market-implied.</w:t>
      </w:r>
      <w:r>
        <w:rPr>
          <w:rFonts w:ascii="Calibri" w:hAnsi="Calibri"/>
          <w:b w:val="0"/>
          <w:i w:val="0"/>
          <w:color w:val="20302C"/>
          <w:sz w:val="21"/>
        </w:rPr>
        <w:t xml:space="preserve"> </w:t>
      </w:r>
      <w:r>
        <w:rPr>
          <w:rFonts w:ascii="Calibri" w:hAnsi="Calibri"/>
          <w:b/>
          <w:i w:val="0"/>
          <w:color w:val="20302C"/>
          <w:sz w:val="21"/>
        </w:rPr>
        <w:t>Fair QAR 18.7 (range QAR 15–23).</w:t>
      </w:r>
      <w:r>
        <w:rPr>
          <w:rFonts w:ascii="Calibri" w:hAnsi="Calibri"/>
          <w:b w:val="0"/>
          <w:i w:val="0"/>
          <w:color w:val="20302C"/>
          <w:sz w:val="21"/>
        </w:rPr>
        <w:t xml:space="preserve"> Falsified if RoTE settles durably below Ke — a permanently higher tax rate or a structural margin loss that pushes the ~14.5% return toward ~10%. The market's ~1.48× book implies a Ke of ~11.3%, above his 10.5%: the market charges QNB more for risk than he does.</w:t>
      </w:r>
    </w:p>
    <w:p>
      <w:pPr>
        <w:spacing w:after="120" w:line="259" w:lineRule="auto"/>
      </w:pPr>
      <w:r>
        <w:rPr>
          <w:rFonts w:ascii="Calibri" w:hAnsi="Calibri"/>
          <w:b w:val="0"/>
          <w:i w:val="0"/>
          <w:color w:val="20302C"/>
          <w:sz w:val="21"/>
        </w:rPr>
        <w:t>Expert 1's discipline is worth making explicit, because it is what separates his number from a story. He starts from the observation that QNB earns roughly QAR 15.9 bn attributable on average tangible equity of about QAR 100 bn — a return near 16% on tangible book, closer to 14.5% once the through-cycle tax and a normalized provision are allowed for. Against a 10.5% cost of equity that is a positive spread of about four points, and the residual-income identity says the shares should trade at book plus the capitalized value of that spread: BVPS of about QAR 11.85 plus roughly QAR 7 of capitalized excess return, i.e. the high-QAR-18s. That the two-stage dividend model lands in the same place is not a coincidence — both are the same present-value arithmetic seen from different angles, which is why he trusts the QAR 18.7 anchor more than any single multiple.</w:t>
      </w:r>
    </w:p>
    <w:p>
      <w:pPr>
        <w:spacing w:after="120" w:line="259" w:lineRule="auto"/>
      </w:pPr>
      <w:r>
        <w:rPr>
          <w:rFonts w:ascii="Calibri" w:hAnsi="Calibri"/>
          <w:b w:val="0"/>
          <w:i w:val="0"/>
          <w:color w:val="20302C"/>
          <w:sz w:val="21"/>
        </w:rPr>
        <w:t>On the actual-versus-full-capacity gap he is deliberately conservative. He values the dividends QNB actually pays, not the dividends it could pay, because a payout is a decision the board has not yet made — and a bank that hoards capital at a low payout is, in his framework, quietly destroying a little value each year unless that capital is either deployed at RoTE or returned. He credits QNB with deploying it (loan growth at ~14.5% is above Ke), which is why he holds the premium to book; but he refuses to capitalize a 67% payout the bank has never delivered. The buyback, to him, is the first hard evidence that the surplus is finally moving — and the reason his range runs as high as QAR 23.</w:t>
      </w:r>
    </w:p>
    <w:p>
      <w:pPr>
        <w:spacing w:before="180" w:after="40"/>
      </w:pPr>
      <w:r>
        <w:rPr>
          <w:rFonts w:ascii="Calibri" w:hAnsi="Calibri"/>
          <w:b/>
          <w:color w:val="1C3A36"/>
          <w:sz w:val="24"/>
        </w:rPr>
        <w:t>D.2  Expert 2 — the credit cycle</w:t>
      </w:r>
    </w:p>
    <w:p>
      <w:pPr>
        <w:spacing w:after="120" w:line="259" w:lineRule="auto"/>
      </w:pPr>
      <w:r>
        <w:rPr>
          <w:rFonts w:ascii="Calibri" w:hAnsi="Calibri"/>
          <w:b/>
          <w:i w:val="0"/>
          <w:color w:val="20302C"/>
          <w:sz w:val="21"/>
        </w:rPr>
        <w:t>Worldview and tradition.</w:t>
      </w:r>
      <w:r>
        <w:rPr>
          <w:rFonts w:ascii="Calibri" w:hAnsi="Calibri"/>
          <w:b w:val="0"/>
          <w:i w:val="0"/>
          <w:color w:val="20302C"/>
          <w:sz w:val="21"/>
        </w:rPr>
        <w:t xml:space="preserve"> A bank's earnings are a loan book waiting for a downturn. Expert 2 distrusts a benign provisioning line and normalizes the cost of risk across a full cycle, because the cheap years lend the expensive ones their profits. He values the bank on mid-cycle earnings after a normalized loan-loss charge, not on the current, favourable print.</w:t>
      </w:r>
    </w:p>
    <w:p>
      <w:pPr>
        <w:spacing w:after="120" w:line="259" w:lineRule="auto"/>
      </w:pPr>
      <w:r>
        <w:rPr>
          <w:rFonts w:ascii="Calibri" w:hAnsi="Calibri"/>
          <w:b/>
          <w:i w:val="0"/>
          <w:color w:val="20302C"/>
          <w:sz w:val="21"/>
        </w:rPr>
        <w:t>When it works / fails.</w:t>
      </w:r>
      <w:r>
        <w:rPr>
          <w:rFonts w:ascii="Calibri" w:hAnsi="Calibri"/>
          <w:b w:val="0"/>
          <w:i w:val="0"/>
          <w:color w:val="20302C"/>
          <w:sz w:val="21"/>
        </w:rPr>
        <w:t xml:space="preserve"> It is the essential corrective for a bank at a benign point in the cycle — precisely QNB now, with a ~85–90 bps cost of risk that he views as below mid-cycle. It fails if it over-normalizes a genuinely de-risked book: QNB's Qatar exposure is heavily sovereign and blue-chip corporate, so a blanket haircut can be too harsh. He resolves this by normalizing hardest where the risk actually sits — the Türkiye and Egypt books.</w:t>
      </w:r>
    </w:p>
    <w:p>
      <w:pPr>
        <w:spacing w:after="120" w:line="259" w:lineRule="auto"/>
      </w:pPr>
      <w:r>
        <w:rPr>
          <w:rFonts w:ascii="Calibri" w:hAnsi="Calibri"/>
          <w:b/>
          <w:i w:val="0"/>
          <w:color w:val="20302C"/>
          <w:sz w:val="21"/>
        </w:rPr>
        <w:t>Standard workings and worked example.</w:t>
      </w:r>
      <w:r>
        <w:rPr>
          <w:rFonts w:ascii="Calibri" w:hAnsi="Calibri"/>
          <w:b w:val="0"/>
          <w:i w:val="0"/>
          <w:color w:val="20302C"/>
          <w:sz w:val="21"/>
        </w:rPr>
        <w:t xml:space="preserve"> Take pre-provision profit, subtract a through-cycle cost of risk (he uses ~110–120 bps on group loans versus the ~85–90 bps reported), tax at the new 15% floor, and capitalize the resulting normalized earnings at a justified multiple.</w:t>
      </w:r>
    </w:p>
    <w:tbl>
      <w:tblPr>
        <w:tblStyle w:val="TableGrid"/>
        <w:tblW w:type="auto" w:w="0"/>
        <w:jc w:val="center"/>
        <w:tblLook w:firstColumn="1" w:firstRow="1" w:lastColumn="0" w:lastRow="0" w:noHBand="0" w:noVBand="1" w:val="04A0"/>
      </w:tblPr>
      <w:tblGrid>
        <w:gridCol w:w="4968"/>
        <w:gridCol w:w="4968"/>
      </w:tblGrid>
      <w:tr>
        <w:tc>
          <w:tcPr>
            <w:tcW w:type="dxa" w:w="6624"/>
            <w:shd w:val="clear" w:fill="1C3A36"/>
          </w:tcPr>
          <w:p>
            <w:pPr>
              <w:spacing w:after="20" w:before="20"/>
              <w:jc w:val="left"/>
            </w:pPr>
            <w:r/>
            <w:r>
              <w:rPr>
                <w:rFonts w:ascii="Calibri" w:hAnsi="Calibri"/>
                <w:b/>
                <w:i w:val="0"/>
                <w:color w:val="FFFFFF"/>
                <w:sz w:val="18"/>
              </w:rPr>
              <w:t>Expert 2 — credit cycle</w:t>
            </w:r>
          </w:p>
        </w:tc>
        <w:tc>
          <w:tcPr>
            <w:tcW w:type="dxa" w:w="3456"/>
            <w:shd w:val="clear" w:fill="1C3A36"/>
          </w:tcPr>
          <w:p>
            <w:pPr>
              <w:spacing w:after="20" w:before="20"/>
              <w:jc w:val="right"/>
            </w:pPr>
            <w:r/>
            <w:r>
              <w:rPr>
                <w:rFonts w:ascii="Calibri" w:hAnsi="Calibri"/>
                <w:b/>
                <w:i w:val="0"/>
                <w:color w:val="FFFFFF"/>
                <w:sz w:val="18"/>
              </w:rPr>
              <w:t>Value</w:t>
            </w:r>
          </w:p>
        </w:tc>
      </w:tr>
      <w:tr>
        <w:tc>
          <w:tcPr>
            <w:tcW w:type="dxa" w:w="6624"/>
          </w:tcPr>
          <w:p>
            <w:pPr>
              <w:spacing w:after="20" w:before="20"/>
              <w:jc w:val="left"/>
            </w:pPr>
            <w:r/>
            <w:r>
              <w:rPr>
                <w:rFonts w:ascii="Calibri" w:hAnsi="Calibri"/>
                <w:b w:val="0"/>
                <w:i w:val="0"/>
                <w:color w:val="20302C"/>
                <w:sz w:val="18"/>
              </w:rPr>
              <w:t>Pre-provision operating profit (norm.)</w:t>
            </w:r>
          </w:p>
        </w:tc>
        <w:tc>
          <w:tcPr>
            <w:tcW w:type="dxa" w:w="3456"/>
          </w:tcPr>
          <w:p>
            <w:pPr>
              <w:spacing w:after="20" w:before="20"/>
              <w:jc w:val="right"/>
            </w:pPr>
            <w:r/>
            <w:r>
              <w:rPr>
                <w:rFonts w:ascii="Calibri" w:hAnsi="Calibri"/>
                <w:b w:val="0"/>
                <w:i w:val="0"/>
                <w:color w:val="20302C"/>
                <w:sz w:val="18"/>
              </w:rPr>
              <w:t>≈ QAR 34.5 bn</w:t>
            </w:r>
          </w:p>
        </w:tc>
      </w:tr>
      <w:tr>
        <w:tc>
          <w:tcPr>
            <w:tcW w:type="dxa" w:w="6624"/>
          </w:tcPr>
          <w:p>
            <w:pPr>
              <w:spacing w:after="20" w:before="20"/>
              <w:jc w:val="left"/>
            </w:pPr>
            <w:r/>
            <w:r>
              <w:rPr>
                <w:rFonts w:ascii="Calibri" w:hAnsi="Calibri"/>
                <w:b w:val="0"/>
                <w:i w:val="0"/>
                <w:color w:val="20302C"/>
                <w:sz w:val="18"/>
              </w:rPr>
              <w:t>Through-cycle cost of risk</w:t>
            </w:r>
          </w:p>
        </w:tc>
        <w:tc>
          <w:tcPr>
            <w:tcW w:type="dxa" w:w="3456"/>
          </w:tcPr>
          <w:p>
            <w:pPr>
              <w:spacing w:after="20" w:before="20"/>
              <w:jc w:val="right"/>
            </w:pPr>
            <w:r/>
            <w:r>
              <w:rPr>
                <w:rFonts w:ascii="Calibri" w:hAnsi="Calibri"/>
                <w:b w:val="0"/>
                <w:i w:val="0"/>
                <w:color w:val="20302C"/>
                <w:sz w:val="18"/>
              </w:rPr>
              <w:t>~115 bps (vs ~88 reported)</w:t>
            </w:r>
          </w:p>
        </w:tc>
      </w:tr>
      <w:tr>
        <w:tc>
          <w:tcPr>
            <w:tcW w:type="dxa" w:w="6624"/>
          </w:tcPr>
          <w:p>
            <w:pPr>
              <w:spacing w:after="20" w:before="20"/>
              <w:jc w:val="left"/>
            </w:pPr>
            <w:r/>
            <w:r>
              <w:rPr>
                <w:rFonts w:ascii="Calibri" w:hAnsi="Calibri"/>
                <w:b w:val="0"/>
                <w:i w:val="0"/>
                <w:color w:val="20302C"/>
                <w:sz w:val="18"/>
              </w:rPr>
              <w:t>Normalized loan-loss charge</w:t>
            </w:r>
          </w:p>
        </w:tc>
        <w:tc>
          <w:tcPr>
            <w:tcW w:type="dxa" w:w="3456"/>
          </w:tcPr>
          <w:p>
            <w:pPr>
              <w:spacing w:after="20" w:before="20"/>
              <w:jc w:val="right"/>
            </w:pPr>
            <w:r/>
            <w:r>
              <w:rPr>
                <w:rFonts w:ascii="Calibri" w:hAnsi="Calibri"/>
                <w:b w:val="0"/>
                <w:i w:val="0"/>
                <w:color w:val="20302C"/>
                <w:sz w:val="18"/>
              </w:rPr>
              <w:t>≈ QAR (11.7) bn</w:t>
            </w:r>
          </w:p>
        </w:tc>
      </w:tr>
      <w:tr>
        <w:tc>
          <w:tcPr>
            <w:tcW w:type="dxa" w:w="6624"/>
          </w:tcPr>
          <w:p>
            <w:pPr>
              <w:spacing w:after="20" w:before="20"/>
              <w:jc w:val="left"/>
            </w:pPr>
            <w:r/>
            <w:r>
              <w:rPr>
                <w:rFonts w:ascii="Calibri" w:hAnsi="Calibri"/>
                <w:b w:val="0"/>
                <w:i w:val="0"/>
                <w:color w:val="20302C"/>
                <w:sz w:val="18"/>
              </w:rPr>
              <w:t>Tax at 15% (Pillar Two)</w:t>
            </w:r>
          </w:p>
        </w:tc>
        <w:tc>
          <w:tcPr>
            <w:tcW w:type="dxa" w:w="3456"/>
          </w:tcPr>
          <w:p>
            <w:pPr>
              <w:spacing w:after="20" w:before="20"/>
              <w:jc w:val="right"/>
            </w:pPr>
            <w:r/>
            <w:r>
              <w:rPr>
                <w:rFonts w:ascii="Calibri" w:hAnsi="Calibri"/>
                <w:b w:val="0"/>
                <w:i w:val="0"/>
                <w:color w:val="20302C"/>
                <w:sz w:val="18"/>
              </w:rPr>
              <w:t>≈ QAR (3.4) bn</w:t>
            </w:r>
          </w:p>
        </w:tc>
      </w:tr>
      <w:tr>
        <w:tc>
          <w:tcPr>
            <w:tcW w:type="dxa" w:w="6624"/>
          </w:tcPr>
          <w:p>
            <w:pPr>
              <w:spacing w:after="20" w:before="20"/>
              <w:jc w:val="left"/>
            </w:pPr>
            <w:r/>
            <w:r>
              <w:rPr>
                <w:rFonts w:ascii="Calibri" w:hAnsi="Calibri"/>
                <w:b w:val="0"/>
                <w:i w:val="0"/>
                <w:color w:val="20302C"/>
                <w:sz w:val="18"/>
              </w:rPr>
              <w:t>Normalized net profit</w:t>
            </w:r>
          </w:p>
        </w:tc>
        <w:tc>
          <w:tcPr>
            <w:tcW w:type="dxa" w:w="3456"/>
          </w:tcPr>
          <w:p>
            <w:pPr>
              <w:spacing w:after="20" w:before="20"/>
              <w:jc w:val="right"/>
            </w:pPr>
            <w:r/>
            <w:r>
              <w:rPr>
                <w:rFonts w:ascii="Calibri" w:hAnsi="Calibri"/>
                <w:b w:val="0"/>
                <w:i w:val="0"/>
                <w:color w:val="20302C"/>
                <w:sz w:val="18"/>
              </w:rPr>
              <w:t>≈ QAR 15.4 bn</w:t>
            </w:r>
          </w:p>
        </w:tc>
      </w:tr>
      <w:tr>
        <w:tc>
          <w:tcPr>
            <w:tcW w:type="dxa" w:w="6624"/>
          </w:tcPr>
          <w:p>
            <w:pPr>
              <w:spacing w:after="20" w:before="20"/>
              <w:jc w:val="left"/>
            </w:pPr>
            <w:r/>
            <w:r>
              <w:rPr>
                <w:rFonts w:ascii="Calibri" w:hAnsi="Calibri"/>
                <w:b w:val="0"/>
                <w:i w:val="0"/>
                <w:color w:val="20302C"/>
                <w:sz w:val="18"/>
              </w:rPr>
              <w:t>Justified P/E on normalized EPS</w:t>
            </w:r>
          </w:p>
        </w:tc>
        <w:tc>
          <w:tcPr>
            <w:tcW w:type="dxa" w:w="3456"/>
          </w:tcPr>
          <w:p>
            <w:pPr>
              <w:spacing w:after="20" w:before="20"/>
              <w:jc w:val="right"/>
            </w:pPr>
            <w:r/>
            <w:r>
              <w:rPr>
                <w:rFonts w:ascii="Calibri" w:hAnsi="Calibri"/>
                <w:b w:val="0"/>
                <w:i w:val="0"/>
                <w:color w:val="20302C"/>
                <w:sz w:val="18"/>
              </w:rPr>
              <w:t>~10×</w:t>
            </w:r>
          </w:p>
        </w:tc>
      </w:tr>
      <w:tr>
        <w:tc>
          <w:tcPr>
            <w:tcW w:type="dxa" w:w="6624"/>
            <w:shd w:val="clear" w:fill="F2ECDD"/>
          </w:tcPr>
          <w:p>
            <w:pPr>
              <w:spacing w:after="20" w:before="20"/>
              <w:jc w:val="left"/>
            </w:pPr>
            <w:r/>
            <w:r>
              <w:rPr>
                <w:rFonts w:ascii="Calibri" w:hAnsi="Calibri"/>
                <w:b/>
                <w:i w:val="0"/>
                <w:color w:val="20302C"/>
                <w:sz w:val="18"/>
              </w:rPr>
              <w:t>Expert 2 fair value</w:t>
            </w:r>
          </w:p>
        </w:tc>
        <w:tc>
          <w:tcPr>
            <w:tcW w:type="dxa" w:w="3456"/>
            <w:shd w:val="clear" w:fill="F2ECDD"/>
          </w:tcPr>
          <w:p>
            <w:pPr>
              <w:spacing w:after="20" w:before="20"/>
              <w:jc w:val="right"/>
            </w:pPr>
            <w:r/>
            <w:r>
              <w:rPr>
                <w:rFonts w:ascii="Calibri" w:hAnsi="Calibri"/>
                <w:b/>
                <w:i w:val="0"/>
                <w:color w:val="20302C"/>
                <w:sz w:val="18"/>
              </w:rPr>
              <w:t>QAR 16.9</w:t>
            </w:r>
          </w:p>
        </w:tc>
      </w:tr>
    </w:tbl>
    <w:p>
      <w:pPr>
        <w:spacing w:after="120" w:line="259" w:lineRule="auto"/>
      </w:pPr>
      <w:r>
        <w:rPr>
          <w:rFonts w:ascii="Calibri" w:hAnsi="Calibri"/>
          <w:b/>
          <w:i w:val="0"/>
          <w:color w:val="20302C"/>
          <w:sz w:val="21"/>
        </w:rPr>
        <w:t>Sensitivity (swing = normalized cost of risk).</w:t>
      </w:r>
      <w:r>
        <w:rPr>
          <w:rFonts w:ascii="Calibri" w:hAnsi="Calibri"/>
          <w:b w:val="0"/>
          <w:i w:val="0"/>
          <w:color w:val="20302C"/>
          <w:sz w:val="21"/>
        </w:rPr>
        <w:t xml:space="preserve"> At ~90 bps (trust the current print) the value rises to ~QAR 19; at ~140 bps (a hard EM downturn) it falls to ~QAR 13.5. </w:t>
      </w:r>
      <w:r>
        <w:rPr>
          <w:rFonts w:ascii="Calibri" w:hAnsi="Calibri"/>
          <w:b/>
          <w:i w:val="0"/>
          <w:color w:val="20302C"/>
          <w:sz w:val="21"/>
        </w:rPr>
        <w:t>Cross-examination.</w:t>
      </w:r>
      <w:r>
        <w:rPr>
          <w:rFonts w:ascii="Calibri" w:hAnsi="Calibri"/>
          <w:b w:val="0"/>
          <w:i w:val="0"/>
          <w:color w:val="20302C"/>
          <w:sz w:val="21"/>
        </w:rPr>
        <w:t xml:space="preserve"> Expert 2 tells Expert 1 that a dividend model built on today's low provisions capitalizes good luck — the payout looks safe only until the cycle turns; he tells Expert 3 that the LNG tailwind is a revenue story that says nothing about loan losses in Türkiye or Egypt, where the credit risk actually lives. </w:t>
      </w:r>
      <w:r>
        <w:rPr>
          <w:rFonts w:ascii="Calibri" w:hAnsi="Calibri"/>
          <w:b/>
          <w:i w:val="0"/>
          <w:color w:val="20302C"/>
          <w:sz w:val="21"/>
        </w:rPr>
        <w:t>Verdict, falsification, market-implied.</w:t>
      </w:r>
      <w:r>
        <w:rPr>
          <w:rFonts w:ascii="Calibri" w:hAnsi="Calibri"/>
          <w:b w:val="0"/>
          <w:i w:val="0"/>
          <w:color w:val="20302C"/>
          <w:sz w:val="21"/>
        </w:rPr>
        <w:t xml:space="preserve"> </w:t>
      </w:r>
      <w:r>
        <w:rPr>
          <w:rFonts w:ascii="Calibri" w:hAnsi="Calibri"/>
          <w:b/>
          <w:i w:val="0"/>
          <w:color w:val="20302C"/>
          <w:sz w:val="21"/>
        </w:rPr>
        <w:t>Fair QAR 16.9 (range QAR 13.5–19) — the most conservative of the three.</w:t>
      </w:r>
      <w:r>
        <w:rPr>
          <w:rFonts w:ascii="Calibri" w:hAnsi="Calibri"/>
          <w:b w:val="0"/>
          <w:i w:val="0"/>
          <w:color w:val="20302C"/>
          <w:sz w:val="21"/>
        </w:rPr>
        <w:t xml:space="preserve"> Falsified if QNB delivers a full cycle at a low cost of risk (its record so far supports the sceptic being wrong), or if the EM books are de-risked or sold. The market price sits just above his number: on a through-cycle-provisioning basis, QNB is close to fair.</w:t>
      </w:r>
    </w:p>
    <w:p>
      <w:pPr>
        <w:spacing w:after="120" w:line="259" w:lineRule="auto"/>
      </w:pPr>
      <w:r>
        <w:rPr>
          <w:rFonts w:ascii="Calibri" w:hAnsi="Calibri"/>
          <w:b w:val="0"/>
          <w:i w:val="0"/>
          <w:color w:val="20302C"/>
          <w:sz w:val="21"/>
        </w:rPr>
        <w:t>Expert 2's method turns on a single number he refuses to take on trust: the cost of risk. QNB reports roughly 85–90 basis points of loan losses against a book that is heavily Qatari sovereign and blue-chip — but about a quarter of the group's assets sit in Türkiye and Egypt, where the through-cycle loss content is structurally higher and the reported figure is flattered by hyperinflation accounting and a benign recent window. He therefore blends a ~60 bps Qatar charge with a ~250–300 bps charge on the emerging-market books to reach a group through-cycle ~115 bps — roughly QAR 11.7 bn of normalized provisions against the QAR 34.5 bn of pre-provision profit, versus the ~QAR 9 bn the market extrapolates. That single adjustment is most of the gap between his QAR 16.9 and Expert 1's QAR 18.7.</w:t>
      </w:r>
    </w:p>
    <w:p>
      <w:pPr>
        <w:spacing w:after="120" w:line="259" w:lineRule="auto"/>
      </w:pPr>
      <w:r>
        <w:rPr>
          <w:rFonts w:ascii="Calibri" w:hAnsi="Calibri"/>
          <w:b w:val="0"/>
          <w:i w:val="0"/>
          <w:color w:val="20302C"/>
          <w:sz w:val="21"/>
        </w:rPr>
        <w:t>He is careful not to overreach. He concedes that QNB's coverage ratio of 100% and its record through the 2017 blockade and the pandemic are real evidence that the franchise underwrites well, and that a blanket haircut to Qatar's sovereign-heavy book would be lazy. His conservatism is targeted: he normalizes hardest exactly where the risk is, and he treats the surplus capital not as distributable value but as the provision-in-waiting the other two experts are too quick to give away. If QNB delivers a full cycle at a low cost of risk — as its history suggests it might — he will have been wrong, and he says so.</w:t>
      </w:r>
    </w:p>
    <w:p>
      <w:pPr>
        <w:spacing w:before="180" w:after="40"/>
      </w:pPr>
      <w:r>
        <w:rPr>
          <w:rFonts w:ascii="Calibri" w:hAnsi="Calibri"/>
          <w:b/>
          <w:color w:val="1C3A36"/>
          <w:sz w:val="24"/>
        </w:rPr>
        <w:t>D.3  Expert 3 — macro-policy</w:t>
      </w:r>
    </w:p>
    <w:p>
      <w:pPr>
        <w:spacing w:after="120" w:line="259" w:lineRule="auto"/>
      </w:pPr>
      <w:r>
        <w:rPr>
          <w:rFonts w:ascii="Calibri" w:hAnsi="Calibri"/>
          <w:b/>
          <w:i w:val="0"/>
          <w:color w:val="20302C"/>
          <w:sz w:val="21"/>
        </w:rPr>
        <w:t>Worldview and tradition.</w:t>
      </w:r>
      <w:r>
        <w:rPr>
          <w:rFonts w:ascii="Calibri" w:hAnsi="Calibri"/>
          <w:b w:val="0"/>
          <w:i w:val="0"/>
          <w:color w:val="20302C"/>
          <w:sz w:val="21"/>
        </w:rPr>
        <w:t xml:space="preserve"> A bank is a geared claim on its sovereign and its rate regime. Expert 3 values QNB top-down: the Qatari fiscal position and the North Field LNG expansion set the growth of deposits and lending; the Fed-linked policy rate sets the margin; and the Türkiye and Egypt currencies set the translated contribution of the foreign books. He builds macro scenarios and reads the value off them, and he is the one who credits the excess-capital return as the policy choice of a sovereign-owned champion.</w:t>
      </w:r>
    </w:p>
    <w:p>
      <w:pPr>
        <w:spacing w:after="120" w:line="259" w:lineRule="auto"/>
      </w:pPr>
      <w:r>
        <w:rPr>
          <w:rFonts w:ascii="Calibri" w:hAnsi="Calibri"/>
          <w:b/>
          <w:i w:val="0"/>
          <w:color w:val="20302C"/>
          <w:sz w:val="21"/>
        </w:rPr>
        <w:t>When it works / fails.</w:t>
      </w:r>
      <w:r>
        <w:rPr>
          <w:rFonts w:ascii="Calibri" w:hAnsi="Calibri"/>
          <w:b w:val="0"/>
          <w:i w:val="0"/>
          <w:color w:val="20302C"/>
          <w:sz w:val="21"/>
        </w:rPr>
        <w:t xml:space="preserve"> It is powerful for a bank whose fortunes are dominated by one economy and one policy regime — QNB, half-owned by the state, is the textbook case. It fails when it substitutes a macro view for security-level discipline: a constructive Qatar call is not automatically a cheap stock. He guards against this by tying each scenario back to EPS, payout and the same Ke the others use.</w:t>
      </w:r>
    </w:p>
    <w:p>
      <w:pPr>
        <w:spacing w:after="120" w:line="259" w:lineRule="auto"/>
      </w:pPr>
      <w:r>
        <w:rPr>
          <w:rFonts w:ascii="Calibri" w:hAnsi="Calibri"/>
          <w:b/>
          <w:i w:val="0"/>
          <w:color w:val="20302C"/>
          <w:sz w:val="21"/>
        </w:rPr>
        <w:t>Standard workings and worked example.</w:t>
      </w:r>
      <w:r>
        <w:rPr>
          <w:rFonts w:ascii="Calibri" w:hAnsi="Calibri"/>
          <w:b w:val="0"/>
          <w:i w:val="0"/>
          <w:color w:val="20302C"/>
          <w:sz w:val="21"/>
        </w:rPr>
        <w:t xml:space="preserve"> Build a base, a downside and an upside macro path (rates, LNG-driven balance-sheet growth, FX), map each to net profit and payout, and discount. His base credits a gradual return of surplus capital and a stabilising lira; his upside adds a faster LNG ramp and a bigger buyback.</w:t>
      </w:r>
    </w:p>
    <w:tbl>
      <w:tblPr>
        <w:tblStyle w:val="TableGrid"/>
        <w:tblW w:type="auto" w:w="0"/>
        <w:jc w:val="center"/>
        <w:tblLook w:firstColumn="1" w:firstRow="1" w:lastColumn="0" w:lastRow="0" w:noHBand="0" w:noVBand="1" w:val="04A0"/>
      </w:tblPr>
      <w:tblGrid>
        <w:gridCol w:w="4968"/>
        <w:gridCol w:w="4968"/>
      </w:tblGrid>
      <w:tr>
        <w:tc>
          <w:tcPr>
            <w:tcW w:type="dxa" w:w="6624"/>
            <w:shd w:val="clear" w:fill="1C3A36"/>
          </w:tcPr>
          <w:p>
            <w:pPr>
              <w:spacing w:after="20" w:before="20"/>
              <w:jc w:val="left"/>
            </w:pPr>
            <w:r/>
            <w:r>
              <w:rPr>
                <w:rFonts w:ascii="Calibri" w:hAnsi="Calibri"/>
                <w:b/>
                <w:i w:val="0"/>
                <w:color w:val="FFFFFF"/>
                <w:sz w:val="18"/>
              </w:rPr>
              <w:t>Expert 3 — macro-policy</w:t>
            </w:r>
          </w:p>
        </w:tc>
        <w:tc>
          <w:tcPr>
            <w:tcW w:type="dxa" w:w="3456"/>
            <w:shd w:val="clear" w:fill="1C3A36"/>
          </w:tcPr>
          <w:p>
            <w:pPr>
              <w:spacing w:after="20" w:before="20"/>
              <w:jc w:val="right"/>
            </w:pPr>
            <w:r/>
            <w:r>
              <w:rPr>
                <w:rFonts w:ascii="Calibri" w:hAnsi="Calibri"/>
                <w:b/>
                <w:i w:val="0"/>
                <w:color w:val="FFFFFF"/>
                <w:sz w:val="18"/>
              </w:rPr>
              <w:t>Value</w:t>
            </w:r>
          </w:p>
        </w:tc>
      </w:tr>
      <w:tr>
        <w:tc>
          <w:tcPr>
            <w:tcW w:type="dxa" w:w="6624"/>
          </w:tcPr>
          <w:p>
            <w:pPr>
              <w:spacing w:after="20" w:before="20"/>
              <w:jc w:val="left"/>
            </w:pPr>
            <w:r/>
            <w:r>
              <w:rPr>
                <w:rFonts w:ascii="Calibri" w:hAnsi="Calibri"/>
                <w:b w:val="0"/>
                <w:i w:val="0"/>
                <w:color w:val="20302C"/>
                <w:sz w:val="18"/>
              </w:rPr>
              <w:t>North Field LNG → balance-sheet growth</w:t>
            </w:r>
          </w:p>
        </w:tc>
        <w:tc>
          <w:tcPr>
            <w:tcW w:type="dxa" w:w="3456"/>
          </w:tcPr>
          <w:p>
            <w:pPr>
              <w:spacing w:after="20" w:before="20"/>
              <w:jc w:val="right"/>
            </w:pPr>
            <w:r/>
            <w:r>
              <w:rPr>
                <w:rFonts w:ascii="Calibri" w:hAnsi="Calibri"/>
                <w:b w:val="0"/>
                <w:i w:val="0"/>
                <w:color w:val="20302C"/>
                <w:sz w:val="18"/>
              </w:rPr>
              <w:t>supportive, 2026–27</w:t>
            </w:r>
          </w:p>
        </w:tc>
      </w:tr>
      <w:tr>
        <w:tc>
          <w:tcPr>
            <w:tcW w:type="dxa" w:w="6624"/>
          </w:tcPr>
          <w:p>
            <w:pPr>
              <w:spacing w:after="20" w:before="20"/>
              <w:jc w:val="left"/>
            </w:pPr>
            <w:r/>
            <w:r>
              <w:rPr>
                <w:rFonts w:ascii="Calibri" w:hAnsi="Calibri"/>
                <w:b w:val="0"/>
                <w:i w:val="0"/>
                <w:color w:val="20302C"/>
                <w:sz w:val="18"/>
              </w:rPr>
              <w:t>Rate path (Fed/QCB)</w:t>
            </w:r>
          </w:p>
        </w:tc>
        <w:tc>
          <w:tcPr>
            <w:tcW w:type="dxa" w:w="3456"/>
          </w:tcPr>
          <w:p>
            <w:pPr>
              <w:spacing w:after="20" w:before="20"/>
              <w:jc w:val="right"/>
            </w:pPr>
            <w:r/>
            <w:r>
              <w:rPr>
                <w:rFonts w:ascii="Calibri" w:hAnsi="Calibri"/>
                <w:b w:val="0"/>
                <w:i w:val="0"/>
                <w:color w:val="20302C"/>
                <w:sz w:val="18"/>
              </w:rPr>
              <w:t>cuts drag NIM, then volume offsets</w:t>
            </w:r>
          </w:p>
        </w:tc>
      </w:tr>
      <w:tr>
        <w:tc>
          <w:tcPr>
            <w:tcW w:type="dxa" w:w="6624"/>
          </w:tcPr>
          <w:p>
            <w:pPr>
              <w:spacing w:after="20" w:before="20"/>
              <w:jc w:val="left"/>
            </w:pPr>
            <w:r/>
            <w:r>
              <w:rPr>
                <w:rFonts w:ascii="Calibri" w:hAnsi="Calibri"/>
                <w:b w:val="0"/>
                <w:i w:val="0"/>
                <w:color w:val="20302C"/>
                <w:sz w:val="18"/>
              </w:rPr>
              <w:t>Türkiye/Egypt translation</w:t>
            </w:r>
          </w:p>
        </w:tc>
        <w:tc>
          <w:tcPr>
            <w:tcW w:type="dxa" w:w="3456"/>
          </w:tcPr>
          <w:p>
            <w:pPr>
              <w:spacing w:after="20" w:before="20"/>
              <w:jc w:val="right"/>
            </w:pPr>
            <w:r/>
            <w:r>
              <w:rPr>
                <w:rFonts w:ascii="Calibri" w:hAnsi="Calibri"/>
                <w:b w:val="0"/>
                <w:i w:val="0"/>
                <w:color w:val="20302C"/>
                <w:sz w:val="18"/>
              </w:rPr>
              <w:t>base: stabilising; bull: recovery</w:t>
            </w:r>
          </w:p>
        </w:tc>
      </w:tr>
      <w:tr>
        <w:tc>
          <w:tcPr>
            <w:tcW w:type="dxa" w:w="6624"/>
          </w:tcPr>
          <w:p>
            <w:pPr>
              <w:spacing w:after="20" w:before="20"/>
              <w:jc w:val="left"/>
            </w:pPr>
            <w:r/>
            <w:r>
              <w:rPr>
                <w:rFonts w:ascii="Calibri" w:hAnsi="Calibri"/>
                <w:b w:val="0"/>
                <w:i w:val="0"/>
                <w:color w:val="20302C"/>
                <w:sz w:val="18"/>
              </w:rPr>
              <w:t>Capital return (payout → ~67%)</w:t>
            </w:r>
          </w:p>
        </w:tc>
        <w:tc>
          <w:tcPr>
            <w:tcW w:type="dxa" w:w="3456"/>
          </w:tcPr>
          <w:p>
            <w:pPr>
              <w:spacing w:after="20" w:before="20"/>
              <w:jc w:val="right"/>
            </w:pPr>
            <w:r/>
            <w:r>
              <w:rPr>
                <w:rFonts w:ascii="Calibri" w:hAnsi="Calibri"/>
                <w:b w:val="0"/>
                <w:i w:val="0"/>
                <w:color w:val="20302C"/>
                <w:sz w:val="18"/>
              </w:rPr>
              <w:t>credited over time</w:t>
            </w:r>
          </w:p>
        </w:tc>
      </w:tr>
      <w:tr>
        <w:tc>
          <w:tcPr>
            <w:tcW w:type="dxa" w:w="6624"/>
          </w:tcPr>
          <w:p>
            <w:pPr>
              <w:spacing w:after="20" w:before="20"/>
              <w:jc w:val="left"/>
            </w:pPr>
            <w:r/>
            <w:r>
              <w:rPr>
                <w:rFonts w:ascii="Calibri" w:hAnsi="Calibri"/>
                <w:b w:val="0"/>
                <w:i w:val="0"/>
                <w:color w:val="20302C"/>
                <w:sz w:val="18"/>
              </w:rPr>
              <w:t>Scenario-weighted net profit path</w:t>
            </w:r>
          </w:p>
        </w:tc>
        <w:tc>
          <w:tcPr>
            <w:tcW w:type="dxa" w:w="3456"/>
          </w:tcPr>
          <w:p>
            <w:pPr>
              <w:spacing w:after="20" w:before="20"/>
              <w:jc w:val="right"/>
            </w:pPr>
            <w:r/>
            <w:r>
              <w:rPr>
                <w:rFonts w:ascii="Calibri" w:hAnsi="Calibri"/>
                <w:b w:val="0"/>
                <w:i w:val="0"/>
                <w:color w:val="20302C"/>
                <w:sz w:val="18"/>
              </w:rPr>
              <w:t>above the DDM base</w:t>
            </w:r>
          </w:p>
        </w:tc>
      </w:tr>
      <w:tr>
        <w:tc>
          <w:tcPr>
            <w:tcW w:type="dxa" w:w="6624"/>
          </w:tcPr>
          <w:p>
            <w:pPr>
              <w:spacing w:after="20" w:before="20"/>
              <w:jc w:val="left"/>
            </w:pPr>
            <w:r/>
            <w:r>
              <w:rPr>
                <w:rFonts w:ascii="Calibri" w:hAnsi="Calibri"/>
                <w:b w:val="0"/>
                <w:i w:val="0"/>
                <w:color w:val="20302C"/>
                <w:sz w:val="18"/>
              </w:rPr>
              <w:t>Discount at Ke</w:t>
            </w:r>
          </w:p>
        </w:tc>
        <w:tc>
          <w:tcPr>
            <w:tcW w:type="dxa" w:w="3456"/>
          </w:tcPr>
          <w:p>
            <w:pPr>
              <w:spacing w:after="20" w:before="20"/>
              <w:jc w:val="right"/>
            </w:pPr>
            <w:r/>
            <w:r>
              <w:rPr>
                <w:rFonts w:ascii="Calibri" w:hAnsi="Calibri"/>
                <w:b w:val="0"/>
                <w:i w:val="0"/>
                <w:color w:val="20302C"/>
                <w:sz w:val="18"/>
              </w:rPr>
              <w:t>10.5%</w:t>
            </w:r>
          </w:p>
        </w:tc>
      </w:tr>
      <w:tr>
        <w:tc>
          <w:tcPr>
            <w:tcW w:type="dxa" w:w="6624"/>
            <w:shd w:val="clear" w:fill="F2ECDD"/>
          </w:tcPr>
          <w:p>
            <w:pPr>
              <w:spacing w:after="20" w:before="20"/>
              <w:jc w:val="left"/>
            </w:pPr>
            <w:r/>
            <w:r>
              <w:rPr>
                <w:rFonts w:ascii="Calibri" w:hAnsi="Calibri"/>
                <w:b/>
                <w:i w:val="0"/>
                <w:color w:val="20302C"/>
                <w:sz w:val="18"/>
              </w:rPr>
              <w:t>Expert 3 fair value</w:t>
            </w:r>
          </w:p>
        </w:tc>
        <w:tc>
          <w:tcPr>
            <w:tcW w:type="dxa" w:w="3456"/>
            <w:shd w:val="clear" w:fill="F2ECDD"/>
          </w:tcPr>
          <w:p>
            <w:pPr>
              <w:spacing w:after="20" w:before="20"/>
              <w:jc w:val="right"/>
            </w:pPr>
            <w:r/>
            <w:r>
              <w:rPr>
                <w:rFonts w:ascii="Calibri" w:hAnsi="Calibri"/>
                <w:b/>
                <w:i w:val="0"/>
                <w:color w:val="20302C"/>
                <w:sz w:val="18"/>
              </w:rPr>
              <w:t>QAR 20.4</w:t>
            </w:r>
          </w:p>
        </w:tc>
      </w:tr>
    </w:tbl>
    <w:p>
      <w:pPr>
        <w:spacing w:after="120" w:line="259" w:lineRule="auto"/>
      </w:pPr>
      <w:r>
        <w:rPr>
          <w:rFonts w:ascii="Calibri" w:hAnsi="Calibri"/>
          <w:b/>
          <w:i w:val="0"/>
          <w:color w:val="20302C"/>
          <w:sz w:val="21"/>
        </w:rPr>
        <w:t>Sensitivity (swing = capital return + FX).</w:t>
      </w:r>
      <w:r>
        <w:rPr>
          <w:rFonts w:ascii="Calibri" w:hAnsi="Calibri"/>
          <w:b w:val="0"/>
          <w:i w:val="0"/>
          <w:color w:val="20302C"/>
          <w:sz w:val="21"/>
        </w:rPr>
        <w:t xml:space="preserve"> With the current payout and a weak lira, his value falls to ~QAR 16.5; with a full return of surplus and a Türkiye recovery it rises to ~QAR 26.5. </w:t>
      </w:r>
      <w:r>
        <w:rPr>
          <w:rFonts w:ascii="Calibri" w:hAnsi="Calibri"/>
          <w:b/>
          <w:i w:val="0"/>
          <w:color w:val="20302C"/>
          <w:sz w:val="21"/>
        </w:rPr>
        <w:t>Cross-examination.</w:t>
      </w:r>
      <w:r>
        <w:rPr>
          <w:rFonts w:ascii="Calibri" w:hAnsi="Calibri"/>
          <w:b w:val="0"/>
          <w:i w:val="0"/>
          <w:color w:val="20302C"/>
          <w:sz w:val="21"/>
        </w:rPr>
        <w:t xml:space="preserve"> Expert 3 tells Expert 1 that a mechanical Ke-minus-g understates a bank riding a genuine sovereign upcycle with capital to give back; he tells Expert 2 that normalizing cost of risk to a mid-cycle average ignores that Qatar's fiscal strength and the sovereign ownership backstop the book. </w:t>
      </w:r>
      <w:r>
        <w:rPr>
          <w:rFonts w:ascii="Calibri" w:hAnsi="Calibri"/>
          <w:b/>
          <w:i w:val="0"/>
          <w:color w:val="20302C"/>
          <w:sz w:val="21"/>
        </w:rPr>
        <w:t>Verdict, falsification, market-implied.</w:t>
      </w:r>
      <w:r>
        <w:rPr>
          <w:rFonts w:ascii="Calibri" w:hAnsi="Calibri"/>
          <w:b w:val="0"/>
          <w:i w:val="0"/>
          <w:color w:val="20302C"/>
          <w:sz w:val="21"/>
        </w:rPr>
        <w:t xml:space="preserve"> </w:t>
      </w:r>
      <w:r>
        <w:rPr>
          <w:rFonts w:ascii="Calibri" w:hAnsi="Calibri"/>
          <w:b/>
          <w:i w:val="0"/>
          <w:color w:val="20302C"/>
          <w:sz w:val="21"/>
        </w:rPr>
        <w:t>Fair QAR 20.4 (range QAR 16.5–26.5) — the most bullish.</w:t>
      </w:r>
      <w:r>
        <w:rPr>
          <w:rFonts w:ascii="Calibri" w:hAnsi="Calibri"/>
          <w:b w:val="0"/>
          <w:i w:val="0"/>
          <w:color w:val="20302C"/>
          <w:sz w:val="21"/>
        </w:rPr>
        <w:t xml:space="preserve"> Falsified by a sustained oil/LNG downturn that weakens the sovereign, or a Türkiye/Egypt crisis that swamps the group. The market implies a macro path more cautious than his base — it does not yet price the capital return.</w:t>
      </w:r>
    </w:p>
    <w:p>
      <w:pPr>
        <w:spacing w:after="120" w:line="259" w:lineRule="auto"/>
      </w:pPr>
      <w:r>
        <w:rPr>
          <w:rFonts w:ascii="Calibri" w:hAnsi="Calibri"/>
          <w:b w:val="0"/>
          <w:i w:val="0"/>
          <w:color w:val="20302C"/>
          <w:sz w:val="21"/>
        </w:rPr>
        <w:t>Expert 3 weights three scenarios explicitly. In his base (≈55% weight) the Fed and QCB cut through 2026, margin dips ~10 bps then recovers as loan growth compounds, the lira stabilizes, and QNB lifts the payout gradually toward 55–60% — worth about QAR 20. In his downside (≈25%) a weak lira and a stubborn rate-cut drag with the current payout hold the stock near QAR 16.5. In his upside (≈20%) a faster North Field ramp, a Türkiye recovery and a larger buyback carry it toward QAR 26.5. The probability-weighted blend is his QAR 20.4. The peg is central to his read: because the riyal is fixed to the dollar, QNB cannot ease its own policy to defend its margin, so the Fed path is imported wholesale — but the same peg removes the domestic devaluation risk that makes Egyptian and Turkish banks so volatile in their home currencies.</w:t>
      </w:r>
    </w:p>
    <w:p>
      <w:pPr>
        <w:spacing w:after="120" w:line="259" w:lineRule="auto"/>
      </w:pPr>
      <w:r>
        <w:rPr>
          <w:rFonts w:ascii="Calibri" w:hAnsi="Calibri"/>
          <w:b w:val="0"/>
          <w:i w:val="0"/>
          <w:color w:val="20302C"/>
          <w:sz w:val="21"/>
        </w:rPr>
        <w:t>Where he parts company with the others is on what the sovereign ownership means. To Expert 3, a bank half-owned by the Qatar Investment Authority, sitting on the largest gas reserves per capita in the world, is not an ordinary credit: its funding is cheaper, its deposit base stickier, and its capital ultimately backstopped by one of the strongest sovereign balance sheets on earth. That, he argues, justifies both a lower effective cost of equity than a screen would assign and a faster return of surplus capital than a standalone bank would risk — which is precisely why his number is the highest of the three.</w:t>
      </w:r>
    </w:p>
    <w:p>
      <w:pPr>
        <w:spacing w:before="180" w:after="40"/>
      </w:pPr>
      <w:r>
        <w:rPr>
          <w:rFonts w:ascii="Calibri" w:hAnsi="Calibri"/>
          <w:b/>
          <w:color w:val="1C3A36"/>
          <w:sz w:val="24"/>
        </w:rPr>
        <w:t>D.5  The three in one room</w:t>
      </w:r>
    </w:p>
    <w:p>
      <w:pPr>
        <w:spacing w:after="120" w:line="259" w:lineRule="auto"/>
      </w:pPr>
      <w:r>
        <w:rPr>
          <w:rFonts w:ascii="Calibri" w:hAnsi="Calibri"/>
          <w:b w:val="0"/>
          <w:i w:val="0"/>
          <w:color w:val="20302C"/>
          <w:sz w:val="21"/>
        </w:rPr>
        <w:t>The single question they most disagree on is what to do with QNB's surplus capital — and how much to trust the earnings that surplus rests on.</w:t>
      </w:r>
    </w:p>
    <w:p>
      <w:pPr>
        <w:spacing w:after="120" w:line="259" w:lineRule="auto"/>
      </w:pPr>
      <w:r>
        <w:rPr>
          <w:rFonts w:ascii="Calibri" w:hAnsi="Calibri"/>
          <w:b/>
          <w:i w:val="0"/>
          <w:color w:val="20302C"/>
          <w:sz w:val="20"/>
        </w:rPr>
        <w:t>Expert 3:</w:t>
      </w:r>
      <w:r>
        <w:rPr>
          <w:rFonts w:ascii="Calibri" w:hAnsi="Calibri"/>
          <w:b w:val="0"/>
          <w:i w:val="0"/>
          <w:color w:val="20302C"/>
          <w:sz w:val="20"/>
        </w:rPr>
        <w:t xml:space="preserve"> “QNB runs a 19% capital ratio, half-owned by the state, riding the North Field cycle, and it pays out barely forty percent. Credit even a gradual return of that surplus and the stock is worth north of twenty.”</w:t>
      </w:r>
    </w:p>
    <w:p>
      <w:pPr>
        <w:spacing w:after="120" w:line="259" w:lineRule="auto"/>
      </w:pPr>
      <w:r>
        <w:rPr>
          <w:rFonts w:ascii="Calibri" w:hAnsi="Calibri"/>
          <w:b/>
          <w:i w:val="0"/>
          <w:color w:val="20302C"/>
          <w:sz w:val="20"/>
        </w:rPr>
        <w:t>Expert 2:</w:t>
      </w:r>
      <w:r>
        <w:rPr>
          <w:rFonts w:ascii="Calibri" w:hAnsi="Calibri"/>
          <w:b w:val="0"/>
          <w:i w:val="0"/>
          <w:color w:val="20302C"/>
          <w:sz w:val="20"/>
        </w:rPr>
        <w:t xml:space="preserve"> “Return what, exactly? The capital is the buffer against a Türkiye or Egypt credit event you are not provisioning for. Normalize the cost of risk to a real mid-cycle number and the earnings that fund your payout shrink — the surplus is doing its job sitting where it is.”</w:t>
      </w:r>
    </w:p>
    <w:p>
      <w:pPr>
        <w:spacing w:after="120" w:line="259" w:lineRule="auto"/>
      </w:pPr>
      <w:r>
        <w:rPr>
          <w:rFonts w:ascii="Calibri" w:hAnsi="Calibri"/>
          <w:b/>
          <w:i w:val="0"/>
          <w:color w:val="20302C"/>
          <w:sz w:val="20"/>
        </w:rPr>
        <w:t>Expert 1:</w:t>
      </w:r>
      <w:r>
        <w:rPr>
          <w:rFonts w:ascii="Calibri" w:hAnsi="Calibri"/>
          <w:b w:val="0"/>
          <w:i w:val="0"/>
          <w:color w:val="20302C"/>
          <w:sz w:val="20"/>
        </w:rPr>
        <w:t xml:space="preserve"> “You are both arguing about the path. Discipline it: the bank earns about fourteen-and-a-half on tangible equity, costs about ten-and-a-half. That spread says a premium to book is deserved — a fair value near nineteen on the actual policy, more if the capital comes back. The argument is the payout, not the franchise.”</w:t>
      </w:r>
    </w:p>
    <w:p>
      <w:pPr>
        <w:spacing w:before="180" w:after="40"/>
      </w:pPr>
      <w:r>
        <w:rPr>
          <w:rFonts w:ascii="Calibri" w:hAnsi="Calibri"/>
          <w:b/>
          <w:color w:val="1C3A36"/>
          <w:sz w:val="24"/>
        </w:rPr>
        <w:t>D.6  Reading the divergence</w:t>
      </w:r>
    </w:p>
    <w:p>
      <w:pPr>
        <w:spacing w:before="80"/>
        <w:jc w:val="center"/>
      </w:pPr>
      <w:r>
        <w:drawing>
          <wp:inline xmlns:a="http://schemas.openxmlformats.org/drawingml/2006/main" xmlns:pic="http://schemas.openxmlformats.org/drawingml/2006/picture">
            <wp:extent cx="5669280" cy="1688001"/>
            <wp:docPr id="9" name="Picture 9"/>
            <wp:cNvGraphicFramePr>
              <a:graphicFrameLocks noChangeAspect="1"/>
            </wp:cNvGraphicFramePr>
            <a:graphic>
              <a:graphicData uri="http://schemas.openxmlformats.org/drawingml/2006/picture">
                <pic:pic>
                  <pic:nvPicPr>
                    <pic:cNvPr id="0" name="figD1_expert.png"/>
                    <pic:cNvPicPr/>
                  </pic:nvPicPr>
                  <pic:blipFill>
                    <a:blip r:embed="rId17"/>
                    <a:stretch>
                      <a:fillRect/>
                    </a:stretch>
                  </pic:blipFill>
                  <pic:spPr>
                    <a:xfrm>
                      <a:off x="0" y="0"/>
                      <a:ext cx="5669280" cy="1688001"/>
                    </a:xfrm>
                    <a:prstGeom prst="rect"/>
                  </pic:spPr>
                </pic:pic>
              </a:graphicData>
            </a:graphic>
          </wp:inline>
        </w:drawing>
      </w:r>
    </w:p>
    <w:p>
      <w:pPr>
        <w:spacing w:after="160" w:before="40"/>
      </w:pPr>
      <w:r>
        <w:rPr>
          <w:rFonts w:ascii="Calibri" w:hAnsi="Calibri"/>
          <w:i/>
          <w:color w:val="667070"/>
          <w:sz w:val="17"/>
        </w:rPr>
        <w:t>Figure D-1 — The three experts' fair-value ranges. Brass ticks are base cases; the gold band is the central spread; the dark line is spot. The spread is a tax-and-credit-versus-capital-return disagreement.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shd w:val="clear" w:fill="1C3A36"/>
          </w:tcPr>
          <w:p>
            <w:pPr>
              <w:spacing w:after="20" w:before="20"/>
              <w:jc w:val="left"/>
            </w:pPr>
            <w:r/>
            <w:r>
              <w:rPr>
                <w:rFonts w:ascii="Calibri" w:hAnsi="Calibri"/>
                <w:b/>
                <w:i w:val="0"/>
                <w:color w:val="FFFFFF"/>
                <w:sz w:val="18"/>
              </w:rPr>
              <w:t>Expert</w:t>
            </w:r>
          </w:p>
        </w:tc>
        <w:tc>
          <w:tcPr>
            <w:tcW w:type="dxa" w:w="3168"/>
            <w:shd w:val="clear" w:fill="1C3A36"/>
          </w:tcPr>
          <w:p>
            <w:pPr>
              <w:spacing w:after="20" w:before="20"/>
              <w:jc w:val="right"/>
            </w:pPr>
            <w:r/>
            <w:r>
              <w:rPr>
                <w:rFonts w:ascii="Calibri" w:hAnsi="Calibri"/>
                <w:b/>
                <w:i w:val="0"/>
                <w:color w:val="FFFFFF"/>
                <w:sz w:val="18"/>
              </w:rPr>
              <w:t>Method</w:t>
            </w:r>
          </w:p>
        </w:tc>
        <w:tc>
          <w:tcPr>
            <w:tcW w:type="dxa" w:w="3168"/>
            <w:shd w:val="clear" w:fill="1C3A36"/>
          </w:tcPr>
          <w:p>
            <w:pPr>
              <w:spacing w:after="20" w:before="20"/>
              <w:jc w:val="right"/>
            </w:pPr>
            <w:r/>
            <w:r>
              <w:rPr>
                <w:rFonts w:ascii="Calibri" w:hAnsi="Calibri"/>
                <w:b/>
                <w:i w:val="0"/>
                <w:color w:val="FFFFFF"/>
                <w:sz w:val="18"/>
              </w:rPr>
              <w:t>Single swing assumption</w:t>
            </w:r>
          </w:p>
        </w:tc>
        <w:tc>
          <w:tcPr>
            <w:tcW w:type="dxa" w:w="2016"/>
            <w:shd w:val="clear" w:fill="1C3A36"/>
          </w:tcPr>
          <w:p>
            <w:pPr>
              <w:spacing w:after="20" w:before="20"/>
              <w:jc w:val="right"/>
            </w:pPr>
            <w:r/>
            <w:r>
              <w:rPr>
                <w:rFonts w:ascii="Calibri" w:hAnsi="Calibri"/>
                <w:b/>
                <w:i w:val="0"/>
                <w:color w:val="FFFFFF"/>
                <w:sz w:val="18"/>
              </w:rPr>
              <w:t>Base fair value</w:t>
            </w:r>
          </w:p>
        </w:tc>
      </w:tr>
      <w:tr>
        <w:tc>
          <w:tcPr>
            <w:tcW w:type="dxa" w:w="1728"/>
          </w:tcPr>
          <w:p>
            <w:pPr>
              <w:spacing w:after="20" w:before="20"/>
              <w:jc w:val="left"/>
            </w:pPr>
            <w:r/>
            <w:r>
              <w:rPr>
                <w:rFonts w:ascii="Calibri" w:hAnsi="Calibri"/>
                <w:b w:val="0"/>
                <w:i w:val="0"/>
                <w:color w:val="20302C"/>
                <w:sz w:val="18"/>
              </w:rPr>
              <w:t>Expert 1</w:t>
            </w:r>
          </w:p>
        </w:tc>
        <w:tc>
          <w:tcPr>
            <w:tcW w:type="dxa" w:w="3168"/>
          </w:tcPr>
          <w:p>
            <w:pPr>
              <w:spacing w:after="20" w:before="20"/>
              <w:jc w:val="right"/>
            </w:pPr>
            <w:r/>
            <w:r>
              <w:rPr>
                <w:rFonts w:ascii="Calibri" w:hAnsi="Calibri"/>
                <w:b w:val="0"/>
                <w:i w:val="0"/>
                <w:color w:val="20302C"/>
                <w:sz w:val="18"/>
              </w:rPr>
              <w:t>Capital &amp; returns (DDM / P-B)</w:t>
            </w:r>
          </w:p>
        </w:tc>
        <w:tc>
          <w:tcPr>
            <w:tcW w:type="dxa" w:w="3168"/>
          </w:tcPr>
          <w:p>
            <w:pPr>
              <w:spacing w:after="20" w:before="20"/>
              <w:jc w:val="right"/>
            </w:pPr>
            <w:r/>
            <w:r>
              <w:rPr>
                <w:rFonts w:ascii="Calibri" w:hAnsi="Calibri"/>
                <w:b w:val="0"/>
                <w:i w:val="0"/>
                <w:color w:val="20302C"/>
                <w:sz w:val="18"/>
              </w:rPr>
              <w:t>RoTE (14.5%) vs Ke (10.5%)</w:t>
            </w:r>
          </w:p>
        </w:tc>
        <w:tc>
          <w:tcPr>
            <w:tcW w:type="dxa" w:w="2016"/>
          </w:tcPr>
          <w:p>
            <w:pPr>
              <w:spacing w:after="20" w:before="20"/>
              <w:jc w:val="right"/>
            </w:pPr>
            <w:r/>
            <w:r>
              <w:rPr>
                <w:rFonts w:ascii="Calibri" w:hAnsi="Calibri"/>
                <w:b w:val="0"/>
                <w:i w:val="0"/>
                <w:color w:val="20302C"/>
                <w:sz w:val="18"/>
              </w:rPr>
              <w:t>QAR 18.7</w:t>
            </w:r>
          </w:p>
        </w:tc>
      </w:tr>
      <w:tr>
        <w:tc>
          <w:tcPr>
            <w:tcW w:type="dxa" w:w="1728"/>
          </w:tcPr>
          <w:p>
            <w:pPr>
              <w:spacing w:after="20" w:before="20"/>
              <w:jc w:val="left"/>
            </w:pPr>
            <w:r/>
            <w:r>
              <w:rPr>
                <w:rFonts w:ascii="Calibri" w:hAnsi="Calibri"/>
                <w:b w:val="0"/>
                <w:i w:val="0"/>
                <w:color w:val="20302C"/>
                <w:sz w:val="18"/>
              </w:rPr>
              <w:t>Expert 2</w:t>
            </w:r>
          </w:p>
        </w:tc>
        <w:tc>
          <w:tcPr>
            <w:tcW w:type="dxa" w:w="3168"/>
          </w:tcPr>
          <w:p>
            <w:pPr>
              <w:spacing w:after="20" w:before="20"/>
              <w:jc w:val="right"/>
            </w:pPr>
            <w:r/>
            <w:r>
              <w:rPr>
                <w:rFonts w:ascii="Calibri" w:hAnsi="Calibri"/>
                <w:b w:val="0"/>
                <w:i w:val="0"/>
                <w:color w:val="20302C"/>
                <w:sz w:val="18"/>
              </w:rPr>
              <w:t>Credit cycle</w:t>
            </w:r>
          </w:p>
        </w:tc>
        <w:tc>
          <w:tcPr>
            <w:tcW w:type="dxa" w:w="3168"/>
          </w:tcPr>
          <w:p>
            <w:pPr>
              <w:spacing w:after="20" w:before="20"/>
              <w:jc w:val="right"/>
            </w:pPr>
            <w:r/>
            <w:r>
              <w:rPr>
                <w:rFonts w:ascii="Calibri" w:hAnsi="Calibri"/>
                <w:b w:val="0"/>
                <w:i w:val="0"/>
                <w:color w:val="20302C"/>
                <w:sz w:val="18"/>
              </w:rPr>
              <w:t>Through-cycle cost of risk (~115 bps)</w:t>
            </w:r>
          </w:p>
        </w:tc>
        <w:tc>
          <w:tcPr>
            <w:tcW w:type="dxa" w:w="2016"/>
          </w:tcPr>
          <w:p>
            <w:pPr>
              <w:spacing w:after="20" w:before="20"/>
              <w:jc w:val="right"/>
            </w:pPr>
            <w:r/>
            <w:r>
              <w:rPr>
                <w:rFonts w:ascii="Calibri" w:hAnsi="Calibri"/>
                <w:b w:val="0"/>
                <w:i w:val="0"/>
                <w:color w:val="20302C"/>
                <w:sz w:val="18"/>
              </w:rPr>
              <w:t>QAR 16.9</w:t>
            </w:r>
          </w:p>
        </w:tc>
      </w:tr>
      <w:tr>
        <w:tc>
          <w:tcPr>
            <w:tcW w:type="dxa" w:w="1728"/>
          </w:tcPr>
          <w:p>
            <w:pPr>
              <w:spacing w:after="20" w:before="20"/>
              <w:jc w:val="left"/>
            </w:pPr>
            <w:r/>
            <w:r>
              <w:rPr>
                <w:rFonts w:ascii="Calibri" w:hAnsi="Calibri"/>
                <w:b w:val="0"/>
                <w:i w:val="0"/>
                <w:color w:val="20302C"/>
                <w:sz w:val="18"/>
              </w:rPr>
              <w:t>Expert 3</w:t>
            </w:r>
          </w:p>
        </w:tc>
        <w:tc>
          <w:tcPr>
            <w:tcW w:type="dxa" w:w="3168"/>
          </w:tcPr>
          <w:p>
            <w:pPr>
              <w:spacing w:after="20" w:before="20"/>
              <w:jc w:val="right"/>
            </w:pPr>
            <w:r/>
            <w:r>
              <w:rPr>
                <w:rFonts w:ascii="Calibri" w:hAnsi="Calibri"/>
                <w:b w:val="0"/>
                <w:i w:val="0"/>
                <w:color w:val="20302C"/>
                <w:sz w:val="18"/>
              </w:rPr>
              <w:t>Macro-policy</w:t>
            </w:r>
          </w:p>
        </w:tc>
        <w:tc>
          <w:tcPr>
            <w:tcW w:type="dxa" w:w="3168"/>
          </w:tcPr>
          <w:p>
            <w:pPr>
              <w:spacing w:after="20" w:before="20"/>
              <w:jc w:val="right"/>
            </w:pPr>
            <w:r/>
            <w:r>
              <w:rPr>
                <w:rFonts w:ascii="Calibri" w:hAnsi="Calibri"/>
                <w:b w:val="0"/>
                <w:i w:val="0"/>
                <w:color w:val="20302C"/>
                <w:sz w:val="18"/>
              </w:rPr>
              <w:t>LNG + rates + capital return</w:t>
            </w:r>
          </w:p>
        </w:tc>
        <w:tc>
          <w:tcPr>
            <w:tcW w:type="dxa" w:w="2016"/>
          </w:tcPr>
          <w:p>
            <w:pPr>
              <w:spacing w:after="20" w:before="20"/>
              <w:jc w:val="right"/>
            </w:pPr>
            <w:r/>
            <w:r>
              <w:rPr>
                <w:rFonts w:ascii="Calibri" w:hAnsi="Calibri"/>
                <w:b w:val="0"/>
                <w:i w:val="0"/>
                <w:color w:val="20302C"/>
                <w:sz w:val="18"/>
              </w:rPr>
              <w:t>QAR 20.4</w:t>
            </w:r>
          </w:p>
        </w:tc>
      </w:tr>
    </w:tbl>
    <w:p>
      <w:pPr>
        <w:spacing w:after="120" w:line="259" w:lineRule="auto"/>
      </w:pPr>
      <w:r>
        <w:rPr>
          <w:rFonts w:ascii="Calibri" w:hAnsi="Calibri"/>
          <w:b w:val="0"/>
          <w:i w:val="0"/>
          <w:color w:val="20302C"/>
          <w:sz w:val="21"/>
        </w:rPr>
        <w:t>The spread — QAR 16.9 to 20.4 at base — is narrow for a bank with emerging-market exposure, and it is almost entirely a disagreement about two linked things: how much to trust QNB's benign credit and tax-adjusted earnings, and whether its surplus capital is returned or held as a buffer. None of the three contests the franchise: the scale, the sovereign linkage, the best-in-class efficiency and asset quality are common ground. Expert 2 says the earnings are flattered by a low point in the credit cycle; Expert 3 says the sovereign strength and the capital give-back are underpriced; Expert 1 says the RoTE-versus-Ke discipline settles it near book-plus-a-premium. Resolve the cost-of-risk and capital-return questions and the three converge. That is the useful conclusion of the panel: the uncertainty in QNB is not about whether it is a good bank — all three agree it is among the best-run in its region — but about two specific, observable things that resolve over the next few years. Watch the cost of risk as the emerging-market cycle turns, and watch the payout ratio and buyback cadence as the sovereign owner decides what to do with a capital surplus it does not need. Each quarterly print nudges the panel; the QAR 16.9-to-20.4 spread will narrow as those two questions are answered, and the direction in which it narrows is the real forecast this study offers.</w:t>
      </w:r>
    </w:p>
    <w:p>
      <w:pPr>
        <w:spacing w:after="120" w:line="259" w:lineRule="auto"/>
      </w:pPr>
      <w:r>
        <w:rPr>
          <w:rFonts w:ascii="Calibri" w:hAnsi="Calibri"/>
          <w:b w:val="0"/>
          <w:i/>
          <w:color w:val="20302C"/>
          <w:sz w:val="18"/>
        </w:rPr>
        <w:t>Each expert's point fair value (and bull/base/bear) is logged with the study date (05 Jul 2026) and spot (QAR 17.54) as an internal per-expert track record, kept separate from the core Calibration Ledger.</w:t>
      </w:r>
    </w:p>
    <w:p>
      <w:r>
        <w:br w:type="page"/>
      </w:r>
    </w:p>
    <w:p>
      <w:pPr>
        <w:spacing w:before="240" w:after="80"/>
        <w:pBdr>
          <w:bottom w:val="single" w:sz="6" w:space="2" w:color="C0A45F"/>
        </w:pBdr>
      </w:pPr>
      <w:r>
        <w:rPr>
          <w:rFonts w:ascii="Calibri" w:hAnsi="Calibri"/>
          <w:b/>
          <w:color w:val="2E6E68"/>
          <w:sz w:val="30"/>
        </w:rPr>
        <w:t>About this series</w:t>
      </w:r>
    </w:p>
    <w:p>
      <w:pPr>
        <w:spacing w:after="120" w:line="259" w:lineRule="auto"/>
      </w:pPr>
      <w:r>
        <w:rPr>
          <w:rFonts w:ascii="Calibri" w:hAnsi="Calibri"/>
          <w:b w:val="0"/>
          <w:i w:val="0"/>
          <w:color w:val="20302C"/>
          <w:sz w:val="21"/>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40" w:after="80"/>
        <w:pBdr>
          <w:bottom w:val="single" w:sz="6" w:space="2" w:color="C0A45F"/>
        </w:pBdr>
      </w:pPr>
      <w:r>
        <w:rPr>
          <w:rFonts w:ascii="Calibri" w:hAnsi="Calibri"/>
          <w:b/>
          <w:color w:val="2E6E68"/>
          <w:sz w:val="30"/>
        </w:rPr>
        <w:t>Disclosure &amp; Disclaimer</w:t>
      </w:r>
    </w:p>
    <w:p>
      <w:pPr>
        <w:spacing w:after="100"/>
      </w:pPr>
      <w:r>
        <w:rPr>
          <w:rFonts w:ascii="Calibri" w:hAnsi="Calibri"/>
          <w:b/>
          <w:i/>
          <w:color w:val="20302C"/>
          <w:sz w:val="19"/>
        </w:rPr>
        <w:t xml:space="preserve">Not investment advice.  </w:t>
      </w:r>
      <w:r>
        <w:rPr>
          <w:rFonts w:ascii="Calibri" w:hAnsi="Calibri"/>
          <w:color w:val="20302C"/>
          <w:sz w:val="19"/>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pPr>
      <w:r>
        <w:rPr>
          <w:rFonts w:ascii="Calibri" w:hAnsi="Calibri"/>
          <w:b/>
          <w:i/>
          <w:color w:val="20302C"/>
          <w:sz w:val="19"/>
        </w:rPr>
        <w:t xml:space="preserve">No licence; no advisory relationship.  </w:t>
      </w:r>
      <w:r>
        <w:rPr>
          <w:rFonts w:ascii="Calibri" w:hAnsi="Calibri"/>
          <w:color w:val="20302C"/>
          <w:sz w:val="19"/>
        </w:rPr>
        <w:t>The preparer is not registered or licensed with any securities or financial regulator in any jurisdiction — including the Qatar Financial Markets Authority — holds no brokerage or investment-advisory authorisation, and is not acting as your adviser or fiduciary. Nothing here is personalised to your circumstances.</w:t>
      </w:r>
    </w:p>
    <w:p>
      <w:pPr>
        <w:spacing w:after="100"/>
      </w:pPr>
      <w:r>
        <w:rPr>
          <w:rFonts w:ascii="Calibri" w:hAnsi="Calibri"/>
          <w:b/>
          <w:i/>
          <w:color w:val="20302C"/>
          <w:sz w:val="19"/>
        </w:rPr>
        <w:t xml:space="preserve">Holdings disclosure.  </w:t>
      </w:r>
      <w:r>
        <w:rPr>
          <w:rFonts w:ascii="Calibri" w:hAnsi="Calibri"/>
          <w:color w:val="20302C"/>
          <w:sz w:val="19"/>
        </w:rPr>
        <w:t>The preparer may hold, and may in the future take or dispose of, a position in the security discussed in this report, and may transact at any time without notice. This is a potential conflict of interest you should weigh.</w:t>
      </w:r>
    </w:p>
    <w:p>
      <w:pPr>
        <w:spacing w:after="100"/>
      </w:pPr>
      <w:r>
        <w:rPr>
          <w:rFonts w:ascii="Calibri" w:hAnsi="Calibri"/>
          <w:b/>
          <w:i/>
          <w:color w:val="20302C"/>
          <w:sz w:val="19"/>
        </w:rPr>
        <w:t xml:space="preserve">Sources &amp; accuracy.  </w:t>
      </w:r>
      <w:r>
        <w:rPr>
          <w:rFonts w:ascii="Calibri" w:hAnsi="Calibri"/>
          <w:color w:val="20302C"/>
          <w:sz w:val="19"/>
        </w:rPr>
        <w:t>Reported financial and operating figures are drawn from the company's public disclosure and other public sources believed reliable but not independently verified; they may contain errors or be superseded. Forward-looking inputs — the earnings path, payout and capital-return assumptions, the cost of equity, projections, multiples, the dividend-discount and FCFE models and the Monte-Carlo factor probabilities — are the preparer's own judgments and are inherently uncertain.</w:t>
      </w:r>
    </w:p>
    <w:p>
      <w:pPr>
        <w:spacing w:after="100"/>
      </w:pPr>
      <w:r>
        <w:rPr>
          <w:rFonts w:ascii="Calibri" w:hAnsi="Calibri"/>
          <w:b/>
          <w:i/>
          <w:color w:val="20302C"/>
          <w:sz w:val="19"/>
        </w:rPr>
        <w:t xml:space="preserve">Forward-looking statements.  </w:t>
      </w:r>
      <w:r>
        <w:rPr>
          <w:rFonts w:ascii="Calibri" w:hAnsi="Calibri"/>
          <w:color w:val="20302C"/>
          <w:sz w:val="19"/>
        </w:rPr>
        <w:t>Any statements about the future are estimates subject to risks and uncertainties; actual results may differ materially. The Monte Carlo models price, not value, and encodes subjective probabilities for events that have not occurred.</w:t>
      </w:r>
    </w:p>
    <w:p>
      <w:pPr>
        <w:spacing w:after="100"/>
      </w:pPr>
      <w:r>
        <w:rPr>
          <w:rFonts w:ascii="Calibri" w:hAnsi="Calibri"/>
          <w:b/>
          <w:i/>
          <w:color w:val="20302C"/>
          <w:sz w:val="19"/>
        </w:rPr>
        <w:t xml:space="preserve">No reliance; your responsibility.  </w:t>
      </w:r>
      <w:r>
        <w:rPr>
          <w:rFonts w:ascii="Calibri" w:hAnsi="Calibri"/>
          <w:color w:val="20302C"/>
          <w:sz w:val="19"/>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pPr>
      <w:r>
        <w:rPr>
          <w:rFonts w:ascii="Calibri" w:hAnsi="Calibri"/>
          <w:b/>
          <w:i/>
          <w:color w:val="20302C"/>
          <w:sz w:val="19"/>
        </w:rPr>
        <w:t xml:space="preserve">Currency &amp; figures.  </w:t>
      </w:r>
      <w:r>
        <w:rPr>
          <w:rFonts w:ascii="Calibri" w:hAnsi="Calibri"/>
          <w:color w:val="20302C"/>
          <w:sz w:val="19"/>
        </w:rPr>
        <w:t>Figures are in Qatari riyals (QAR) unless noted; bn denotes billion and mn million. FX at study date: USD/QAR 3.64 (pegged). Rounding may cause totals to differ slightly. Spot price and market data are as of 05 July 2026 and change continuously.</w:t>
      </w:r>
    </w:p>
    <w:p>
      <w:pPr>
        <w:spacing w:before="200"/>
      </w:pPr>
      <w:r>
        <w:rPr>
          <w:rFonts w:ascii="Calibri" w:hAnsi="Calibri"/>
          <w:i/>
          <w:color w:val="667070"/>
          <w:sz w:val="17"/>
        </w:rPr>
        <w:t>TESTAHIL · Independent Valuation Study · Educational Analysis · QNB Group (QSE: QNBK) · edition 05-07-2026 · reporting currency QAR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3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